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ind w:firstLine="0" w:firstLineChars="0"/>
        <w:rPr>
          <w:rFonts w:hint="default" w:ascii="Times New Roman" w:hAnsi="Times New Roman" w:eastAsia="楷体_GB2312" w:cs="Times New Roman"/>
          <w:b/>
          <w:bCs/>
          <w:color w:val="auto"/>
          <w:sz w:val="48"/>
          <w:szCs w:val="48"/>
        </w:rPr>
      </w:pPr>
    </w:p>
    <w:p>
      <w:pPr>
        <w:spacing w:line="720" w:lineRule="auto"/>
        <w:ind w:firstLine="0" w:firstLineChars="0"/>
        <w:rPr>
          <w:rFonts w:hint="default" w:ascii="Times New Roman" w:hAnsi="Times New Roman" w:eastAsia="楷体_GB2312" w:cs="Times New Roman"/>
          <w:b/>
          <w:bCs/>
          <w:color w:val="auto"/>
          <w:sz w:val="48"/>
          <w:szCs w:val="48"/>
        </w:rPr>
      </w:pPr>
    </w:p>
    <w:p>
      <w:pPr>
        <w:spacing w:line="720" w:lineRule="auto"/>
        <w:ind w:firstLine="0" w:firstLineChars="0"/>
        <w:jc w:val="center"/>
        <w:rPr>
          <w:rFonts w:hint="default" w:ascii="Times New Roman" w:hAnsi="Times New Roman" w:eastAsia="楷体_GB2312" w:cs="Times New Roman"/>
          <w:b/>
          <w:bCs/>
          <w:color w:val="auto"/>
          <w:sz w:val="48"/>
          <w:szCs w:val="48"/>
        </w:rPr>
      </w:pPr>
      <w:r>
        <w:rPr>
          <w:rFonts w:hint="default" w:ascii="Times New Roman" w:hAnsi="Times New Roman" w:eastAsia="楷体_GB2312" w:cs="Times New Roman"/>
          <w:b/>
          <w:bCs/>
          <w:color w:val="auto"/>
          <w:sz w:val="48"/>
          <w:szCs w:val="48"/>
        </w:rPr>
        <w:t>益阳市银海环保科技有限公司</w:t>
      </w:r>
    </w:p>
    <w:p>
      <w:pPr>
        <w:spacing w:line="720" w:lineRule="auto"/>
        <w:ind w:firstLine="0" w:firstLineChars="0"/>
        <w:jc w:val="center"/>
        <w:rPr>
          <w:rFonts w:hint="default" w:ascii="Times New Roman" w:hAnsi="Times New Roman" w:eastAsia="楷体_GB2312" w:cs="Times New Roman"/>
          <w:b/>
          <w:bCs/>
          <w:color w:val="auto"/>
          <w:sz w:val="48"/>
          <w:szCs w:val="48"/>
        </w:rPr>
      </w:pPr>
      <w:r>
        <w:rPr>
          <w:rFonts w:hint="default" w:ascii="Times New Roman" w:hAnsi="Times New Roman" w:eastAsia="楷体_GB2312" w:cs="Times New Roman"/>
          <w:b/>
          <w:bCs/>
          <w:color w:val="auto"/>
          <w:sz w:val="48"/>
          <w:szCs w:val="48"/>
        </w:rPr>
        <w:t>年收贮废旧铅酸蓄电池1万吨建设项目</w:t>
      </w:r>
    </w:p>
    <w:p>
      <w:pPr>
        <w:spacing w:line="720" w:lineRule="auto"/>
        <w:ind w:firstLine="0" w:firstLineChars="0"/>
        <w:jc w:val="center"/>
        <w:rPr>
          <w:rFonts w:hint="default" w:ascii="Times New Roman" w:hAnsi="Times New Roman" w:eastAsia="楷体_GB2312" w:cs="Times New Roman"/>
          <w:b/>
          <w:bCs/>
          <w:color w:val="auto"/>
          <w:sz w:val="48"/>
          <w:szCs w:val="48"/>
        </w:rPr>
      </w:pPr>
      <w:r>
        <w:rPr>
          <w:rFonts w:hint="default" w:ascii="Times New Roman" w:hAnsi="Times New Roman" w:eastAsia="楷体_GB2312" w:cs="Times New Roman"/>
          <w:b/>
          <w:bCs/>
          <w:color w:val="auto"/>
          <w:sz w:val="48"/>
          <w:szCs w:val="48"/>
        </w:rPr>
        <w:t>竣工环境保护验收监测报告</w:t>
      </w:r>
    </w:p>
    <w:p>
      <w:pPr>
        <w:ind w:firstLine="1040"/>
        <w:jc w:val="center"/>
        <w:rPr>
          <w:rFonts w:hint="default" w:ascii="Times New Roman" w:hAnsi="Times New Roman" w:cs="Times New Roman"/>
          <w:color w:val="auto"/>
          <w:sz w:val="52"/>
          <w:szCs w:val="52"/>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18"/>
        <w:ind w:left="480"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18"/>
        <w:ind w:left="480"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spacing w:line="700" w:lineRule="exact"/>
        <w:ind w:firstLine="723"/>
        <w:rPr>
          <w:rFonts w:hint="default" w:ascii="Times New Roman" w:hAnsi="Times New Roman" w:eastAsia="仿宋_GB2312" w:cs="Times New Roman"/>
          <w:color w:val="auto"/>
          <w:sz w:val="36"/>
          <w:szCs w:val="36"/>
        </w:rPr>
      </w:pPr>
      <w:r>
        <w:rPr>
          <w:rFonts w:hint="default" w:ascii="Times New Roman" w:hAnsi="Times New Roman" w:eastAsia="仿宋_GB2312" w:cs="Times New Roman"/>
          <w:b/>
          <w:color w:val="auto"/>
          <w:sz w:val="36"/>
          <w:szCs w:val="36"/>
        </w:rPr>
        <w:t>建设单位：</w:t>
      </w:r>
      <w:r>
        <w:rPr>
          <w:rFonts w:hint="default" w:ascii="Times New Roman" w:hAnsi="Times New Roman" w:eastAsia="仿宋_GB2312" w:cs="Times New Roman"/>
          <w:color w:val="auto"/>
          <w:sz w:val="36"/>
          <w:szCs w:val="36"/>
        </w:rPr>
        <w:t>益阳市银海环保科技有限公司</w:t>
      </w:r>
    </w:p>
    <w:p>
      <w:pPr>
        <w:pStyle w:val="18"/>
        <w:spacing w:line="240" w:lineRule="auto"/>
        <w:ind w:left="480" w:firstLine="720"/>
        <w:rPr>
          <w:rFonts w:hint="default" w:ascii="Times New Roman" w:hAnsi="Times New Roman" w:cs="Times New Roman"/>
          <w:color w:val="auto"/>
          <w:sz w:val="36"/>
          <w:szCs w:val="36"/>
        </w:rPr>
      </w:pPr>
    </w:p>
    <w:p>
      <w:pPr>
        <w:spacing w:line="700" w:lineRule="exact"/>
        <w:ind w:firstLine="723"/>
        <w:rPr>
          <w:rFonts w:hint="default" w:ascii="Times New Roman" w:hAnsi="Times New Roman" w:eastAsia="仿宋_GB2312" w:cs="Times New Roman"/>
          <w:color w:val="auto"/>
          <w:sz w:val="36"/>
          <w:szCs w:val="36"/>
        </w:rPr>
      </w:pPr>
      <w:r>
        <w:rPr>
          <w:rFonts w:hint="default" w:ascii="Times New Roman" w:hAnsi="Times New Roman" w:eastAsia="仿宋_GB2312" w:cs="Times New Roman"/>
          <w:b/>
          <w:color w:val="auto"/>
          <w:sz w:val="36"/>
          <w:szCs w:val="36"/>
        </w:rPr>
        <w:t>编制单位：</w:t>
      </w:r>
      <w:r>
        <w:rPr>
          <w:rFonts w:hint="default" w:ascii="Times New Roman" w:hAnsi="Times New Roman" w:eastAsia="仿宋_GB2312" w:cs="Times New Roman"/>
          <w:color w:val="auto"/>
          <w:sz w:val="36"/>
          <w:szCs w:val="36"/>
        </w:rPr>
        <w:t>益阳市银海环保科技有限公司</w:t>
      </w:r>
    </w:p>
    <w:p>
      <w:pPr>
        <w:spacing w:line="700" w:lineRule="exact"/>
        <w:ind w:firstLine="640"/>
        <w:jc w:val="center"/>
        <w:rPr>
          <w:rFonts w:hint="default" w:ascii="Times New Roman" w:hAnsi="Times New Roman" w:cs="Times New Roman"/>
          <w:color w:val="auto"/>
          <w:sz w:val="32"/>
          <w:szCs w:val="32"/>
        </w:rPr>
      </w:pPr>
    </w:p>
    <w:p>
      <w:pPr>
        <w:ind w:firstLine="0" w:firstLineChars="0"/>
        <w:jc w:val="center"/>
        <w:rPr>
          <w:rFonts w:hint="default" w:ascii="Times New Roman" w:hAnsi="Times New Roman" w:eastAsia="楷体_GB2312" w:cs="Times New Roman"/>
          <w:b/>
          <w:bCs/>
          <w:color w:val="auto"/>
          <w:spacing w:val="40"/>
          <w:sz w:val="32"/>
          <w:szCs w:val="32"/>
        </w:rPr>
      </w:pPr>
      <w:r>
        <w:rPr>
          <w:rFonts w:hint="default" w:ascii="Times New Roman" w:hAnsi="Times New Roman" w:eastAsia="楷体_GB2312" w:cs="Times New Roman"/>
          <w:b/>
          <w:bCs/>
          <w:color w:val="auto"/>
          <w:spacing w:val="40"/>
          <w:sz w:val="36"/>
          <w:szCs w:val="36"/>
        </w:rPr>
        <w:t>二〇一九年</w:t>
      </w:r>
      <w:r>
        <w:rPr>
          <w:rFonts w:hint="eastAsia" w:ascii="Times New Roman" w:hAnsi="Times New Roman" w:eastAsia="楷体_GB2312" w:cs="Times New Roman"/>
          <w:b/>
          <w:bCs/>
          <w:color w:val="auto"/>
          <w:spacing w:val="40"/>
          <w:sz w:val="36"/>
          <w:szCs w:val="36"/>
          <w:lang w:eastAsia="zh-CN"/>
        </w:rPr>
        <w:t>四</w:t>
      </w:r>
      <w:r>
        <w:rPr>
          <w:rFonts w:hint="default" w:ascii="Times New Roman" w:hAnsi="Times New Roman" w:eastAsia="楷体_GB2312" w:cs="Times New Roman"/>
          <w:b/>
          <w:bCs/>
          <w:color w:val="auto"/>
          <w:spacing w:val="40"/>
          <w:sz w:val="36"/>
          <w:szCs w:val="36"/>
        </w:rPr>
        <w:t>月</w:t>
      </w:r>
    </w:p>
    <w:p>
      <w:pPr>
        <w:ind w:firstLine="640"/>
        <w:rPr>
          <w:rFonts w:hint="default" w:ascii="Times New Roman" w:hAnsi="Times New Roman" w:eastAsia="仿宋_GB2312" w:cs="Times New Roman"/>
          <w:b/>
          <w:color w:val="auto"/>
          <w:sz w:val="28"/>
          <w:szCs w:val="28"/>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32"/>
          <w:szCs w:val="32"/>
          <w:lang w:val="zh-CN"/>
        </w:rPr>
        <w:pict>
          <v:shape id="_x0000_s1026" o:spid="_x0000_s1026" o:spt="202" type="#_x0000_t202" style="position:absolute;left:0pt;margin-left:-20.45pt;margin-top:462.4pt;height:193.4pt;width:320.6pt;z-index:262459392;mso-width-relative:page;mso-height-relative:page;" filled="f" stroked="f" coordsize="21600,21600" o:gfxdata="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8DxHfZAAAADAEAAA8A&#10;AAAAAAAAAQAgAAAAIgAAAGRycy9kb3ducmV2LnhtbFBLAQIUABQAAAAIAIdO4kC1vmi/pAEAACQD&#10;AAAOAAAAAAAAAAEAIAAAACgBAABkcnMvZTJvRG9jLnhtbFBLBQYAAAAABgAGAFkBAAA+BQAAAAA=&#10;">
            <v:path/>
            <v:fill on="f" focussize="0,0"/>
            <v:stroke on="f" joinstyle="miter"/>
            <v:imagedata o:title=""/>
            <o:lock v:ext="edit"/>
            <v:textbox>
              <w:txbxContent>
                <w:p>
                  <w:pPr>
                    <w:spacing w:line="700" w:lineRule="exact"/>
                    <w:ind w:firstLine="640"/>
                    <w:rPr>
                      <w:rFonts w:ascii="宋体" w:hAnsi="宋体" w:cs="华文楷体"/>
                      <w:sz w:val="32"/>
                      <w:szCs w:val="32"/>
                    </w:rPr>
                  </w:pPr>
                </w:p>
              </w:txbxContent>
            </v:textbox>
          </v:shape>
        </w:pict>
      </w:r>
      <w:r>
        <w:rPr>
          <w:rFonts w:hint="default" w:ascii="Times New Roman" w:hAnsi="Times New Roman" w:cs="Times New Roman"/>
          <w:color w:val="auto"/>
          <w:sz w:val="32"/>
          <w:szCs w:val="32"/>
          <w:lang w:val="zh-CN"/>
        </w:rPr>
        <w:pict>
          <v:shape id="_x0000_s2062" o:spid="_x0000_s2062" o:spt="202" type="#_x0000_t202" style="position:absolute;left:0pt;margin-left:-98.1pt;margin-top:174pt;height:62.4pt;width:482.6pt;z-index:262458368;mso-width-relative:page;mso-height-relative:page;" stroked="f" coordsize="21600,21600" o:gfxdata="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NwqZnaAAAADAEAAA8AAAAAAAAAAQAgAAAAIgAAAGRycy9kb3ducmV2LnhtbFBL&#10;AQIUABQAAAAIAIdO4kCwnFW8uwEAAEoDAAAOAAAAAAAAAAEAIAAAACkBAABkcnMvZTJvRG9jLnht&#10;bFBLBQYAAAAABgAGAFkBAABWBQAAAAA=&#10;">
            <v:path/>
            <v:fill focussize="0,0"/>
            <v:stroke on="f" joinstyle="miter"/>
            <v:imagedata o:title=""/>
            <o:lock v:ext="edit"/>
            <v:textbox>
              <w:txbxContent>
                <w:p>
                  <w:pPr>
                    <w:ind w:firstLine="480"/>
                  </w:pPr>
                </w:p>
              </w:txbxContent>
            </v:textbox>
          </v:shape>
        </w:pict>
      </w:r>
    </w:p>
    <w:tbl>
      <w:tblPr>
        <w:tblStyle w:val="21"/>
        <w:tblW w:w="8986" w:type="dxa"/>
        <w:jc w:val="center"/>
        <w:tblInd w:w="-459" w:type="dxa"/>
        <w:tblLayout w:type="fixed"/>
        <w:tblCellMar>
          <w:top w:w="0" w:type="dxa"/>
          <w:left w:w="108" w:type="dxa"/>
          <w:bottom w:w="0" w:type="dxa"/>
          <w:right w:w="108" w:type="dxa"/>
        </w:tblCellMar>
      </w:tblPr>
      <w:tblGrid>
        <w:gridCol w:w="2726"/>
        <w:gridCol w:w="536"/>
        <w:gridCol w:w="5724"/>
      </w:tblGrid>
      <w:tr>
        <w:tblPrEx>
          <w:tblLayout w:type="fixed"/>
          <w:tblCellMar>
            <w:top w:w="0" w:type="dxa"/>
            <w:left w:w="108" w:type="dxa"/>
            <w:bottom w:w="0" w:type="dxa"/>
            <w:right w:w="108" w:type="dxa"/>
          </w:tblCellMar>
        </w:tblPrEx>
        <w:trPr>
          <w:jc w:val="center"/>
        </w:trPr>
        <w:tc>
          <w:tcPr>
            <w:tcW w:w="2726" w:type="dxa"/>
          </w:tcPr>
          <w:p>
            <w:pPr>
              <w:adjustRightInd w:val="0"/>
              <w:spacing w:before="240" w:after="240"/>
              <w:ind w:firstLine="643"/>
              <w:jc w:val="distribute"/>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建设单位</w:t>
            </w:r>
          </w:p>
        </w:tc>
        <w:tc>
          <w:tcPr>
            <w:tcW w:w="536" w:type="dxa"/>
          </w:tcPr>
          <w:p>
            <w:pPr>
              <w:adjustRightInd w:val="0"/>
              <w:spacing w:before="240" w:after="240"/>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w:t>
            </w:r>
          </w:p>
        </w:tc>
        <w:tc>
          <w:tcPr>
            <w:tcW w:w="5724" w:type="dxa"/>
          </w:tcPr>
          <w:p>
            <w:pPr>
              <w:adjustRightInd w:val="0"/>
              <w:spacing w:before="240" w:after="240"/>
              <w:ind w:firstLine="0" w:firstLineChars="0"/>
              <w:rPr>
                <w:rFonts w:hint="default" w:ascii="Times New Roman" w:hAnsi="Times New Roman" w:cs="Times New Roman"/>
                <w:color w:val="auto"/>
                <w:sz w:val="32"/>
                <w:szCs w:val="32"/>
              </w:rPr>
            </w:pPr>
            <w:r>
              <w:rPr>
                <w:rFonts w:hint="default" w:ascii="Times New Roman" w:hAnsi="Times New Roman" w:eastAsia="宋体" w:cs="Times New Roman"/>
                <w:color w:val="auto"/>
                <w:sz w:val="32"/>
                <w:szCs w:val="32"/>
              </w:rPr>
              <w:t>益阳市银海环保科技有限公司</w:t>
            </w:r>
          </w:p>
        </w:tc>
      </w:tr>
      <w:tr>
        <w:tblPrEx>
          <w:tblLayout w:type="fixed"/>
          <w:tblCellMar>
            <w:top w:w="0" w:type="dxa"/>
            <w:left w:w="108" w:type="dxa"/>
            <w:bottom w:w="0" w:type="dxa"/>
            <w:right w:w="108" w:type="dxa"/>
          </w:tblCellMar>
        </w:tblPrEx>
        <w:trPr>
          <w:jc w:val="center"/>
        </w:trPr>
        <w:tc>
          <w:tcPr>
            <w:tcW w:w="2726" w:type="dxa"/>
          </w:tcPr>
          <w:p>
            <w:pPr>
              <w:adjustRightInd w:val="0"/>
              <w:spacing w:before="240" w:after="240"/>
              <w:ind w:firstLine="643"/>
              <w:jc w:val="distribute"/>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法人代表</w:t>
            </w:r>
          </w:p>
        </w:tc>
        <w:tc>
          <w:tcPr>
            <w:tcW w:w="536" w:type="dxa"/>
          </w:tcPr>
          <w:p>
            <w:pPr>
              <w:adjustRightInd w:val="0"/>
              <w:spacing w:before="240" w:after="240"/>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w:t>
            </w:r>
          </w:p>
        </w:tc>
        <w:tc>
          <w:tcPr>
            <w:tcW w:w="5724" w:type="dxa"/>
          </w:tcPr>
          <w:p>
            <w:pPr>
              <w:adjustRightInd w:val="0"/>
              <w:spacing w:before="240" w:after="24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卜祯</w:t>
            </w:r>
          </w:p>
        </w:tc>
      </w:tr>
      <w:tr>
        <w:tblPrEx>
          <w:tblLayout w:type="fixed"/>
          <w:tblCellMar>
            <w:top w:w="0" w:type="dxa"/>
            <w:left w:w="108" w:type="dxa"/>
            <w:bottom w:w="0" w:type="dxa"/>
            <w:right w:w="108" w:type="dxa"/>
          </w:tblCellMar>
        </w:tblPrEx>
        <w:trPr>
          <w:jc w:val="center"/>
        </w:trPr>
        <w:tc>
          <w:tcPr>
            <w:tcW w:w="2726" w:type="dxa"/>
          </w:tcPr>
          <w:p>
            <w:pPr>
              <w:adjustRightInd w:val="0"/>
              <w:spacing w:before="240" w:after="240"/>
              <w:ind w:firstLine="643"/>
              <w:jc w:val="distribute"/>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编制单位</w:t>
            </w:r>
          </w:p>
        </w:tc>
        <w:tc>
          <w:tcPr>
            <w:tcW w:w="536" w:type="dxa"/>
          </w:tcPr>
          <w:p>
            <w:pPr>
              <w:adjustRightInd w:val="0"/>
              <w:spacing w:before="240" w:after="240"/>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w:t>
            </w:r>
          </w:p>
        </w:tc>
        <w:tc>
          <w:tcPr>
            <w:tcW w:w="5724" w:type="dxa"/>
          </w:tcPr>
          <w:p>
            <w:pPr>
              <w:adjustRightInd w:val="0"/>
              <w:spacing w:before="240" w:after="240"/>
              <w:ind w:firstLine="0" w:firstLineChars="0"/>
              <w:rPr>
                <w:rFonts w:hint="default" w:ascii="Times New Roman" w:hAnsi="Times New Roman" w:eastAsia="楷体_GB2312" w:cs="Times New Roman"/>
                <w:color w:val="auto"/>
                <w:sz w:val="32"/>
                <w:szCs w:val="32"/>
              </w:rPr>
            </w:pPr>
            <w:r>
              <w:rPr>
                <w:rFonts w:hint="default" w:ascii="Times New Roman" w:hAnsi="Times New Roman" w:eastAsia="宋体" w:cs="Times New Roman"/>
                <w:color w:val="auto"/>
                <w:sz w:val="32"/>
                <w:szCs w:val="32"/>
              </w:rPr>
              <w:t>益阳市银海环保科技有限公司</w:t>
            </w:r>
          </w:p>
        </w:tc>
      </w:tr>
      <w:tr>
        <w:tblPrEx>
          <w:tblLayout w:type="fixed"/>
          <w:tblCellMar>
            <w:top w:w="0" w:type="dxa"/>
            <w:left w:w="108" w:type="dxa"/>
            <w:bottom w:w="0" w:type="dxa"/>
            <w:right w:w="108" w:type="dxa"/>
          </w:tblCellMar>
        </w:tblPrEx>
        <w:trPr>
          <w:jc w:val="center"/>
        </w:trPr>
        <w:tc>
          <w:tcPr>
            <w:tcW w:w="2726" w:type="dxa"/>
          </w:tcPr>
          <w:p>
            <w:pPr>
              <w:adjustRightInd w:val="0"/>
              <w:spacing w:before="240" w:after="240"/>
              <w:ind w:firstLine="643"/>
              <w:jc w:val="distribute"/>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报告编写</w:t>
            </w:r>
          </w:p>
        </w:tc>
        <w:tc>
          <w:tcPr>
            <w:tcW w:w="536" w:type="dxa"/>
          </w:tcPr>
          <w:p>
            <w:pPr>
              <w:adjustRightInd w:val="0"/>
              <w:spacing w:before="240" w:after="240"/>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w:t>
            </w:r>
          </w:p>
        </w:tc>
        <w:tc>
          <w:tcPr>
            <w:tcW w:w="5724" w:type="dxa"/>
          </w:tcPr>
          <w:p>
            <w:pPr>
              <w:adjustRightInd w:val="0"/>
              <w:spacing w:before="240" w:after="24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孙妍娜</w:t>
            </w:r>
          </w:p>
        </w:tc>
      </w:tr>
      <w:tr>
        <w:tblPrEx>
          <w:tblLayout w:type="fixed"/>
          <w:tblCellMar>
            <w:top w:w="0" w:type="dxa"/>
            <w:left w:w="108" w:type="dxa"/>
            <w:bottom w:w="0" w:type="dxa"/>
            <w:right w:w="108" w:type="dxa"/>
          </w:tblCellMar>
        </w:tblPrEx>
        <w:trPr>
          <w:jc w:val="center"/>
        </w:trPr>
        <w:tc>
          <w:tcPr>
            <w:tcW w:w="2726" w:type="dxa"/>
          </w:tcPr>
          <w:p>
            <w:pPr>
              <w:adjustRightInd w:val="0"/>
              <w:spacing w:before="240" w:after="240"/>
              <w:ind w:firstLine="643"/>
              <w:jc w:val="distribute"/>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项目负责人</w:t>
            </w:r>
          </w:p>
        </w:tc>
        <w:tc>
          <w:tcPr>
            <w:tcW w:w="536" w:type="dxa"/>
          </w:tcPr>
          <w:p>
            <w:pPr>
              <w:adjustRightInd w:val="0"/>
              <w:spacing w:before="240" w:after="240"/>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w:t>
            </w:r>
          </w:p>
        </w:tc>
        <w:tc>
          <w:tcPr>
            <w:tcW w:w="5724" w:type="dxa"/>
          </w:tcPr>
          <w:p>
            <w:pPr>
              <w:adjustRightInd w:val="0"/>
              <w:spacing w:before="240" w:after="24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汪斌</w:t>
            </w:r>
          </w:p>
        </w:tc>
      </w:tr>
    </w:tbl>
    <w:p>
      <w:pPr>
        <w:ind w:firstLine="562"/>
        <w:rPr>
          <w:rFonts w:hint="default" w:ascii="Times New Roman" w:hAnsi="Times New Roman" w:eastAsia="仿宋_GB2312" w:cs="Times New Roman"/>
          <w:b/>
          <w:color w:val="auto"/>
          <w:sz w:val="28"/>
        </w:rPr>
      </w:pPr>
    </w:p>
    <w:p>
      <w:pPr>
        <w:ind w:firstLine="562"/>
        <w:rPr>
          <w:rFonts w:hint="default" w:ascii="Times New Roman" w:hAnsi="Times New Roman" w:eastAsia="仿宋_GB2312" w:cs="Times New Roman"/>
          <w:b/>
          <w:color w:val="auto"/>
          <w:sz w:val="28"/>
        </w:rPr>
      </w:pPr>
    </w:p>
    <w:p>
      <w:pPr>
        <w:ind w:firstLine="562"/>
        <w:rPr>
          <w:rFonts w:hint="default" w:ascii="Times New Roman" w:hAnsi="Times New Roman" w:eastAsia="仿宋_GB2312" w:cs="Times New Roman"/>
          <w:b/>
          <w:color w:val="auto"/>
          <w:sz w:val="28"/>
        </w:rPr>
      </w:pPr>
    </w:p>
    <w:p>
      <w:pPr>
        <w:ind w:firstLine="562"/>
        <w:rPr>
          <w:rFonts w:hint="default" w:ascii="Times New Roman" w:hAnsi="Times New Roman" w:eastAsia="仿宋_GB2312" w:cs="Times New Roman"/>
          <w:b/>
          <w:color w:val="auto"/>
          <w:sz w:val="28"/>
        </w:rPr>
      </w:pPr>
    </w:p>
    <w:p>
      <w:pPr>
        <w:pStyle w:val="18"/>
        <w:ind w:left="480" w:firstLine="562"/>
        <w:rPr>
          <w:rFonts w:hint="default" w:ascii="Times New Roman" w:hAnsi="Times New Roman" w:eastAsia="仿宋_GB2312" w:cs="Times New Roman"/>
          <w:b/>
          <w:color w:val="auto"/>
          <w:sz w:val="28"/>
        </w:rPr>
      </w:pPr>
    </w:p>
    <w:p>
      <w:pPr>
        <w:ind w:firstLine="562"/>
        <w:rPr>
          <w:rFonts w:hint="default" w:ascii="Times New Roman" w:hAnsi="Times New Roman" w:eastAsia="仿宋_GB2312" w:cs="Times New Roman"/>
          <w:b/>
          <w:color w:val="auto"/>
          <w:sz w:val="28"/>
        </w:rPr>
      </w:pPr>
    </w:p>
    <w:p>
      <w:pPr>
        <w:pStyle w:val="18"/>
        <w:ind w:left="480" w:firstLine="562"/>
        <w:rPr>
          <w:rFonts w:hint="default" w:ascii="Times New Roman" w:hAnsi="Times New Roman" w:eastAsia="仿宋_GB2312" w:cs="Times New Roman"/>
          <w:b/>
          <w:color w:val="auto"/>
          <w:sz w:val="28"/>
        </w:rPr>
      </w:pPr>
    </w:p>
    <w:p>
      <w:pPr>
        <w:ind w:firstLine="0" w:firstLineChars="0"/>
        <w:rPr>
          <w:rFonts w:hint="default" w:ascii="Times New Roman" w:hAnsi="Times New Roman" w:cs="Times New Roman"/>
          <w:color w:val="auto"/>
        </w:rPr>
      </w:pPr>
    </w:p>
    <w:p>
      <w:pPr>
        <w:ind w:firstLine="562"/>
        <w:rPr>
          <w:rFonts w:hint="default" w:ascii="Times New Roman" w:hAnsi="Times New Roman" w:eastAsia="仿宋_GB2312" w:cs="Times New Roman"/>
          <w:b/>
          <w:color w:val="auto"/>
          <w:sz w:val="28"/>
        </w:rPr>
      </w:pPr>
    </w:p>
    <w:p>
      <w:pPr>
        <w:ind w:firstLine="480"/>
        <w:rPr>
          <w:rFonts w:hint="default" w:ascii="Times New Roman" w:hAnsi="Times New Roman" w:eastAsia="宋体" w:cs="Times New Roman"/>
          <w:color w:val="auto"/>
        </w:rPr>
      </w:pPr>
      <w:r>
        <w:rPr>
          <w:rFonts w:hint="default" w:ascii="Times New Roman" w:hAnsi="Times New Roman" w:cs="Times New Roman"/>
          <w:color w:val="auto"/>
        </w:rPr>
        <w:t>建设单位/编制单位：</w:t>
      </w:r>
      <w:r>
        <w:rPr>
          <w:rFonts w:hint="default" w:ascii="Times New Roman" w:hAnsi="Times New Roman" w:eastAsia="宋体" w:cs="Times New Roman"/>
          <w:color w:val="auto"/>
        </w:rPr>
        <w:t>益阳市银海环保科技有限公司</w:t>
      </w:r>
    </w:p>
    <w:p>
      <w:pPr>
        <w:ind w:firstLine="480"/>
        <w:rPr>
          <w:rFonts w:hint="default" w:ascii="Times New Roman" w:hAnsi="Times New Roman" w:cs="Times New Roman"/>
          <w:bCs/>
          <w:color w:val="auto"/>
          <w:szCs w:val="24"/>
        </w:rPr>
      </w:pPr>
      <w:r>
        <w:rPr>
          <w:rFonts w:hint="default" w:ascii="Times New Roman" w:hAnsi="Times New Roman" w:cs="Times New Roman"/>
          <w:color w:val="auto"/>
        </w:rPr>
        <w:t>邮编：</w:t>
      </w:r>
      <w:r>
        <w:rPr>
          <w:rFonts w:hint="default" w:ascii="Times New Roman" w:hAnsi="Times New Roman" w:cs="Times New Roman"/>
          <w:bCs/>
          <w:color w:val="auto"/>
          <w:szCs w:val="24"/>
        </w:rPr>
        <w:t>413000</w:t>
      </w:r>
    </w:p>
    <w:p>
      <w:pPr>
        <w:ind w:firstLine="480"/>
        <w:rPr>
          <w:rFonts w:hint="default" w:ascii="Times New Roman" w:hAnsi="Times New Roman" w:cs="Times New Roman"/>
          <w:color w:val="auto"/>
          <w:szCs w:val="24"/>
        </w:rPr>
      </w:pPr>
      <w:r>
        <w:rPr>
          <w:rFonts w:hint="default" w:ascii="Times New Roman" w:hAnsi="Times New Roman" w:cs="Times New Roman"/>
          <w:color w:val="auto"/>
        </w:rPr>
        <w:t>电话：</w:t>
      </w:r>
      <w:r>
        <w:rPr>
          <w:rFonts w:hint="default" w:ascii="Times New Roman" w:hAnsi="Times New Roman" w:cs="Times New Roman"/>
          <w:color w:val="auto"/>
          <w:szCs w:val="24"/>
        </w:rPr>
        <w:t>18773708150</w:t>
      </w:r>
    </w:p>
    <w:p>
      <w:pPr>
        <w:ind w:firstLine="480"/>
        <w:rPr>
          <w:rFonts w:hint="default" w:ascii="Times New Roman" w:hAnsi="Times New Roman" w:cs="Times New Roman"/>
          <w:bCs/>
          <w:color w:val="auto"/>
          <w:szCs w:val="24"/>
        </w:rPr>
      </w:pPr>
      <w:r>
        <w:rPr>
          <w:rFonts w:hint="default" w:ascii="Times New Roman" w:hAnsi="Times New Roman" w:cs="Times New Roman"/>
          <w:color w:val="auto"/>
        </w:rPr>
        <w:t>地址：</w:t>
      </w:r>
      <w:r>
        <w:rPr>
          <w:rFonts w:hint="default" w:ascii="Times New Roman" w:hAnsi="Times New Roman" w:eastAsia="宋体" w:cs="Times New Roman"/>
          <w:color w:val="auto"/>
          <w:szCs w:val="24"/>
        </w:rPr>
        <w:t>益阳市赫山区龙岭工业园</w:t>
      </w:r>
    </w:p>
    <w:p>
      <w:pPr>
        <w:ind w:firstLine="0" w:firstLineChars="0"/>
        <w:rPr>
          <w:rFonts w:hint="default" w:ascii="Times New Roman" w:hAnsi="Times New Roman" w:eastAsia="仿宋_GB2312" w:cs="Times New Roman"/>
          <w:b/>
          <w:bCs/>
          <w:color w:val="auto"/>
          <w:sz w:val="32"/>
          <w:szCs w:val="32"/>
        </w:rPr>
      </w:pPr>
    </w:p>
    <w:p>
      <w:pPr>
        <w:ind w:firstLine="0" w:firstLineChars="0"/>
        <w:rPr>
          <w:rFonts w:hint="default" w:ascii="Times New Roman" w:hAnsi="Times New Roman" w:eastAsia="仿宋_GB2312" w:cs="Times New Roman"/>
          <w:b/>
          <w:bCs/>
          <w:color w:val="auto"/>
          <w:sz w:val="32"/>
          <w:szCs w:val="32"/>
        </w:rPr>
        <w:sectPr>
          <w:pgSz w:w="11906" w:h="16838"/>
          <w:pgMar w:top="720" w:right="720" w:bottom="720" w:left="720" w:header="851" w:footer="992" w:gutter="0"/>
          <w:cols w:space="425" w:num="1"/>
          <w:docGrid w:type="lines" w:linePitch="312" w:charSpace="0"/>
        </w:sectPr>
      </w:pPr>
    </w:p>
    <w:p>
      <w:pPr>
        <w:tabs>
          <w:tab w:val="left" w:pos="726"/>
        </w:tabs>
        <w:ind w:firstLine="643"/>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目   录</w:t>
      </w:r>
      <w:bookmarkStart w:id="0" w:name="_Toc5202"/>
      <w:bookmarkStart w:id="1" w:name="_Toc559"/>
      <w:bookmarkStart w:id="2" w:name="_Toc15739"/>
      <w:bookmarkStart w:id="3" w:name="_Toc20242"/>
      <w:bookmarkStart w:id="4" w:name="_Toc738"/>
      <w:bookmarkStart w:id="5" w:name="_Toc6733"/>
      <w:bookmarkStart w:id="6" w:name="_Toc8571"/>
      <w:bookmarkStart w:id="7" w:name="_Toc23846"/>
      <w:bookmarkStart w:id="8" w:name="_Toc20576"/>
      <w:bookmarkStart w:id="9" w:name="_Toc8863"/>
    </w:p>
    <w:p>
      <w:pPr>
        <w:pStyle w:val="17"/>
        <w:tabs>
          <w:tab w:val="right" w:leader="dot" w:pos="9746"/>
        </w:tabs>
        <w:ind w:firstLine="0" w:firstLineChars="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"_Toc21795"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1、验收项目概况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_Toc21795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"_Toc25027"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2、验收监测依据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_Toc25027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"_Toc7488"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2.1 建设项目环境保护相关法律、法规、规章和规范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_Toc7488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"_Toc5343"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2.2建设项目竣工环境保护验收技术规范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_Toc5343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"_Toc1325"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2.3建设项目环境影响报告及审批部门审批决定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_Toc1325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"_Toc28272"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3、工程建设情况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_Toc28272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"_Toc1299"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3.1 地理位置及平面布置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_Toc1299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"_Toc1811"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3.2 建设内容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_Toc1811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"_Toc14283"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3.3 项目废旧铅酸蓄电池收贮规模、主要原辅材料及设备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_Toc14283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"_Toc10278"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3.4水源及水平衡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_Toc10278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"_Toc7039" </w:instrText>
      </w:r>
      <w:r>
        <w:rPr>
          <w:rFonts w:hint="default" w:ascii="Times New Roman" w:hAnsi="Times New Roman" w:cs="Times New Roman"/>
          <w:color w:val="auto"/>
        </w:rPr>
        <w:fldChar w:fldCharType="separate"/>
      </w:r>
      <w:r>
        <w:rPr>
          <w:rFonts w:hint="default" w:ascii="Times New Roman" w:hAnsi="Times New Roman" w:cs="Times New Roman"/>
          <w:color w:val="auto"/>
        </w:rPr>
        <w:t>3.5 主要工艺及污染物产出流程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_Toc7039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"_Toc20583"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3.6 项目变动情况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_Toc20583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"_Toc12356"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4、环境保护设施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_Toc12356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"_Toc21152"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0"/>
        </w:rPr>
        <w:t>4.1污染物及其治理措施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_Toc21152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"_Toc11421"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28"/>
        </w:rPr>
        <w:t>4.1 .1水污染物及其治理措施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_Toc11421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"_Toc1700"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28"/>
        </w:rPr>
        <w:t>4.1.2 废气污染及其治理措施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_Toc1700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"_Toc32521"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28"/>
        </w:rPr>
        <w:t>4.1.3 噪声污染及其治理措施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_Toc32521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"_Toc1820"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28"/>
        </w:rPr>
        <w:t>4.1.4 固体废物污染及其治理措施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_Toc1820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"_Toc19721" </w:instrText>
      </w:r>
      <w:r>
        <w:rPr>
          <w:rFonts w:hint="default" w:ascii="Times New Roman" w:hAnsi="Times New Roman" w:cs="Times New Roman"/>
          <w:color w:val="auto"/>
        </w:rPr>
        <w:fldChar w:fldCharType="separate"/>
      </w:r>
      <w:r>
        <w:rPr>
          <w:rFonts w:hint="default" w:ascii="Times New Roman" w:hAnsi="Times New Roman" w:cs="Times New Roman"/>
          <w:color w:val="auto"/>
        </w:rPr>
        <w:t>4.2其他环节保护设施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_Toc19721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"_Toc2821" </w:instrText>
      </w:r>
      <w:r>
        <w:rPr>
          <w:rFonts w:hint="default" w:ascii="Times New Roman" w:hAnsi="Times New Roman" w:cs="Times New Roman"/>
          <w:color w:val="auto"/>
        </w:rPr>
        <w:fldChar w:fldCharType="separate"/>
      </w:r>
      <w:r>
        <w:rPr>
          <w:rFonts w:hint="default" w:ascii="Times New Roman" w:hAnsi="Times New Roman" w:cs="Times New Roman"/>
          <w:color w:val="auto"/>
        </w:rPr>
        <w:t>4.2.1风险防范设施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_Toc2821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"_Toc25403"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eastAsia="仿宋_GB2312" w:cs="Times New Roman"/>
          <w:color w:val="auto"/>
          <w:szCs w:val="32"/>
        </w:rPr>
        <w:t>环保设施投资及“三同时”落实情况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_Toc25403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"_Toc8135"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5、环评主要结论及建议及审批部门审批决定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_Toc8135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"_Toc26504"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eastAsia="仿宋_GB2312" w:cs="Times New Roman"/>
          <w:color w:val="auto"/>
          <w:szCs w:val="32"/>
        </w:rPr>
        <w:t>环评主要结论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_Toc26504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"_Toc29001"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eastAsia="仿宋_GB2312" w:cs="Times New Roman"/>
          <w:color w:val="auto"/>
          <w:szCs w:val="32"/>
        </w:rPr>
        <w:t>建议和要求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_Toc29001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"_Toc25965"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5.3审批部门审批决定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_Toc25965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"_Toc30582"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5.4环评批复落实情况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_Toc30582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"_Toc19949"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6、验收监测评价标准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_Toc19949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"_Toc23815"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6.1</w:t>
      </w:r>
      <w:r>
        <w:rPr>
          <w:rFonts w:hint="default" w:ascii="Times New Roman" w:hAnsi="Times New Roman" w:eastAsia="仿宋_GB2312" w:cs="Times New Roman"/>
          <w:color w:val="auto"/>
          <w:szCs w:val="32"/>
        </w:rPr>
        <w:t>废水、地下水评价标准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_Toc23815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"_Toc4011"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6.2大气污染物及环境空气评价标准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_Toc4011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"_Toc20886"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6.2</w:t>
      </w:r>
      <w:r>
        <w:rPr>
          <w:rFonts w:hint="default" w:ascii="Times New Roman" w:hAnsi="Times New Roman" w:eastAsia="仿宋_GB2312" w:cs="Times New Roman"/>
          <w:color w:val="auto"/>
          <w:szCs w:val="32"/>
        </w:rPr>
        <w:t>噪声评价标准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_Toc20886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"_Toc20797"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7、验收监测内容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_Toc20797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"_Toc18754"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 xml:space="preserve">7.1 </w:t>
      </w:r>
      <w:r>
        <w:rPr>
          <w:rFonts w:hint="default" w:ascii="Times New Roman" w:hAnsi="Times New Roman" w:eastAsia="仿宋_GB2312" w:cs="Times New Roman"/>
          <w:color w:val="auto"/>
          <w:szCs w:val="32"/>
        </w:rPr>
        <w:t>验收期间天气条件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_Toc18754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"_Toc26299"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7.2 环境保护设施调试运行效果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_Toc26299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"_Toc32358" </w:instrText>
      </w:r>
      <w:r>
        <w:rPr>
          <w:rFonts w:hint="default" w:ascii="Times New Roman" w:hAnsi="Times New Roman" w:cs="Times New Roman"/>
          <w:color w:val="auto"/>
        </w:rPr>
        <w:fldChar w:fldCharType="separate"/>
      </w:r>
      <w:r>
        <w:rPr>
          <w:rFonts w:hint="default" w:ascii="Times New Roman" w:hAnsi="Times New Roman" w:cs="Times New Roman"/>
          <w:color w:val="auto"/>
        </w:rPr>
        <w:t>7.2.1废水监测内容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_Toc32358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"_Toc9489" </w:instrText>
      </w:r>
      <w:r>
        <w:rPr>
          <w:rFonts w:hint="default" w:ascii="Times New Roman" w:hAnsi="Times New Roman" w:cs="Times New Roman"/>
          <w:color w:val="auto"/>
        </w:rPr>
        <w:fldChar w:fldCharType="separate"/>
      </w:r>
      <w:r>
        <w:rPr>
          <w:rFonts w:hint="default" w:ascii="Times New Roman" w:hAnsi="Times New Roman" w:cs="Times New Roman"/>
          <w:color w:val="auto"/>
        </w:rPr>
        <w:t>7.2.2大气污染物监测内容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_Toc9489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"_Toc28221" </w:instrText>
      </w:r>
      <w:r>
        <w:rPr>
          <w:rFonts w:hint="default" w:ascii="Times New Roman" w:hAnsi="Times New Roman" w:cs="Times New Roman"/>
          <w:color w:val="auto"/>
        </w:rPr>
        <w:fldChar w:fldCharType="separate"/>
      </w:r>
      <w:r>
        <w:rPr>
          <w:rFonts w:hint="default" w:ascii="Times New Roman" w:hAnsi="Times New Roman" w:cs="Times New Roman"/>
          <w:color w:val="auto"/>
        </w:rPr>
        <w:t>7.2.3厂界环境噪声监测内容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_Toc28221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"_Toc2210"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7.3环境质量监测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_Toc2210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"_Toc3940"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7.3.1地下水监测内容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_Toc3940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"_Toc4668"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7.3.2 环境空气检测内容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_Toc4668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"_Toc14736"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8、验收监测的质量控制和质量保证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_Toc14736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"_Toc5227"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 xml:space="preserve">8.1 </w:t>
      </w:r>
      <w:r>
        <w:rPr>
          <w:rFonts w:hint="default" w:ascii="Times New Roman" w:hAnsi="Times New Roman" w:eastAsia="仿宋_GB2312" w:cs="Times New Roman"/>
          <w:color w:val="auto"/>
          <w:szCs w:val="32"/>
        </w:rPr>
        <w:t>质量控制和质量保证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_Toc5227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"_Toc12292"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 xml:space="preserve">8.2 </w:t>
      </w:r>
      <w:r>
        <w:rPr>
          <w:rFonts w:hint="default" w:ascii="Times New Roman" w:hAnsi="Times New Roman" w:eastAsia="仿宋_GB2312" w:cs="Times New Roman"/>
          <w:color w:val="auto"/>
          <w:szCs w:val="32"/>
        </w:rPr>
        <w:t>监测分析方法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_Toc12292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"_Toc15534"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8.3检测仪器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_Toc15534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"_Toc3196"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8.4人员资质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_Toc3196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"_Toc16163"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9、验收监测结果及评价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_Toc16163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"_Toc30376"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 xml:space="preserve">9.1 </w:t>
      </w:r>
      <w:r>
        <w:rPr>
          <w:rFonts w:hint="default" w:ascii="Times New Roman" w:hAnsi="Times New Roman" w:eastAsia="仿宋_GB2312" w:cs="Times New Roman"/>
          <w:color w:val="auto"/>
          <w:szCs w:val="32"/>
        </w:rPr>
        <w:t>验收监测期间工况分析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_Toc30376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9.2 环保设施调试运行结果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_Toc152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"_Toc13436"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9.2.1废水监测结果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_Toc13436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"_Toc14888"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9.2.2大气污染物监测结果及评价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_Toc14888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"_Toc16845"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9.2.3 噪声监测结果及评价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_Toc16845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"_Toc10961"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9.3工程建设对环境的影响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_Toc10961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"_Toc21020"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9.3.1地下水监测结果及评价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_Toc21020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"_Toc20132"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9.3.2环境空气监测结果及评价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_Toc20132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"_Toc30082"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9.4</w:t>
      </w:r>
      <w:r>
        <w:rPr>
          <w:rFonts w:hint="default" w:ascii="Times New Roman" w:hAnsi="Times New Roman" w:eastAsia="仿宋_GB2312" w:cs="Times New Roman"/>
          <w:color w:val="auto"/>
          <w:szCs w:val="32"/>
        </w:rPr>
        <w:t>建设项目执行国家环境管理制度情况检查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_Toc30082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"_Toc4217"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9.5</w:t>
      </w:r>
      <w:r>
        <w:rPr>
          <w:rFonts w:hint="default" w:ascii="Times New Roman" w:hAnsi="Times New Roman" w:eastAsia="仿宋_GB2312" w:cs="Times New Roman"/>
          <w:color w:val="auto"/>
          <w:szCs w:val="32"/>
        </w:rPr>
        <w:t>固体废弃物综合利用处理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_Toc4217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"_Toc8718"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9.6</w:t>
      </w:r>
      <w:r>
        <w:rPr>
          <w:rFonts w:hint="default" w:ascii="Times New Roman" w:hAnsi="Times New Roman" w:eastAsia="仿宋_GB2312" w:cs="Times New Roman"/>
          <w:color w:val="auto"/>
          <w:szCs w:val="32"/>
        </w:rPr>
        <w:t>环保管理制度及人员责任分工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_Toc8718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tabs>
          <w:tab w:val="right" w:leader="dot" w:pos="9746"/>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"_Toc21076"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10、验收监测结论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_Toc21076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"_Toc11551"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10.1污染物排放监测结论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_Toc11551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"_Toc18908"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10.1.1废水验收监测结论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_Toc18908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"_Toc23675"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10.1.2废气验收监测结论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_Toc23675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"_Toc22926"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10.1.3噪声验收监测结论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_Toc22926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1"/>
        <w:tabs>
          <w:tab w:val="right" w:leader="dot" w:pos="9746"/>
        </w:tabs>
        <w:ind w:left="0" w:leftChars="0" w:firstLine="960" w:firstLineChars="40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"_Toc13619"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8"/>
        </w:rPr>
        <w:t>10.1.4固体废物验收监测结论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_Toc13619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"_Toc5272"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10.2工程建设对环境影响监测结论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_Toc5272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"_Toc19074"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10.3</w:t>
      </w:r>
      <w:r>
        <w:rPr>
          <w:rFonts w:hint="default" w:ascii="Times New Roman" w:hAnsi="Times New Roman" w:eastAsia="仿宋_GB2312" w:cs="Times New Roman"/>
          <w:color w:val="auto"/>
          <w:szCs w:val="32"/>
        </w:rPr>
        <w:t>环境管理检查结论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_Toc19074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8"/>
        <w:tabs>
          <w:tab w:val="right" w:leader="dot" w:pos="9746"/>
        </w:tabs>
        <w:ind w:left="480"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"_Toc25022"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szCs w:val="32"/>
        </w:rPr>
        <w:t>10.4</w:t>
      </w:r>
      <w:r>
        <w:rPr>
          <w:rFonts w:hint="default" w:ascii="Times New Roman" w:hAnsi="Times New Roman" w:eastAsia="仿宋_GB2312" w:cs="Times New Roman"/>
          <w:color w:val="auto"/>
          <w:szCs w:val="32"/>
        </w:rPr>
        <w:t>总体结论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_Toc25022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3"/>
        <w:ind w:left="480" w:firstLine="480"/>
        <w:rPr>
          <w:rFonts w:hint="default" w:ascii="Times New Roman" w:hAnsi="Times New Roman" w:cs="Times New Roman"/>
          <w:color w:val="auto"/>
        </w:rPr>
      </w:pPr>
      <w:r>
        <w:rPr>
          <w:rFonts w:hint="default" w:ascii="Times New Roman" w:hAnsi="Times New Roman" w:cs="Times New Roman"/>
          <w:color w:val="auto"/>
        </w:rPr>
        <w:fldChar w:fldCharType="end"/>
      </w:r>
    </w:p>
    <w:p>
      <w:pPr>
        <w:pStyle w:val="13"/>
        <w:ind w:left="480" w:firstLine="480"/>
        <w:rPr>
          <w:rFonts w:hint="default" w:ascii="Times New Roman" w:hAnsi="Times New Roman" w:cs="Times New Roman"/>
          <w:color w:val="auto"/>
        </w:rPr>
      </w:pPr>
      <w:r>
        <w:rPr>
          <w:rFonts w:hint="default" w:ascii="Times New Roman" w:hAnsi="Times New Roman" w:eastAsia="黑体" w:cs="Times New Roman"/>
          <w:color w:val="auto"/>
          <w:kern w:val="2"/>
          <w:sz w:val="24"/>
          <w:szCs w:val="32"/>
          <w:lang w:val="en-US" w:eastAsia="zh-CN" w:bidi="ar-SA"/>
        </w:rPr>
        <w:t>附件及附图</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附件1：建设项目工程竣工环境保护“三同时”验收登记表</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附件2：环评批复</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附件3：营业执照</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附件4：验收工况证明</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附件5：危废委托处置合同及相应资质</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附件6：检测报告</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附件7：应急预案登记备案表</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附件8：建设项目竣工环境保护验收意见</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附件9：验收专家人员信息表</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附图1：项目地理位置图</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附图2：项目总平面布置示意图</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附图3：项目地理位置及周边环境示意图</w:t>
      </w:r>
    </w:p>
    <w:p>
      <w:pPr>
        <w:pStyle w:val="13"/>
        <w:spacing w:line="360" w:lineRule="auto"/>
        <w:ind w:left="480" w:firstLine="480"/>
        <w:rPr>
          <w:rFonts w:hint="eastAsia" w:asciiTheme="minorEastAsia" w:hAnsiTheme="minorEastAsia" w:eastAsiaTheme="minorEastAsia" w:cstheme="minorEastAsia"/>
          <w:color w:val="auto"/>
          <w:kern w:val="2"/>
          <w:sz w:val="24"/>
          <w:szCs w:val="32"/>
          <w:lang w:val="en-US" w:eastAsia="zh-CN" w:bidi="ar-SA"/>
        </w:rPr>
      </w:pPr>
      <w:r>
        <w:rPr>
          <w:rFonts w:hint="eastAsia" w:asciiTheme="minorEastAsia" w:hAnsiTheme="minorEastAsia" w:eastAsiaTheme="minorEastAsia" w:cstheme="minorEastAsia"/>
          <w:color w:val="auto"/>
          <w:kern w:val="2"/>
          <w:sz w:val="24"/>
          <w:szCs w:val="32"/>
          <w:lang w:val="en-US" w:eastAsia="zh-CN" w:bidi="ar-SA"/>
        </w:rPr>
        <w:t>附图4：建设项目环保设施相关照片</w:t>
      </w:r>
    </w:p>
    <w:p>
      <w:pPr>
        <w:pStyle w:val="13"/>
        <w:ind w:left="480" w:firstLine="480"/>
        <w:rPr>
          <w:rFonts w:hint="default" w:ascii="Times New Roman" w:hAnsi="Times New Roman" w:eastAsia="仿宋_GB2312" w:cs="Times New Roman"/>
          <w:color w:val="auto"/>
          <w:kern w:val="2"/>
          <w:sz w:val="24"/>
          <w:szCs w:val="32"/>
          <w:lang w:val="en-US" w:eastAsia="zh-CN" w:bidi="ar-SA"/>
        </w:rPr>
      </w:pPr>
    </w:p>
    <w:p>
      <w:pPr>
        <w:pStyle w:val="2"/>
        <w:spacing w:line="240" w:lineRule="auto"/>
        <w:ind w:firstLine="0" w:firstLineChars="0"/>
        <w:rPr>
          <w:rFonts w:hint="default" w:ascii="Times New Roman" w:hAnsi="Times New Roman" w:eastAsia="黑体" w:cs="Times New Roman"/>
          <w:color w:val="auto"/>
          <w:sz w:val="32"/>
          <w:szCs w:val="32"/>
        </w:rPr>
      </w:pPr>
      <w:bookmarkStart w:id="10" w:name="_Toc26491"/>
      <w:bookmarkStart w:id="11" w:name="_Toc17853"/>
      <w:bookmarkStart w:id="12" w:name="_Toc21795"/>
      <w:r>
        <w:rPr>
          <w:rFonts w:hint="default" w:ascii="Times New Roman" w:hAnsi="Times New Roman" w:eastAsia="黑体" w:cs="Times New Roman"/>
          <w:color w:val="auto"/>
          <w:sz w:val="32"/>
          <w:szCs w:val="32"/>
        </w:rPr>
        <w:t>1、</w:t>
      </w:r>
      <w:bookmarkEnd w:id="0"/>
      <w:bookmarkEnd w:id="1"/>
      <w:r>
        <w:rPr>
          <w:rFonts w:hint="default" w:ascii="Times New Roman" w:hAnsi="Times New Roman" w:eastAsia="黑体" w:cs="Times New Roman"/>
          <w:color w:val="auto"/>
          <w:sz w:val="32"/>
          <w:szCs w:val="32"/>
        </w:rPr>
        <w:t>验收项目概况</w:t>
      </w:r>
      <w:bookmarkEnd w:id="2"/>
      <w:bookmarkEnd w:id="3"/>
      <w:bookmarkEnd w:id="4"/>
      <w:bookmarkEnd w:id="5"/>
      <w:bookmarkEnd w:id="6"/>
      <w:bookmarkEnd w:id="7"/>
      <w:bookmarkEnd w:id="8"/>
      <w:bookmarkEnd w:id="9"/>
      <w:bookmarkEnd w:id="10"/>
      <w:bookmarkEnd w:id="11"/>
      <w:bookmarkEnd w:id="12"/>
    </w:p>
    <w:p>
      <w:pPr>
        <w:spacing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目前益阳市内估计每年有废铅酸蓄电池2.5万吨以上，而且没有专门回收仓储废铅酸蓄电池的企业，为了弥补益阳市在废旧电池收贮方面的空缺，益阳市银海环保科技有限公司投资300万元，在益阳市龙岭工业园学府路，租用益阳昌盛电子材料有限公司已建厂房新建年收贮废旧铅酸蓄电池1万吨建设项目。项目主要为收集和贮存益阳市内各4S店、汽车维修店、电力公司、铁塔公司等产生的废旧铅酸蓄电池，不涉及废旧铅酸蓄电池的拆解及后续处置再生环节，运输委托有资质的单位承担。项目于2017年3月委托湖南天瑶环境技术有限公司完成了《益阳市银海环保科技有限公司年收贮废旧铅酸蓄电池1万吨建设项目环境影响报告书》的编制，2017年4月5日益阳市环境保护局以益环审（书）[2017]10号予以批复。项目于2018年4月投入试运营，目前投产后各生产设施和环保设施运行正常，基本具备竣工环境保护验收的条件。</w:t>
      </w:r>
    </w:p>
    <w:p>
      <w:pPr>
        <w:spacing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2019年3月，根据各级环保部门制定的有关建设项目竣工环境保护验收管理办法的要求和规定，益阳市银海环保科技有限公司委托湖南格林城院环境检测咨询有限公司对该项目整体进行竣工环境保护验收监测工作。2019年3月13日～14日，湖南格林城院环境检测咨询有限公司对该项目进行了整体现场监测，出具检测报告见附件6。益阳市银海环保科技有限公司依据其验收监测结果及环境管理检查结果编制该验收监测报告。</w:t>
      </w:r>
      <w:bookmarkStart w:id="13" w:name="_Toc7560"/>
      <w:bookmarkStart w:id="14" w:name="_Toc7162"/>
      <w:bookmarkStart w:id="15" w:name="_Toc28129"/>
      <w:bookmarkStart w:id="16" w:name="_Toc27121"/>
      <w:bookmarkStart w:id="17" w:name="_Toc31003"/>
      <w:bookmarkStart w:id="18" w:name="_Toc22304"/>
      <w:bookmarkStart w:id="19" w:name="_Toc3253"/>
      <w:bookmarkStart w:id="20" w:name="_Toc11766"/>
      <w:bookmarkStart w:id="21" w:name="_Toc12656"/>
      <w:bookmarkStart w:id="22" w:name="_Toc401056159"/>
    </w:p>
    <w:p>
      <w:pPr>
        <w:pStyle w:val="2"/>
        <w:ind w:firstLine="562"/>
        <w:rPr>
          <w:rFonts w:hint="default" w:ascii="Times New Roman" w:hAnsi="Times New Roman" w:eastAsia="仿宋_GB2312" w:cs="Times New Roman"/>
          <w:color w:val="auto"/>
          <w:sz w:val="28"/>
          <w:szCs w:val="28"/>
        </w:rPr>
      </w:pPr>
    </w:p>
    <w:p>
      <w:pPr>
        <w:ind w:firstLine="560"/>
        <w:rPr>
          <w:rFonts w:hint="default" w:ascii="Times New Roman" w:hAnsi="Times New Roman" w:eastAsia="仿宋_GB2312" w:cs="Times New Roman"/>
          <w:color w:val="auto"/>
          <w:sz w:val="28"/>
          <w:szCs w:val="28"/>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spacing w:line="240" w:lineRule="auto"/>
        <w:ind w:firstLine="0" w:firstLineChars="0"/>
        <w:rPr>
          <w:rFonts w:hint="default" w:ascii="Times New Roman" w:hAnsi="Times New Roman" w:eastAsia="黑体" w:cs="Times New Roman"/>
          <w:color w:val="auto"/>
          <w:sz w:val="32"/>
          <w:szCs w:val="32"/>
        </w:rPr>
      </w:pPr>
      <w:bookmarkStart w:id="23" w:name="_Toc22852"/>
      <w:bookmarkStart w:id="24" w:name="_Toc3950"/>
      <w:bookmarkStart w:id="25" w:name="_Toc25027"/>
      <w:bookmarkStart w:id="26" w:name="_Toc11012"/>
      <w:bookmarkStart w:id="27" w:name="_Toc31699"/>
      <w:r>
        <w:rPr>
          <w:rFonts w:hint="default" w:ascii="Times New Roman" w:hAnsi="Times New Roman" w:eastAsia="黑体" w:cs="Times New Roman"/>
          <w:color w:val="auto"/>
          <w:sz w:val="32"/>
          <w:szCs w:val="32"/>
        </w:rPr>
        <w:t>2、验收监测依据</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3"/>
        <w:ind w:firstLine="0" w:firstLineChars="0"/>
        <w:rPr>
          <w:rFonts w:hint="default" w:ascii="Times New Roman" w:hAnsi="Times New Roman" w:eastAsia="仿宋_GB2312" w:cs="Times New Roman"/>
          <w:color w:val="auto"/>
          <w:szCs w:val="32"/>
        </w:rPr>
      </w:pPr>
      <w:bookmarkStart w:id="28" w:name="_Toc24861"/>
      <w:bookmarkStart w:id="29" w:name="_Toc1051"/>
      <w:bookmarkStart w:id="30" w:name="_Toc21600"/>
      <w:bookmarkStart w:id="31" w:name="_Toc29968"/>
      <w:bookmarkStart w:id="32" w:name="_Toc7488"/>
      <w:bookmarkStart w:id="33" w:name="_Toc19974"/>
      <w:bookmarkStart w:id="34" w:name="_Toc12450"/>
      <w:bookmarkStart w:id="35" w:name="_Toc29078"/>
      <w:bookmarkStart w:id="36" w:name="_Toc206"/>
      <w:bookmarkStart w:id="37" w:name="_Toc27776"/>
      <w:r>
        <w:rPr>
          <w:rFonts w:hint="default" w:ascii="Times New Roman" w:hAnsi="Times New Roman" w:eastAsia="仿宋_GB2312" w:cs="Times New Roman"/>
          <w:color w:val="auto"/>
          <w:sz w:val="30"/>
          <w:szCs w:val="30"/>
        </w:rPr>
        <w:t>2.1 建设项目环境保护相关法律、法规、规章和规范</w:t>
      </w:r>
      <w:bookmarkEnd w:id="28"/>
      <w:bookmarkEnd w:id="29"/>
      <w:bookmarkEnd w:id="30"/>
      <w:bookmarkEnd w:id="31"/>
      <w:bookmarkEnd w:id="32"/>
      <w:bookmarkEnd w:id="33"/>
      <w:bookmarkEnd w:id="34"/>
      <w:bookmarkEnd w:id="35"/>
      <w:bookmarkEnd w:id="36"/>
      <w:bookmarkEnd w:id="37"/>
    </w:p>
    <w:p>
      <w:pPr>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表2-1建设项目环境保护相关法律、法规、规章和规范</w:t>
      </w:r>
    </w:p>
    <w:tbl>
      <w:tblPr>
        <w:tblStyle w:val="22"/>
        <w:tblW w:w="97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678"/>
        <w:gridCol w:w="3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blHeader/>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相关法律、法规、规章和规范</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发布/实施时间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《中华人民共和国环境保护法》（2014年修订）</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2015年1月1日起施行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《中华人民共和国环境影响评价法》（2018年修正）</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2018年12月29日起施行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《中华人民共和国水污染防治法》(2017年修订)</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2018年1月1日起施行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《中华人民共和国大气污染防治法》（2018年修正）</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2018年10月26日起施行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《中华人民共和国环境噪声污染防治法》（2018年修正）</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2018年12月29日起施行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《中华人民共和国固体废物污染环境防治法》（2016年修正）</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2016年11月7日起施行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《建设项目环境保护管理条例》</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2017年10月1日起施行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《湖南省建设项目环境保护管理办法》</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2007年10月1日起施行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《国家危险废物名录》</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2016年8月1日起施行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67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《建设项目环境影响评价分类管理名录》</w:t>
            </w:r>
          </w:p>
        </w:tc>
        <w:tc>
          <w:tcPr>
            <w:tcW w:w="32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2017年9月1日起施行</w:t>
            </w:r>
          </w:p>
        </w:tc>
      </w:tr>
    </w:tbl>
    <w:p>
      <w:pPr>
        <w:pStyle w:val="3"/>
        <w:ind w:firstLine="0" w:firstLineChars="0"/>
        <w:rPr>
          <w:rFonts w:hint="default" w:ascii="Times New Roman" w:hAnsi="Times New Roman" w:eastAsia="仿宋_GB2312" w:cs="Times New Roman"/>
          <w:color w:val="auto"/>
          <w:sz w:val="30"/>
          <w:szCs w:val="30"/>
        </w:rPr>
      </w:pPr>
      <w:bookmarkStart w:id="38" w:name="_Toc492"/>
      <w:bookmarkStart w:id="39" w:name="_Toc16566"/>
      <w:bookmarkStart w:id="40" w:name="_Toc5343"/>
      <w:bookmarkStart w:id="41" w:name="_Toc21179"/>
      <w:bookmarkStart w:id="42" w:name="_Toc32445"/>
      <w:bookmarkStart w:id="43" w:name="_Toc21954"/>
      <w:bookmarkStart w:id="44" w:name="_Toc3793"/>
      <w:bookmarkStart w:id="45" w:name="_Toc3092"/>
      <w:bookmarkStart w:id="46" w:name="_Toc20822"/>
      <w:bookmarkStart w:id="47" w:name="_Toc13480"/>
      <w:r>
        <w:rPr>
          <w:rFonts w:hint="default" w:ascii="Times New Roman" w:hAnsi="Times New Roman" w:eastAsia="仿宋_GB2312" w:cs="Times New Roman"/>
          <w:color w:val="auto"/>
          <w:sz w:val="30"/>
          <w:szCs w:val="30"/>
        </w:rPr>
        <w:t>2.2建设项目竣工环境保护验收技术规范</w:t>
      </w:r>
      <w:bookmarkEnd w:id="38"/>
      <w:bookmarkEnd w:id="39"/>
      <w:bookmarkEnd w:id="40"/>
      <w:bookmarkEnd w:id="41"/>
      <w:bookmarkEnd w:id="42"/>
      <w:bookmarkEnd w:id="43"/>
      <w:bookmarkEnd w:id="44"/>
      <w:bookmarkEnd w:id="45"/>
      <w:bookmarkEnd w:id="46"/>
      <w:bookmarkEnd w:id="47"/>
    </w:p>
    <w:p>
      <w:pPr>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表2-2建设项目竣工环境保护验收技术规范</w:t>
      </w:r>
    </w:p>
    <w:tbl>
      <w:tblPr>
        <w:tblStyle w:val="22"/>
        <w:tblW w:w="99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blHeader/>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1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技术规范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《建设项目环境影响评价技术导则 总纲》（HJ 2.1-2016）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大气环境》（HJ 2.2-2018）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地面水环境》（HJ/T 2.3-2018）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地下水环境》（HJ 610-2016）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声环境》（HJ 2.4-2009）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生态影响》（HJ 19-2011）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 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 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《污水综合排放标准》（GB 9978-1996）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《地下水质量标准》（GB/T 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《环境影响评价技术导则 大气环境》（HJ2.2-2018）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《大气中铅及其化合物的卫生标准》（GB7355-87）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 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《生活垃圾焚烧污染控制标准》（GB18485-2014）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《一般工业固体废物贮存、处置场污染控制标准》(GB 18599-2001)及其2013年修改单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《危险废物贮存污染物控制标准》（GB18591-2001）及其2013年修改单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《建设项目环保设施竣工验收监测技术要求(试行)》(国家环境保护总局,环发【2000】38号)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《建设项目竣工环境保护验收暂行办法》(国环规环评【2017】4号)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《建设项目竣工环境保护验收技术指南污染影响类》环办环评函[2017]1529号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《关于建设项目环境管理监测工作有关问题的通知》湖南省环境保护厅湘环发【2004】42号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8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9112"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《关于建设项目环境管理有关问题的通知》湖南省环境保护局 湘环发【2002】80号</w:t>
            </w:r>
          </w:p>
        </w:tc>
      </w:tr>
    </w:tbl>
    <w:p>
      <w:pPr>
        <w:pStyle w:val="3"/>
        <w:ind w:firstLine="0" w:firstLineChars="0"/>
        <w:rPr>
          <w:rFonts w:hint="default" w:ascii="Times New Roman" w:hAnsi="Times New Roman" w:eastAsia="仿宋_GB2312" w:cs="Times New Roman"/>
          <w:color w:val="auto"/>
          <w:sz w:val="30"/>
          <w:szCs w:val="30"/>
        </w:rPr>
      </w:pPr>
      <w:bookmarkStart w:id="48" w:name="_Toc18845"/>
      <w:bookmarkStart w:id="49" w:name="_Toc1325"/>
      <w:bookmarkStart w:id="50" w:name="_Toc16852"/>
      <w:bookmarkStart w:id="51" w:name="_Toc4732"/>
      <w:bookmarkStart w:id="52" w:name="_Toc29616"/>
      <w:bookmarkStart w:id="53" w:name="_Toc18701"/>
      <w:bookmarkStart w:id="54" w:name="_Toc27418"/>
      <w:bookmarkStart w:id="55" w:name="_Toc27994"/>
      <w:bookmarkStart w:id="56" w:name="_Toc16683"/>
      <w:bookmarkStart w:id="57" w:name="_Toc14778"/>
      <w:r>
        <w:rPr>
          <w:rFonts w:hint="default" w:ascii="Times New Roman" w:hAnsi="Times New Roman" w:eastAsia="仿宋_GB2312" w:cs="Times New Roman"/>
          <w:color w:val="auto"/>
          <w:sz w:val="30"/>
          <w:szCs w:val="30"/>
        </w:rPr>
        <w:t>2.3建设项目环境影响报告及审批部门审批决定</w:t>
      </w:r>
      <w:bookmarkEnd w:id="48"/>
      <w:bookmarkEnd w:id="49"/>
      <w:bookmarkEnd w:id="50"/>
      <w:bookmarkEnd w:id="51"/>
      <w:bookmarkEnd w:id="52"/>
      <w:bookmarkEnd w:id="53"/>
      <w:bookmarkEnd w:id="54"/>
      <w:bookmarkEnd w:id="55"/>
      <w:bookmarkEnd w:id="56"/>
      <w:bookmarkEnd w:id="57"/>
    </w:p>
    <w:p>
      <w:pPr>
        <w:ind w:firstLine="482"/>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表2-3建设项目环境影响报告及审批部门审批决定</w:t>
      </w:r>
    </w:p>
    <w:tbl>
      <w:tblPr>
        <w:tblStyle w:val="22"/>
        <w:tblW w:w="97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7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18"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文件类别</w:t>
            </w:r>
          </w:p>
        </w:tc>
        <w:tc>
          <w:tcPr>
            <w:tcW w:w="7142" w:type="dxa"/>
            <w:tcBorders>
              <w:tl2br w:val="nil"/>
              <w:tr2bl w:val="nil"/>
            </w:tcBorders>
          </w:tcPr>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18"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环评报告</w:t>
            </w:r>
          </w:p>
        </w:tc>
        <w:tc>
          <w:tcPr>
            <w:tcW w:w="7142" w:type="dxa"/>
            <w:tcBorders>
              <w:tl2br w:val="nil"/>
              <w:tr2bl w:val="nil"/>
            </w:tcBorders>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《益阳市银海环保科技有限公司年收贮废旧铅酸蓄电池1万吨建设项目环境影响报告书》</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编制单位：湖南天瑶环境技术有限公司</w:t>
            </w:r>
          </w:p>
          <w:p>
            <w:pPr>
              <w:spacing w:line="240" w:lineRule="auto"/>
              <w:ind w:firstLine="0" w:firstLineChars="0"/>
              <w:jc w:val="left"/>
              <w:rPr>
                <w:rFonts w:hint="default" w:ascii="Times New Roman" w:hAnsi="Times New Roman" w:cs="Times New Roman"/>
                <w:color w:val="auto"/>
              </w:rPr>
            </w:pPr>
            <w:r>
              <w:rPr>
                <w:rFonts w:hint="default" w:ascii="Times New Roman" w:hAnsi="Times New Roman" w:cs="Times New Roman"/>
                <w:color w:val="auto"/>
                <w:sz w:val="21"/>
                <w:szCs w:val="21"/>
              </w:rPr>
              <w:t>编制时间：2017年3月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18"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审批决定</w:t>
            </w:r>
          </w:p>
        </w:tc>
        <w:tc>
          <w:tcPr>
            <w:tcW w:w="7142" w:type="dxa"/>
            <w:tcBorders>
              <w:tl2br w:val="nil"/>
              <w:tr2bl w:val="nil"/>
            </w:tcBorders>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关于《益阳市银海环保科技有限公司年收贮废旧铅酸蓄电池1万吨建设项目环境影响报告表》的批复</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审批部门：益阳市环境保护局</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审批文号：益环审（书）【2017】10号</w:t>
            </w:r>
          </w:p>
          <w:p>
            <w:pPr>
              <w:spacing w:line="240" w:lineRule="auto"/>
              <w:ind w:firstLine="0" w:firstLineChars="0"/>
              <w:jc w:val="left"/>
              <w:rPr>
                <w:rFonts w:hint="default" w:ascii="Times New Roman" w:hAnsi="Times New Roman" w:cs="Times New Roman"/>
                <w:color w:val="auto"/>
              </w:rPr>
            </w:pPr>
            <w:r>
              <w:rPr>
                <w:rFonts w:hint="default" w:ascii="Times New Roman" w:hAnsi="Times New Roman" w:cs="Times New Roman"/>
                <w:color w:val="auto"/>
                <w:sz w:val="21"/>
                <w:szCs w:val="21"/>
              </w:rPr>
              <w:t>审批时间：2017年4月5日</w:t>
            </w:r>
          </w:p>
        </w:tc>
      </w:tr>
    </w:tbl>
    <w:p>
      <w:pPr>
        <w:pStyle w:val="2"/>
        <w:ind w:firstLine="0" w:firstLineChars="0"/>
        <w:jc w:val="left"/>
        <w:rPr>
          <w:rFonts w:hint="default" w:ascii="Times New Roman" w:hAnsi="Times New Roman" w:eastAsia="黑体" w:cs="Times New Roman"/>
          <w:color w:val="auto"/>
          <w:sz w:val="32"/>
          <w:szCs w:val="32"/>
        </w:rPr>
      </w:pPr>
      <w:bookmarkStart w:id="58" w:name="_Toc28540"/>
      <w:bookmarkStart w:id="59" w:name="_Toc2609"/>
      <w:bookmarkStart w:id="60" w:name="_Toc31741"/>
      <w:bookmarkStart w:id="61" w:name="_Toc28349"/>
      <w:bookmarkStart w:id="62" w:name="_Toc21514"/>
      <w:bookmarkStart w:id="63" w:name="_Toc9571"/>
    </w:p>
    <w:p>
      <w:pPr>
        <w:pStyle w:val="2"/>
        <w:ind w:firstLine="0" w:firstLineChars="0"/>
        <w:jc w:val="left"/>
        <w:rPr>
          <w:rFonts w:hint="default" w:ascii="Times New Roman" w:hAnsi="Times New Roman" w:eastAsia="黑体" w:cs="Times New Roman"/>
          <w:color w:val="auto"/>
          <w:sz w:val="32"/>
          <w:szCs w:val="32"/>
        </w:rPr>
      </w:pPr>
    </w:p>
    <w:p>
      <w:pPr>
        <w:pStyle w:val="2"/>
        <w:ind w:firstLine="0" w:firstLineChars="0"/>
        <w:jc w:val="left"/>
        <w:rPr>
          <w:rFonts w:hint="default" w:ascii="Times New Roman" w:hAnsi="Times New Roman" w:eastAsia="黑体" w:cs="Times New Roman"/>
          <w:color w:val="auto"/>
          <w:sz w:val="32"/>
          <w:szCs w:val="32"/>
        </w:rPr>
      </w:pPr>
    </w:p>
    <w:p>
      <w:pPr>
        <w:pStyle w:val="2"/>
        <w:ind w:firstLine="0" w:firstLineChars="0"/>
        <w:jc w:val="left"/>
        <w:rPr>
          <w:rFonts w:hint="default" w:ascii="Times New Roman" w:hAnsi="Times New Roman" w:eastAsia="黑体" w:cs="Times New Roman"/>
          <w:color w:val="auto"/>
          <w:sz w:val="32"/>
          <w:szCs w:val="32"/>
        </w:rPr>
      </w:pPr>
    </w:p>
    <w:p>
      <w:pPr>
        <w:pStyle w:val="2"/>
        <w:ind w:firstLine="0" w:firstLineChars="0"/>
        <w:jc w:val="left"/>
        <w:rPr>
          <w:rFonts w:hint="default" w:ascii="Times New Roman" w:hAnsi="Times New Roman" w:eastAsia="黑体" w:cs="Times New Roman"/>
          <w:color w:val="auto"/>
          <w:sz w:val="32"/>
          <w:szCs w:val="32"/>
        </w:rPr>
      </w:pPr>
    </w:p>
    <w:p>
      <w:pPr>
        <w:ind w:firstLine="640"/>
        <w:rPr>
          <w:rFonts w:hint="default" w:ascii="Times New Roman" w:hAnsi="Times New Roman" w:eastAsia="黑体" w:cs="Times New Roman"/>
          <w:color w:val="auto"/>
          <w:sz w:val="32"/>
          <w:szCs w:val="32"/>
        </w:rPr>
      </w:pPr>
    </w:p>
    <w:p>
      <w:pPr>
        <w:pStyle w:val="2"/>
        <w:ind w:firstLine="0" w:firstLineChars="0"/>
        <w:jc w:val="left"/>
        <w:rPr>
          <w:rFonts w:hint="default" w:ascii="Times New Roman" w:hAnsi="Times New Roman" w:eastAsia="黑体" w:cs="Times New Roman"/>
          <w:color w:val="auto"/>
          <w:sz w:val="32"/>
          <w:szCs w:val="32"/>
        </w:rPr>
      </w:pPr>
      <w:bookmarkStart w:id="64" w:name="_Toc10611"/>
      <w:bookmarkStart w:id="65" w:name="_Toc19069"/>
      <w:bookmarkStart w:id="66" w:name="_Toc24728"/>
      <w:bookmarkStart w:id="67" w:name="_Toc28272"/>
      <w:bookmarkStart w:id="68" w:name="_Toc19531"/>
      <w:r>
        <w:rPr>
          <w:rFonts w:hint="default" w:ascii="Times New Roman" w:hAnsi="Times New Roman" w:eastAsia="黑体" w:cs="Times New Roman"/>
          <w:color w:val="auto"/>
          <w:sz w:val="32"/>
          <w:szCs w:val="32"/>
        </w:rPr>
        <w:t>3、工程建设情况</w:t>
      </w:r>
      <w:bookmarkEnd w:id="58"/>
      <w:bookmarkEnd w:id="59"/>
      <w:bookmarkEnd w:id="60"/>
      <w:bookmarkEnd w:id="61"/>
      <w:bookmarkEnd w:id="62"/>
      <w:bookmarkEnd w:id="63"/>
      <w:bookmarkEnd w:id="64"/>
      <w:bookmarkEnd w:id="65"/>
      <w:bookmarkEnd w:id="66"/>
      <w:bookmarkEnd w:id="67"/>
      <w:bookmarkEnd w:id="68"/>
    </w:p>
    <w:p>
      <w:pPr>
        <w:pStyle w:val="3"/>
        <w:ind w:firstLine="0" w:firstLineChars="0"/>
        <w:rPr>
          <w:rFonts w:hint="default" w:ascii="Times New Roman" w:hAnsi="Times New Roman" w:eastAsia="仿宋_GB2312" w:cs="Times New Roman"/>
          <w:color w:val="auto"/>
          <w:sz w:val="30"/>
          <w:szCs w:val="30"/>
        </w:rPr>
      </w:pPr>
      <w:bookmarkStart w:id="69" w:name="_Toc18992"/>
      <w:bookmarkStart w:id="70" w:name="_Toc21872"/>
      <w:bookmarkStart w:id="71" w:name="_Toc8190"/>
      <w:bookmarkStart w:id="72" w:name="_Toc1299"/>
      <w:bookmarkStart w:id="73" w:name="_Toc9897"/>
      <w:bookmarkStart w:id="74" w:name="_Toc16346"/>
      <w:bookmarkStart w:id="75" w:name="_Toc5045"/>
      <w:bookmarkStart w:id="76" w:name="_Toc5409"/>
      <w:bookmarkStart w:id="77" w:name="_Toc25248"/>
      <w:bookmarkStart w:id="78" w:name="_Toc32390"/>
      <w:bookmarkStart w:id="79" w:name="_Toc1584"/>
      <w:r>
        <w:rPr>
          <w:rFonts w:hint="default" w:ascii="Times New Roman" w:hAnsi="Times New Roman" w:eastAsia="仿宋_GB2312" w:cs="Times New Roman"/>
          <w:color w:val="auto"/>
          <w:sz w:val="30"/>
          <w:szCs w:val="30"/>
        </w:rPr>
        <w:t>3.1 地理位置及平面布置</w:t>
      </w:r>
      <w:bookmarkEnd w:id="69"/>
      <w:bookmarkEnd w:id="70"/>
      <w:bookmarkEnd w:id="71"/>
      <w:bookmarkEnd w:id="72"/>
      <w:bookmarkEnd w:id="73"/>
      <w:bookmarkEnd w:id="74"/>
      <w:bookmarkEnd w:id="75"/>
      <w:bookmarkEnd w:id="76"/>
      <w:bookmarkEnd w:id="77"/>
      <w:bookmarkEnd w:id="78"/>
      <w:bookmarkEnd w:id="79"/>
    </w:p>
    <w:p>
      <w:pPr>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位于益阳市赫山区龙岭工业园，租赁益阳昌盛电子材料有限公司已建厂房，南侧紧邻学府路，项目中心经纬度为E：112°24′7.77″、N：28°33′5.89″。项目北面约50m为居民，东面紧邻益阳昌盛电子材料有限公司，再往东为奥鼎新材料公司，西面为益阳雅乐电子有限公司，南面隔学府路为欣达建材有限公司，周边50m范围内无居民点、食品厂等敏感目标。项目地理位置示意图见附图1。</w:t>
      </w:r>
    </w:p>
    <w:p>
      <w:pPr>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本项目租赁益阳昌盛电子材料有限公司已建厂房和办公楼，总建筑面积468m</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，一层仓库建筑面积340m</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，为一层砖混结构，屋顶高4m，车间</w:t>
      </w:r>
      <w:r>
        <w:rPr>
          <w:rFonts w:hint="default" w:ascii="Times New Roman" w:hAnsi="Times New Roman" w:cs="Times New Roman"/>
          <w:color w:val="auto"/>
          <w:sz w:val="28"/>
          <w:szCs w:val="28"/>
          <w:lang w:eastAsia="zh-CN"/>
        </w:rPr>
        <w:t>地面</w:t>
      </w:r>
      <w:r>
        <w:rPr>
          <w:rFonts w:hint="default" w:ascii="Times New Roman" w:hAnsi="Times New Roman" w:cs="Times New Roman"/>
          <w:color w:val="auto"/>
          <w:sz w:val="28"/>
          <w:szCs w:val="28"/>
        </w:rPr>
        <w:t>四周设置导流槽，采用耐酸、防渗材料，电解液经导流槽通过重力势流入电解液收集池；在车间屋顶安装碱性吸收塔，车间负压抽出的硫酸雾和少量铅尘集中收集后经碱性吸收塔中和后外排；车间上五层办公用房，作为管理人员相关转移文件及原材料入场登记车间。项目总平面布置示意图见附图2。</w:t>
      </w:r>
    </w:p>
    <w:p>
      <w:pPr>
        <w:pStyle w:val="3"/>
        <w:ind w:firstLine="0" w:firstLineChars="0"/>
        <w:rPr>
          <w:rFonts w:hint="default" w:ascii="Times New Roman" w:hAnsi="Times New Roman" w:eastAsia="仿宋_GB2312" w:cs="Times New Roman"/>
          <w:color w:val="auto"/>
          <w:sz w:val="30"/>
          <w:szCs w:val="30"/>
        </w:rPr>
      </w:pPr>
      <w:bookmarkStart w:id="80" w:name="_Toc4427"/>
      <w:bookmarkStart w:id="81" w:name="_Toc11606"/>
      <w:bookmarkStart w:id="82" w:name="_Toc26401"/>
      <w:bookmarkStart w:id="83" w:name="_Toc15684"/>
      <w:bookmarkStart w:id="84" w:name="_Toc1811"/>
      <w:bookmarkStart w:id="85" w:name="_Toc21885"/>
      <w:bookmarkStart w:id="86" w:name="_Toc25514"/>
      <w:bookmarkStart w:id="87" w:name="_Toc2916"/>
      <w:bookmarkStart w:id="88" w:name="_Toc16331"/>
      <w:bookmarkStart w:id="89" w:name="_Toc27454"/>
      <w:bookmarkStart w:id="90" w:name="_Toc13911"/>
      <w:r>
        <w:rPr>
          <w:rFonts w:hint="default" w:ascii="Times New Roman" w:hAnsi="Times New Roman" w:eastAsia="仿宋_GB2312" w:cs="Times New Roman"/>
          <w:color w:val="auto"/>
          <w:sz w:val="30"/>
          <w:szCs w:val="30"/>
        </w:rPr>
        <w:t>3.2 建设内容</w:t>
      </w:r>
      <w:bookmarkEnd w:id="80"/>
      <w:bookmarkEnd w:id="81"/>
      <w:bookmarkEnd w:id="82"/>
      <w:bookmarkEnd w:id="83"/>
      <w:bookmarkEnd w:id="84"/>
      <w:bookmarkEnd w:id="85"/>
      <w:bookmarkEnd w:id="86"/>
      <w:bookmarkEnd w:id="87"/>
      <w:bookmarkEnd w:id="88"/>
      <w:bookmarkEnd w:id="89"/>
      <w:bookmarkEnd w:id="90"/>
    </w:p>
    <w:p>
      <w:pPr>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属于新建项目，租赁益阳昌盛电子材料有限公司已建厂房，不再新建主要建、构筑物，主要对项目车间及周边地面进行防渗、防腐处理，对收贮车间进行防腐蚀处理，对厂房进行分区改造等。项目不涉及废旧铅酸蓄电池的拆解及后续加工，其主体工程即收贮工程。项目的基本情况见表3-1，工项目程建设主要内容见表3-2、3-3。</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表3-1  项目基本情况一览表</w:t>
      </w:r>
    </w:p>
    <w:tbl>
      <w:tblPr>
        <w:tblStyle w:val="21"/>
        <w:tblW w:w="93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7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项目名称</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益阳市银海环保科技有限公司年收贮废旧铅酸蓄电池1万吨建设项目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建设单位</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益阳市银海环保科技有限公司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法人代表</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卜祯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建设地点</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益阳市赫山区龙岭工业园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建设性质</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5"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建筑面积</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租赁益阳昌盛电子材料有限公司已建厂房，仓库面积340m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，位于一层，办公楼128m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，位于五层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设计规模</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年收贮废旧铅酸蓄电池1万吨建设项目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实际规模</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年收贮废旧铅酸蓄电池1万吨建设项目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5"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概算投资额（总投资、环保投资）</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总投资300万元，其中环保投资50万元，环保投资占总投资比例16.7%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5"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实际投资额（总投资、环保投资）</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总投资300万元，其中环保投资47万元，环保投资占总投资比例15.7%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开工建设时间</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2017年5月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投产试运行时间</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2018年4月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劳动定员</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37" w:hRule="atLeast"/>
          <w:jc w:val="center"/>
        </w:trPr>
        <w:tc>
          <w:tcPr>
            <w:tcW w:w="234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生产制度</w:t>
            </w:r>
          </w:p>
        </w:tc>
        <w:tc>
          <w:tcPr>
            <w:tcW w:w="7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年工作300天，每天1班制，每天工作8小时</w:t>
            </w:r>
          </w:p>
        </w:tc>
      </w:tr>
    </w:tbl>
    <w:p>
      <w:pPr>
        <w:spacing w:line="240" w:lineRule="auto"/>
        <w:ind w:firstLine="0" w:firstLineChars="0"/>
        <w:jc w:val="center"/>
        <w:rPr>
          <w:rFonts w:hint="default" w:ascii="Times New Roman" w:hAnsi="Times New Roman" w:cs="Times New Roman"/>
          <w:b/>
          <w:bCs/>
          <w:color w:val="auto"/>
          <w:sz w:val="21"/>
          <w:szCs w:val="21"/>
        </w:rPr>
      </w:pP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eastAsia="仿宋_GB2312" w:cs="Times New Roman"/>
          <w:b/>
          <w:bCs/>
          <w:color w:val="auto"/>
          <w:szCs w:val="24"/>
        </w:rPr>
        <w:t>表3-2  项目主要工程内容一览表</w:t>
      </w:r>
    </w:p>
    <w:tbl>
      <w:tblPr>
        <w:tblStyle w:val="21"/>
        <w:tblW w:w="92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526"/>
        <w:gridCol w:w="3014"/>
        <w:gridCol w:w="2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8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3014" w:type="dxa"/>
            <w:tcBorders>
              <w:tl2br w:val="nil"/>
              <w:tr2bl w:val="nil"/>
            </w:tcBorders>
            <w:vAlign w:val="center"/>
          </w:tcPr>
          <w:p>
            <w:pPr>
              <w:pStyle w:val="31"/>
              <w:spacing w:line="240" w:lineRule="auto"/>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环评设计建设内容及规模</w:t>
            </w:r>
          </w:p>
        </w:tc>
        <w:tc>
          <w:tcPr>
            <w:tcW w:w="2574" w:type="dxa"/>
            <w:tcBorders>
              <w:tl2br w:val="nil"/>
              <w:tr2bl w:val="nil"/>
            </w:tcBorders>
            <w:vAlign w:val="center"/>
          </w:tcPr>
          <w:p>
            <w:pPr>
              <w:pStyle w:val="31"/>
              <w:spacing w:line="240" w:lineRule="auto"/>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主体工程</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废旧铅酸蓄电池收贮车间</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/75t</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办公室</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128m</w:t>
            </w:r>
            <w:r>
              <w:rPr>
                <w:rFonts w:hint="default" w:ascii="Times New Roman" w:hAnsi="Times New Roman" w:cs="Times New Roman"/>
                <w:color w:val="auto"/>
                <w:sz w:val="21"/>
                <w:szCs w:val="21"/>
                <w:vertAlign w:val="superscript"/>
              </w:rPr>
              <w:t>2</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公用工程</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园区变电所供电</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园区自来水管网供水</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辅助工程</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办公室，值班房</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位于三层</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环保工程</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车间密闭改造</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改建</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装卸平台</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平台东西两端建设适当坡度，便于事故电解液的收集</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排气系统</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新建排气系统</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通风系统</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新建通风系统</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导流槽</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车间四周设置耐酸、耐腐蚀导流槽</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废水收集池</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新建1个3m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废水收集池</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不一致，因项目对拖把不进行清洗，所以未建设废水收集池。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电解液收集桶</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新建2个1m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的电解液收集桶</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不一致，在收集车间南侧新建1个2m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的电解液收集池。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地埋式污水处理设施：化粪池、好氧沉淀池</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依托现有、封闭的8m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地埋式污水处理系统</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与环评一致，依托益阳昌盛电子材料有限公司原有地埋式污水处理系统。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对项目车间及周边地面进行防渗、防腐处理，对收贮车间进行防腐蚀处理</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耐酸水泥、树脂砂浆、麻石三层设计</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碱性吸收塔</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新建碱性吸收塔，吸收硫酸雾和铅尘</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垃圾桶</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风险工程</w:t>
            </w: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废水事故应急池</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废水事故应急池</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不一致，未建设废水事故应急池。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5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风险事故应急池</w:t>
            </w:r>
          </w:p>
        </w:tc>
        <w:tc>
          <w:tcPr>
            <w:tcW w:w="3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风险事故应急池</w:t>
            </w:r>
          </w:p>
        </w:tc>
        <w:tc>
          <w:tcPr>
            <w:tcW w:w="2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不一致，未建设风险事故应急池。</w:t>
            </w:r>
          </w:p>
        </w:tc>
      </w:tr>
    </w:tbl>
    <w:p>
      <w:pPr>
        <w:pStyle w:val="3"/>
        <w:ind w:firstLine="0" w:firstLineChars="0"/>
        <w:rPr>
          <w:rFonts w:hint="default" w:ascii="Times New Roman" w:hAnsi="Times New Roman" w:eastAsia="仿宋_GB2312" w:cs="Times New Roman"/>
          <w:color w:val="auto"/>
          <w:sz w:val="30"/>
          <w:szCs w:val="30"/>
        </w:rPr>
      </w:pPr>
      <w:bookmarkStart w:id="91" w:name="_Toc14283"/>
      <w:bookmarkStart w:id="92" w:name="_Toc28470"/>
      <w:bookmarkStart w:id="93" w:name="_Toc29608"/>
      <w:bookmarkStart w:id="94" w:name="_Toc19442"/>
      <w:bookmarkStart w:id="95" w:name="_Toc1652"/>
      <w:bookmarkStart w:id="96" w:name="_Toc8227"/>
      <w:bookmarkStart w:id="97" w:name="_Toc8210"/>
      <w:bookmarkStart w:id="98" w:name="_Toc9840"/>
      <w:bookmarkStart w:id="99" w:name="_Toc31740"/>
      <w:bookmarkStart w:id="100" w:name="_Toc18504"/>
      <w:bookmarkStart w:id="101" w:name="_Toc14468"/>
      <w:r>
        <w:rPr>
          <w:rFonts w:hint="default" w:ascii="Times New Roman" w:hAnsi="Times New Roman" w:eastAsia="仿宋_GB2312" w:cs="Times New Roman"/>
          <w:color w:val="auto"/>
          <w:sz w:val="30"/>
          <w:szCs w:val="30"/>
        </w:rPr>
        <w:t>3.3 项目废旧铅酸蓄电池收贮规模、主要原辅材料及设备</w:t>
      </w:r>
      <w:bookmarkEnd w:id="91"/>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项目废旧铅酸蓄电池收贮规模见表3-4:</w:t>
      </w:r>
    </w:p>
    <w:p>
      <w:pPr>
        <w:spacing w:after="120" w:line="480" w:lineRule="exact"/>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表3-4项目废电池收贮量一览表</w:t>
      </w:r>
    </w:p>
    <w:tbl>
      <w:tblPr>
        <w:tblStyle w:val="21"/>
        <w:tblW w:w="90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667"/>
        <w:gridCol w:w="1607"/>
        <w:gridCol w:w="1915"/>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222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66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危废类别</w:t>
            </w:r>
          </w:p>
        </w:tc>
        <w:tc>
          <w:tcPr>
            <w:tcW w:w="160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年转存量</w:t>
            </w:r>
          </w:p>
        </w:tc>
        <w:tc>
          <w:tcPr>
            <w:tcW w:w="191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最大贮存量</w:t>
            </w:r>
          </w:p>
        </w:tc>
        <w:tc>
          <w:tcPr>
            <w:tcW w:w="162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2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废铅酸蓄电池</w:t>
            </w:r>
          </w:p>
        </w:tc>
        <w:tc>
          <w:tcPr>
            <w:tcW w:w="16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60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1万吨</w:t>
            </w:r>
          </w:p>
        </w:tc>
        <w:tc>
          <w:tcPr>
            <w:tcW w:w="191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75吨</w:t>
            </w:r>
          </w:p>
        </w:tc>
        <w:tc>
          <w:tcPr>
            <w:tcW w:w="162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特殊贮运</w:t>
            </w:r>
          </w:p>
        </w:tc>
      </w:tr>
    </w:tbl>
    <w:p>
      <w:pPr>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项目原辅材料见表3-5：</w:t>
      </w:r>
    </w:p>
    <w:p>
      <w:pPr>
        <w:spacing w:after="120" w:line="480" w:lineRule="exact"/>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表3-5项目原辅材料表</w:t>
      </w:r>
    </w:p>
    <w:tbl>
      <w:tblPr>
        <w:tblStyle w:val="21"/>
        <w:tblW w:w="91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2745"/>
        <w:gridCol w:w="1546"/>
        <w:gridCol w:w="1540"/>
        <w:gridCol w:w="2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85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74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54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54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年需求量</w:t>
            </w:r>
          </w:p>
        </w:tc>
        <w:tc>
          <w:tcPr>
            <w:tcW w:w="241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来源及供应状况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5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7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废旧铅酸蓄电池</w:t>
            </w:r>
          </w:p>
        </w:tc>
        <w:tc>
          <w:tcPr>
            <w:tcW w:w="154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w:t>
            </w:r>
          </w:p>
        </w:tc>
        <w:tc>
          <w:tcPr>
            <w:tcW w:w="154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10000</w:t>
            </w:r>
          </w:p>
        </w:tc>
        <w:tc>
          <w:tcPr>
            <w:tcW w:w="24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市场外购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5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7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54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w:t>
            </w:r>
          </w:p>
        </w:tc>
        <w:tc>
          <w:tcPr>
            <w:tcW w:w="154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4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5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7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54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万KWh</w:t>
            </w:r>
          </w:p>
        </w:tc>
        <w:tc>
          <w:tcPr>
            <w:tcW w:w="154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4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本地电网</w:t>
            </w:r>
          </w:p>
        </w:tc>
      </w:tr>
    </w:tbl>
    <w:p>
      <w:pPr>
        <w:autoSpaceDE w:val="0"/>
        <w:autoSpaceDN w:val="0"/>
        <w:adjustRightInd w:val="0"/>
        <w:spacing w:line="480" w:lineRule="exact"/>
        <w:ind w:firstLine="560"/>
        <w:jc w:val="left"/>
        <w:rPr>
          <w:rFonts w:hint="default" w:ascii="Times New Roman" w:hAnsi="Times New Roman" w:cs="Times New Roman"/>
          <w:color w:val="auto"/>
          <w:kern w:val="0"/>
          <w:szCs w:val="24"/>
        </w:rPr>
      </w:pPr>
      <w:r>
        <w:rPr>
          <w:rFonts w:hint="default" w:ascii="Times New Roman" w:hAnsi="Times New Roman" w:cs="Times New Roman"/>
          <w:color w:val="auto"/>
          <w:kern w:val="0"/>
          <w:sz w:val="28"/>
          <w:szCs w:val="28"/>
        </w:rPr>
        <w:t>本项目主要工艺设备见表3-6：</w:t>
      </w:r>
    </w:p>
    <w:p>
      <w:pPr>
        <w:pStyle w:val="55"/>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表3-6  本项目主要工艺设备清单</w:t>
      </w:r>
    </w:p>
    <w:tbl>
      <w:tblPr>
        <w:tblStyle w:val="21"/>
        <w:tblW w:w="90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614"/>
        <w:gridCol w:w="1736"/>
        <w:gridCol w:w="3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6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7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环评设计数量</w:t>
            </w:r>
          </w:p>
        </w:tc>
        <w:tc>
          <w:tcPr>
            <w:tcW w:w="35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叉车</w:t>
            </w:r>
          </w:p>
        </w:tc>
        <w:tc>
          <w:tcPr>
            <w:tcW w:w="17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2辆</w:t>
            </w:r>
          </w:p>
        </w:tc>
        <w:tc>
          <w:tcPr>
            <w:tcW w:w="35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缝包机</w:t>
            </w:r>
          </w:p>
        </w:tc>
        <w:tc>
          <w:tcPr>
            <w:tcW w:w="17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1台</w:t>
            </w:r>
          </w:p>
        </w:tc>
        <w:tc>
          <w:tcPr>
            <w:tcW w:w="35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废气吸收装置</w:t>
            </w:r>
          </w:p>
        </w:tc>
        <w:tc>
          <w:tcPr>
            <w:tcW w:w="17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1套</w:t>
            </w:r>
          </w:p>
        </w:tc>
        <w:tc>
          <w:tcPr>
            <w:tcW w:w="35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6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收集车辆</w:t>
            </w:r>
          </w:p>
        </w:tc>
        <w:tc>
          <w:tcPr>
            <w:tcW w:w="17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2台</w:t>
            </w:r>
          </w:p>
        </w:tc>
        <w:tc>
          <w:tcPr>
            <w:tcW w:w="35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1台</w:t>
            </w:r>
          </w:p>
        </w:tc>
      </w:tr>
      <w:bookmarkEnd w:id="92"/>
      <w:bookmarkEnd w:id="93"/>
      <w:bookmarkEnd w:id="94"/>
      <w:bookmarkEnd w:id="95"/>
      <w:bookmarkEnd w:id="96"/>
      <w:bookmarkEnd w:id="97"/>
      <w:bookmarkEnd w:id="98"/>
      <w:bookmarkEnd w:id="99"/>
      <w:bookmarkEnd w:id="100"/>
      <w:bookmarkEnd w:id="101"/>
    </w:tbl>
    <w:p>
      <w:pPr>
        <w:pStyle w:val="3"/>
        <w:ind w:firstLine="0" w:firstLineChars="0"/>
        <w:rPr>
          <w:rFonts w:hint="default" w:ascii="Times New Roman" w:hAnsi="Times New Roman" w:eastAsia="仿宋_GB2312" w:cs="Times New Roman"/>
          <w:color w:val="auto"/>
          <w:sz w:val="30"/>
          <w:szCs w:val="30"/>
        </w:rPr>
      </w:pPr>
      <w:bookmarkStart w:id="102" w:name="_Toc27060"/>
      <w:bookmarkStart w:id="103" w:name="_Toc9991"/>
      <w:bookmarkStart w:id="104" w:name="_Toc24214"/>
      <w:bookmarkStart w:id="105" w:name="_Toc10278"/>
      <w:bookmarkStart w:id="106" w:name="_Toc32193"/>
      <w:bookmarkStart w:id="107" w:name="_Toc16919"/>
      <w:bookmarkStart w:id="108" w:name="_Toc2878"/>
      <w:bookmarkStart w:id="109" w:name="_Toc25363"/>
      <w:bookmarkStart w:id="110" w:name="_Toc1326"/>
      <w:bookmarkStart w:id="111" w:name="_Toc13125"/>
      <w:bookmarkStart w:id="112" w:name="_Toc8041"/>
      <w:r>
        <w:rPr>
          <w:rFonts w:hint="default" w:ascii="Times New Roman" w:hAnsi="Times New Roman" w:eastAsia="仿宋_GB2312" w:cs="Times New Roman"/>
          <w:color w:val="auto"/>
          <w:sz w:val="30"/>
          <w:szCs w:val="30"/>
        </w:rPr>
        <w:t>3.4水源及水平衡</w:t>
      </w:r>
      <w:bookmarkEnd w:id="102"/>
      <w:bookmarkEnd w:id="103"/>
      <w:bookmarkEnd w:id="104"/>
      <w:bookmarkEnd w:id="105"/>
      <w:bookmarkEnd w:id="106"/>
      <w:bookmarkEnd w:id="107"/>
      <w:bookmarkEnd w:id="108"/>
      <w:bookmarkEnd w:id="109"/>
      <w:bookmarkEnd w:id="110"/>
      <w:bookmarkEnd w:id="111"/>
    </w:p>
    <w:p>
      <w:pPr>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（1）用水</w:t>
      </w:r>
    </w:p>
    <w:p>
      <w:pPr>
        <w:adjustRightInd w:val="0"/>
        <w:snapToGrid w:val="0"/>
        <w:ind w:firstLine="56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本项目用水来自于自来水，用水主要为生活用水。根据水量核算，生活用水约为10t/a。因项目在实际操作中，收集暂存的废铅酸蓄电池无电解液泄漏或电解液少量泄露，项目车间拖把不用自来水进行清洗。</w:t>
      </w:r>
    </w:p>
    <w:p>
      <w:pPr>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（2）排水</w:t>
      </w:r>
    </w:p>
    <w:p>
      <w:pPr>
        <w:adjustRightInd w:val="0"/>
        <w:snapToGrid w:val="0"/>
        <w:ind w:firstLine="56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根据现场调查，本项目的排水体制为“清污分流、雨污分流”，项目装卸过程均在贮存车间内进行，减少了铅尘的无组织排放，本项目不设初期雨水收集池；项目在实际操作中，收集暂存的废铅酸蓄电池无电解液泄漏或电解液少量泄露，少量泄露的电解液用拖把擦拭吸附，擦拭后的拖把作为危废集中存放于废拖把暂存箱中，不清洗，没有拖把清洗废水产生；2个员工的生活污水产生量约为10t/a，经地埋式污水处理设施（包括隔油池、化粪池、好氧沉淀池）处理后达到《污水综合排放标准》（GB8978-1996）三级标准后排入园区污水管网，进入城东污水处理厂处理达标后外排入撇洪新河。项目水量平衡见图3-1。</w:t>
      </w:r>
    </w:p>
    <w:p>
      <w:pPr>
        <w:widowControl/>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6181090" cy="1543685"/>
            <wp:effectExtent l="0" t="0" r="10160" b="18415"/>
            <wp:docPr id="14" name="图片 14" descr="155408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54081750(1)"/>
                    <pic:cNvPicPr>
                      <a:picLocks noChangeAspect="1"/>
                    </pic:cNvPicPr>
                  </pic:nvPicPr>
                  <pic:blipFill>
                    <a:blip r:embed="rId16" cstate="email"/>
                    <a:stretch>
                      <a:fillRect/>
                    </a:stretch>
                  </pic:blipFill>
                  <pic:spPr>
                    <a:xfrm>
                      <a:off x="0" y="0"/>
                      <a:ext cx="6181090" cy="1543685"/>
                    </a:xfrm>
                    <a:prstGeom prst="rect">
                      <a:avLst/>
                    </a:prstGeom>
                  </pic:spPr>
                </pic:pic>
              </a:graphicData>
            </a:graphic>
          </wp:inline>
        </w:drawing>
      </w:r>
    </w:p>
    <w:p>
      <w:pPr>
        <w:autoSpaceDE w:val="0"/>
        <w:autoSpaceDN w:val="0"/>
        <w:adjustRightInd w:val="0"/>
        <w:spacing w:line="480" w:lineRule="exact"/>
        <w:ind w:firstLine="422"/>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图3-1 项目水平衡图  单位：t/a</w:t>
      </w:r>
    </w:p>
    <w:p>
      <w:pPr>
        <w:pStyle w:val="3"/>
        <w:ind w:firstLine="643"/>
        <w:rPr>
          <w:rFonts w:hint="default" w:ascii="Times New Roman" w:hAnsi="Times New Roman" w:cs="Times New Roman"/>
          <w:color w:val="auto"/>
        </w:rPr>
      </w:pPr>
      <w:bookmarkStart w:id="113" w:name="_Toc20544"/>
      <w:bookmarkStart w:id="114" w:name="_Toc14664"/>
      <w:bookmarkStart w:id="115" w:name="_Toc9029"/>
      <w:bookmarkStart w:id="116" w:name="_Toc30186"/>
      <w:bookmarkStart w:id="117" w:name="_Toc7039"/>
      <w:bookmarkStart w:id="118" w:name="_Toc18697"/>
      <w:bookmarkStart w:id="119" w:name="_Toc7763"/>
      <w:bookmarkStart w:id="120" w:name="_Toc26010"/>
      <w:bookmarkStart w:id="121" w:name="_Toc13969"/>
      <w:bookmarkStart w:id="122" w:name="_Toc14609"/>
      <w:r>
        <w:rPr>
          <w:rFonts w:hint="default" w:ascii="Times New Roman" w:hAnsi="Times New Roman" w:cs="Times New Roman"/>
          <w:color w:val="auto"/>
        </w:rPr>
        <w:t>3.5 主要工艺及污染物产出流程</w:t>
      </w:r>
      <w:bookmarkEnd w:id="112"/>
      <w:bookmarkEnd w:id="113"/>
      <w:bookmarkEnd w:id="114"/>
      <w:bookmarkEnd w:id="115"/>
      <w:bookmarkEnd w:id="116"/>
      <w:bookmarkEnd w:id="117"/>
      <w:bookmarkEnd w:id="118"/>
      <w:bookmarkEnd w:id="119"/>
      <w:bookmarkEnd w:id="120"/>
      <w:bookmarkEnd w:id="121"/>
      <w:bookmarkEnd w:id="122"/>
    </w:p>
    <w:p>
      <w:pPr>
        <w:autoSpaceDE w:val="0"/>
        <w:autoSpaceDN w:val="0"/>
        <w:adjustRightInd w:val="0"/>
        <w:spacing w:line="480" w:lineRule="exact"/>
        <w:ind w:firstLine="560"/>
        <w:jc w:val="left"/>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废旧铅酸蓄电池收贮工艺流程简述见图3-2：</w:t>
      </w:r>
    </w:p>
    <w:p>
      <w:pPr>
        <w:ind w:firstLine="0" w:firstLineChars="0"/>
        <w:jc w:val="lef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32475" cy="1815465"/>
            <wp:effectExtent l="0" t="0" r="15875" b="13335"/>
            <wp:docPr id="70" name="图片 70" descr="1552365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552365425(1)"/>
                    <pic:cNvPicPr>
                      <a:picLocks noChangeAspect="1"/>
                    </pic:cNvPicPr>
                  </pic:nvPicPr>
                  <pic:blipFill>
                    <a:blip r:embed="rId17"/>
                    <a:stretch>
                      <a:fillRect/>
                    </a:stretch>
                  </pic:blipFill>
                  <pic:spPr>
                    <a:xfrm>
                      <a:off x="0" y="0"/>
                      <a:ext cx="5832475" cy="1815465"/>
                    </a:xfrm>
                    <a:prstGeom prst="rect">
                      <a:avLst/>
                    </a:prstGeom>
                  </pic:spPr>
                </pic:pic>
              </a:graphicData>
            </a:graphic>
          </wp:inline>
        </w:drawing>
      </w:r>
    </w:p>
    <w:p>
      <w:pPr>
        <w:autoSpaceDE w:val="0"/>
        <w:autoSpaceDN w:val="0"/>
        <w:adjustRightInd w:val="0"/>
        <w:spacing w:line="480" w:lineRule="exact"/>
        <w:ind w:firstLine="422"/>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图3-2项目工艺流程图及产污节点</w:t>
      </w:r>
    </w:p>
    <w:p>
      <w:pPr>
        <w:widowControl/>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废旧铅酸蓄电池经特殊资质单位运输到项目区域后，主要工序为进场，分类、堆放，离场。主要污染点位：搬运及堆放过程中，铅酸蓄电池可能产生少量破碎，产生少量泄漏液；电解液中含有硫酸，产生少量硫酸雾；蓄电池中含有铅块，破碎后产生少量铅尘；</w:t>
      </w:r>
      <w:r>
        <w:rPr>
          <w:rFonts w:hint="default" w:ascii="Times New Roman" w:hAnsi="Times New Roman" w:cs="Times New Roman"/>
          <w:color w:val="auto"/>
          <w:kern w:val="0"/>
          <w:sz w:val="28"/>
          <w:szCs w:val="28"/>
        </w:rPr>
        <w:t>少量泄露的电解液用拖把擦拭吸附，擦拭后的拖把作为危废集中存放于废拖把暂存箱中，不清洗，没有拖把清洗废水产生</w:t>
      </w:r>
      <w:r>
        <w:rPr>
          <w:rFonts w:hint="default" w:ascii="Times New Roman" w:hAnsi="Times New Roman" w:cs="Times New Roman"/>
          <w:color w:val="auto"/>
          <w:sz w:val="28"/>
          <w:szCs w:val="28"/>
        </w:rPr>
        <w:t>。本项目将</w:t>
      </w:r>
      <w:r>
        <w:rPr>
          <w:rFonts w:hint="default" w:ascii="Times New Roman" w:hAnsi="Times New Roman" w:cs="Times New Roman"/>
          <w:color w:val="auto"/>
          <w:kern w:val="0"/>
          <w:sz w:val="28"/>
          <w:szCs w:val="28"/>
        </w:rPr>
        <w:t>益阳市内各4S店、汽车维修店、电力公司、铁塔公司</w:t>
      </w:r>
      <w:r>
        <w:rPr>
          <w:rFonts w:hint="default" w:ascii="Times New Roman" w:hAnsi="Times New Roman" w:cs="Times New Roman"/>
          <w:color w:val="auto"/>
          <w:sz w:val="28"/>
          <w:szCs w:val="28"/>
        </w:rPr>
        <w:t>的小批量的废铅酸蓄电池收集后运输到项目区，满足30t即由大车运输到</w:t>
      </w:r>
      <w:r>
        <w:rPr>
          <w:rFonts w:hint="default" w:ascii="Times New Roman" w:hAnsi="Times New Roman" w:cs="Times New Roman"/>
          <w:b w:val="0"/>
          <w:bCs w:val="0"/>
          <w:color w:val="auto"/>
          <w:sz w:val="28"/>
          <w:szCs w:val="28"/>
        </w:rPr>
        <w:t>湖南</w:t>
      </w:r>
      <w:r>
        <w:rPr>
          <w:rFonts w:hint="default" w:ascii="Times New Roman" w:hAnsi="Times New Roman" w:cs="Times New Roman"/>
          <w:b w:val="0"/>
          <w:bCs w:val="0"/>
          <w:color w:val="auto"/>
          <w:sz w:val="28"/>
          <w:szCs w:val="28"/>
          <w:lang w:eastAsia="zh-CN"/>
        </w:rPr>
        <w:t>省金翼有色金属综合回收</w:t>
      </w:r>
      <w:r>
        <w:rPr>
          <w:rFonts w:hint="default" w:ascii="Times New Roman" w:hAnsi="Times New Roman" w:cs="Times New Roman"/>
          <w:b w:val="0"/>
          <w:bCs w:val="0"/>
          <w:color w:val="auto"/>
          <w:sz w:val="28"/>
          <w:szCs w:val="28"/>
        </w:rPr>
        <w:t>有限公司</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color w:val="auto"/>
          <w:sz w:val="28"/>
          <w:szCs w:val="28"/>
        </w:rPr>
        <w:t>项目厂区最大存贮量为75t。</w:t>
      </w:r>
    </w:p>
    <w:p>
      <w:pPr>
        <w:pStyle w:val="3"/>
        <w:ind w:firstLine="0" w:firstLineChars="0"/>
        <w:rPr>
          <w:rFonts w:hint="default" w:ascii="Times New Roman" w:hAnsi="Times New Roman" w:eastAsia="仿宋_GB2312" w:cs="Times New Roman"/>
          <w:color w:val="auto"/>
          <w:sz w:val="30"/>
          <w:szCs w:val="30"/>
        </w:rPr>
      </w:pPr>
      <w:bookmarkStart w:id="123" w:name="_Toc24994"/>
      <w:bookmarkStart w:id="124" w:name="_Toc287"/>
      <w:bookmarkStart w:id="125" w:name="_Toc10445"/>
      <w:bookmarkStart w:id="126" w:name="_Toc2911"/>
      <w:bookmarkStart w:id="127" w:name="_Toc22094"/>
      <w:bookmarkStart w:id="128" w:name="_Toc19951"/>
      <w:bookmarkStart w:id="129" w:name="_Toc27094"/>
      <w:bookmarkStart w:id="130" w:name="_Toc332"/>
      <w:bookmarkStart w:id="131" w:name="_Toc466"/>
      <w:bookmarkStart w:id="132" w:name="_Toc20583"/>
      <w:r>
        <w:rPr>
          <w:rFonts w:hint="default" w:ascii="Times New Roman" w:hAnsi="Times New Roman" w:eastAsia="仿宋_GB2312" w:cs="Times New Roman"/>
          <w:color w:val="auto"/>
          <w:sz w:val="30"/>
          <w:szCs w:val="30"/>
        </w:rPr>
        <w:t>3.6 项目变动情况</w:t>
      </w:r>
      <w:bookmarkEnd w:id="123"/>
      <w:bookmarkEnd w:id="124"/>
      <w:bookmarkEnd w:id="125"/>
      <w:bookmarkEnd w:id="126"/>
      <w:bookmarkEnd w:id="127"/>
      <w:bookmarkEnd w:id="128"/>
      <w:bookmarkEnd w:id="129"/>
      <w:bookmarkEnd w:id="130"/>
      <w:bookmarkEnd w:id="131"/>
      <w:bookmarkEnd w:id="132"/>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表3-7 项目变动情况</w:t>
      </w:r>
    </w:p>
    <w:tbl>
      <w:tblPr>
        <w:tblStyle w:val="22"/>
        <w:tblW w:w="98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460"/>
        <w:gridCol w:w="5676"/>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环评设计要求</w:t>
            </w:r>
          </w:p>
        </w:tc>
        <w:tc>
          <w:tcPr>
            <w:tcW w:w="567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实际情况</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是否属于重大变更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新建1个3m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废水收集池</w:t>
            </w:r>
          </w:p>
        </w:tc>
        <w:tc>
          <w:tcPr>
            <w:tcW w:w="5676" w:type="dxa"/>
            <w:tcBorders>
              <w:tl2br w:val="nil"/>
              <w:tr2bl w:val="nil"/>
            </w:tcBorders>
            <w:vAlign w:val="center"/>
          </w:tcPr>
          <w:p>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未建废水收集池。</w:t>
            </w:r>
          </w:p>
          <w:p>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因废旧铅酸蓄电池项目在实际贮存过程中，无电解液泄漏或电解液少量泄露。公司在实际操作中，当遇到有电解液泄漏情况时，车间工人用拖把进行擦拭后，不对拖把再进行清洗，擦拭后的拖把直接作为危险废物，交由有资质的单位进行处置，所以未建设废水收集池。</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新建2个1m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的电解液收集桶</w:t>
            </w:r>
          </w:p>
        </w:tc>
        <w:tc>
          <w:tcPr>
            <w:tcW w:w="5676" w:type="dxa"/>
            <w:tcBorders>
              <w:tl2br w:val="nil"/>
              <w:tr2bl w:val="nil"/>
            </w:tcBorders>
            <w:vAlign w:val="center"/>
          </w:tcPr>
          <w:p>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新建1个1m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的电解液收集池。</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因废旧铅酸蓄电池项目在实际贮存过程中，无电解液泄漏或电解液少量泄露，所以只在收集车间南侧新建1个2m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的电解液收集池。</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废水事故应急池</w:t>
            </w:r>
          </w:p>
        </w:tc>
        <w:tc>
          <w:tcPr>
            <w:tcW w:w="5676" w:type="dxa"/>
            <w:tcBorders>
              <w:tl2br w:val="nil"/>
              <w:tr2bl w:val="nil"/>
            </w:tcBorders>
            <w:vAlign w:val="center"/>
          </w:tcPr>
          <w:p>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未建废水事故应急池。</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因项目对拖把不进行清洗，没有清洗废水，不存在清洗废水出现事故情况，故未建设废水事故应急池。</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风险事故应急池</w:t>
            </w:r>
          </w:p>
        </w:tc>
        <w:tc>
          <w:tcPr>
            <w:tcW w:w="5676" w:type="dxa"/>
            <w:tcBorders>
              <w:tl2br w:val="nil"/>
              <w:tr2bl w:val="nil"/>
            </w:tcBorders>
            <w:vAlign w:val="center"/>
          </w:tcPr>
          <w:p>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未建风险事故应急池。</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因项目无电解液泄漏或电解液少量泄露，新建的1个2m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电解液收集池完全能容纳车间收集的废旧铅酸蓄电池的泄漏量，故未建设风险事故应急池。</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6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w:t>
            </w:r>
          </w:p>
        </w:tc>
        <w:tc>
          <w:tcPr>
            <w:tcW w:w="24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总投资300万，其中环保投资50万元，环保投资占总投资比例 16.67%。</w:t>
            </w:r>
          </w:p>
        </w:tc>
        <w:tc>
          <w:tcPr>
            <w:tcW w:w="5676"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实际总投资300万，其中环保投资47万元，环保投资占总投资比例15.67%投资。</w:t>
            </w:r>
          </w:p>
        </w:tc>
        <w:tc>
          <w:tcPr>
            <w:tcW w:w="11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w:t>
            </w:r>
          </w:p>
        </w:tc>
      </w:tr>
    </w:tbl>
    <w:p>
      <w:pPr>
        <w:pStyle w:val="4"/>
        <w:spacing w:line="240" w:lineRule="atLeast"/>
        <w:ind w:firstLine="0" w:firstLineChars="0"/>
        <w:rPr>
          <w:rFonts w:hint="default" w:ascii="Times New Roman" w:hAnsi="Times New Roman" w:eastAsia="仿宋_GB2312" w:cs="Times New Roman"/>
          <w:bCs/>
          <w:color w:val="auto"/>
          <w:sz w:val="28"/>
          <w:szCs w:val="28"/>
        </w:rPr>
      </w:pPr>
      <w:bookmarkStart w:id="133" w:name="_Toc3842"/>
      <w:bookmarkStart w:id="134" w:name="_Toc17817"/>
      <w:bookmarkStart w:id="135" w:name="_Toc1908"/>
      <w:bookmarkStart w:id="136" w:name="_Toc11094"/>
      <w:bookmarkStart w:id="137" w:name="_Toc2264"/>
      <w:bookmarkStart w:id="138" w:name="_Toc7908"/>
      <w:bookmarkStart w:id="139" w:name="_Toc6735"/>
      <w:bookmarkStart w:id="140" w:name="_Toc360"/>
      <w:bookmarkStart w:id="141" w:name="_Toc22408"/>
      <w:bookmarkStart w:id="142" w:name="_Toc1901"/>
      <w:bookmarkStart w:id="143" w:name="_Toc29652"/>
      <w:bookmarkStart w:id="144" w:name="_Toc27353"/>
      <w:bookmarkStart w:id="145" w:name="_Toc2736"/>
      <w:r>
        <w:rPr>
          <w:rFonts w:hint="default" w:ascii="Times New Roman" w:hAnsi="Times New Roman" w:eastAsia="仿宋_GB2312" w:cs="Times New Roman"/>
          <w:bCs/>
          <w:color w:val="auto"/>
          <w:sz w:val="28"/>
          <w:szCs w:val="28"/>
        </w:rPr>
        <w:t>3.6.1废水收集池、废水事故池建设</w:t>
      </w:r>
      <w:r>
        <w:rPr>
          <w:rFonts w:hint="default" w:ascii="Times New Roman" w:hAnsi="Times New Roman" w:eastAsia="仿宋_GB2312" w:cs="Times New Roman"/>
          <w:bCs/>
          <w:color w:val="auto"/>
          <w:sz w:val="28"/>
          <w:szCs w:val="28"/>
          <w:lang w:eastAsia="zh-CN"/>
        </w:rPr>
        <w:t>变更</w:t>
      </w:r>
      <w:r>
        <w:rPr>
          <w:rFonts w:hint="default" w:ascii="Times New Roman" w:hAnsi="Times New Roman" w:eastAsia="仿宋_GB2312" w:cs="Times New Roman"/>
          <w:bCs/>
          <w:color w:val="auto"/>
          <w:sz w:val="28"/>
          <w:szCs w:val="28"/>
        </w:rPr>
        <w:t>情况</w:t>
      </w:r>
    </w:p>
    <w:p>
      <w:pPr>
        <w:pStyle w:val="5"/>
        <w:ind w:firstLine="560"/>
        <w:rPr>
          <w:rFonts w:hint="default" w:ascii="Times New Roman" w:hAnsi="Times New Roman" w:cs="Times New Roman" w:eastAsiaTheme="minorEastAsia"/>
          <w:color w:val="auto"/>
          <w:kern w:val="2"/>
          <w:position w:val="0"/>
          <w:szCs w:val="28"/>
        </w:rPr>
      </w:pPr>
      <w:r>
        <w:rPr>
          <w:rFonts w:hint="default" w:ascii="Times New Roman" w:hAnsi="Times New Roman" w:cs="Times New Roman" w:eastAsiaTheme="minorEastAsia"/>
          <w:color w:val="auto"/>
          <w:kern w:val="2"/>
          <w:position w:val="0"/>
          <w:szCs w:val="28"/>
        </w:rPr>
        <w:t>本项目属于废电池收贮项目，不进行废旧铅酸蓄电池的拆解及后续加工，项目收集、运输过程中破损的废旧铅酸蓄电池采用密封耐酸、耐腐蚀的PV桶包装暂存，外观完好未破损的废旧铅酸蓄电池采用耐酸、耐腐蚀的PV周转箱进行周转搬运，在按照操作规范进行转运、收贮的过程时，能做到无电解液泄露或电解液量少量泄漏，少量泄露的电解液用拖把擦拭吸附，擦拭后的拖把作为危废集中存放于废拖把暂存箱中，不清洗，没有拖把清洗废水产生。因项目在废电池收贮过程中，无拖把清洗废水产生，故未建废水收集池。</w:t>
      </w:r>
    </w:p>
    <w:p>
      <w:pPr>
        <w:pStyle w:val="5"/>
        <w:ind w:firstLine="560"/>
        <w:rPr>
          <w:rFonts w:hint="default" w:ascii="Times New Roman" w:hAnsi="Times New Roman" w:cs="Times New Roman" w:eastAsiaTheme="minorEastAsia"/>
          <w:color w:val="auto"/>
          <w:kern w:val="2"/>
          <w:position w:val="0"/>
          <w:szCs w:val="28"/>
        </w:rPr>
      </w:pPr>
      <w:r>
        <w:rPr>
          <w:rFonts w:hint="default" w:ascii="Times New Roman" w:hAnsi="Times New Roman" w:cs="Times New Roman" w:eastAsiaTheme="minorEastAsia"/>
          <w:color w:val="auto"/>
          <w:kern w:val="2"/>
          <w:position w:val="0"/>
          <w:szCs w:val="28"/>
        </w:rPr>
        <w:t>因项目在废电池收贮过程中，无拖把清洗废水产生，不存在废水环境风险事故发生，故未建废水事故应急池。</w:t>
      </w:r>
    </w:p>
    <w:p>
      <w:pPr>
        <w:pStyle w:val="4"/>
        <w:spacing w:line="240" w:lineRule="atLeast"/>
        <w:ind w:firstLine="0" w:firstLineChars="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3.6.2风险事故应急池建设</w:t>
      </w:r>
      <w:r>
        <w:rPr>
          <w:rFonts w:hint="default" w:ascii="Times New Roman" w:hAnsi="Times New Roman" w:eastAsia="仿宋_GB2312" w:cs="Times New Roman"/>
          <w:bCs/>
          <w:color w:val="auto"/>
          <w:sz w:val="28"/>
          <w:szCs w:val="28"/>
          <w:lang w:eastAsia="zh-CN"/>
        </w:rPr>
        <w:t>变更</w:t>
      </w:r>
      <w:r>
        <w:rPr>
          <w:rFonts w:hint="default" w:ascii="Times New Roman" w:hAnsi="Times New Roman" w:eastAsia="仿宋_GB2312" w:cs="Times New Roman"/>
          <w:bCs/>
          <w:color w:val="auto"/>
          <w:sz w:val="28"/>
          <w:szCs w:val="28"/>
        </w:rPr>
        <w:t>情况</w:t>
      </w:r>
    </w:p>
    <w:p>
      <w:pPr>
        <w:pStyle w:val="5"/>
        <w:ind w:firstLine="560"/>
        <w:rPr>
          <w:rFonts w:hint="default" w:ascii="Times New Roman" w:hAnsi="Times New Roman" w:cs="Times New Roman" w:eastAsiaTheme="minorEastAsia"/>
          <w:color w:val="auto"/>
          <w:kern w:val="2"/>
          <w:position w:val="0"/>
          <w:szCs w:val="28"/>
        </w:rPr>
      </w:pPr>
      <w:r>
        <w:rPr>
          <w:rFonts w:hint="default" w:ascii="Times New Roman" w:hAnsi="Times New Roman" w:cs="Times New Roman" w:eastAsiaTheme="minorEastAsia"/>
          <w:color w:val="auto"/>
          <w:kern w:val="2"/>
          <w:position w:val="0"/>
          <w:szCs w:val="28"/>
        </w:rPr>
        <w:t>因项目在收集、运输过程中，对破损的废旧铅酸蓄电池采用密封耐酸、耐腐蚀的PV桶包装暂存，对外观完好未破损的废旧铅酸蓄电池采用耐酸、耐腐蚀的PV周转箱进行周转搬运，在按照操作规范进行转运、收贮的过程时，能做到无电解液泄露或电解液量少量泄漏。因项目新建了1个2m</w:t>
      </w:r>
      <w:r>
        <w:rPr>
          <w:rFonts w:hint="default" w:ascii="Times New Roman" w:hAnsi="Times New Roman" w:cs="Times New Roman" w:eastAsiaTheme="minorEastAsia"/>
          <w:color w:val="auto"/>
          <w:kern w:val="2"/>
          <w:position w:val="0"/>
          <w:szCs w:val="28"/>
          <w:vertAlign w:val="superscript"/>
        </w:rPr>
        <w:t>3</w:t>
      </w:r>
      <w:r>
        <w:rPr>
          <w:rFonts w:hint="default" w:ascii="Times New Roman" w:hAnsi="Times New Roman" w:cs="Times New Roman" w:eastAsiaTheme="minorEastAsia"/>
          <w:color w:val="auto"/>
          <w:kern w:val="2"/>
          <w:position w:val="0"/>
          <w:szCs w:val="28"/>
        </w:rPr>
        <w:t>电解液收集池，完全能容纳车间收集的废旧铅酸蓄电池的泄漏量，且电解液收集池做好了防渗等措施，不会出现电解液发生渗漏、外溢等突发环境事件，故未建设风险事故应急池。</w:t>
      </w:r>
    </w:p>
    <w:p>
      <w:pPr>
        <w:pStyle w:val="2"/>
        <w:ind w:firstLine="883"/>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0" w:firstLineChars="0"/>
        <w:jc w:val="left"/>
        <w:rPr>
          <w:rFonts w:hint="default" w:ascii="Times New Roman" w:hAnsi="Times New Roman" w:eastAsia="黑体" w:cs="Times New Roman"/>
          <w:color w:val="auto"/>
          <w:sz w:val="32"/>
          <w:szCs w:val="32"/>
        </w:rPr>
      </w:pPr>
      <w:bookmarkStart w:id="146" w:name="_Toc12356"/>
      <w:r>
        <w:rPr>
          <w:rFonts w:hint="default" w:ascii="Times New Roman" w:hAnsi="Times New Roman" w:eastAsia="黑体" w:cs="Times New Roman"/>
          <w:color w:val="auto"/>
          <w:sz w:val="32"/>
          <w:szCs w:val="32"/>
        </w:rPr>
        <w:t>4、环境保护设施</w:t>
      </w:r>
      <w:bookmarkEnd w:id="133"/>
      <w:bookmarkEnd w:id="134"/>
      <w:bookmarkEnd w:id="135"/>
      <w:bookmarkEnd w:id="136"/>
      <w:bookmarkEnd w:id="137"/>
      <w:bookmarkEnd w:id="138"/>
      <w:bookmarkEnd w:id="139"/>
      <w:bookmarkEnd w:id="140"/>
      <w:bookmarkEnd w:id="146"/>
    </w:p>
    <w:p>
      <w:pPr>
        <w:pStyle w:val="3"/>
        <w:ind w:firstLine="0" w:firstLineChars="0"/>
        <w:rPr>
          <w:rFonts w:hint="default" w:ascii="Times New Roman" w:hAnsi="Times New Roman" w:eastAsia="仿宋_GB2312" w:cs="Times New Roman"/>
          <w:color w:val="auto"/>
          <w:sz w:val="30"/>
          <w:szCs w:val="30"/>
        </w:rPr>
      </w:pPr>
      <w:bookmarkStart w:id="147" w:name="_Toc7831"/>
      <w:bookmarkStart w:id="148" w:name="_Toc27144"/>
      <w:bookmarkStart w:id="149" w:name="_Toc4481"/>
      <w:bookmarkStart w:id="150" w:name="_Toc17136"/>
      <w:bookmarkStart w:id="151" w:name="_Toc16293"/>
      <w:bookmarkStart w:id="152" w:name="_Toc25057"/>
      <w:bookmarkStart w:id="153" w:name="_Toc28717"/>
      <w:bookmarkStart w:id="154" w:name="_Toc4125"/>
      <w:bookmarkStart w:id="155" w:name="_Toc32678"/>
      <w:bookmarkStart w:id="156" w:name="_Toc21152"/>
      <w:bookmarkStart w:id="157" w:name="_Toc23932"/>
      <w:bookmarkStart w:id="158" w:name="_Toc14999"/>
      <w:bookmarkStart w:id="159" w:name="_Toc32547"/>
      <w:bookmarkStart w:id="160" w:name="_Toc30609"/>
      <w:r>
        <w:rPr>
          <w:rFonts w:hint="default" w:ascii="Times New Roman" w:hAnsi="Times New Roman" w:eastAsia="仿宋_GB2312" w:cs="Times New Roman"/>
          <w:color w:val="auto"/>
          <w:sz w:val="30"/>
          <w:szCs w:val="30"/>
        </w:rPr>
        <w:t>4.1污染物及其治理措施</w:t>
      </w:r>
      <w:bookmarkEnd w:id="147"/>
      <w:bookmarkEnd w:id="148"/>
      <w:bookmarkEnd w:id="149"/>
      <w:bookmarkEnd w:id="150"/>
      <w:bookmarkEnd w:id="151"/>
      <w:bookmarkEnd w:id="152"/>
      <w:bookmarkEnd w:id="153"/>
      <w:bookmarkEnd w:id="154"/>
      <w:bookmarkEnd w:id="155"/>
      <w:bookmarkEnd w:id="156"/>
      <w:bookmarkEnd w:id="157"/>
    </w:p>
    <w:p>
      <w:pPr>
        <w:pStyle w:val="4"/>
        <w:spacing w:line="240" w:lineRule="atLeast"/>
        <w:ind w:firstLine="0" w:firstLineChars="0"/>
        <w:rPr>
          <w:rFonts w:hint="default" w:ascii="Times New Roman" w:hAnsi="Times New Roman" w:eastAsia="仿宋_GB2312" w:cs="Times New Roman"/>
          <w:bCs/>
          <w:color w:val="auto"/>
          <w:sz w:val="28"/>
          <w:szCs w:val="28"/>
        </w:rPr>
      </w:pPr>
      <w:bookmarkStart w:id="161" w:name="_Toc22425"/>
      <w:bookmarkStart w:id="162" w:name="_Toc6442"/>
      <w:bookmarkStart w:id="163" w:name="_Toc11585"/>
      <w:bookmarkStart w:id="164" w:name="_Toc7634"/>
      <w:bookmarkStart w:id="165" w:name="_Toc31976"/>
      <w:bookmarkStart w:id="166" w:name="_Toc7271"/>
      <w:bookmarkStart w:id="167" w:name="_Toc11421"/>
      <w:bookmarkStart w:id="168" w:name="_Toc31416"/>
      <w:bookmarkStart w:id="169" w:name="_Toc15027"/>
      <w:bookmarkStart w:id="170" w:name="_Toc30217"/>
      <w:bookmarkStart w:id="171" w:name="_Toc21162"/>
      <w:r>
        <w:rPr>
          <w:rFonts w:hint="default" w:ascii="Times New Roman" w:hAnsi="Times New Roman" w:eastAsia="仿宋_GB2312" w:cs="Times New Roman"/>
          <w:bCs/>
          <w:color w:val="auto"/>
          <w:sz w:val="28"/>
          <w:szCs w:val="28"/>
        </w:rPr>
        <w:t>4.1.1水污染物及其治理措施</w:t>
      </w:r>
      <w:bookmarkEnd w:id="161"/>
      <w:bookmarkEnd w:id="162"/>
      <w:bookmarkEnd w:id="163"/>
      <w:bookmarkEnd w:id="164"/>
      <w:bookmarkEnd w:id="165"/>
      <w:bookmarkEnd w:id="166"/>
      <w:bookmarkEnd w:id="167"/>
      <w:bookmarkEnd w:id="168"/>
      <w:bookmarkEnd w:id="169"/>
      <w:bookmarkEnd w:id="170"/>
      <w:bookmarkEnd w:id="171"/>
    </w:p>
    <w:bookmarkEnd w:id="158"/>
    <w:bookmarkEnd w:id="159"/>
    <w:bookmarkEnd w:id="160"/>
    <w:p>
      <w:pPr>
        <w:pStyle w:val="55"/>
        <w:ind w:firstLine="560"/>
        <w:jc w:val="left"/>
        <w:rPr>
          <w:rFonts w:hint="default" w:ascii="Times New Roman" w:hAnsi="Times New Roman" w:cs="Times New Roman" w:eastAsiaTheme="minorEastAsia"/>
          <w:color w:val="auto"/>
          <w:kern w:val="2"/>
          <w:sz w:val="28"/>
          <w:szCs w:val="28"/>
        </w:rPr>
      </w:pPr>
      <w:bookmarkStart w:id="172" w:name="_Toc4060"/>
      <w:r>
        <w:rPr>
          <w:rFonts w:hint="default" w:ascii="Times New Roman" w:hAnsi="Times New Roman" w:cs="Times New Roman" w:eastAsiaTheme="minorEastAsia"/>
          <w:color w:val="auto"/>
          <w:kern w:val="2"/>
          <w:sz w:val="28"/>
          <w:szCs w:val="28"/>
        </w:rPr>
        <w:t>本项目不设生活区和食堂，废</w:t>
      </w:r>
      <w:r>
        <w:rPr>
          <w:rFonts w:hint="default" w:ascii="Times New Roman" w:hAnsi="Times New Roman" w:cs="Times New Roman" w:eastAsiaTheme="minorEastAsia"/>
          <w:color w:val="auto"/>
          <w:sz w:val="28"/>
          <w:szCs w:val="28"/>
        </w:rPr>
        <w:t>水主要为生活污水，生活污水经租赁益阳昌盛电子材料有限公司</w:t>
      </w:r>
      <w:r>
        <w:rPr>
          <w:rFonts w:hint="default" w:ascii="Times New Roman" w:hAnsi="Times New Roman" w:cs="Times New Roman" w:eastAsiaTheme="minorEastAsia"/>
          <w:color w:val="auto"/>
          <w:sz w:val="28"/>
          <w:szCs w:val="28"/>
          <w:lang w:eastAsia="zh-CN"/>
        </w:rPr>
        <w:t>厂房的已建</w:t>
      </w:r>
      <w:r>
        <w:rPr>
          <w:rFonts w:hint="default" w:ascii="Times New Roman" w:hAnsi="Times New Roman" w:cs="Times New Roman" w:eastAsiaTheme="minorEastAsia"/>
          <w:color w:val="auto"/>
          <w:sz w:val="28"/>
          <w:szCs w:val="28"/>
        </w:rPr>
        <w:t>地埋式污水处理设施（化粪池、好氧沉淀池）处理</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处理后达到《污水综合排放标准》（GB8978-1996）三级标准后排入园区污水管网，进入城东污水处理厂处理达标后外排入撇洪新河。</w:t>
      </w:r>
      <w:bookmarkEnd w:id="141"/>
      <w:bookmarkEnd w:id="142"/>
      <w:bookmarkEnd w:id="143"/>
      <w:bookmarkEnd w:id="144"/>
      <w:bookmarkEnd w:id="145"/>
      <w:bookmarkEnd w:id="172"/>
      <w:bookmarkStart w:id="173" w:name="_Toc2012"/>
      <w:bookmarkStart w:id="174" w:name="_Toc32693"/>
      <w:bookmarkStart w:id="175" w:name="_Toc29777"/>
    </w:p>
    <w:p>
      <w:pPr>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主要污染物及防治措施见表 4-1。</w:t>
      </w:r>
    </w:p>
    <w:p>
      <w:pPr>
        <w:ind w:firstLine="422"/>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1"/>
          <w:szCs w:val="21"/>
        </w:rPr>
        <w:t>表 4-1 废水污染源及处理措施</w:t>
      </w:r>
    </w:p>
    <w:tbl>
      <w:tblPr>
        <w:tblStyle w:val="21"/>
        <w:tblW w:w="95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11"/>
        <w:gridCol w:w="1302"/>
        <w:gridCol w:w="1262"/>
        <w:gridCol w:w="4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753"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 号</w:t>
            </w:r>
          </w:p>
        </w:tc>
        <w:tc>
          <w:tcPr>
            <w:tcW w:w="1211"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产污环节 </w:t>
            </w:r>
          </w:p>
        </w:tc>
        <w:tc>
          <w:tcPr>
            <w:tcW w:w="130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废水名称 </w:t>
            </w:r>
          </w:p>
        </w:tc>
        <w:tc>
          <w:tcPr>
            <w:tcW w:w="126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治理措施 </w:t>
            </w:r>
          </w:p>
        </w:tc>
        <w:tc>
          <w:tcPr>
            <w:tcW w:w="497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753"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1 </w:t>
            </w:r>
          </w:p>
        </w:tc>
        <w:tc>
          <w:tcPr>
            <w:tcW w:w="1211"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厕所</w:t>
            </w:r>
          </w:p>
        </w:tc>
        <w:tc>
          <w:tcPr>
            <w:tcW w:w="130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生活污水</w:t>
            </w:r>
          </w:p>
        </w:tc>
        <w:tc>
          <w:tcPr>
            <w:tcW w:w="126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化粪池、好氧沉淀池</w:t>
            </w:r>
          </w:p>
        </w:tc>
        <w:tc>
          <w:tcPr>
            <w:tcW w:w="497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生活污水经地埋式污水处理设施（包括隔油池、化粪池、好氧沉淀池）处理后达到《污水综合排放标准》（GB8978-1996）三级标准后排入园区污水管网，进入城东污水处理厂处理达标后外排入撇洪新河</w:t>
            </w:r>
            <w:r>
              <w:rPr>
                <w:rFonts w:hint="default" w:ascii="Times New Roman" w:hAnsi="Times New Roman" w:cs="Times New Roman"/>
                <w:color w:val="auto"/>
                <w:sz w:val="21"/>
                <w:szCs w:val="21"/>
              </w:rPr>
              <w:t>。</w:t>
            </w:r>
          </w:p>
        </w:tc>
      </w:tr>
    </w:tbl>
    <w:p>
      <w:pPr>
        <w:pStyle w:val="4"/>
        <w:spacing w:line="240" w:lineRule="atLeast"/>
        <w:ind w:firstLine="0" w:firstLineChars="0"/>
        <w:rPr>
          <w:rFonts w:hint="default" w:ascii="Times New Roman" w:hAnsi="Times New Roman" w:eastAsia="仿宋_GB2312" w:cs="Times New Roman"/>
          <w:bCs/>
          <w:color w:val="auto"/>
          <w:sz w:val="28"/>
          <w:szCs w:val="28"/>
        </w:rPr>
      </w:pPr>
      <w:bookmarkStart w:id="176" w:name="_Toc24717"/>
      <w:bookmarkStart w:id="177" w:name="_Toc27485"/>
      <w:bookmarkStart w:id="178" w:name="_Toc11420"/>
      <w:bookmarkStart w:id="179" w:name="_Toc13417"/>
      <w:bookmarkStart w:id="180" w:name="_Toc30531"/>
      <w:bookmarkStart w:id="181" w:name="_Toc1700"/>
      <w:bookmarkStart w:id="182" w:name="_Toc20529"/>
      <w:bookmarkStart w:id="183" w:name="_Toc31602"/>
      <w:bookmarkStart w:id="184" w:name="_Toc11764"/>
      <w:r>
        <w:rPr>
          <w:rFonts w:hint="default" w:ascii="Times New Roman" w:hAnsi="Times New Roman" w:eastAsia="仿宋_GB2312" w:cs="Times New Roman"/>
          <w:bCs/>
          <w:color w:val="auto"/>
          <w:sz w:val="28"/>
          <w:szCs w:val="28"/>
        </w:rPr>
        <w:t>4.1.2 废气污染及其治理措施</w:t>
      </w:r>
      <w:bookmarkEnd w:id="173"/>
      <w:bookmarkEnd w:id="174"/>
      <w:bookmarkEnd w:id="175"/>
      <w:bookmarkEnd w:id="176"/>
      <w:bookmarkEnd w:id="177"/>
      <w:bookmarkEnd w:id="178"/>
      <w:bookmarkEnd w:id="179"/>
      <w:bookmarkEnd w:id="180"/>
      <w:bookmarkEnd w:id="181"/>
      <w:bookmarkEnd w:id="182"/>
      <w:bookmarkEnd w:id="183"/>
      <w:bookmarkEnd w:id="184"/>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属于废电池收贮项目，不进行废旧铅酸蓄电池的拆解及后续加工，项目收集、运输过程中破损的废旧铅酸蓄电池采用密封耐酸、耐腐蚀的PV桶包装暂存，外观完好未破损的废旧铅酸蓄电池采用耐酸、耐腐蚀的PV周转箱周转搬运，在按照操作规范进行转运、收贮的过程时，基本不产生铅尘和硫酸雾，但搬卸程中的外力撞击、电池老化破损等会产生微量铅尘、硫酸雾。</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使用抽风设备使车间区域形成局部微负压，维持车间在微负压状态，减少铅尘、硫酸雾的外逸，并在车间屋顶安装碱性吸收塔，车间负压抽出的硫酸雾和少量铅尘集中收集后经碱性吸收塔中和后外排。废气污染源及防治措施见表 4-2。</w:t>
      </w:r>
    </w:p>
    <w:p>
      <w:pPr>
        <w:widowControl/>
        <w:ind w:firstLine="42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 4-2 废气污染源及治理措施</w:t>
      </w:r>
    </w:p>
    <w:tbl>
      <w:tblPr>
        <w:tblStyle w:val="21"/>
        <w:tblW w:w="8637" w:type="dxa"/>
        <w:jc w:val="center"/>
        <w:tblInd w:w="-19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89"/>
        <w:gridCol w:w="1452"/>
        <w:gridCol w:w="1747"/>
        <w:gridCol w:w="25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760"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kern w:val="0"/>
                <w:sz w:val="22"/>
              </w:rPr>
              <w:t>序号</w:t>
            </w:r>
          </w:p>
        </w:tc>
        <w:tc>
          <w:tcPr>
            <w:tcW w:w="208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kern w:val="0"/>
                <w:sz w:val="21"/>
                <w:szCs w:val="21"/>
              </w:rPr>
              <w:t>产</w:t>
            </w:r>
            <w:r>
              <w:rPr>
                <w:rFonts w:hint="default" w:ascii="Times New Roman" w:hAnsi="Times New Roman" w:cs="Times New Roman"/>
                <w:b/>
                <w:bCs/>
                <w:color w:val="auto"/>
                <w:kern w:val="0"/>
                <w:sz w:val="22"/>
              </w:rPr>
              <w:t>污环节</w:t>
            </w:r>
          </w:p>
        </w:tc>
        <w:tc>
          <w:tcPr>
            <w:tcW w:w="145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kern w:val="0"/>
                <w:sz w:val="22"/>
              </w:rPr>
              <w:t>排放类型</w:t>
            </w:r>
          </w:p>
        </w:tc>
        <w:tc>
          <w:tcPr>
            <w:tcW w:w="1747"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kern w:val="0"/>
                <w:sz w:val="22"/>
              </w:rPr>
              <w:t>污染因子</w:t>
            </w:r>
          </w:p>
        </w:tc>
        <w:tc>
          <w:tcPr>
            <w:tcW w:w="258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kern w:val="0"/>
                <w:sz w:val="22"/>
              </w:rPr>
              <w:t>废气处理设施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760"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w:t>
            </w:r>
          </w:p>
        </w:tc>
        <w:tc>
          <w:tcPr>
            <w:tcW w:w="208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搬卸程中的外力撞击、电池老化破损等</w:t>
            </w:r>
          </w:p>
        </w:tc>
        <w:tc>
          <w:tcPr>
            <w:tcW w:w="145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无组织排放</w:t>
            </w:r>
          </w:p>
        </w:tc>
        <w:tc>
          <w:tcPr>
            <w:tcW w:w="1747"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铅尘、硫酸雾</w:t>
            </w:r>
          </w:p>
        </w:tc>
        <w:tc>
          <w:tcPr>
            <w:tcW w:w="258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车间维持微负压、车间屋顶安装碱性吸收塔。</w:t>
            </w:r>
          </w:p>
        </w:tc>
      </w:tr>
    </w:tbl>
    <w:p>
      <w:pPr>
        <w:pStyle w:val="4"/>
        <w:spacing w:line="240" w:lineRule="atLeast"/>
        <w:ind w:firstLine="0" w:firstLineChars="0"/>
        <w:rPr>
          <w:rFonts w:hint="default" w:ascii="Times New Roman" w:hAnsi="Times New Roman" w:eastAsia="仿宋_GB2312" w:cs="Times New Roman"/>
          <w:bCs/>
          <w:color w:val="auto"/>
          <w:sz w:val="28"/>
          <w:szCs w:val="28"/>
        </w:rPr>
      </w:pPr>
      <w:bookmarkStart w:id="185" w:name="_Toc259"/>
      <w:bookmarkStart w:id="186" w:name="_Toc15238"/>
      <w:bookmarkStart w:id="187" w:name="_Toc5957"/>
      <w:bookmarkStart w:id="188" w:name="_Toc26957"/>
      <w:bookmarkStart w:id="189" w:name="_Toc30497"/>
      <w:bookmarkStart w:id="190" w:name="_Toc17026"/>
      <w:bookmarkStart w:id="191" w:name="_Toc32521"/>
      <w:bookmarkStart w:id="192" w:name="_Toc26940"/>
      <w:bookmarkStart w:id="193" w:name="_Toc25940"/>
      <w:bookmarkStart w:id="194" w:name="_Toc8492"/>
      <w:bookmarkStart w:id="195" w:name="_Toc151"/>
      <w:bookmarkStart w:id="196" w:name="_Toc1510"/>
      <w:r>
        <w:rPr>
          <w:rFonts w:hint="default" w:ascii="Times New Roman" w:hAnsi="Times New Roman" w:eastAsia="仿宋_GB2312" w:cs="Times New Roman"/>
          <w:bCs/>
          <w:color w:val="auto"/>
          <w:sz w:val="28"/>
          <w:szCs w:val="28"/>
        </w:rPr>
        <w:t>4.1.3 噪声污染及其治理措施</w:t>
      </w:r>
      <w:bookmarkEnd w:id="185"/>
      <w:bookmarkEnd w:id="186"/>
      <w:bookmarkEnd w:id="187"/>
      <w:bookmarkEnd w:id="188"/>
      <w:bookmarkEnd w:id="189"/>
      <w:bookmarkEnd w:id="190"/>
      <w:bookmarkEnd w:id="191"/>
      <w:bookmarkEnd w:id="192"/>
      <w:bookmarkEnd w:id="193"/>
      <w:bookmarkEnd w:id="194"/>
      <w:bookmarkEnd w:id="195"/>
      <w:bookmarkEnd w:id="196"/>
    </w:p>
    <w:p>
      <w:pPr>
        <w:pStyle w:val="9"/>
        <w:spacing w:line="36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本项目主要噪声源为抽风机、送风机、叉车噪声等设备噪声。其源强值一般为65~</w:t>
      </w: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5dB(A)。施工设计中采取了消声、隔声、减振等降噪措施，以减轻对周围环境的影响。</w:t>
      </w:r>
    </w:p>
    <w:p>
      <w:pPr>
        <w:widowControl/>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噪声污染源及防治措施详见表4-3。</w:t>
      </w:r>
    </w:p>
    <w:p>
      <w:pPr>
        <w:pStyle w:val="55"/>
        <w:spacing w:line="240" w:lineRule="auto"/>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表4-3 主要噪声源及治理措施</w:t>
      </w:r>
    </w:p>
    <w:tbl>
      <w:tblPr>
        <w:tblStyle w:val="21"/>
        <w:tblW w:w="8900" w:type="dxa"/>
        <w:jc w:val="center"/>
        <w:tblInd w:w="-50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771"/>
        <w:gridCol w:w="1674"/>
        <w:gridCol w:w="4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33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771"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主要噪声源</w:t>
            </w:r>
          </w:p>
        </w:tc>
        <w:tc>
          <w:tcPr>
            <w:tcW w:w="167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声源源强Leq</w:t>
            </w:r>
          </w:p>
          <w:p>
            <w:pPr>
              <w:pStyle w:val="55"/>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dB（A）</w:t>
            </w:r>
          </w:p>
        </w:tc>
        <w:tc>
          <w:tcPr>
            <w:tcW w:w="4117"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3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71"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抽风机</w:t>
            </w:r>
          </w:p>
        </w:tc>
        <w:tc>
          <w:tcPr>
            <w:tcW w:w="167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4117"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基础减震、封闭、隔声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3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71"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送风机</w:t>
            </w:r>
          </w:p>
        </w:tc>
        <w:tc>
          <w:tcPr>
            <w:tcW w:w="167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117"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基础减震、封闭、隔声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33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771"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叉车</w:t>
            </w:r>
          </w:p>
        </w:tc>
        <w:tc>
          <w:tcPr>
            <w:tcW w:w="167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4117"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封闭</w:t>
            </w:r>
          </w:p>
        </w:tc>
      </w:tr>
    </w:tbl>
    <w:p>
      <w:pPr>
        <w:pStyle w:val="4"/>
        <w:spacing w:line="240" w:lineRule="atLeast"/>
        <w:ind w:firstLine="0" w:firstLineChars="0"/>
        <w:rPr>
          <w:rFonts w:hint="default" w:ascii="Times New Roman" w:hAnsi="Times New Roman" w:eastAsia="仿宋_GB2312" w:cs="Times New Roman"/>
          <w:bCs/>
          <w:color w:val="auto"/>
          <w:sz w:val="28"/>
          <w:szCs w:val="28"/>
        </w:rPr>
      </w:pPr>
      <w:bookmarkStart w:id="197" w:name="_Toc24378"/>
      <w:bookmarkStart w:id="198" w:name="_Toc7822"/>
      <w:bookmarkStart w:id="199" w:name="_Toc27438"/>
      <w:bookmarkStart w:id="200" w:name="_Toc29673"/>
      <w:bookmarkStart w:id="201" w:name="_Toc15203"/>
      <w:bookmarkStart w:id="202" w:name="_Toc30809"/>
      <w:bookmarkStart w:id="203" w:name="_Toc4533"/>
      <w:bookmarkStart w:id="204" w:name="_Toc7265"/>
      <w:bookmarkStart w:id="205" w:name="_Toc2593"/>
      <w:bookmarkStart w:id="206" w:name="_Toc5259"/>
      <w:bookmarkStart w:id="207" w:name="_Toc1820"/>
      <w:bookmarkStart w:id="208" w:name="_Toc10941"/>
      <w:r>
        <w:rPr>
          <w:rFonts w:hint="default" w:ascii="Times New Roman" w:hAnsi="Times New Roman" w:eastAsia="仿宋_GB2312" w:cs="Times New Roman"/>
          <w:bCs/>
          <w:color w:val="auto"/>
          <w:sz w:val="28"/>
          <w:szCs w:val="28"/>
        </w:rPr>
        <w:t>4.1.4 固体废物污染及其治理措施</w:t>
      </w:r>
      <w:bookmarkEnd w:id="197"/>
      <w:bookmarkEnd w:id="198"/>
      <w:bookmarkEnd w:id="199"/>
      <w:bookmarkEnd w:id="200"/>
      <w:bookmarkEnd w:id="201"/>
      <w:bookmarkEnd w:id="202"/>
      <w:bookmarkEnd w:id="203"/>
      <w:bookmarkEnd w:id="204"/>
      <w:bookmarkEnd w:id="205"/>
      <w:bookmarkEnd w:id="206"/>
      <w:bookmarkEnd w:id="207"/>
      <w:bookmarkEnd w:id="208"/>
    </w:p>
    <w:p>
      <w:pPr>
        <w:widowControl/>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本项目固体废物主要为生活垃圾、废劳保用品、废弃拖把、电解液等。</w:t>
      </w:r>
    </w:p>
    <w:p>
      <w:pPr>
        <w:widowControl/>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生活垃圾集中收集后委托环卫部门定期清运，废劳保用品、废弃拖把和电解液委托有资质单位</w:t>
      </w:r>
      <w:r>
        <w:rPr>
          <w:rFonts w:hint="default" w:ascii="Times New Roman" w:hAnsi="Times New Roman" w:cs="Times New Roman"/>
          <w:color w:val="auto"/>
          <w:sz w:val="28"/>
          <w:szCs w:val="28"/>
          <w:lang w:eastAsia="zh-CN"/>
        </w:rPr>
        <w:t>湖南省金翼有色金属综合回收有限公司</w:t>
      </w:r>
      <w:r>
        <w:rPr>
          <w:rFonts w:hint="default" w:ascii="Times New Roman" w:hAnsi="Times New Roman" w:cs="Times New Roman"/>
          <w:color w:val="auto"/>
          <w:sz w:val="28"/>
          <w:szCs w:val="28"/>
        </w:rPr>
        <w:t>定期收集处理。具体处理措施见表 4-4。</w:t>
      </w:r>
    </w:p>
    <w:p>
      <w:pPr>
        <w:widowControl/>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 4-4 固体废物污染源及治理措施</w:t>
      </w:r>
    </w:p>
    <w:tbl>
      <w:tblPr>
        <w:tblStyle w:val="21"/>
        <w:tblW w:w="91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106"/>
        <w:gridCol w:w="1860"/>
        <w:gridCol w:w="1020"/>
        <w:gridCol w:w="3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88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10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固体废物名称</w:t>
            </w:r>
          </w:p>
        </w:tc>
        <w:tc>
          <w:tcPr>
            <w:tcW w:w="186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产生工序</w:t>
            </w:r>
          </w:p>
        </w:tc>
        <w:tc>
          <w:tcPr>
            <w:tcW w:w="102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属性</w:t>
            </w:r>
          </w:p>
        </w:tc>
        <w:tc>
          <w:tcPr>
            <w:tcW w:w="324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88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10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废劳保用品</w:t>
            </w:r>
          </w:p>
        </w:tc>
        <w:tc>
          <w:tcPr>
            <w:tcW w:w="186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劳动保护</w:t>
            </w:r>
          </w:p>
        </w:tc>
        <w:tc>
          <w:tcPr>
            <w:tcW w:w="1020"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危废</w:t>
            </w:r>
          </w:p>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3248"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委托有资质单位</w:t>
            </w:r>
            <w:r>
              <w:rPr>
                <w:rFonts w:hint="default" w:ascii="Times New Roman" w:hAnsi="Times New Roman" w:cs="Times New Roman" w:eastAsiaTheme="minorEastAsia"/>
                <w:color w:val="auto"/>
                <w:sz w:val="21"/>
                <w:szCs w:val="21"/>
                <w:lang w:eastAsia="zh-CN"/>
              </w:rPr>
              <w:t>湖南省金翼有色金属综合回收有限公司</w:t>
            </w:r>
            <w:r>
              <w:rPr>
                <w:rFonts w:hint="default" w:ascii="Times New Roman" w:hAnsi="Times New Roman" w:cs="Times New Roman" w:eastAsiaTheme="minorEastAsia"/>
                <w:color w:val="auto"/>
                <w:sz w:val="21"/>
                <w:szCs w:val="21"/>
              </w:rPr>
              <w:t>定期收集处理。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88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10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废弃拖把</w:t>
            </w:r>
          </w:p>
        </w:tc>
        <w:tc>
          <w:tcPr>
            <w:tcW w:w="186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地面擦拭</w:t>
            </w:r>
          </w:p>
        </w:tc>
        <w:tc>
          <w:tcPr>
            <w:tcW w:w="1020"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3248"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88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10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电解液</w:t>
            </w:r>
          </w:p>
        </w:tc>
        <w:tc>
          <w:tcPr>
            <w:tcW w:w="186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搬运、卸载</w:t>
            </w:r>
          </w:p>
        </w:tc>
        <w:tc>
          <w:tcPr>
            <w:tcW w:w="1020"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3248"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8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2106"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生活垃圾</w:t>
            </w:r>
          </w:p>
        </w:tc>
        <w:tc>
          <w:tcPr>
            <w:tcW w:w="186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办公生活</w:t>
            </w:r>
          </w:p>
        </w:tc>
        <w:tc>
          <w:tcPr>
            <w:tcW w:w="1020"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w:t>
            </w:r>
          </w:p>
        </w:tc>
        <w:tc>
          <w:tcPr>
            <w:tcW w:w="3248"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由当地环卫部门清运处理。</w:t>
            </w:r>
          </w:p>
        </w:tc>
      </w:tr>
    </w:tbl>
    <w:p>
      <w:pPr>
        <w:pStyle w:val="3"/>
        <w:ind w:firstLine="0" w:firstLineChars="0"/>
        <w:rPr>
          <w:rFonts w:hint="default" w:ascii="Times New Roman" w:hAnsi="Times New Roman" w:cs="Times New Roman"/>
          <w:color w:val="auto"/>
        </w:rPr>
      </w:pPr>
      <w:bookmarkStart w:id="209" w:name="_Toc19721"/>
      <w:bookmarkStart w:id="210" w:name="_Toc17112"/>
      <w:bookmarkStart w:id="211" w:name="_Toc22278"/>
      <w:bookmarkStart w:id="212" w:name="_Toc27164"/>
      <w:bookmarkStart w:id="213" w:name="_Toc1289"/>
      <w:bookmarkStart w:id="214" w:name="_Toc9481"/>
      <w:bookmarkStart w:id="215" w:name="_Toc15698"/>
      <w:bookmarkStart w:id="216" w:name="_Toc12284"/>
      <w:bookmarkStart w:id="217" w:name="_Toc11151"/>
      <w:bookmarkStart w:id="218" w:name="_Toc26085"/>
      <w:bookmarkStart w:id="219" w:name="_Toc19988"/>
      <w:r>
        <w:rPr>
          <w:rFonts w:hint="default" w:ascii="Times New Roman" w:hAnsi="Times New Roman" w:cs="Times New Roman"/>
          <w:color w:val="auto"/>
        </w:rPr>
        <w:t>4.2其他环节保护设施</w:t>
      </w:r>
      <w:bookmarkEnd w:id="209"/>
    </w:p>
    <w:p>
      <w:pPr>
        <w:pStyle w:val="4"/>
        <w:ind w:firstLine="643"/>
        <w:rPr>
          <w:rFonts w:hint="default" w:ascii="Times New Roman" w:hAnsi="Times New Roman" w:cs="Times New Roman"/>
          <w:color w:val="auto"/>
        </w:rPr>
      </w:pPr>
      <w:bookmarkStart w:id="220" w:name="_Toc2821"/>
      <w:r>
        <w:rPr>
          <w:rFonts w:hint="default" w:ascii="Times New Roman" w:hAnsi="Times New Roman" w:cs="Times New Roman"/>
          <w:color w:val="auto"/>
        </w:rPr>
        <w:t>4.2.1风险防范设施</w:t>
      </w:r>
      <w:bookmarkEnd w:id="220"/>
    </w:p>
    <w:p>
      <w:pPr>
        <w:pStyle w:val="5"/>
        <w:tabs>
          <w:tab w:val="left" w:pos="1000"/>
        </w:tabs>
        <w:snapToGrid w:val="0"/>
        <w:ind w:firstLine="560"/>
        <w:rPr>
          <w:rFonts w:hint="default" w:ascii="Times New Roman" w:hAnsi="Times New Roman" w:eastAsia="宋体" w:cs="Times New Roman"/>
          <w:color w:val="auto"/>
          <w:kern w:val="2"/>
          <w:position w:val="0"/>
          <w:szCs w:val="28"/>
        </w:rPr>
      </w:pPr>
      <w:r>
        <w:rPr>
          <w:rFonts w:hint="default" w:ascii="Times New Roman" w:hAnsi="Times New Roman" w:eastAsia="宋体" w:cs="Times New Roman"/>
          <w:color w:val="auto"/>
          <w:kern w:val="2"/>
          <w:position w:val="0"/>
          <w:szCs w:val="28"/>
        </w:rPr>
        <w:t>经调查核实：项目车间及周边地面均采取防渗、防腐处理，贮存车间采取耐酸水泥、树脂砂浆、麻石三层地坪，使渗透系数不大于10</w:t>
      </w:r>
      <w:r>
        <w:rPr>
          <w:rFonts w:hint="default" w:ascii="Times New Roman" w:hAnsi="Times New Roman" w:eastAsia="宋体" w:cs="Times New Roman"/>
          <w:color w:val="auto"/>
          <w:kern w:val="2"/>
          <w:position w:val="0"/>
          <w:szCs w:val="28"/>
          <w:vertAlign w:val="superscript"/>
        </w:rPr>
        <w:t>-7</w:t>
      </w:r>
      <w:r>
        <w:rPr>
          <w:rFonts w:hint="default" w:ascii="Times New Roman" w:hAnsi="Times New Roman" w:eastAsia="宋体" w:cs="Times New Roman"/>
          <w:color w:val="auto"/>
          <w:kern w:val="2"/>
          <w:position w:val="0"/>
          <w:szCs w:val="28"/>
        </w:rPr>
        <w:t>cm/s，车间四周靠墙侧设置导流槽，在车间靠南侧设置裙角，采用耐酸、耐腐蚀的材质建造1个2m</w:t>
      </w:r>
      <w:r>
        <w:rPr>
          <w:rFonts w:hint="default" w:ascii="Times New Roman" w:hAnsi="Times New Roman" w:eastAsia="宋体" w:cs="Times New Roman"/>
          <w:color w:val="auto"/>
          <w:kern w:val="2"/>
          <w:position w:val="0"/>
          <w:szCs w:val="28"/>
          <w:vertAlign w:val="superscript"/>
        </w:rPr>
        <w:t>3</w:t>
      </w:r>
      <w:r>
        <w:rPr>
          <w:rFonts w:hint="default" w:ascii="Times New Roman" w:hAnsi="Times New Roman" w:eastAsia="宋体" w:cs="Times New Roman"/>
          <w:color w:val="auto"/>
          <w:kern w:val="2"/>
          <w:position w:val="0"/>
          <w:szCs w:val="28"/>
        </w:rPr>
        <w:t>的电解液收集池。本项目不对车间地面进行冲洗，少量泄漏电解液使用拖把擦拭，不对拖把进行清洗，擦拭后的拖把作为危险废物，交由有资质单位</w:t>
      </w:r>
      <w:r>
        <w:rPr>
          <w:rFonts w:hint="default" w:ascii="Times New Roman" w:hAnsi="Times New Roman" w:eastAsia="宋体" w:cs="Times New Roman"/>
          <w:color w:val="auto"/>
          <w:kern w:val="2"/>
          <w:position w:val="0"/>
          <w:szCs w:val="28"/>
          <w:lang w:eastAsia="zh-CN"/>
        </w:rPr>
        <w:t>湖南省金翼有色金属综合回收有限公司</w:t>
      </w:r>
      <w:r>
        <w:rPr>
          <w:rFonts w:hint="default" w:ascii="Times New Roman" w:hAnsi="Times New Roman" w:eastAsia="宋体" w:cs="Times New Roman"/>
          <w:color w:val="auto"/>
          <w:kern w:val="2"/>
          <w:position w:val="0"/>
          <w:szCs w:val="28"/>
        </w:rPr>
        <w:t>处理。本项目已编制了突发环境亊件应急预案，通过了应急预案评审会，完善了企业环境风险亊故的应急及处置措施。</w:t>
      </w:r>
    </w:p>
    <w:p>
      <w:pPr>
        <w:pStyle w:val="3"/>
        <w:ind w:firstLine="0" w:firstLineChars="0"/>
        <w:rPr>
          <w:rFonts w:hint="default" w:ascii="Times New Roman" w:hAnsi="Times New Roman" w:eastAsia="仿宋_GB2312" w:cs="Times New Roman"/>
          <w:color w:val="auto"/>
          <w:szCs w:val="32"/>
        </w:rPr>
      </w:pPr>
      <w:bookmarkStart w:id="221" w:name="_Toc25403"/>
      <w:r>
        <w:rPr>
          <w:rFonts w:hint="default" w:ascii="Times New Roman" w:hAnsi="Times New Roman" w:cs="Times New Roman"/>
          <w:color w:val="auto"/>
        </w:rPr>
        <w:t>4.3</w:t>
      </w:r>
      <w:r>
        <w:rPr>
          <w:rFonts w:hint="default" w:ascii="Times New Roman" w:hAnsi="Times New Roman" w:eastAsia="仿宋_GB2312" w:cs="Times New Roman"/>
          <w:color w:val="auto"/>
          <w:szCs w:val="32"/>
        </w:rPr>
        <w:t>环保设施投资</w:t>
      </w:r>
      <w:bookmarkEnd w:id="210"/>
      <w:r>
        <w:rPr>
          <w:rFonts w:hint="default" w:ascii="Times New Roman" w:hAnsi="Times New Roman" w:eastAsia="仿宋_GB2312" w:cs="Times New Roman"/>
          <w:color w:val="auto"/>
          <w:szCs w:val="32"/>
        </w:rPr>
        <w:t>及“三同时”落实情况</w:t>
      </w:r>
      <w:bookmarkEnd w:id="211"/>
      <w:bookmarkEnd w:id="212"/>
      <w:bookmarkEnd w:id="213"/>
      <w:bookmarkEnd w:id="214"/>
      <w:bookmarkEnd w:id="215"/>
      <w:bookmarkEnd w:id="216"/>
      <w:bookmarkEnd w:id="217"/>
      <w:bookmarkEnd w:id="218"/>
      <w:bookmarkEnd w:id="219"/>
      <w:bookmarkEnd w:id="221"/>
    </w:p>
    <w:p>
      <w:pPr>
        <w:widowControl/>
        <w:ind w:firstLine="56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本项目工程总投资300万元，其中环保投资约为47万元，环保投资占项目总投资的15.67%，主要环保设施见表4-5。</w:t>
      </w:r>
    </w:p>
    <w:p>
      <w:pPr>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 4-5 建设项目环保投资一览表</w:t>
      </w:r>
    </w:p>
    <w:tbl>
      <w:tblPr>
        <w:tblStyle w:val="21"/>
        <w:tblW w:w="96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2622"/>
        <w:gridCol w:w="2749"/>
        <w:gridCol w:w="25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1695"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环保措施</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环评预期投资（万元）</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车间改造封闭</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排风系统</w:t>
            </w:r>
          </w:p>
        </w:tc>
        <w:tc>
          <w:tcPr>
            <w:tcW w:w="2749"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2534"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通风系统</w:t>
            </w:r>
          </w:p>
        </w:tc>
        <w:tc>
          <w:tcPr>
            <w:tcW w:w="2749"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534"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调节系统</w:t>
            </w:r>
          </w:p>
        </w:tc>
        <w:tc>
          <w:tcPr>
            <w:tcW w:w="2749"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534"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导流槽</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废水收集池</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地埋式污水处理装置</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电解液收集桶</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电解液收集池</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jc w:val="center"/>
        </w:trPr>
        <w:tc>
          <w:tcPr>
            <w:tcW w:w="1695"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车间、设施、周边地面防渗，墙壁及其屋顶防腐，危险废物按要求建设暂存设施并交有资质单位处理</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噪声防治</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restart"/>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风险防范</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碱性吸收塔</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废水事故应急池</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695" w:type="dxa"/>
            <w:vMerge w:val="continue"/>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风险事故应急池</w:t>
            </w: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695"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合计</w:t>
            </w:r>
          </w:p>
        </w:tc>
        <w:tc>
          <w:tcPr>
            <w:tcW w:w="2622"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p>
        </w:tc>
        <w:tc>
          <w:tcPr>
            <w:tcW w:w="2749"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w:t>
            </w:r>
          </w:p>
        </w:tc>
        <w:tc>
          <w:tcPr>
            <w:tcW w:w="2534" w:type="dxa"/>
            <w:tcBorders>
              <w:tl2br w:val="nil"/>
              <w:tr2bl w:val="nil"/>
            </w:tcBorders>
            <w:vAlign w:val="center"/>
          </w:tcPr>
          <w:p>
            <w:pPr>
              <w:pStyle w:val="55"/>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47.0</w:t>
            </w:r>
          </w:p>
        </w:tc>
      </w:tr>
    </w:tbl>
    <w:p>
      <w:pPr>
        <w:ind w:firstLine="480"/>
        <w:rPr>
          <w:rFonts w:hint="default" w:ascii="Times New Roman" w:hAnsi="Times New Roman" w:cs="Times New Roman"/>
          <w:color w:val="auto"/>
        </w:rPr>
      </w:pPr>
      <w:bookmarkStart w:id="222" w:name="_Toc1492"/>
      <w:bookmarkStart w:id="223" w:name="_Toc13688"/>
      <w:bookmarkStart w:id="224" w:name="_Toc27543"/>
      <w:bookmarkStart w:id="225" w:name="_Toc1524"/>
      <w:bookmarkStart w:id="226" w:name="_Toc32700"/>
      <w:bookmarkStart w:id="227" w:name="_Toc5236"/>
      <w:bookmarkStart w:id="228" w:name="_Toc8668"/>
      <w:bookmarkStart w:id="229" w:name="_Toc18522"/>
      <w:bookmarkStart w:id="230" w:name="_Toc7709"/>
      <w:bookmarkStart w:id="231" w:name="_Toc12796"/>
      <w:bookmarkStart w:id="232" w:name="_Toc14859"/>
      <w:bookmarkStart w:id="233" w:name="_Toc12811"/>
    </w:p>
    <w:p>
      <w:pPr>
        <w:pStyle w:val="2"/>
        <w:spacing w:line="360" w:lineRule="auto"/>
        <w:ind w:firstLine="0" w:firstLineChars="0"/>
        <w:rPr>
          <w:rFonts w:hint="default" w:ascii="Times New Roman" w:hAnsi="Times New Roman" w:eastAsia="黑体" w:cs="Times New Roman"/>
          <w:color w:val="auto"/>
          <w:sz w:val="32"/>
          <w:szCs w:val="32"/>
        </w:rPr>
      </w:pPr>
      <w:bookmarkStart w:id="234" w:name="_Toc8135"/>
      <w:bookmarkStart w:id="235" w:name="_Toc15253"/>
      <w:r>
        <w:rPr>
          <w:rFonts w:hint="default" w:ascii="Times New Roman" w:hAnsi="Times New Roman" w:eastAsia="黑体" w:cs="Times New Roman"/>
          <w:color w:val="auto"/>
          <w:sz w:val="32"/>
          <w:szCs w:val="32"/>
        </w:rPr>
        <w:t>5、环评主要结论及</w:t>
      </w:r>
      <w:bookmarkEnd w:id="222"/>
      <w:bookmarkEnd w:id="223"/>
      <w:r>
        <w:rPr>
          <w:rFonts w:hint="default" w:ascii="Times New Roman" w:hAnsi="Times New Roman" w:eastAsia="黑体" w:cs="Times New Roman"/>
          <w:color w:val="auto"/>
          <w:sz w:val="32"/>
          <w:szCs w:val="32"/>
        </w:rPr>
        <w:t>建议</w:t>
      </w:r>
      <w:bookmarkEnd w:id="224"/>
      <w:r>
        <w:rPr>
          <w:rFonts w:hint="default" w:ascii="Times New Roman" w:hAnsi="Times New Roman" w:eastAsia="黑体" w:cs="Times New Roman"/>
          <w:color w:val="auto"/>
          <w:sz w:val="32"/>
          <w:szCs w:val="32"/>
        </w:rPr>
        <w:t>及审批部门审批决定</w:t>
      </w:r>
      <w:bookmarkEnd w:id="225"/>
      <w:bookmarkEnd w:id="226"/>
      <w:bookmarkEnd w:id="227"/>
      <w:bookmarkEnd w:id="228"/>
      <w:bookmarkEnd w:id="229"/>
      <w:bookmarkEnd w:id="230"/>
      <w:bookmarkEnd w:id="231"/>
      <w:bookmarkEnd w:id="232"/>
      <w:bookmarkEnd w:id="233"/>
      <w:bookmarkEnd w:id="234"/>
      <w:bookmarkEnd w:id="235"/>
    </w:p>
    <w:p>
      <w:pPr>
        <w:pStyle w:val="3"/>
        <w:spacing w:line="360" w:lineRule="auto"/>
        <w:ind w:firstLine="0" w:firstLineChars="0"/>
        <w:rPr>
          <w:rFonts w:hint="default" w:ascii="Times New Roman" w:hAnsi="Times New Roman" w:cs="Times New Roman"/>
          <w:color w:val="auto"/>
        </w:rPr>
      </w:pPr>
      <w:bookmarkStart w:id="236" w:name="_Toc18751"/>
      <w:bookmarkStart w:id="237" w:name="_Toc19342"/>
      <w:bookmarkStart w:id="238" w:name="_Toc26504"/>
      <w:bookmarkStart w:id="239" w:name="_Toc29060"/>
      <w:bookmarkStart w:id="240" w:name="_Toc19813"/>
      <w:bookmarkStart w:id="241" w:name="_Toc24981"/>
      <w:bookmarkStart w:id="242" w:name="_Toc23326"/>
      <w:bookmarkStart w:id="243" w:name="_Toc29330"/>
      <w:bookmarkStart w:id="244" w:name="_Toc31593"/>
      <w:bookmarkStart w:id="245" w:name="_Toc7093"/>
      <w:bookmarkStart w:id="246" w:name="_Toc19700"/>
      <w:bookmarkStart w:id="247" w:name="_Toc30934"/>
      <w:bookmarkStart w:id="248" w:name="_Toc19873"/>
      <w:bookmarkStart w:id="249" w:name="_Toc20796"/>
      <w:r>
        <w:rPr>
          <w:rFonts w:hint="default" w:ascii="Times New Roman" w:hAnsi="Times New Roman" w:cs="Times New Roman"/>
          <w:color w:val="auto"/>
        </w:rPr>
        <w:t>5.1</w:t>
      </w:r>
      <w:r>
        <w:rPr>
          <w:rFonts w:hint="default" w:ascii="Times New Roman" w:hAnsi="Times New Roman" w:eastAsia="仿宋_GB2312" w:cs="Times New Roman"/>
          <w:color w:val="auto"/>
          <w:szCs w:val="32"/>
        </w:rPr>
        <w:t>环评主要结论</w:t>
      </w:r>
      <w:bookmarkEnd w:id="236"/>
      <w:bookmarkEnd w:id="237"/>
      <w:bookmarkEnd w:id="238"/>
      <w:bookmarkEnd w:id="239"/>
      <w:bookmarkEnd w:id="240"/>
      <w:bookmarkEnd w:id="241"/>
      <w:bookmarkEnd w:id="242"/>
      <w:bookmarkEnd w:id="243"/>
      <w:bookmarkEnd w:id="244"/>
      <w:bookmarkEnd w:id="245"/>
    </w:p>
    <w:bookmarkEnd w:id="246"/>
    <w:bookmarkEnd w:id="247"/>
    <w:bookmarkEnd w:id="248"/>
    <w:bookmarkEnd w:id="249"/>
    <w:p>
      <w:pPr>
        <w:ind w:firstLine="560"/>
        <w:rPr>
          <w:rFonts w:hint="default" w:ascii="Times New Roman" w:hAnsi="Times New Roman" w:cs="Times New Roman"/>
          <w:color w:val="auto"/>
          <w:sz w:val="28"/>
          <w:szCs w:val="28"/>
        </w:rPr>
      </w:pPr>
      <w:bookmarkStart w:id="250" w:name="_Toc15126"/>
      <w:bookmarkStart w:id="251" w:name="_Toc30523"/>
      <w:bookmarkStart w:id="252" w:name="_Toc27361"/>
      <w:bookmarkStart w:id="253" w:name="_Toc529"/>
      <w:bookmarkStart w:id="254" w:name="_Toc12248"/>
      <w:bookmarkStart w:id="255" w:name="_Toc13565"/>
      <w:bookmarkStart w:id="256" w:name="_Toc3045"/>
      <w:bookmarkStart w:id="257" w:name="_Toc20199"/>
      <w:bookmarkStart w:id="258" w:name="_Toc15962"/>
      <w:bookmarkStart w:id="259" w:name="_Toc26140"/>
      <w:bookmarkStart w:id="260" w:name="_Toc15554"/>
      <w:bookmarkStart w:id="261" w:name="_Toc4688"/>
      <w:bookmarkStart w:id="262" w:name="_Toc23094"/>
      <w:r>
        <w:rPr>
          <w:rFonts w:hint="default" w:ascii="Times New Roman" w:hAnsi="Times New Roman" w:cs="Times New Roman"/>
          <w:color w:val="auto"/>
          <w:sz w:val="28"/>
          <w:szCs w:val="28"/>
        </w:rPr>
        <w:t>本项目符合国家产业政策；具有良好的社会效益、经济效益；项目对环境的影响在可承受范围内，项目严格执行“三同时”规定，加</w:t>
      </w:r>
      <w:bookmarkStart w:id="263" w:name="bookmark168"/>
      <w:bookmarkStart w:id="264" w:name="bookmark169"/>
      <w:r>
        <w:rPr>
          <w:rFonts w:hint="default" w:ascii="Times New Roman" w:hAnsi="Times New Roman" w:cs="Times New Roman"/>
          <w:color w:val="auto"/>
          <w:sz w:val="28"/>
          <w:szCs w:val="28"/>
        </w:rPr>
        <w:t>强环境管理，确保污染物治理措施正常运行和污染物达标排放，从环境角度分析，本项目建设可行</w:t>
      </w:r>
      <w:bookmarkEnd w:id="263"/>
      <w:r>
        <w:rPr>
          <w:rFonts w:hint="default" w:ascii="Times New Roman" w:hAnsi="Times New Roman" w:cs="Times New Roman"/>
          <w:color w:val="auto"/>
          <w:sz w:val="28"/>
          <w:szCs w:val="28"/>
        </w:rPr>
        <w:t>。</w:t>
      </w:r>
    </w:p>
    <w:p>
      <w:pPr>
        <w:pStyle w:val="3"/>
        <w:ind w:firstLine="0" w:firstLineChars="0"/>
        <w:rPr>
          <w:rFonts w:hint="default" w:ascii="Times New Roman" w:hAnsi="Times New Roman" w:cs="Times New Roman"/>
          <w:color w:val="auto"/>
        </w:rPr>
      </w:pPr>
      <w:bookmarkStart w:id="265" w:name="_Toc29001"/>
      <w:bookmarkStart w:id="266" w:name="_Toc477945926"/>
      <w:r>
        <w:rPr>
          <w:rFonts w:hint="default" w:ascii="Times New Roman" w:hAnsi="Times New Roman" w:cs="Times New Roman"/>
          <w:color w:val="auto"/>
        </w:rPr>
        <w:t>5.2</w:t>
      </w:r>
      <w:r>
        <w:rPr>
          <w:rFonts w:hint="default" w:ascii="Times New Roman" w:hAnsi="Times New Roman" w:eastAsia="仿宋_GB2312" w:cs="Times New Roman"/>
          <w:color w:val="auto"/>
          <w:szCs w:val="32"/>
        </w:rPr>
        <w:t>建议和要求</w:t>
      </w:r>
      <w:bookmarkEnd w:id="264"/>
      <w:bookmarkEnd w:id="265"/>
      <w:bookmarkEnd w:id="266"/>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（1）项目装卸过程必须在贮存车间内进行，严禁在车间外装卸。</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（2）项目废旧铅酸蓄电池在收集、运输、贮存过程中均需收贮在耐酸、耐腐蚀的PV桶、PV周转箱中，严禁擅自丢弃废旧蓄电池或倾倒电解液。</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（3）项目铅酸蓄电池收贮容器严禁在本项目区清洗，均同铅酸蓄电池一起运往接收单位（</w:t>
      </w:r>
      <w:r>
        <w:rPr>
          <w:rFonts w:hint="default" w:ascii="Times New Roman" w:hAnsi="Times New Roman" w:cs="Times New Roman"/>
          <w:color w:val="auto"/>
          <w:sz w:val="28"/>
          <w:szCs w:val="28"/>
          <w:lang w:eastAsia="zh-CN"/>
        </w:rPr>
        <w:t>湖南省金翼有色金属综合回收有限公司</w:t>
      </w:r>
      <w:r>
        <w:rPr>
          <w:rFonts w:hint="default" w:ascii="Times New Roman" w:hAnsi="Times New Roman" w:cs="Times New Roman"/>
          <w:color w:val="auto"/>
          <w:sz w:val="28"/>
          <w:szCs w:val="28"/>
        </w:rPr>
        <w:t>）后在接收单位进行清洗。</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（4）严格禁止私自对废旧铅酸蓄电池进行拆解和后续加工。</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（5）本项目严禁收贮镉镍电池、氧化汞电池等危险废物。</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（6）建议建设单位委托有资质的单位对本项目编制安全影响评价报告，并根据相关要求做好本项目安全方面工作。</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（7）建设单位应认真贯彻执行有关建设项目环境保护管理文件的精神，建立健全各项环保规章制度，严格执行“三同时”，同时完善管理机制，强化企业职工自身的环保意识。</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（8）建立完善的安全生产管理系统，建立健全事故防范措施及应急措施。</w:t>
      </w: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（9）落实本报告书中提出的各项安全防范措施和环保措施。</w:t>
      </w:r>
      <w:bookmarkEnd w:id="250"/>
      <w:bookmarkEnd w:id="251"/>
      <w:bookmarkEnd w:id="252"/>
      <w:bookmarkEnd w:id="253"/>
      <w:bookmarkEnd w:id="254"/>
      <w:bookmarkEnd w:id="255"/>
      <w:bookmarkEnd w:id="256"/>
      <w:bookmarkEnd w:id="257"/>
      <w:bookmarkEnd w:id="258"/>
      <w:bookmarkEnd w:id="259"/>
      <w:bookmarkEnd w:id="260"/>
      <w:bookmarkEnd w:id="261"/>
      <w:bookmarkEnd w:id="262"/>
      <w:bookmarkStart w:id="267" w:name="_Toc23734"/>
      <w:bookmarkStart w:id="268" w:name="_Toc25722"/>
    </w:p>
    <w:p>
      <w:pPr>
        <w:pStyle w:val="3"/>
        <w:ind w:firstLine="643"/>
        <w:rPr>
          <w:rFonts w:hint="default" w:ascii="Times New Roman" w:hAnsi="Times New Roman" w:eastAsia="仿宋_GB2312" w:cs="Times New Roman"/>
          <w:color w:val="auto"/>
          <w:szCs w:val="32"/>
        </w:rPr>
      </w:pPr>
      <w:bookmarkStart w:id="269" w:name="_Toc30659"/>
      <w:bookmarkStart w:id="270" w:name="_Toc22265"/>
      <w:bookmarkStart w:id="271" w:name="_Toc8798"/>
      <w:bookmarkStart w:id="272" w:name="_Toc25965"/>
      <w:bookmarkStart w:id="273" w:name="_Toc10352"/>
      <w:bookmarkStart w:id="274" w:name="_Toc18518"/>
      <w:bookmarkStart w:id="275" w:name="_Toc30813"/>
      <w:bookmarkStart w:id="276" w:name="_Toc8366"/>
      <w:bookmarkStart w:id="277" w:name="_Toc20312"/>
      <w:r>
        <w:rPr>
          <w:rFonts w:hint="default" w:ascii="Times New Roman" w:hAnsi="Times New Roman" w:eastAsia="仿宋_GB2312" w:cs="Times New Roman"/>
          <w:color w:val="auto"/>
          <w:szCs w:val="32"/>
        </w:rPr>
        <w:t>5.3审批部门审批决定</w:t>
      </w:r>
      <w:bookmarkEnd w:id="267"/>
      <w:bookmarkEnd w:id="268"/>
      <w:bookmarkEnd w:id="269"/>
      <w:bookmarkEnd w:id="270"/>
      <w:bookmarkEnd w:id="271"/>
      <w:bookmarkEnd w:id="272"/>
      <w:bookmarkEnd w:id="273"/>
      <w:bookmarkEnd w:id="274"/>
      <w:bookmarkEnd w:id="275"/>
      <w:bookmarkEnd w:id="276"/>
      <w:bookmarkEnd w:id="277"/>
    </w:p>
    <w:p>
      <w:pPr>
        <w:ind w:firstLine="56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见附件2。</w:t>
      </w:r>
    </w:p>
    <w:p>
      <w:pPr>
        <w:pStyle w:val="3"/>
        <w:ind w:firstLine="0" w:firstLineChars="0"/>
        <w:rPr>
          <w:rFonts w:hint="default" w:ascii="Times New Roman" w:hAnsi="Times New Roman" w:eastAsia="仿宋_GB2312" w:cs="Times New Roman"/>
          <w:color w:val="auto"/>
          <w:szCs w:val="32"/>
        </w:rPr>
      </w:pPr>
      <w:bookmarkStart w:id="278" w:name="_Toc30244"/>
      <w:bookmarkStart w:id="279" w:name="_Toc32224"/>
      <w:bookmarkStart w:id="280" w:name="_Toc911"/>
      <w:bookmarkStart w:id="281" w:name="_Toc26618"/>
      <w:bookmarkStart w:id="282" w:name="_Toc7491"/>
      <w:bookmarkStart w:id="283" w:name="_Toc28329"/>
      <w:bookmarkStart w:id="284" w:name="_Toc22759"/>
      <w:bookmarkStart w:id="285" w:name="_Toc23352"/>
      <w:bookmarkStart w:id="286" w:name="_Toc30582"/>
      <w:bookmarkStart w:id="287" w:name="_Toc18515"/>
      <w:r>
        <w:rPr>
          <w:rFonts w:hint="default" w:ascii="Times New Roman" w:hAnsi="Times New Roman" w:eastAsia="仿宋_GB2312" w:cs="Times New Roman"/>
          <w:color w:val="auto"/>
          <w:szCs w:val="32"/>
        </w:rPr>
        <w:t>5.4环评批复落实情况</w:t>
      </w:r>
      <w:bookmarkEnd w:id="278"/>
      <w:bookmarkEnd w:id="279"/>
      <w:bookmarkEnd w:id="280"/>
      <w:bookmarkEnd w:id="281"/>
      <w:bookmarkEnd w:id="282"/>
      <w:bookmarkEnd w:id="283"/>
      <w:bookmarkEnd w:id="284"/>
      <w:bookmarkEnd w:id="285"/>
      <w:bookmarkEnd w:id="286"/>
      <w:bookmarkEnd w:id="287"/>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湖南格林城院环境检测咨询有限公司于对益阳市银海环保科技有限公司年收贮废旧铅酸蓄电池1万吨建设项目环评批复要求及配套环保设施运行情况进行了现场检查，项目环评批复要求落实情况见表5-1。</w:t>
      </w:r>
    </w:p>
    <w:p>
      <w:pPr>
        <w:ind w:firstLine="42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表5-1项目环评批复要求落实情况一览表</w:t>
      </w:r>
    </w:p>
    <w:tbl>
      <w:tblPr>
        <w:tblStyle w:val="21"/>
        <w:tblW w:w="9850" w:type="dxa"/>
        <w:jc w:val="center"/>
        <w:tblInd w:w="5589"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6"/>
        <w:gridCol w:w="4725"/>
        <w:gridCol w:w="4148"/>
        <w:gridCol w:w="6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sz w:val="21"/>
                <w:szCs w:val="21"/>
              </w:rPr>
              <w:t>序号</w:t>
            </w:r>
          </w:p>
        </w:tc>
        <w:tc>
          <w:tcPr>
            <w:tcW w:w="4725"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sz w:val="21"/>
                <w:szCs w:val="21"/>
              </w:rPr>
              <w:t>环评批复意见</w:t>
            </w:r>
          </w:p>
        </w:tc>
        <w:tc>
          <w:tcPr>
            <w:tcW w:w="4148"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sz w:val="21"/>
                <w:szCs w:val="21"/>
              </w:rPr>
              <w:t>落实情况</w:t>
            </w:r>
          </w:p>
        </w:tc>
        <w:tc>
          <w:tcPr>
            <w:tcW w:w="661"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sz w:val="21"/>
                <w:szCs w:val="21"/>
              </w:rPr>
              <w:t>是否落实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加强环境管理，建立环境管理机构，配备专职或兼职环保人员，完善环境管理制度，定期对“三废”处理设施进行检查和维护，严禁“三废”不经处理直接排放。</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制订了环境管理制度，配备了专职的环保人员，并定期对“三废”处理设施进行检查和维护。加油站无“三废”不经处理直接外排的现象。</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主要内容为废旧铅酸蓄电池收集转运，建设单位不得擅自收集贮存其他物品，同时必须将收集暂存的废旧铅酸蓄电池定期安全转运至有资质的单位处理，严禁在项目所在地对收集暂存的废旧铅酸蓄电池进行拆解和后续加工。</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项目主要为废旧铅酸蓄电池收集转运，承诺不收集贮存其他物品，同时将收集暂存的废旧铅酸蓄电池定期安全转运至有资质的单位处理，承诺不对收集暂存的废旧铅酸蓄电池进行拆解和后续加工。</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暂存场的建设必须严格执行《危险废物贮存污染控制标准》（GB 18597-2001）及其修改单的要求，做好防渗漏、防雨、防扬散等措施。</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暂存场的建设严格执行了《危险废物贮存污染控制标准》（GB 18597-2001）及其修改单的要求，做好了防渗漏、防雨、防扬散等措施。</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项目铅酸蓄电池装卸过程必须在贮存车间内进行；危险废物暂存间废气必须经碱性吸收塔处理后达标排放。</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项目铅酸蓄电池装卸过程只在贮存车间内进行；危险废物暂存间废气经碱性吸收塔处理后排放，且监测数据表明，外排废气达标排放。</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加强废水污染防治。项目必须设置1个容量3m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的废水收集池和1个2m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的废水事故应急池；车间拖把清洗废水经收集后通过专用车辆运输进入益阳市新材料产业园污水处理厂处理；生活污水经处理达到城东污水处理厂进水水质要求后经管网纳入污水处理厂进行深度处理。</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项目在贮存过程中，无拖把清洗废水产生，生活污水经处理达到城东污水处理厂进水水质要求后经管网纳入污水处理厂进行深度处理。</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选用功率小、噪声低的设备，确保厂界噪声符合《工业企业</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环境噪声排放标准》（GB 12348-2008）中的3类标准要求。</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监测数据表明，厂界环境噪声能满足《工业企业</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环境噪声排放标准》（GB 12348-2008）中的3类标准要求。</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16" w:type="dxa"/>
            <w:tcBorders>
              <w:tl2br w:val="nil"/>
              <w:tr2bl w:val="nil"/>
            </w:tcBorders>
            <w:vAlign w:val="center"/>
          </w:tcPr>
          <w:p>
            <w:pPr>
              <w:pStyle w:val="61"/>
              <w:tabs>
                <w:tab w:val="left" w:pos="3743"/>
                <w:tab w:val="clear" w:pos="2310"/>
                <w:tab w:val="clear" w:pos="5460"/>
              </w:tabs>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725"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本工程投入运营后，存在环境风险隐患，必须制定环境风险事故应急预案和切实可行的应急措施，确保环境安全。项目仓库设置的50m的卫生防护距离，该防护距离范围内不得新建住宅、学校、医院等敏感建筑。</w:t>
            </w:r>
          </w:p>
        </w:tc>
        <w:tc>
          <w:tcPr>
            <w:tcW w:w="4148" w:type="dxa"/>
            <w:tcBorders>
              <w:tl2br w:val="nil"/>
              <w:tr2bl w:val="nil"/>
            </w:tcBorders>
            <w:vAlign w:val="center"/>
          </w:tcPr>
          <w:p>
            <w:pPr>
              <w:pStyle w:val="61"/>
              <w:tabs>
                <w:tab w:val="left" w:pos="3743"/>
                <w:tab w:val="clear" w:pos="2310"/>
                <w:tab w:val="clear" w:pos="5460"/>
              </w:tabs>
              <w:spacing w:line="240" w:lineRule="auto"/>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投入运营后，存在环境风险隐患，制定了环境风险事故应急预案和切实可行的应急措施，环境应急预案已到益阳市环保局登记备案，见附件7。项目仓库设置的50m的卫生防护距离，该防护距离范围内未新建住宅、学校、医院等敏感建筑。</w:t>
            </w:r>
          </w:p>
        </w:tc>
        <w:tc>
          <w:tcPr>
            <w:tcW w:w="661" w:type="dxa"/>
            <w:tcBorders>
              <w:tl2br w:val="nil"/>
              <w:tr2bl w:val="nil"/>
            </w:tcBorders>
            <w:vAlign w:val="center"/>
          </w:tcPr>
          <w:p>
            <w:pPr>
              <w:pStyle w:val="61"/>
              <w:spacing w:line="360" w:lineRule="exact"/>
              <w:ind w:right="-120" w:rightChars="-5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tc>
      </w:tr>
    </w:tbl>
    <w:p>
      <w:pPr>
        <w:pStyle w:val="2"/>
        <w:ind w:firstLine="0" w:firstLineChars="0"/>
        <w:rPr>
          <w:rFonts w:hint="default" w:ascii="Times New Roman" w:hAnsi="Times New Roman" w:eastAsia="黑体" w:cs="Times New Roman"/>
          <w:color w:val="auto"/>
          <w:sz w:val="32"/>
          <w:szCs w:val="32"/>
        </w:rPr>
      </w:pPr>
      <w:bookmarkStart w:id="288" w:name="_Toc16850"/>
      <w:bookmarkStart w:id="289" w:name="_Toc1377"/>
      <w:bookmarkStart w:id="290" w:name="_Toc24043"/>
      <w:bookmarkStart w:id="291" w:name="_Toc8256"/>
      <w:bookmarkStart w:id="292" w:name="_Toc17060"/>
      <w:bookmarkStart w:id="293" w:name="_Toc26966"/>
      <w:bookmarkStart w:id="294" w:name="_Toc18610"/>
      <w:bookmarkStart w:id="295" w:name="_Toc7815"/>
      <w:bookmarkStart w:id="296" w:name="_Toc20545"/>
      <w:bookmarkStart w:id="297" w:name="_Toc25113"/>
      <w:bookmarkStart w:id="298" w:name="_Toc11238"/>
      <w:bookmarkStart w:id="299" w:name="_Toc19949"/>
      <w:bookmarkStart w:id="300" w:name="_Toc16206"/>
      <w:bookmarkStart w:id="301" w:name="_Toc25936"/>
      <w:r>
        <w:rPr>
          <w:rFonts w:hint="default" w:ascii="Times New Roman" w:hAnsi="Times New Roman" w:eastAsia="黑体" w:cs="Times New Roman"/>
          <w:color w:val="auto"/>
          <w:sz w:val="32"/>
          <w:szCs w:val="32"/>
        </w:rPr>
        <w:t>6、验收监测评价标准</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ind w:firstLine="560"/>
        <w:rPr>
          <w:rFonts w:hint="default" w:ascii="Times New Roman" w:hAnsi="Times New Roman" w:cs="Times New Roman"/>
          <w:color w:val="auto"/>
        </w:rPr>
      </w:pPr>
      <w:r>
        <w:rPr>
          <w:rFonts w:hint="default" w:ascii="Times New Roman" w:hAnsi="Times New Roman" w:cs="Times New Roman"/>
          <w:color w:val="auto"/>
          <w:sz w:val="28"/>
          <w:szCs w:val="28"/>
        </w:rPr>
        <w:t>根据环评文件和环评批复，验收评价标准如下。</w:t>
      </w:r>
      <w:bookmarkStart w:id="302" w:name="_Toc30334"/>
      <w:bookmarkStart w:id="303" w:name="_Toc14767"/>
      <w:bookmarkStart w:id="304" w:name="_Toc22446"/>
      <w:bookmarkStart w:id="305" w:name="_Toc21018"/>
    </w:p>
    <w:bookmarkEnd w:id="302"/>
    <w:bookmarkEnd w:id="303"/>
    <w:bookmarkEnd w:id="304"/>
    <w:bookmarkEnd w:id="305"/>
    <w:p>
      <w:pPr>
        <w:pStyle w:val="3"/>
        <w:spacing w:line="240" w:lineRule="auto"/>
        <w:ind w:firstLine="0" w:firstLineChars="0"/>
        <w:rPr>
          <w:rFonts w:hint="default" w:ascii="Times New Roman" w:hAnsi="Times New Roman" w:eastAsia="仿宋_GB2312" w:cs="Times New Roman"/>
          <w:color w:val="auto"/>
          <w:szCs w:val="32"/>
        </w:rPr>
      </w:pPr>
      <w:bookmarkStart w:id="306" w:name="_Toc17213"/>
      <w:bookmarkStart w:id="307" w:name="_Toc24117"/>
      <w:bookmarkStart w:id="308" w:name="_Toc2560"/>
      <w:bookmarkStart w:id="309" w:name="_Toc30335"/>
      <w:bookmarkStart w:id="310" w:name="_Toc2308"/>
      <w:bookmarkStart w:id="311" w:name="_Toc6926"/>
      <w:bookmarkStart w:id="312" w:name="_Toc407"/>
      <w:bookmarkStart w:id="313" w:name="_Toc14053"/>
      <w:bookmarkStart w:id="314" w:name="_Toc15906"/>
      <w:bookmarkStart w:id="315" w:name="_Toc23815"/>
      <w:bookmarkStart w:id="316" w:name="_Toc27806"/>
      <w:r>
        <w:rPr>
          <w:rFonts w:hint="default" w:ascii="Times New Roman" w:hAnsi="Times New Roman" w:eastAsia="宋体" w:cs="Times New Roman"/>
          <w:color w:val="auto"/>
          <w:szCs w:val="32"/>
        </w:rPr>
        <w:t>6.1</w:t>
      </w:r>
      <w:bookmarkEnd w:id="306"/>
      <w:bookmarkEnd w:id="307"/>
      <w:bookmarkEnd w:id="308"/>
      <w:bookmarkEnd w:id="309"/>
      <w:bookmarkEnd w:id="310"/>
      <w:bookmarkEnd w:id="311"/>
      <w:bookmarkEnd w:id="312"/>
      <w:bookmarkEnd w:id="313"/>
      <w:bookmarkEnd w:id="314"/>
      <w:bookmarkStart w:id="317" w:name="_Toc18020"/>
      <w:bookmarkStart w:id="318" w:name="_Toc2230"/>
      <w:bookmarkStart w:id="319" w:name="_Toc11141"/>
      <w:bookmarkStart w:id="320" w:name="_Toc261"/>
      <w:bookmarkStart w:id="321" w:name="_Toc8934"/>
      <w:bookmarkStart w:id="322" w:name="_Toc5002"/>
      <w:bookmarkStart w:id="323" w:name="_Toc1599"/>
      <w:bookmarkStart w:id="324" w:name="_Toc20202"/>
      <w:bookmarkStart w:id="325" w:name="_Toc1570"/>
      <w:bookmarkStart w:id="326" w:name="_Toc30284"/>
      <w:r>
        <w:rPr>
          <w:rFonts w:hint="default" w:ascii="Times New Roman" w:hAnsi="Times New Roman" w:eastAsia="仿宋_GB2312" w:cs="Times New Roman"/>
          <w:color w:val="auto"/>
          <w:szCs w:val="32"/>
        </w:rPr>
        <w:t>废水、地下水评价标准</w:t>
      </w:r>
      <w:bookmarkEnd w:id="315"/>
    </w:p>
    <w:p>
      <w:pPr>
        <w:pStyle w:val="5"/>
        <w:ind w:firstLine="560"/>
        <w:rPr>
          <w:rFonts w:hint="default" w:ascii="Times New Roman" w:hAnsi="Times New Roman" w:eastAsia="宋体" w:cs="Times New Roman"/>
          <w:color w:val="auto"/>
          <w:kern w:val="2"/>
          <w:position w:val="0"/>
          <w:szCs w:val="28"/>
        </w:rPr>
      </w:pPr>
      <w:r>
        <w:rPr>
          <w:rFonts w:hint="default" w:ascii="Times New Roman" w:hAnsi="Times New Roman" w:eastAsia="宋体" w:cs="Times New Roman"/>
          <w:color w:val="auto"/>
          <w:kern w:val="2"/>
          <w:position w:val="0"/>
          <w:szCs w:val="28"/>
        </w:rPr>
        <w:t>废水执行《污水综合排放标准》（GB8978-1996）表4中的三级标准和表1中的标准；地下水执行《地下水质量标准》（GB/T 14848--2017）</w:t>
      </w:r>
      <w:r>
        <w:rPr>
          <w:rFonts w:hint="default" w:ascii="Times New Roman" w:hAnsi="Times New Roman" w:eastAsia="宋体" w:cs="Times New Roman"/>
          <w:color w:val="auto"/>
          <w:kern w:val="2"/>
          <w:position w:val="0"/>
          <w:szCs w:val="28"/>
        </w:rPr>
        <w:fldChar w:fldCharType="begin"/>
      </w:r>
      <w:r>
        <w:rPr>
          <w:rFonts w:hint="default" w:ascii="Times New Roman" w:hAnsi="Times New Roman" w:eastAsia="宋体" w:cs="Times New Roman"/>
          <w:color w:val="auto"/>
          <w:kern w:val="2"/>
          <w:position w:val="0"/>
          <w:szCs w:val="28"/>
        </w:rPr>
        <w:instrText xml:space="preserve"> = 3 \* ROMAN \* MERGEFORMAT </w:instrText>
      </w:r>
      <w:r>
        <w:rPr>
          <w:rFonts w:hint="default" w:ascii="Times New Roman" w:hAnsi="Times New Roman" w:eastAsia="宋体" w:cs="Times New Roman"/>
          <w:color w:val="auto"/>
          <w:kern w:val="2"/>
          <w:position w:val="0"/>
          <w:szCs w:val="28"/>
        </w:rPr>
        <w:fldChar w:fldCharType="separate"/>
      </w:r>
      <w:r>
        <w:rPr>
          <w:rFonts w:hint="default" w:ascii="Times New Roman" w:hAnsi="Times New Roman" w:eastAsia="宋体" w:cs="Times New Roman"/>
          <w:color w:val="auto"/>
          <w:kern w:val="2"/>
          <w:position w:val="0"/>
          <w:szCs w:val="28"/>
        </w:rPr>
        <w:t>III</w:t>
      </w:r>
      <w:r>
        <w:rPr>
          <w:rFonts w:hint="default" w:ascii="Times New Roman" w:hAnsi="Times New Roman" w:eastAsia="宋体" w:cs="Times New Roman"/>
          <w:color w:val="auto"/>
          <w:kern w:val="2"/>
          <w:position w:val="0"/>
          <w:szCs w:val="28"/>
        </w:rPr>
        <w:fldChar w:fldCharType="end"/>
      </w:r>
      <w:r>
        <w:rPr>
          <w:rFonts w:hint="default" w:ascii="Times New Roman" w:hAnsi="Times New Roman" w:eastAsia="宋体" w:cs="Times New Roman"/>
          <w:color w:val="auto"/>
          <w:kern w:val="2"/>
          <w:position w:val="0"/>
          <w:szCs w:val="28"/>
        </w:rPr>
        <w:t>级标准。</w:t>
      </w:r>
    </w:p>
    <w:p>
      <w:pPr>
        <w:ind w:firstLine="422"/>
        <w:jc w:val="center"/>
        <w:rPr>
          <w:rFonts w:hint="default" w:ascii="Times New Roman" w:hAnsi="Times New Roman" w:cs="Times New Roman"/>
          <w:b/>
          <w:color w:val="auto"/>
          <w:sz w:val="21"/>
          <w:szCs w:val="21"/>
          <w:vertAlign w:val="superscript"/>
        </w:rPr>
      </w:pPr>
      <w:r>
        <w:rPr>
          <w:rFonts w:hint="default" w:ascii="Times New Roman" w:hAnsi="Times New Roman" w:cs="Times New Roman"/>
          <w:b/>
          <w:color w:val="auto"/>
          <w:sz w:val="21"/>
          <w:szCs w:val="21"/>
        </w:rPr>
        <w:t>表6-1废水及地下水验收执行评价标准限值        单位：mg/m</w:t>
      </w:r>
      <w:r>
        <w:rPr>
          <w:rFonts w:hint="default" w:ascii="Times New Roman" w:hAnsi="Times New Roman" w:cs="Times New Roman"/>
          <w:b/>
          <w:color w:val="auto"/>
          <w:sz w:val="21"/>
          <w:szCs w:val="21"/>
          <w:vertAlign w:val="superscript"/>
        </w:rPr>
        <w:t>3</w:t>
      </w:r>
    </w:p>
    <w:tbl>
      <w:tblPr>
        <w:tblStyle w:val="22"/>
        <w:tblW w:w="96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594"/>
        <w:gridCol w:w="2666"/>
        <w:gridCol w:w="2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2082"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水质类型</w:t>
            </w:r>
          </w:p>
        </w:tc>
        <w:tc>
          <w:tcPr>
            <w:tcW w:w="2594"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bCs/>
                <w:color w:val="auto"/>
                <w:spacing w:val="-1"/>
                <w:sz w:val="21"/>
                <w:szCs w:val="21"/>
              </w:rPr>
              <w:t>污染物</w:t>
            </w:r>
          </w:p>
        </w:tc>
        <w:tc>
          <w:tcPr>
            <w:tcW w:w="2666" w:type="dxa"/>
            <w:tcBorders>
              <w:tl2br w:val="nil"/>
              <w:tr2bl w:val="nil"/>
            </w:tcBorders>
            <w:vAlign w:val="center"/>
          </w:tcPr>
          <w:p>
            <w:pPr>
              <w:pStyle w:val="62"/>
              <w:tabs>
                <w:tab w:val="left" w:pos="1285"/>
              </w:tabs>
              <w:spacing w:before="139" w:line="240" w:lineRule="auto"/>
              <w:ind w:firstLine="482"/>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color w:val="auto"/>
              </w:rPr>
              <w:t>标准限值</w:t>
            </w:r>
          </w:p>
        </w:tc>
        <w:tc>
          <w:tcPr>
            <w:tcW w:w="2338" w:type="dxa"/>
            <w:tcBorders>
              <w:tl2br w:val="nil"/>
              <w:tr2bl w:val="nil"/>
            </w:tcBorders>
            <w:vAlign w:val="center"/>
          </w:tcPr>
          <w:p>
            <w:pPr>
              <w:pStyle w:val="62"/>
              <w:tabs>
                <w:tab w:val="left" w:pos="1285"/>
              </w:tabs>
              <w:spacing w:before="139" w:line="240" w:lineRule="auto"/>
              <w:ind w:firstLine="482"/>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2082" w:type="dxa"/>
            <w:vMerge w:val="restart"/>
            <w:tcBorders>
              <w:tl2br w:val="nil"/>
              <w:tr2bl w:val="nil"/>
            </w:tcBorders>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594" w:type="dxa"/>
            <w:tcBorders>
              <w:tl2br w:val="nil"/>
              <w:tr2bl w:val="nil"/>
            </w:tcBorders>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2338" w:type="dxa"/>
            <w:vMerge w:val="restart"/>
            <w:tcBorders>
              <w:tl2br w:val="nil"/>
              <w:tr2bl w:val="nil"/>
            </w:tcBorders>
            <w:vAlign w:val="center"/>
          </w:tcPr>
          <w:p>
            <w:pPr>
              <w:pStyle w:val="62"/>
              <w:tabs>
                <w:tab w:val="left" w:pos="1285"/>
              </w:tabs>
              <w:spacing w:before="139"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《污水综合排放标准》（GB8978-1996）表4中的三级标准和表1中的标准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tcBorders>
              <w:tl2br w:val="nil"/>
              <w:tr2bl w:val="nil"/>
            </w:tcBorders>
            <w:vAlign w:val="center"/>
          </w:tcPr>
          <w:p>
            <w:pPr>
              <w:spacing w:beforeLines="10" w:afterLines="10" w:line="420" w:lineRule="exact"/>
              <w:ind w:firstLine="420"/>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化学需氧量（COD）</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2082" w:type="dxa"/>
            <w:vMerge w:val="continue"/>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tcBorders>
              <w:tl2br w:val="nil"/>
              <w:tr2bl w:val="nil"/>
            </w:tcBorders>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666" w:type="dxa"/>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38" w:type="dxa"/>
            <w:vMerge w:val="continue"/>
            <w:tcBorders>
              <w:tl2br w:val="nil"/>
              <w:tr2bl w:val="nil"/>
            </w:tcBorders>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总镉</w:t>
            </w:r>
          </w:p>
        </w:tc>
        <w:tc>
          <w:tcPr>
            <w:tcW w:w="2666" w:type="dxa"/>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2338" w:type="dxa"/>
            <w:vMerge w:val="continue"/>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总铅</w:t>
            </w:r>
          </w:p>
        </w:tc>
        <w:tc>
          <w:tcPr>
            <w:tcW w:w="2666" w:type="dxa"/>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338" w:type="dxa"/>
            <w:vMerge w:val="continue"/>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p>
        </w:tc>
        <w:tc>
          <w:tcPr>
            <w:tcW w:w="2594" w:type="dxa"/>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总砷</w:t>
            </w:r>
          </w:p>
        </w:tc>
        <w:tc>
          <w:tcPr>
            <w:tcW w:w="2666" w:type="dxa"/>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2338" w:type="dxa"/>
            <w:vMerge w:val="continue"/>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2082" w:type="dxa"/>
            <w:vMerge w:val="restart"/>
            <w:vAlign w:val="center"/>
          </w:tcPr>
          <w:p>
            <w:pPr>
              <w:spacing w:beforeLines="10" w:afterLines="10" w:line="42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594" w:type="dxa"/>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666" w:type="dxa"/>
            <w:vAlign w:val="center"/>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2338" w:type="dxa"/>
            <w:vMerge w:val="restart"/>
          </w:tcPr>
          <w:p>
            <w:pPr>
              <w:pStyle w:val="62"/>
              <w:tabs>
                <w:tab w:val="left" w:pos="1285"/>
              </w:tabs>
              <w:spacing w:before="139"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 14848-2017）III级标准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vAlign w:val="center"/>
          </w:tcPr>
          <w:p>
            <w:pPr>
              <w:spacing w:beforeLines="10" w:afterLines="10" w:line="420" w:lineRule="exact"/>
              <w:ind w:firstLine="480"/>
              <w:jc w:val="center"/>
              <w:rPr>
                <w:rFonts w:hint="default" w:ascii="Times New Roman" w:hAnsi="Times New Roman" w:cs="Times New Roman"/>
                <w:color w:val="auto"/>
              </w:rPr>
            </w:pPr>
          </w:p>
        </w:tc>
        <w:tc>
          <w:tcPr>
            <w:tcW w:w="2594" w:type="dxa"/>
            <w:vAlign w:val="center"/>
          </w:tcPr>
          <w:p>
            <w:pPr>
              <w:spacing w:beforeLines="10" w:afterLines="10" w:line="420" w:lineRule="exact"/>
              <w:ind w:firstLine="480"/>
              <w:jc w:val="center"/>
              <w:rPr>
                <w:rFonts w:hint="default" w:ascii="Times New Roman" w:hAnsi="Times New Roman" w:cs="Times New Roman"/>
                <w:color w:val="auto"/>
              </w:rPr>
            </w:pPr>
            <w:r>
              <w:rPr>
                <w:rFonts w:hint="default" w:ascii="Times New Roman" w:hAnsi="Times New Roman" w:cs="Times New Roman"/>
                <w:color w:val="auto"/>
                <w:szCs w:val="21"/>
              </w:rPr>
              <w:t>镉</w:t>
            </w:r>
          </w:p>
        </w:tc>
        <w:tc>
          <w:tcPr>
            <w:tcW w:w="2666" w:type="dxa"/>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0.005</w:t>
            </w:r>
          </w:p>
        </w:tc>
        <w:tc>
          <w:tcPr>
            <w:tcW w:w="2338" w:type="dxa"/>
            <w:vMerge w:val="continue"/>
          </w:tcPr>
          <w:p>
            <w:pPr>
              <w:pStyle w:val="62"/>
              <w:tabs>
                <w:tab w:val="left" w:pos="1285"/>
              </w:tabs>
              <w:spacing w:before="139" w:line="240" w:lineRule="auto"/>
              <w:ind w:firstLine="418"/>
              <w:jc w:val="center"/>
              <w:rPr>
                <w:rFonts w:hint="default" w:ascii="Times New Roman" w:hAnsi="Times New Roman" w:cs="Times New Roman"/>
                <w:b/>
                <w:bCs/>
                <w:color w:val="auto"/>
                <w:spacing w:val="-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082" w:type="dxa"/>
            <w:vMerge w:val="continue"/>
            <w:vAlign w:val="center"/>
          </w:tcPr>
          <w:p>
            <w:pPr>
              <w:spacing w:beforeLines="10" w:afterLines="10" w:line="420" w:lineRule="exact"/>
              <w:ind w:firstLine="480"/>
              <w:jc w:val="center"/>
              <w:rPr>
                <w:rFonts w:hint="default" w:ascii="Times New Roman" w:hAnsi="Times New Roman" w:cs="Times New Roman"/>
                <w:color w:val="auto"/>
              </w:rPr>
            </w:pPr>
          </w:p>
        </w:tc>
        <w:tc>
          <w:tcPr>
            <w:tcW w:w="2594" w:type="dxa"/>
            <w:vAlign w:val="center"/>
          </w:tcPr>
          <w:p>
            <w:pPr>
              <w:spacing w:beforeLines="10" w:afterLines="10" w:line="420" w:lineRule="exact"/>
              <w:ind w:firstLine="480"/>
              <w:jc w:val="center"/>
              <w:rPr>
                <w:rFonts w:hint="default" w:ascii="Times New Roman" w:hAnsi="Times New Roman" w:cs="Times New Roman"/>
                <w:color w:val="auto"/>
              </w:rPr>
            </w:pPr>
            <w:r>
              <w:rPr>
                <w:rFonts w:hint="default" w:ascii="Times New Roman" w:hAnsi="Times New Roman" w:cs="Times New Roman"/>
                <w:color w:val="auto"/>
              </w:rPr>
              <w:t>铅</w:t>
            </w:r>
          </w:p>
        </w:tc>
        <w:tc>
          <w:tcPr>
            <w:tcW w:w="2666" w:type="dxa"/>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0.01</w:t>
            </w:r>
          </w:p>
        </w:tc>
        <w:tc>
          <w:tcPr>
            <w:tcW w:w="2338" w:type="dxa"/>
            <w:vMerge w:val="continue"/>
          </w:tcPr>
          <w:p>
            <w:pPr>
              <w:pStyle w:val="62"/>
              <w:tabs>
                <w:tab w:val="left" w:pos="1285"/>
              </w:tabs>
              <w:spacing w:before="139" w:line="240" w:lineRule="auto"/>
              <w:ind w:firstLine="418"/>
              <w:jc w:val="center"/>
              <w:rPr>
                <w:rFonts w:hint="default" w:ascii="Times New Roman" w:hAnsi="Times New Roman" w:cs="Times New Roman"/>
                <w:b/>
                <w:bCs/>
                <w:color w:val="auto"/>
                <w:spacing w:val="-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2082" w:type="dxa"/>
            <w:vMerge w:val="continue"/>
            <w:vAlign w:val="center"/>
          </w:tcPr>
          <w:p>
            <w:pPr>
              <w:spacing w:beforeLines="10" w:afterLines="10" w:line="420" w:lineRule="exact"/>
              <w:ind w:firstLine="480"/>
              <w:jc w:val="center"/>
              <w:rPr>
                <w:rFonts w:hint="default" w:ascii="Times New Roman" w:hAnsi="Times New Roman" w:cs="Times New Roman"/>
                <w:color w:val="auto"/>
              </w:rPr>
            </w:pPr>
          </w:p>
        </w:tc>
        <w:tc>
          <w:tcPr>
            <w:tcW w:w="2594" w:type="dxa"/>
            <w:vAlign w:val="center"/>
          </w:tcPr>
          <w:p>
            <w:pPr>
              <w:spacing w:beforeLines="10" w:afterLines="10" w:line="420" w:lineRule="exact"/>
              <w:ind w:firstLine="480"/>
              <w:jc w:val="center"/>
              <w:rPr>
                <w:rFonts w:hint="default" w:ascii="Times New Roman" w:hAnsi="Times New Roman" w:cs="Times New Roman"/>
                <w:color w:val="auto"/>
              </w:rPr>
            </w:pPr>
            <w:r>
              <w:rPr>
                <w:rFonts w:hint="default" w:ascii="Times New Roman" w:hAnsi="Times New Roman" w:cs="Times New Roman"/>
                <w:color w:val="auto"/>
              </w:rPr>
              <w:t>砷</w:t>
            </w:r>
          </w:p>
        </w:tc>
        <w:tc>
          <w:tcPr>
            <w:tcW w:w="2666" w:type="dxa"/>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0.01</w:t>
            </w:r>
          </w:p>
        </w:tc>
        <w:tc>
          <w:tcPr>
            <w:tcW w:w="2338" w:type="dxa"/>
            <w:vMerge w:val="continue"/>
          </w:tcPr>
          <w:p>
            <w:pPr>
              <w:pStyle w:val="62"/>
              <w:tabs>
                <w:tab w:val="left" w:pos="1285"/>
              </w:tabs>
              <w:spacing w:before="139" w:line="240" w:lineRule="auto"/>
              <w:ind w:firstLine="418"/>
              <w:jc w:val="center"/>
              <w:rPr>
                <w:rFonts w:hint="default" w:ascii="Times New Roman" w:hAnsi="Times New Roman" w:cs="Times New Roman"/>
                <w:b/>
                <w:bCs/>
                <w:color w:val="auto"/>
                <w:spacing w:val="-1"/>
                <w:sz w:val="21"/>
                <w:szCs w:val="21"/>
              </w:rPr>
            </w:pPr>
          </w:p>
        </w:tc>
      </w:tr>
    </w:tbl>
    <w:p>
      <w:pPr>
        <w:pStyle w:val="3"/>
        <w:spacing w:line="240" w:lineRule="auto"/>
        <w:ind w:firstLine="0" w:firstLineChars="0"/>
        <w:rPr>
          <w:rFonts w:hint="default" w:ascii="Times New Roman" w:hAnsi="Times New Roman" w:cs="Times New Roman"/>
          <w:color w:val="auto"/>
        </w:rPr>
      </w:pPr>
      <w:bookmarkStart w:id="327" w:name="_Toc4011"/>
      <w:r>
        <w:rPr>
          <w:rFonts w:hint="default" w:ascii="Times New Roman" w:hAnsi="Times New Roman" w:eastAsia="仿宋_GB2312" w:cs="Times New Roman"/>
          <w:color w:val="auto"/>
          <w:szCs w:val="32"/>
        </w:rPr>
        <w:t>6.2大气污染物及环境空气评价标准</w:t>
      </w:r>
      <w:bookmarkEnd w:id="316"/>
      <w:bookmarkEnd w:id="317"/>
      <w:bookmarkEnd w:id="318"/>
      <w:bookmarkEnd w:id="319"/>
      <w:bookmarkEnd w:id="320"/>
      <w:bookmarkEnd w:id="321"/>
      <w:bookmarkEnd w:id="322"/>
      <w:bookmarkEnd w:id="323"/>
      <w:bookmarkEnd w:id="324"/>
      <w:bookmarkEnd w:id="325"/>
      <w:bookmarkEnd w:id="326"/>
      <w:bookmarkEnd w:id="327"/>
    </w:p>
    <w:p>
      <w:pPr>
        <w:adjustRightInd w:val="0"/>
        <w:snapToGrid w:val="0"/>
        <w:ind w:firstLine="560"/>
        <w:rPr>
          <w:rFonts w:hint="default" w:ascii="Times New Roman" w:hAnsi="Times New Roman" w:eastAsia="宋体" w:cs="Times New Roman"/>
          <w:color w:val="auto"/>
          <w:sz w:val="28"/>
          <w:szCs w:val="28"/>
        </w:rPr>
      </w:pPr>
      <w:bookmarkStart w:id="328" w:name="_Toc21173"/>
      <w:bookmarkStart w:id="329" w:name="_Toc14627"/>
      <w:bookmarkStart w:id="330" w:name="_Toc8035"/>
      <w:bookmarkStart w:id="331" w:name="_Toc25037"/>
      <w:bookmarkStart w:id="332" w:name="_Toc16088"/>
      <w:bookmarkStart w:id="333" w:name="_Toc31577"/>
      <w:bookmarkStart w:id="334" w:name="_Toc17740"/>
      <w:bookmarkStart w:id="335" w:name="_Toc22660"/>
      <w:bookmarkStart w:id="336" w:name="_Toc8490"/>
      <w:bookmarkStart w:id="337" w:name="_Toc31099"/>
      <w:bookmarkStart w:id="338" w:name="_Toc18733"/>
      <w:bookmarkStart w:id="339" w:name="_Toc19890"/>
      <w:bookmarkStart w:id="340" w:name="_Toc31477"/>
      <w:bookmarkStart w:id="341" w:name="_Toc22664"/>
      <w:bookmarkStart w:id="342" w:name="_Toc30190"/>
      <w:bookmarkStart w:id="343" w:name="_Toc18964"/>
      <w:bookmarkStart w:id="344" w:name="_Toc3072"/>
      <w:r>
        <w:rPr>
          <w:rFonts w:hint="default" w:ascii="Times New Roman" w:hAnsi="Times New Roman" w:eastAsia="宋体" w:cs="Times New Roman"/>
          <w:color w:val="auto"/>
          <w:sz w:val="28"/>
          <w:szCs w:val="28"/>
        </w:rPr>
        <w:t>大气污染物执行《大气污染物综合排放标准》（GB16297-1996）表 2标准。环境空气中硫酸雾执行</w:t>
      </w:r>
      <w:r>
        <w:rPr>
          <w:rFonts w:hint="default" w:ascii="Times New Roman" w:hAnsi="Times New Roman" w:eastAsia="宋体" w:cs="Times New Roman"/>
          <w:color w:val="auto"/>
          <w:sz w:val="28"/>
          <w:szCs w:val="28"/>
          <w:lang w:eastAsia="zh-CN"/>
        </w:rPr>
        <w:t>《环境影响评价技术导则 大气环境》（HJ2.2-2018）</w:t>
      </w:r>
      <w:r>
        <w:rPr>
          <w:rFonts w:hint="default" w:ascii="Times New Roman" w:hAnsi="Times New Roman" w:eastAsia="宋体" w:cs="Times New Roman"/>
          <w:color w:val="auto"/>
          <w:sz w:val="28"/>
          <w:szCs w:val="28"/>
        </w:rPr>
        <w:t>标准，铅</w:t>
      </w:r>
      <w:r>
        <w:rPr>
          <w:rFonts w:hint="default" w:ascii="Times New Roman" w:hAnsi="Times New Roman" w:eastAsia="宋体" w:cs="Times New Roman"/>
          <w:color w:val="auto"/>
          <w:sz w:val="28"/>
          <w:szCs w:val="28"/>
          <w:lang w:eastAsia="zh-CN"/>
        </w:rPr>
        <w:t>均值</w:t>
      </w:r>
      <w:r>
        <w:rPr>
          <w:rFonts w:hint="default" w:ascii="Times New Roman" w:hAnsi="Times New Roman" w:eastAsia="宋体" w:cs="Times New Roman"/>
          <w:color w:val="auto"/>
          <w:sz w:val="28"/>
          <w:szCs w:val="28"/>
        </w:rPr>
        <w:t>执行《大气中铅及其无机化合物的卫生标准》（GB 7355-87）标准。具体标准限值详见表6-2、6-3。</w:t>
      </w:r>
    </w:p>
    <w:p>
      <w:pPr>
        <w:pStyle w:val="62"/>
        <w:tabs>
          <w:tab w:val="left" w:pos="1285"/>
        </w:tabs>
        <w:spacing w:before="139" w:line="240" w:lineRule="auto"/>
        <w:ind w:left="426" w:firstLine="422"/>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pacing w:val="-2"/>
          <w:sz w:val="21"/>
          <w:szCs w:val="21"/>
        </w:rPr>
        <w:t>6</w:t>
      </w:r>
      <w:r>
        <w:rPr>
          <w:rFonts w:hint="default" w:ascii="Times New Roman" w:hAnsi="Times New Roman" w:eastAsia="Times New Roman" w:cs="Times New Roman"/>
          <w:b/>
          <w:bCs/>
          <w:color w:val="auto"/>
          <w:spacing w:val="-2"/>
          <w:sz w:val="21"/>
          <w:szCs w:val="21"/>
        </w:rPr>
        <w:t>-</w:t>
      </w:r>
      <w:r>
        <w:rPr>
          <w:rFonts w:hint="default" w:ascii="Times New Roman" w:hAnsi="Times New Roman" w:cs="Times New Roman"/>
          <w:b/>
          <w:bCs/>
          <w:color w:val="auto"/>
          <w:spacing w:val="-2"/>
          <w:sz w:val="21"/>
          <w:szCs w:val="21"/>
        </w:rPr>
        <w:t>2</w:t>
      </w:r>
      <w:r>
        <w:rPr>
          <w:rFonts w:hint="default" w:ascii="Times New Roman" w:hAnsi="Times New Roman" w:eastAsia="Times New Roman" w:cs="Times New Roman"/>
          <w:b/>
          <w:bCs/>
          <w:color w:val="auto"/>
          <w:spacing w:val="-2"/>
          <w:sz w:val="21"/>
          <w:szCs w:val="21"/>
        </w:rPr>
        <w:tab/>
      </w:r>
      <w:r>
        <w:rPr>
          <w:rFonts w:hint="default" w:ascii="Times New Roman" w:hAnsi="Times New Roman" w:eastAsia="宋体" w:cs="Times New Roman"/>
          <w:b/>
          <w:bCs/>
          <w:color w:val="auto"/>
          <w:spacing w:val="-1"/>
          <w:sz w:val="21"/>
          <w:szCs w:val="21"/>
        </w:rPr>
        <w:t>大气污染物排放标准</w:t>
      </w:r>
    </w:p>
    <w:tbl>
      <w:tblPr>
        <w:tblStyle w:val="22"/>
        <w:tblW w:w="95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059"/>
        <w:gridCol w:w="2731"/>
        <w:gridCol w:w="2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2394"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bCs/>
                <w:color w:val="auto"/>
                <w:spacing w:val="-1"/>
                <w:sz w:val="21"/>
                <w:szCs w:val="21"/>
              </w:rPr>
              <w:t>污染物</w:t>
            </w:r>
          </w:p>
        </w:tc>
        <w:tc>
          <w:tcPr>
            <w:tcW w:w="2059"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bCs/>
                <w:color w:val="auto"/>
                <w:spacing w:val="-1"/>
                <w:sz w:val="21"/>
                <w:szCs w:val="21"/>
              </w:rPr>
              <w:t>最高也许排放浓度（mg/m</w:t>
            </w:r>
            <w:r>
              <w:rPr>
                <w:rFonts w:hint="default" w:ascii="Times New Roman" w:hAnsi="Times New Roman" w:cs="Times New Roman"/>
                <w:b/>
                <w:bCs/>
                <w:color w:val="auto"/>
                <w:spacing w:val="-1"/>
                <w:sz w:val="21"/>
                <w:szCs w:val="21"/>
                <w:vertAlign w:val="superscript"/>
              </w:rPr>
              <w:t>3</w:t>
            </w:r>
            <w:r>
              <w:rPr>
                <w:rFonts w:hint="default" w:ascii="Times New Roman" w:hAnsi="Times New Roman" w:cs="Times New Roman"/>
                <w:b/>
                <w:bCs/>
                <w:color w:val="auto"/>
                <w:spacing w:val="-1"/>
                <w:sz w:val="21"/>
                <w:szCs w:val="21"/>
              </w:rPr>
              <w:t>）</w:t>
            </w:r>
          </w:p>
        </w:tc>
        <w:tc>
          <w:tcPr>
            <w:tcW w:w="2731"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bCs/>
                <w:color w:val="auto"/>
                <w:spacing w:val="-1"/>
                <w:sz w:val="21"/>
                <w:szCs w:val="21"/>
              </w:rPr>
              <w:t>最该允许排放速率(kg/h)</w:t>
            </w:r>
          </w:p>
        </w:tc>
        <w:tc>
          <w:tcPr>
            <w:tcW w:w="2396" w:type="dxa"/>
            <w:tcBorders>
              <w:tl2br w:val="nil"/>
              <w:tr2bl w:val="nil"/>
            </w:tcBorders>
            <w:vAlign w:val="center"/>
          </w:tcPr>
          <w:p>
            <w:pPr>
              <w:pStyle w:val="62"/>
              <w:tabs>
                <w:tab w:val="left" w:pos="1285"/>
              </w:tabs>
              <w:spacing w:before="139" w:line="240" w:lineRule="auto"/>
              <w:ind w:firstLine="418"/>
              <w:jc w:val="center"/>
              <w:rPr>
                <w:rFonts w:hint="default" w:ascii="Times New Roman" w:hAnsi="Times New Roman" w:eastAsia="宋体" w:cs="Times New Roman"/>
                <w:b/>
                <w:bCs/>
                <w:color w:val="auto"/>
                <w:spacing w:val="-1"/>
                <w:sz w:val="21"/>
                <w:szCs w:val="21"/>
              </w:rPr>
            </w:pPr>
            <w:r>
              <w:rPr>
                <w:rFonts w:hint="default" w:ascii="Times New Roman" w:hAnsi="Times New Roman" w:cs="Times New Roman"/>
                <w:b/>
                <w:bCs/>
                <w:color w:val="auto"/>
                <w:spacing w:val="-1"/>
                <w:sz w:val="21"/>
                <w:szCs w:val="21"/>
              </w:rPr>
              <w:t>无组织排放监控浓度限值（mg/m3）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2394"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eastAsia="宋体" w:cs="Times New Roman"/>
                <w:color w:val="auto"/>
                <w:spacing w:val="-1"/>
                <w:sz w:val="21"/>
                <w:szCs w:val="21"/>
              </w:rPr>
            </w:pPr>
            <w:r>
              <w:rPr>
                <w:rFonts w:hint="default" w:ascii="Times New Roman" w:hAnsi="Times New Roman" w:cs="Times New Roman"/>
                <w:color w:val="auto"/>
                <w:spacing w:val="-1"/>
                <w:sz w:val="21"/>
                <w:szCs w:val="21"/>
              </w:rPr>
              <w:t>铅及其化合物</w:t>
            </w:r>
          </w:p>
        </w:tc>
        <w:tc>
          <w:tcPr>
            <w:tcW w:w="2059"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0.70</w:t>
            </w:r>
          </w:p>
        </w:tc>
        <w:tc>
          <w:tcPr>
            <w:tcW w:w="2731"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0.004</w:t>
            </w:r>
          </w:p>
        </w:tc>
        <w:tc>
          <w:tcPr>
            <w:tcW w:w="2396"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0.0060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2394"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硫酸雾</w:t>
            </w:r>
          </w:p>
        </w:tc>
        <w:tc>
          <w:tcPr>
            <w:tcW w:w="2059"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45</w:t>
            </w:r>
          </w:p>
        </w:tc>
        <w:tc>
          <w:tcPr>
            <w:tcW w:w="2731"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1.5</w:t>
            </w:r>
          </w:p>
        </w:tc>
        <w:tc>
          <w:tcPr>
            <w:tcW w:w="2396" w:type="dxa"/>
            <w:tcBorders>
              <w:tl2br w:val="nil"/>
              <w:tr2bl w:val="nil"/>
            </w:tcBorders>
            <w:vAlign w:val="center"/>
          </w:tcPr>
          <w:p>
            <w:pPr>
              <w:pStyle w:val="62"/>
              <w:tabs>
                <w:tab w:val="left" w:pos="1285"/>
              </w:tabs>
              <w:spacing w:before="139" w:line="240" w:lineRule="auto"/>
              <w:ind w:firstLine="416"/>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9580" w:type="dxa"/>
            <w:gridSpan w:val="4"/>
            <w:tcBorders>
              <w:tl2br w:val="nil"/>
              <w:tr2bl w:val="nil"/>
            </w:tcBorders>
            <w:vAlign w:val="center"/>
          </w:tcPr>
          <w:p>
            <w:pPr>
              <w:pStyle w:val="62"/>
              <w:tabs>
                <w:tab w:val="left" w:pos="1285"/>
              </w:tabs>
              <w:spacing w:before="139" w:line="240" w:lineRule="auto"/>
              <w:ind w:firstLine="416"/>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备注：排气筒高15米，执行表2二级标准。</w:t>
            </w:r>
          </w:p>
        </w:tc>
      </w:tr>
    </w:tbl>
    <w:p>
      <w:pPr>
        <w:pStyle w:val="62"/>
        <w:tabs>
          <w:tab w:val="left" w:pos="1285"/>
        </w:tabs>
        <w:spacing w:before="139" w:line="240" w:lineRule="auto"/>
        <w:ind w:left="426" w:firstLine="422"/>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pacing w:val="-2"/>
          <w:sz w:val="21"/>
          <w:szCs w:val="21"/>
        </w:rPr>
        <w:t>6</w:t>
      </w:r>
      <w:r>
        <w:rPr>
          <w:rFonts w:hint="default" w:ascii="Times New Roman" w:hAnsi="Times New Roman" w:eastAsia="Times New Roman" w:cs="Times New Roman"/>
          <w:b/>
          <w:bCs/>
          <w:color w:val="auto"/>
          <w:spacing w:val="-2"/>
          <w:sz w:val="21"/>
          <w:szCs w:val="21"/>
        </w:rPr>
        <w:t>-</w:t>
      </w:r>
      <w:r>
        <w:rPr>
          <w:rFonts w:hint="default" w:ascii="Times New Roman" w:hAnsi="Times New Roman" w:cs="Times New Roman"/>
          <w:b/>
          <w:bCs/>
          <w:color w:val="auto"/>
          <w:spacing w:val="-2"/>
          <w:sz w:val="21"/>
          <w:szCs w:val="21"/>
        </w:rPr>
        <w:t>3</w:t>
      </w:r>
      <w:r>
        <w:rPr>
          <w:rFonts w:hint="default" w:ascii="Times New Roman" w:hAnsi="Times New Roman" w:eastAsia="Times New Roman" w:cs="Times New Roman"/>
          <w:b/>
          <w:bCs/>
          <w:color w:val="auto"/>
          <w:spacing w:val="-2"/>
          <w:sz w:val="21"/>
          <w:szCs w:val="21"/>
        </w:rPr>
        <w:tab/>
      </w:r>
      <w:r>
        <w:rPr>
          <w:rFonts w:hint="default" w:ascii="Times New Roman" w:hAnsi="Times New Roman" w:eastAsia="宋体" w:cs="Times New Roman"/>
          <w:b/>
          <w:bCs/>
          <w:color w:val="auto"/>
          <w:spacing w:val="-2"/>
          <w:sz w:val="21"/>
          <w:szCs w:val="21"/>
        </w:rPr>
        <w:t>环境空气质量</w:t>
      </w:r>
      <w:r>
        <w:rPr>
          <w:rFonts w:hint="default" w:ascii="Times New Roman" w:hAnsi="Times New Roman" w:eastAsia="宋体" w:cs="Times New Roman"/>
          <w:b/>
          <w:bCs/>
          <w:color w:val="auto"/>
          <w:spacing w:val="-1"/>
          <w:sz w:val="21"/>
          <w:szCs w:val="21"/>
        </w:rPr>
        <w:t>标准</w:t>
      </w:r>
    </w:p>
    <w:tbl>
      <w:tblPr>
        <w:tblStyle w:val="21"/>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491"/>
        <w:gridCol w:w="1560"/>
        <w:gridCol w:w="4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tcBorders>
              <w:tl2br w:val="nil"/>
              <w:tr2bl w:val="nil"/>
            </w:tcBorders>
            <w:vAlign w:val="center"/>
          </w:tcPr>
          <w:p>
            <w:pPr>
              <w:spacing w:line="4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3051" w:type="dxa"/>
            <w:gridSpan w:val="2"/>
            <w:tcBorders>
              <w:tl2br w:val="nil"/>
              <w:tr2bl w:val="nil"/>
            </w:tcBorders>
            <w:vAlign w:val="center"/>
          </w:tcPr>
          <w:p>
            <w:pPr>
              <w:spacing w:line="4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r>
              <w:rPr>
                <w:rFonts w:hint="default" w:ascii="Times New Roman" w:hAnsi="Times New Roman" w:cs="Times New Roman"/>
                <w:b/>
                <w:bCs/>
                <w:color w:val="auto"/>
                <w:spacing w:val="-1"/>
                <w:sz w:val="21"/>
                <w:szCs w:val="21"/>
              </w:rPr>
              <w:t>（mg/m</w:t>
            </w:r>
            <w:r>
              <w:rPr>
                <w:rFonts w:hint="default" w:ascii="Times New Roman" w:hAnsi="Times New Roman" w:cs="Times New Roman"/>
                <w:b/>
                <w:bCs/>
                <w:color w:val="auto"/>
                <w:spacing w:val="-1"/>
                <w:sz w:val="21"/>
                <w:szCs w:val="21"/>
                <w:vertAlign w:val="superscript"/>
              </w:rPr>
              <w:t>3</w:t>
            </w:r>
            <w:r>
              <w:rPr>
                <w:rFonts w:hint="default" w:ascii="Times New Roman" w:hAnsi="Times New Roman" w:cs="Times New Roman"/>
                <w:b/>
                <w:bCs/>
                <w:color w:val="auto"/>
                <w:spacing w:val="-1"/>
                <w:sz w:val="21"/>
                <w:szCs w:val="21"/>
              </w:rPr>
              <w:t>）</w:t>
            </w:r>
          </w:p>
        </w:tc>
        <w:tc>
          <w:tcPr>
            <w:tcW w:w="4506" w:type="dxa"/>
            <w:tcBorders>
              <w:tl2br w:val="nil"/>
              <w:tr2bl w:val="nil"/>
            </w:tcBorders>
            <w:vAlign w:val="center"/>
          </w:tcPr>
          <w:p>
            <w:pPr>
              <w:spacing w:line="4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tcBorders>
              <w:tl2br w:val="nil"/>
              <w:tr2bl w:val="nil"/>
            </w:tcBorders>
            <w:vAlign w:val="center"/>
          </w:tcPr>
          <w:p>
            <w:pPr>
              <w:spacing w:line="40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铅及其化合物</w:t>
            </w:r>
          </w:p>
        </w:tc>
        <w:tc>
          <w:tcPr>
            <w:tcW w:w="1491"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w:t>
            </w:r>
          </w:p>
        </w:tc>
        <w:tc>
          <w:tcPr>
            <w:tcW w:w="1560"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0.0015</w:t>
            </w:r>
          </w:p>
        </w:tc>
        <w:tc>
          <w:tcPr>
            <w:tcW w:w="450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《大气中铅及其化合物的卫生标准》（GB7355-87）居住区最高允许浓度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15" w:type="dxa"/>
            <w:vMerge w:val="restart"/>
            <w:tcBorders>
              <w:tl2br w:val="nil"/>
              <w:tr2bl w:val="nil"/>
            </w:tcBorders>
            <w:vAlign w:val="center"/>
          </w:tcPr>
          <w:p>
            <w:pPr>
              <w:spacing w:line="400" w:lineRule="exact"/>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1491"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w:t>
            </w:r>
          </w:p>
        </w:tc>
        <w:tc>
          <w:tcPr>
            <w:tcW w:w="1560"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w:t>
            </w:r>
          </w:p>
        </w:tc>
        <w:tc>
          <w:tcPr>
            <w:tcW w:w="4506" w:type="dxa"/>
            <w:vMerge w:val="restart"/>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《环境影响评价技术导则 大气环境》（HJ2.2-2018）表D.1其他污染物空气质量浓度参考限值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515" w:type="dxa"/>
            <w:vMerge w:val="continue"/>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p>
        </w:tc>
        <w:tc>
          <w:tcPr>
            <w:tcW w:w="1491"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小时平均</w:t>
            </w:r>
          </w:p>
        </w:tc>
        <w:tc>
          <w:tcPr>
            <w:tcW w:w="1560" w:type="dxa"/>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w:t>
            </w:r>
          </w:p>
        </w:tc>
        <w:tc>
          <w:tcPr>
            <w:tcW w:w="4506" w:type="dxa"/>
            <w:vMerge w:val="continue"/>
            <w:tcBorders>
              <w:tl2br w:val="nil"/>
              <w:tr2bl w:val="nil"/>
            </w:tcBorders>
            <w:vAlign w:val="center"/>
          </w:tcPr>
          <w:p>
            <w:pPr>
              <w:spacing w:line="400" w:lineRule="exact"/>
              <w:ind w:firstLine="420"/>
              <w:jc w:val="center"/>
              <w:rPr>
                <w:rFonts w:hint="default" w:ascii="Times New Roman" w:hAnsi="Times New Roman" w:cs="Times New Roman"/>
                <w:color w:val="auto"/>
                <w:sz w:val="21"/>
                <w:szCs w:val="21"/>
              </w:rPr>
            </w:pPr>
          </w:p>
        </w:tc>
      </w:tr>
    </w:tbl>
    <w:p>
      <w:pPr>
        <w:pStyle w:val="3"/>
        <w:spacing w:line="240" w:lineRule="auto"/>
        <w:ind w:firstLine="0" w:firstLineChars="0"/>
        <w:rPr>
          <w:rFonts w:hint="default" w:ascii="Times New Roman" w:hAnsi="Times New Roman" w:cs="Times New Roman"/>
          <w:color w:val="auto"/>
        </w:rPr>
      </w:pPr>
      <w:bookmarkStart w:id="345" w:name="_Toc20778"/>
      <w:bookmarkStart w:id="346" w:name="_Toc20886"/>
      <w:r>
        <w:rPr>
          <w:rFonts w:hint="default" w:ascii="Times New Roman" w:hAnsi="Times New Roman" w:eastAsia="宋体" w:cs="Times New Roman"/>
          <w:color w:val="auto"/>
          <w:szCs w:val="32"/>
        </w:rPr>
        <w:t>6.2</w:t>
      </w:r>
      <w:r>
        <w:rPr>
          <w:rFonts w:hint="default" w:ascii="Times New Roman" w:hAnsi="Times New Roman" w:eastAsia="仿宋_GB2312" w:cs="Times New Roman"/>
          <w:color w:val="auto"/>
          <w:szCs w:val="32"/>
        </w:rPr>
        <w:t>噪声评价标准</w:t>
      </w:r>
      <w:bookmarkEnd w:id="328"/>
      <w:bookmarkEnd w:id="329"/>
      <w:bookmarkEnd w:id="330"/>
      <w:bookmarkEnd w:id="331"/>
      <w:bookmarkEnd w:id="332"/>
      <w:bookmarkEnd w:id="333"/>
      <w:bookmarkEnd w:id="334"/>
      <w:bookmarkEnd w:id="345"/>
      <w:bookmarkEnd w:id="346"/>
    </w:p>
    <w:p>
      <w:pPr>
        <w:pStyle w:val="56"/>
        <w:ind w:firstLine="560"/>
        <w:jc w:val="both"/>
        <w:rPr>
          <w:rFonts w:hint="default" w:ascii="Times New Roman" w:hAnsi="Times New Roman" w:cs="Times New Roman"/>
          <w:snapToGrid/>
          <w:color w:val="auto"/>
          <w:kern w:val="2"/>
          <w:sz w:val="28"/>
          <w:szCs w:val="28"/>
        </w:rPr>
      </w:pPr>
      <w:r>
        <w:rPr>
          <w:rFonts w:hint="default" w:ascii="Times New Roman" w:hAnsi="Times New Roman" w:cs="Times New Roman"/>
          <w:snapToGrid/>
          <w:color w:val="auto"/>
          <w:kern w:val="2"/>
          <w:sz w:val="28"/>
          <w:szCs w:val="28"/>
        </w:rPr>
        <w:t>项目厂界环境噪界执行《工业企业厂界环境噪声排放标准》(GB12348−2008)中的3类标准，具体标准见表6-4。</w:t>
      </w:r>
    </w:p>
    <w:p>
      <w:pPr>
        <w:pStyle w:val="56"/>
        <w:spacing w:line="240" w:lineRule="auto"/>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表6-4工业企业厂界环境噪声排放标准单位：dB（A）</w:t>
      </w:r>
    </w:p>
    <w:tbl>
      <w:tblPr>
        <w:tblStyle w:val="21"/>
        <w:tblW w:w="90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4"/>
        <w:gridCol w:w="2780"/>
        <w:gridCol w:w="3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3234" w:type="dxa"/>
            <w:vMerge w:val="restart"/>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786" w:type="dxa"/>
            <w:gridSpan w:val="2"/>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噪声值Leq[dB（A）]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234"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b/>
                <w:color w:val="auto"/>
                <w:sz w:val="21"/>
                <w:szCs w:val="21"/>
              </w:rPr>
            </w:pPr>
          </w:p>
        </w:tc>
        <w:tc>
          <w:tcPr>
            <w:tcW w:w="2780" w:type="dxa"/>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3006" w:type="dxa"/>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3234" w:type="dxa"/>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w:t>
            </w:r>
          </w:p>
        </w:tc>
        <w:tc>
          <w:tcPr>
            <w:tcW w:w="2780" w:type="dxa"/>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3006" w:type="dxa"/>
            <w:tcBorders>
              <w:tl2br w:val="nil"/>
              <w:tr2bl w:val="nil"/>
            </w:tcBorders>
            <w:vAlign w:val="center"/>
          </w:tcPr>
          <w:p>
            <w:pPr>
              <w:pStyle w:val="5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bookmarkEnd w:id="335"/>
      <w:bookmarkEnd w:id="336"/>
      <w:bookmarkEnd w:id="337"/>
      <w:bookmarkEnd w:id="338"/>
      <w:bookmarkEnd w:id="339"/>
    </w:tbl>
    <w:p>
      <w:pPr>
        <w:ind w:firstLine="480"/>
        <w:rPr>
          <w:rFonts w:hint="default" w:ascii="Times New Roman" w:hAnsi="Times New Roman" w:cs="Times New Roman"/>
          <w:color w:val="auto"/>
        </w:rPr>
      </w:pPr>
      <w:bookmarkStart w:id="347" w:name="_Toc14245"/>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0" w:firstLineChars="0"/>
        <w:rPr>
          <w:rFonts w:hint="default" w:ascii="Times New Roman" w:hAnsi="Times New Roman" w:eastAsia="黑体" w:cs="Times New Roman"/>
          <w:color w:val="auto"/>
          <w:sz w:val="32"/>
          <w:szCs w:val="32"/>
        </w:rPr>
      </w:pPr>
      <w:bookmarkStart w:id="348" w:name="_Toc15273"/>
      <w:bookmarkStart w:id="349" w:name="_Toc8496"/>
      <w:bookmarkStart w:id="350" w:name="_Toc28614"/>
      <w:bookmarkStart w:id="351" w:name="_Toc24509"/>
      <w:bookmarkStart w:id="352" w:name="_Toc28978"/>
      <w:bookmarkStart w:id="353" w:name="_Toc14691"/>
      <w:bookmarkStart w:id="354" w:name="_Toc30248"/>
      <w:bookmarkStart w:id="355" w:name="_Toc20797"/>
      <w:r>
        <w:rPr>
          <w:rFonts w:hint="default" w:ascii="Times New Roman" w:hAnsi="Times New Roman" w:eastAsia="黑体" w:cs="Times New Roman"/>
          <w:color w:val="auto"/>
          <w:sz w:val="32"/>
          <w:szCs w:val="32"/>
        </w:rPr>
        <w:t>7、</w:t>
      </w:r>
      <w:bookmarkEnd w:id="340"/>
      <w:bookmarkEnd w:id="341"/>
      <w:bookmarkEnd w:id="342"/>
      <w:r>
        <w:rPr>
          <w:rFonts w:hint="default" w:ascii="Times New Roman" w:hAnsi="Times New Roman" w:eastAsia="黑体" w:cs="Times New Roman"/>
          <w:color w:val="auto"/>
          <w:sz w:val="32"/>
          <w:szCs w:val="32"/>
        </w:rPr>
        <w:t>验收监测内容</w:t>
      </w:r>
      <w:bookmarkEnd w:id="343"/>
      <w:bookmarkEnd w:id="344"/>
      <w:bookmarkEnd w:id="347"/>
      <w:bookmarkEnd w:id="348"/>
      <w:bookmarkEnd w:id="349"/>
      <w:bookmarkEnd w:id="350"/>
      <w:bookmarkEnd w:id="351"/>
      <w:bookmarkEnd w:id="352"/>
      <w:bookmarkEnd w:id="353"/>
      <w:bookmarkEnd w:id="354"/>
      <w:bookmarkEnd w:id="355"/>
    </w:p>
    <w:p>
      <w:pPr>
        <w:pStyle w:val="3"/>
        <w:ind w:firstLine="0" w:firstLineChars="0"/>
        <w:rPr>
          <w:rFonts w:hint="default" w:ascii="Times New Roman" w:hAnsi="Times New Roman" w:eastAsia="仿宋_GB2312" w:cs="Times New Roman"/>
          <w:color w:val="auto"/>
          <w:szCs w:val="32"/>
        </w:rPr>
      </w:pPr>
      <w:bookmarkStart w:id="356" w:name="_Toc2394"/>
      <w:bookmarkStart w:id="357" w:name="_Toc232"/>
      <w:bookmarkStart w:id="358" w:name="_Toc18754"/>
      <w:bookmarkStart w:id="359" w:name="_Toc24098"/>
      <w:bookmarkStart w:id="360" w:name="_Toc4156"/>
      <w:bookmarkStart w:id="361" w:name="_Toc12498"/>
      <w:bookmarkStart w:id="362" w:name="_Toc9171"/>
      <w:bookmarkStart w:id="363" w:name="_Toc9667"/>
      <w:bookmarkStart w:id="364" w:name="_Toc14986"/>
      <w:bookmarkStart w:id="365" w:name="_Toc1770"/>
      <w:bookmarkStart w:id="366" w:name="_Toc11021"/>
      <w:bookmarkStart w:id="367" w:name="_Toc8442"/>
      <w:r>
        <w:rPr>
          <w:rFonts w:hint="default" w:ascii="Times New Roman" w:hAnsi="Times New Roman" w:eastAsia="宋体" w:cs="Times New Roman"/>
          <w:color w:val="auto"/>
          <w:szCs w:val="32"/>
        </w:rPr>
        <w:t xml:space="preserve">7.1 </w:t>
      </w:r>
      <w:r>
        <w:rPr>
          <w:rFonts w:hint="default" w:ascii="Times New Roman" w:hAnsi="Times New Roman" w:eastAsia="仿宋_GB2312" w:cs="Times New Roman"/>
          <w:color w:val="auto"/>
          <w:szCs w:val="32"/>
        </w:rPr>
        <w:t>验收期间天气条件</w:t>
      </w:r>
      <w:bookmarkEnd w:id="356"/>
      <w:bookmarkEnd w:id="357"/>
      <w:bookmarkEnd w:id="358"/>
      <w:bookmarkEnd w:id="359"/>
      <w:bookmarkEnd w:id="360"/>
      <w:bookmarkEnd w:id="361"/>
      <w:bookmarkEnd w:id="362"/>
      <w:bookmarkEnd w:id="363"/>
      <w:bookmarkEnd w:id="364"/>
      <w:bookmarkEnd w:id="365"/>
      <w:bookmarkEnd w:id="366"/>
      <w:bookmarkEnd w:id="367"/>
    </w:p>
    <w:p>
      <w:pPr>
        <w:ind w:firstLine="560"/>
        <w:rPr>
          <w:rFonts w:hint="default" w:ascii="Times New Roman" w:hAnsi="Times New Roman" w:cs="Times New Roman"/>
          <w:b/>
          <w:color w:val="auto"/>
          <w:kern w:val="0"/>
          <w:sz w:val="21"/>
          <w:szCs w:val="21"/>
        </w:rPr>
      </w:pPr>
      <w:r>
        <w:rPr>
          <w:rFonts w:hint="default" w:ascii="Times New Roman" w:hAnsi="Times New Roman" w:cs="Times New Roman"/>
          <w:color w:val="auto"/>
          <w:sz w:val="28"/>
          <w:szCs w:val="28"/>
        </w:rPr>
        <w:t>项目验收监测时间为2019年3月13日～14日两天，监测期间具体气象参数见表7-1。</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表7-1  验收期间气象参数</w:t>
      </w:r>
    </w:p>
    <w:tbl>
      <w:tblPr>
        <w:tblStyle w:val="21"/>
        <w:tblW w:w="984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89"/>
        <w:gridCol w:w="927"/>
        <w:gridCol w:w="1390"/>
        <w:gridCol w:w="1109"/>
        <w:gridCol w:w="1263"/>
        <w:gridCol w:w="912"/>
        <w:gridCol w:w="1185"/>
        <w:gridCol w:w="14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1" w:hRule="atLeast"/>
          <w:jc w:val="center"/>
        </w:trPr>
        <w:tc>
          <w:tcPr>
            <w:tcW w:w="2516" w:type="dxa"/>
            <w:gridSpan w:val="2"/>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采样时间</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天气状况</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温度（℃）</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湿度（%RH）</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风向</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风速（m/s）</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大气压（kPa）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restart"/>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86.9</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81.7</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78.3</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83.2</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restart"/>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88.5</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83.9</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80.1</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1" w:hRule="atLeast"/>
          <w:jc w:val="center"/>
        </w:trPr>
        <w:tc>
          <w:tcPr>
            <w:tcW w:w="1589" w:type="dxa"/>
            <w:vMerge w:val="continue"/>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p>
        </w:tc>
        <w:tc>
          <w:tcPr>
            <w:tcW w:w="927"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c>
          <w:tcPr>
            <w:tcW w:w="1390"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多云</w:t>
            </w:r>
          </w:p>
        </w:tc>
        <w:tc>
          <w:tcPr>
            <w:tcW w:w="1109"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126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84.7</w:t>
            </w:r>
          </w:p>
        </w:tc>
        <w:tc>
          <w:tcPr>
            <w:tcW w:w="91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46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r>
    </w:tbl>
    <w:p>
      <w:pPr>
        <w:pStyle w:val="3"/>
        <w:ind w:firstLine="0" w:firstLineChars="0"/>
        <w:rPr>
          <w:rFonts w:hint="default" w:ascii="Times New Roman" w:hAnsi="Times New Roman" w:eastAsia="仿宋_GB2312" w:cs="Times New Roman"/>
          <w:color w:val="auto"/>
          <w:szCs w:val="32"/>
        </w:rPr>
      </w:pPr>
      <w:bookmarkStart w:id="368" w:name="_Toc26299"/>
      <w:bookmarkStart w:id="369" w:name="_Toc13817"/>
      <w:bookmarkStart w:id="370" w:name="_Toc27614"/>
      <w:bookmarkStart w:id="371" w:name="_Toc26314"/>
      <w:bookmarkStart w:id="372" w:name="_Toc23293"/>
      <w:bookmarkStart w:id="373" w:name="_Toc11860"/>
      <w:bookmarkStart w:id="374" w:name="_Toc19840"/>
      <w:bookmarkStart w:id="375" w:name="_Toc23685"/>
      <w:bookmarkStart w:id="376" w:name="_Toc20117"/>
      <w:bookmarkStart w:id="377" w:name="_Toc377"/>
      <w:bookmarkStart w:id="378" w:name="_Toc6477"/>
      <w:bookmarkStart w:id="379" w:name="_Toc18447"/>
      <w:bookmarkStart w:id="380" w:name="_Toc32641"/>
      <w:bookmarkStart w:id="381" w:name="_Toc31437"/>
      <w:r>
        <w:rPr>
          <w:rFonts w:hint="default" w:ascii="Times New Roman" w:hAnsi="Times New Roman" w:eastAsia="仿宋_GB2312" w:cs="Times New Roman"/>
          <w:color w:val="auto"/>
          <w:szCs w:val="32"/>
        </w:rPr>
        <w:t>7.2 环境保护设施调试运行效果</w:t>
      </w:r>
      <w:bookmarkEnd w:id="368"/>
    </w:p>
    <w:p>
      <w:pPr>
        <w:pStyle w:val="4"/>
        <w:ind w:firstLine="643"/>
        <w:rPr>
          <w:rFonts w:hint="default" w:ascii="Times New Roman" w:hAnsi="Times New Roman" w:cs="Times New Roman"/>
          <w:color w:val="auto"/>
        </w:rPr>
      </w:pPr>
      <w:bookmarkStart w:id="382" w:name="_Toc32358"/>
      <w:r>
        <w:rPr>
          <w:rFonts w:hint="default" w:ascii="Times New Roman" w:hAnsi="Times New Roman" w:cs="Times New Roman"/>
          <w:color w:val="auto"/>
        </w:rPr>
        <w:t>7.2.1废水监测内容</w:t>
      </w:r>
      <w:bookmarkEnd w:id="369"/>
      <w:bookmarkEnd w:id="370"/>
      <w:bookmarkEnd w:id="371"/>
      <w:bookmarkEnd w:id="372"/>
      <w:bookmarkEnd w:id="373"/>
      <w:bookmarkEnd w:id="374"/>
      <w:bookmarkEnd w:id="375"/>
      <w:bookmarkEnd w:id="376"/>
      <w:bookmarkEnd w:id="382"/>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废水监测内容见表7-2。</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表7-2    废水监测内容</w:t>
      </w:r>
    </w:p>
    <w:tbl>
      <w:tblPr>
        <w:tblStyle w:val="21"/>
        <w:tblW w:w="92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675"/>
        <w:gridCol w:w="3914"/>
        <w:gridCol w:w="2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blHeader/>
          <w:jc w:val="center"/>
        </w:trPr>
        <w:tc>
          <w:tcPr>
            <w:tcW w:w="152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废水类型</w:t>
            </w:r>
          </w:p>
        </w:tc>
        <w:tc>
          <w:tcPr>
            <w:tcW w:w="167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采样点位</w:t>
            </w:r>
          </w:p>
        </w:tc>
        <w:tc>
          <w:tcPr>
            <w:tcW w:w="3914"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2148"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1523"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167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总排口</w:t>
            </w:r>
          </w:p>
        </w:tc>
        <w:tc>
          <w:tcPr>
            <w:tcW w:w="3914"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pH、CODcr、BOD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-N、总磷、石油类、总铅、总砷、总镉</w:t>
            </w:r>
          </w:p>
        </w:tc>
        <w:tc>
          <w:tcPr>
            <w:tcW w:w="2148"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每天釆样3次，</w:t>
            </w:r>
          </w:p>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监测2天</w:t>
            </w:r>
          </w:p>
        </w:tc>
      </w:tr>
    </w:tbl>
    <w:p>
      <w:pPr>
        <w:pStyle w:val="4"/>
        <w:ind w:firstLine="643"/>
        <w:rPr>
          <w:rFonts w:hint="default" w:ascii="Times New Roman" w:hAnsi="Times New Roman" w:cs="Times New Roman"/>
          <w:color w:val="auto"/>
        </w:rPr>
      </w:pPr>
      <w:bookmarkStart w:id="383" w:name="_Toc19073"/>
      <w:bookmarkStart w:id="384" w:name="_Toc31363"/>
      <w:bookmarkStart w:id="385" w:name="_Toc26665"/>
      <w:bookmarkStart w:id="386" w:name="_Toc3541"/>
      <w:bookmarkStart w:id="387" w:name="_Toc30887"/>
      <w:bookmarkStart w:id="388" w:name="_Toc9489"/>
      <w:bookmarkStart w:id="389" w:name="_Toc14717"/>
      <w:bookmarkStart w:id="390" w:name="_Toc11594"/>
      <w:bookmarkStart w:id="391" w:name="_Toc22655"/>
      <w:r>
        <w:rPr>
          <w:rFonts w:hint="default" w:ascii="Times New Roman" w:hAnsi="Times New Roman" w:cs="Times New Roman"/>
          <w:color w:val="auto"/>
        </w:rPr>
        <w:t>7.2.2大气污染物监测内容</w:t>
      </w:r>
      <w:bookmarkEnd w:id="383"/>
      <w:bookmarkEnd w:id="384"/>
      <w:bookmarkEnd w:id="385"/>
      <w:bookmarkEnd w:id="386"/>
      <w:bookmarkEnd w:id="387"/>
      <w:bookmarkEnd w:id="388"/>
      <w:bookmarkEnd w:id="389"/>
      <w:bookmarkEnd w:id="390"/>
      <w:bookmarkEnd w:id="391"/>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大气污染物监测内容见表7-3。</w:t>
      </w:r>
    </w:p>
    <w:p>
      <w:pPr>
        <w:tabs>
          <w:tab w:val="left" w:pos="6480"/>
        </w:tabs>
        <w:spacing w:beforeLines="50" w:afterLines="20"/>
        <w:ind w:firstLine="3544" w:firstLineChars="1681"/>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表7-3废气监测内容</w:t>
      </w:r>
    </w:p>
    <w:tbl>
      <w:tblPr>
        <w:tblStyle w:val="21"/>
        <w:tblW w:w="9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2495"/>
        <w:gridCol w:w="2585"/>
        <w:gridCol w:w="2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blHeader/>
          <w:jc w:val="center"/>
        </w:trPr>
        <w:tc>
          <w:tcPr>
            <w:tcW w:w="1898"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废气类型</w:t>
            </w:r>
          </w:p>
        </w:tc>
        <w:tc>
          <w:tcPr>
            <w:tcW w:w="249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采样点位</w:t>
            </w:r>
          </w:p>
        </w:tc>
        <w:tc>
          <w:tcPr>
            <w:tcW w:w="2585"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2402" w:type="dxa"/>
            <w:tcBorders>
              <w:tl2br w:val="nil"/>
              <w:tr2bl w:val="nil"/>
            </w:tcBorders>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1898" w:type="dxa"/>
            <w:tcBorders>
              <w:tl2br w:val="nil"/>
              <w:tr2bl w:val="nil"/>
            </w:tcBorders>
            <w:vAlign w:val="center"/>
          </w:tcPr>
          <w:p>
            <w:pPr>
              <w:pStyle w:val="56"/>
              <w:spacing w:line="240" w:lineRule="auto"/>
              <w:ind w:firstLine="42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2495" w:type="dxa"/>
            <w:tcBorders>
              <w:tl2br w:val="nil"/>
              <w:tr2bl w:val="nil"/>
            </w:tcBorders>
            <w:vAlign w:val="center"/>
          </w:tcPr>
          <w:p>
            <w:pPr>
              <w:pStyle w:val="56"/>
              <w:spacing w:line="240" w:lineRule="auto"/>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上风向设1个参照点，下风向设3个监测点</w:t>
            </w:r>
          </w:p>
        </w:tc>
        <w:tc>
          <w:tcPr>
            <w:tcW w:w="2585" w:type="dxa"/>
            <w:tcBorders>
              <w:tl2br w:val="nil"/>
              <w:tr2bl w:val="nil"/>
            </w:tcBorders>
            <w:vAlign w:val="center"/>
          </w:tcPr>
          <w:p>
            <w:pPr>
              <w:pStyle w:val="56"/>
              <w:spacing w:line="240" w:lineRule="auto"/>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铅及其化合物、硫酸雾</w:t>
            </w:r>
          </w:p>
        </w:tc>
        <w:tc>
          <w:tcPr>
            <w:tcW w:w="2402" w:type="dxa"/>
            <w:vMerge w:val="restart"/>
            <w:tcBorders>
              <w:tl2br w:val="nil"/>
              <w:tr2bl w:val="nil"/>
            </w:tcBorders>
            <w:vAlign w:val="center"/>
          </w:tcPr>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每天釆样3次，</w:t>
            </w:r>
          </w:p>
          <w:p>
            <w:pPr>
              <w:pStyle w:val="5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898" w:type="dxa"/>
            <w:tcBorders>
              <w:tl2br w:val="nil"/>
              <w:tr2bl w:val="nil"/>
            </w:tcBorders>
            <w:vAlign w:val="center"/>
          </w:tcPr>
          <w:p>
            <w:pPr>
              <w:ind w:firstLine="420"/>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有组织废气</w:t>
            </w:r>
          </w:p>
        </w:tc>
        <w:tc>
          <w:tcPr>
            <w:tcW w:w="2495" w:type="dxa"/>
            <w:tcBorders>
              <w:tl2br w:val="nil"/>
              <w:tr2bl w:val="nil"/>
            </w:tcBorders>
            <w:vAlign w:val="center"/>
          </w:tcPr>
          <w:p>
            <w:pPr>
              <w:ind w:firstLine="420"/>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碱吸收塔排气筒</w:t>
            </w:r>
          </w:p>
        </w:tc>
        <w:tc>
          <w:tcPr>
            <w:tcW w:w="2585" w:type="dxa"/>
            <w:tcBorders>
              <w:tl2br w:val="nil"/>
              <w:tr2bl w:val="nil"/>
            </w:tcBorders>
            <w:vAlign w:val="center"/>
          </w:tcPr>
          <w:p>
            <w:pPr>
              <w:ind w:firstLine="0" w:firstLineChars="0"/>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铅及其化合物、硫酸雾</w:t>
            </w:r>
          </w:p>
        </w:tc>
        <w:tc>
          <w:tcPr>
            <w:tcW w:w="2402" w:type="dxa"/>
            <w:vMerge w:val="continue"/>
            <w:tcBorders>
              <w:tl2br w:val="nil"/>
              <w:tr2bl w:val="nil"/>
            </w:tcBorders>
            <w:vAlign w:val="center"/>
          </w:tcPr>
          <w:p>
            <w:pPr>
              <w:ind w:left="-57" w:right="-57" w:firstLine="420"/>
              <w:jc w:val="center"/>
              <w:rPr>
                <w:rFonts w:hint="default" w:ascii="Times New Roman" w:hAnsi="Times New Roman" w:cs="Times New Roman"/>
                <w:snapToGrid w:val="0"/>
                <w:color w:val="auto"/>
                <w:kern w:val="24"/>
                <w:sz w:val="21"/>
                <w:szCs w:val="21"/>
              </w:rPr>
            </w:pPr>
          </w:p>
        </w:tc>
      </w:tr>
    </w:tbl>
    <w:p>
      <w:pPr>
        <w:pStyle w:val="4"/>
        <w:ind w:firstLine="643"/>
        <w:rPr>
          <w:rFonts w:hint="default" w:ascii="Times New Roman" w:hAnsi="Times New Roman" w:cs="Times New Roman"/>
          <w:color w:val="auto"/>
        </w:rPr>
      </w:pPr>
      <w:bookmarkStart w:id="392" w:name="_Toc15286"/>
      <w:bookmarkStart w:id="393" w:name="_Toc21919"/>
      <w:bookmarkStart w:id="394" w:name="_Toc4253"/>
      <w:bookmarkStart w:id="395" w:name="_Toc26004"/>
      <w:bookmarkStart w:id="396" w:name="_Toc23408"/>
      <w:bookmarkStart w:id="397" w:name="_Toc28221"/>
      <w:bookmarkStart w:id="398" w:name="_Toc8983"/>
      <w:bookmarkStart w:id="399" w:name="_Toc12148"/>
      <w:r>
        <w:rPr>
          <w:rFonts w:hint="default" w:ascii="Times New Roman" w:hAnsi="Times New Roman" w:cs="Times New Roman"/>
          <w:color w:val="auto"/>
        </w:rPr>
        <w:t>7.2.3厂界环境噪声监测内容</w:t>
      </w:r>
      <w:bookmarkEnd w:id="392"/>
      <w:bookmarkEnd w:id="393"/>
      <w:bookmarkEnd w:id="394"/>
      <w:bookmarkEnd w:id="395"/>
      <w:bookmarkEnd w:id="396"/>
      <w:bookmarkEnd w:id="397"/>
      <w:bookmarkEnd w:id="398"/>
      <w:bookmarkEnd w:id="399"/>
    </w:p>
    <w:p>
      <w:pPr>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厂界环境噪声监测内容见表7-4。</w:t>
      </w:r>
    </w:p>
    <w:p>
      <w:pPr>
        <w:tabs>
          <w:tab w:val="left" w:pos="6480"/>
        </w:tabs>
        <w:spacing w:beforeLines="50" w:afterLines="20"/>
        <w:ind w:firstLine="3544" w:firstLineChars="1681"/>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表7-4厂界环境噪声监测工作内容</w:t>
      </w:r>
    </w:p>
    <w:tbl>
      <w:tblPr>
        <w:tblStyle w:val="21"/>
        <w:tblW w:w="855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6"/>
        <w:gridCol w:w="4609"/>
        <w:gridCol w:w="26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1246" w:type="dxa"/>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检测项目</w:t>
            </w:r>
          </w:p>
        </w:tc>
        <w:tc>
          <w:tcPr>
            <w:tcW w:w="4609" w:type="dxa"/>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采样点位</w:t>
            </w:r>
          </w:p>
        </w:tc>
        <w:tc>
          <w:tcPr>
            <w:tcW w:w="2695" w:type="dxa"/>
            <w:vAlign w:val="center"/>
          </w:tcPr>
          <w:p>
            <w:pPr>
              <w:pStyle w:val="56"/>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82" w:hRule="atLeast"/>
          <w:jc w:val="center"/>
        </w:trPr>
        <w:tc>
          <w:tcPr>
            <w:tcW w:w="1246" w:type="dxa"/>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等效声级</w:t>
            </w:r>
          </w:p>
        </w:tc>
        <w:tc>
          <w:tcPr>
            <w:tcW w:w="4609" w:type="dxa"/>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eastAsia="宋体" w:cs="Times New Roman"/>
                <w:color w:val="auto"/>
                <w:sz w:val="21"/>
                <w:szCs w:val="21"/>
              </w:rPr>
              <w:t>沿厂界南面、</w:t>
            </w:r>
            <w:r>
              <w:rPr>
                <w:rFonts w:hint="default" w:ascii="Times New Roman" w:hAnsi="Times New Roman" w:cs="Times New Roman"/>
                <w:color w:val="auto"/>
                <w:sz w:val="21"/>
                <w:szCs w:val="21"/>
              </w:rPr>
              <w:t>西面和</w:t>
            </w:r>
            <w:r>
              <w:rPr>
                <w:rFonts w:hint="default" w:ascii="Times New Roman" w:hAnsi="Times New Roman" w:eastAsia="宋体" w:cs="Times New Roman"/>
                <w:color w:val="auto"/>
                <w:sz w:val="21"/>
                <w:szCs w:val="21"/>
              </w:rPr>
              <w:t>北面布设</w:t>
            </w:r>
            <w:r>
              <w:rPr>
                <w:rFonts w:hint="default" w:ascii="Times New Roman" w:hAnsi="Times New Roman" w:cs="Times New Roman"/>
                <w:color w:val="auto"/>
                <w:sz w:val="21"/>
                <w:szCs w:val="21"/>
              </w:rPr>
              <w:t>4</w:t>
            </w:r>
            <w:r>
              <w:rPr>
                <w:rFonts w:hint="default" w:ascii="Times New Roman" w:hAnsi="Times New Roman" w:eastAsia="宋体" w:cs="Times New Roman"/>
                <w:color w:val="auto"/>
                <w:sz w:val="21"/>
                <w:szCs w:val="21"/>
              </w:rPr>
              <w:t>个监测点</w:t>
            </w:r>
          </w:p>
        </w:tc>
        <w:tc>
          <w:tcPr>
            <w:tcW w:w="2695" w:type="dxa"/>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昼间各监测1次，</w:t>
            </w:r>
          </w:p>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连续监测2天</w:t>
            </w:r>
          </w:p>
        </w:tc>
      </w:tr>
    </w:tbl>
    <w:p>
      <w:pPr>
        <w:pStyle w:val="3"/>
        <w:ind w:firstLine="0" w:firstLineChars="0"/>
        <w:rPr>
          <w:rFonts w:hint="default" w:ascii="Times New Roman" w:hAnsi="Times New Roman" w:eastAsia="仿宋_GB2312" w:cs="Times New Roman"/>
          <w:color w:val="auto"/>
          <w:szCs w:val="32"/>
        </w:rPr>
      </w:pPr>
      <w:bookmarkStart w:id="400" w:name="_Toc2210"/>
      <w:bookmarkStart w:id="401" w:name="_Toc29866"/>
      <w:r>
        <w:rPr>
          <w:rFonts w:hint="default" w:ascii="Times New Roman" w:hAnsi="Times New Roman" w:eastAsia="仿宋_GB2312" w:cs="Times New Roman"/>
          <w:color w:val="auto"/>
          <w:szCs w:val="32"/>
        </w:rPr>
        <w:t>7.3环境质量监测</w:t>
      </w:r>
      <w:bookmarkEnd w:id="400"/>
    </w:p>
    <w:p>
      <w:pPr>
        <w:pStyle w:val="4"/>
        <w:ind w:firstLine="562"/>
        <w:rPr>
          <w:rFonts w:hint="default" w:ascii="Times New Roman" w:hAnsi="Times New Roman" w:cs="Times New Roman"/>
          <w:color w:val="auto"/>
          <w:sz w:val="28"/>
          <w:szCs w:val="28"/>
        </w:rPr>
      </w:pPr>
      <w:bookmarkStart w:id="402" w:name="_Toc3940"/>
      <w:r>
        <w:rPr>
          <w:rFonts w:hint="default" w:ascii="Times New Roman" w:hAnsi="Times New Roman" w:cs="Times New Roman"/>
          <w:color w:val="auto"/>
          <w:sz w:val="28"/>
          <w:szCs w:val="28"/>
        </w:rPr>
        <w:t>7.3.1地下水监测内容</w:t>
      </w:r>
      <w:bookmarkEnd w:id="402"/>
    </w:p>
    <w:p>
      <w:pPr>
        <w:ind w:firstLine="480"/>
        <w:rPr>
          <w:rFonts w:hint="default" w:ascii="Times New Roman" w:hAnsi="Times New Roman" w:eastAsia="宋体" w:cs="Times New Roman"/>
          <w:color w:val="auto"/>
          <w:szCs w:val="24"/>
        </w:rPr>
      </w:pPr>
      <w:r>
        <w:rPr>
          <w:rFonts w:hint="default" w:ascii="Times New Roman" w:hAnsi="Times New Roman" w:cs="Times New Roman"/>
          <w:color w:val="auto"/>
          <w:szCs w:val="24"/>
        </w:rPr>
        <w:t>地下水</w:t>
      </w:r>
      <w:r>
        <w:rPr>
          <w:rFonts w:hint="default" w:ascii="Times New Roman" w:hAnsi="Times New Roman" w:eastAsia="宋体" w:cs="Times New Roman"/>
          <w:color w:val="auto"/>
          <w:szCs w:val="24"/>
        </w:rPr>
        <w:t>检测内容见表</w:t>
      </w:r>
      <w:r>
        <w:rPr>
          <w:rFonts w:hint="default" w:ascii="Times New Roman" w:hAnsi="Times New Roman" w:cs="Times New Roman"/>
          <w:color w:val="auto"/>
          <w:szCs w:val="24"/>
        </w:rPr>
        <w:t>7</w:t>
      </w:r>
      <w:r>
        <w:rPr>
          <w:rFonts w:hint="default" w:ascii="Times New Roman" w:hAnsi="Times New Roman" w:eastAsia="宋体" w:cs="Times New Roman"/>
          <w:color w:val="auto"/>
          <w:szCs w:val="24"/>
        </w:rPr>
        <w:t>-</w:t>
      </w:r>
      <w:r>
        <w:rPr>
          <w:rFonts w:hint="default" w:ascii="Times New Roman" w:hAnsi="Times New Roman" w:cs="Times New Roman"/>
          <w:color w:val="auto"/>
          <w:szCs w:val="24"/>
        </w:rPr>
        <w:t>5</w:t>
      </w:r>
      <w:r>
        <w:rPr>
          <w:rFonts w:hint="default" w:ascii="Times New Roman" w:hAnsi="Times New Roman" w:eastAsia="宋体" w:cs="Times New Roman"/>
          <w:color w:val="auto"/>
          <w:szCs w:val="24"/>
        </w:rPr>
        <w:t>。</w:t>
      </w:r>
    </w:p>
    <w:p>
      <w:pPr>
        <w:tabs>
          <w:tab w:val="left" w:pos="6480"/>
        </w:tabs>
        <w:spacing w:beforeLines="50" w:afterLines="20"/>
        <w:ind w:firstLine="1859" w:firstLineChars="882"/>
        <w:rPr>
          <w:rFonts w:hint="default" w:ascii="Times New Roman" w:hAnsi="Times New Roman" w:cs="Times New Roman"/>
          <w:b/>
          <w:color w:val="auto"/>
        </w:rPr>
      </w:pPr>
      <w:r>
        <w:rPr>
          <w:rFonts w:hint="default" w:ascii="Times New Roman" w:hAnsi="Times New Roman" w:cs="Times New Roman"/>
          <w:b/>
          <w:color w:val="auto"/>
          <w:sz w:val="21"/>
          <w:szCs w:val="21"/>
        </w:rPr>
        <w:t>表7-5地下水监测内容</w:t>
      </w:r>
    </w:p>
    <w:tbl>
      <w:tblPr>
        <w:tblStyle w:val="21"/>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2169"/>
        <w:gridCol w:w="2406"/>
        <w:gridCol w:w="25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blHeader/>
          <w:jc w:val="center"/>
        </w:trPr>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水质类型</w:t>
            </w:r>
          </w:p>
        </w:tc>
        <w:tc>
          <w:tcPr>
            <w:tcW w:w="2169"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采样点位</w:t>
            </w:r>
          </w:p>
        </w:tc>
        <w:tc>
          <w:tcPr>
            <w:tcW w:w="2406"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监测项目</w:t>
            </w:r>
          </w:p>
        </w:tc>
        <w:tc>
          <w:tcPr>
            <w:tcW w:w="2518"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地下水</w:t>
            </w:r>
          </w:p>
        </w:tc>
        <w:tc>
          <w:tcPr>
            <w:tcW w:w="2169"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北侧居民家水井</w:t>
            </w:r>
          </w:p>
        </w:tc>
        <w:tc>
          <w:tcPr>
            <w:tcW w:w="2406"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pH、铅、砷、镉</w:t>
            </w:r>
          </w:p>
        </w:tc>
        <w:tc>
          <w:tcPr>
            <w:tcW w:w="2518"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每天釆样2次，监测2天</w:t>
            </w:r>
          </w:p>
        </w:tc>
      </w:tr>
    </w:tbl>
    <w:p>
      <w:pPr>
        <w:pStyle w:val="4"/>
        <w:ind w:firstLine="562"/>
        <w:rPr>
          <w:rFonts w:hint="default" w:ascii="Times New Roman" w:hAnsi="Times New Roman" w:cs="Times New Roman"/>
          <w:color w:val="auto"/>
          <w:sz w:val="28"/>
          <w:szCs w:val="28"/>
        </w:rPr>
      </w:pPr>
      <w:bookmarkStart w:id="403" w:name="_Toc4668"/>
      <w:r>
        <w:rPr>
          <w:rFonts w:hint="default" w:ascii="Times New Roman" w:hAnsi="Times New Roman" w:cs="Times New Roman"/>
          <w:color w:val="auto"/>
          <w:sz w:val="28"/>
          <w:szCs w:val="28"/>
        </w:rPr>
        <w:t>7.3.2 环境空气检测内容</w:t>
      </w:r>
      <w:bookmarkEnd w:id="403"/>
    </w:p>
    <w:p>
      <w:pPr>
        <w:ind w:firstLine="480"/>
        <w:rPr>
          <w:rFonts w:hint="default" w:ascii="Times New Roman" w:hAnsi="Times New Roman" w:eastAsia="宋体" w:cs="Times New Roman"/>
          <w:color w:val="auto"/>
          <w:szCs w:val="24"/>
        </w:rPr>
      </w:pPr>
      <w:r>
        <w:rPr>
          <w:rFonts w:hint="default" w:ascii="Times New Roman" w:hAnsi="Times New Roman" w:cs="Times New Roman"/>
          <w:color w:val="auto"/>
          <w:szCs w:val="24"/>
        </w:rPr>
        <w:t>环境空气</w:t>
      </w:r>
      <w:r>
        <w:rPr>
          <w:rFonts w:hint="default" w:ascii="Times New Roman" w:hAnsi="Times New Roman" w:eastAsia="宋体" w:cs="Times New Roman"/>
          <w:color w:val="auto"/>
          <w:szCs w:val="24"/>
        </w:rPr>
        <w:t>检测内容见表</w:t>
      </w:r>
      <w:r>
        <w:rPr>
          <w:rFonts w:hint="default" w:ascii="Times New Roman" w:hAnsi="Times New Roman" w:cs="Times New Roman"/>
          <w:color w:val="auto"/>
          <w:szCs w:val="24"/>
        </w:rPr>
        <w:t>7</w:t>
      </w:r>
      <w:r>
        <w:rPr>
          <w:rFonts w:hint="default" w:ascii="Times New Roman" w:hAnsi="Times New Roman" w:eastAsia="宋体" w:cs="Times New Roman"/>
          <w:color w:val="auto"/>
          <w:szCs w:val="24"/>
        </w:rPr>
        <w:t>-</w:t>
      </w:r>
      <w:r>
        <w:rPr>
          <w:rFonts w:hint="default" w:ascii="Times New Roman" w:hAnsi="Times New Roman" w:cs="Times New Roman"/>
          <w:color w:val="auto"/>
          <w:szCs w:val="24"/>
        </w:rPr>
        <w:t>5</w:t>
      </w:r>
      <w:r>
        <w:rPr>
          <w:rFonts w:hint="default" w:ascii="Times New Roman" w:hAnsi="Times New Roman" w:eastAsia="宋体" w:cs="Times New Roman"/>
          <w:color w:val="auto"/>
          <w:szCs w:val="24"/>
        </w:rPr>
        <w:t>。</w:t>
      </w:r>
    </w:p>
    <w:p>
      <w:pPr>
        <w:tabs>
          <w:tab w:val="left" w:pos="6480"/>
        </w:tabs>
        <w:spacing w:beforeLines="50" w:afterLines="20"/>
        <w:ind w:firstLine="1859" w:firstLineChars="882"/>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表7-5环境空气监测内容</w:t>
      </w:r>
    </w:p>
    <w:tbl>
      <w:tblPr>
        <w:tblStyle w:val="21"/>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628"/>
        <w:gridCol w:w="2743"/>
        <w:gridCol w:w="2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blHeader/>
          <w:jc w:val="center"/>
        </w:trPr>
        <w:tc>
          <w:tcPr>
            <w:tcW w:w="1239"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类型</w:t>
            </w:r>
          </w:p>
        </w:tc>
        <w:tc>
          <w:tcPr>
            <w:tcW w:w="1628"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采样点位</w:t>
            </w:r>
          </w:p>
        </w:tc>
        <w:tc>
          <w:tcPr>
            <w:tcW w:w="2743"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监测项目</w:t>
            </w:r>
          </w:p>
        </w:tc>
        <w:tc>
          <w:tcPr>
            <w:tcW w:w="2910" w:type="dxa"/>
            <w:tcBorders>
              <w:tl2br w:val="nil"/>
              <w:tr2bl w:val="nil"/>
            </w:tcBorders>
            <w:vAlign w:val="center"/>
          </w:tcPr>
          <w:p>
            <w:pPr>
              <w:spacing w:line="240" w:lineRule="auto"/>
              <w:ind w:firstLine="0" w:firstLineChars="0"/>
              <w:jc w:val="center"/>
              <w:rPr>
                <w:rFonts w:hint="default" w:ascii="Times New Roman" w:hAnsi="Times New Roman" w:cs="Times New Roman"/>
                <w:b/>
                <w:bCs/>
                <w:snapToGrid w:val="0"/>
                <w:color w:val="auto"/>
                <w:kern w:val="24"/>
                <w:sz w:val="21"/>
                <w:szCs w:val="21"/>
              </w:rPr>
            </w:pPr>
            <w:r>
              <w:rPr>
                <w:rFonts w:hint="default" w:ascii="Times New Roman" w:hAnsi="Times New Roman" w:cs="Times New Roman"/>
                <w:b/>
                <w:bCs/>
                <w:snapToGrid w:val="0"/>
                <w:color w:val="auto"/>
                <w:kern w:val="24"/>
                <w:sz w:val="21"/>
                <w:szCs w:val="21"/>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23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环境空气</w:t>
            </w:r>
          </w:p>
        </w:tc>
        <w:tc>
          <w:tcPr>
            <w:tcW w:w="162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龙山社区居民</w:t>
            </w:r>
          </w:p>
        </w:tc>
        <w:tc>
          <w:tcPr>
            <w:tcW w:w="2743"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铅及其化合物</w:t>
            </w:r>
          </w:p>
        </w:tc>
        <w:tc>
          <w:tcPr>
            <w:tcW w:w="2910"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23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p>
        </w:tc>
        <w:tc>
          <w:tcPr>
            <w:tcW w:w="162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p>
        </w:tc>
        <w:tc>
          <w:tcPr>
            <w:tcW w:w="2743"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硫酸雾</w:t>
            </w:r>
          </w:p>
        </w:tc>
        <w:tc>
          <w:tcPr>
            <w:tcW w:w="2910"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每天釆样4次，</w:t>
            </w:r>
          </w:p>
          <w:p>
            <w:pPr>
              <w:spacing w:line="240" w:lineRule="auto"/>
              <w:ind w:firstLine="0" w:firstLineChars="0"/>
              <w:jc w:val="center"/>
              <w:rPr>
                <w:rFonts w:hint="default" w:ascii="Times New Roman" w:hAnsi="Times New Roman" w:cs="Times New Roman"/>
                <w:snapToGrid w:val="0"/>
                <w:color w:val="auto"/>
                <w:kern w:val="24"/>
                <w:sz w:val="21"/>
                <w:szCs w:val="21"/>
              </w:rPr>
            </w:pPr>
            <w:r>
              <w:rPr>
                <w:rFonts w:hint="default" w:ascii="Times New Roman" w:hAnsi="Times New Roman" w:cs="Times New Roman"/>
                <w:snapToGrid w:val="0"/>
                <w:color w:val="auto"/>
                <w:kern w:val="24"/>
                <w:sz w:val="21"/>
                <w:szCs w:val="21"/>
              </w:rPr>
              <w:t>监测2天</w:t>
            </w:r>
          </w:p>
        </w:tc>
      </w:tr>
    </w:tbl>
    <w:p>
      <w:pPr>
        <w:pStyle w:val="5"/>
        <w:ind w:firstLine="560"/>
        <w:rPr>
          <w:rFonts w:hint="default" w:ascii="Times New Roman" w:hAnsi="Times New Roman" w:cs="Times New Roman"/>
          <w:color w:val="auto"/>
        </w:rPr>
      </w:pPr>
    </w:p>
    <w:p>
      <w:pPr>
        <w:pStyle w:val="5"/>
        <w:ind w:firstLine="56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0" w:firstLineChars="0"/>
        <w:rPr>
          <w:rFonts w:hint="default" w:ascii="Times New Roman" w:hAnsi="Times New Roman" w:eastAsia="黑体" w:cs="Times New Roman"/>
          <w:color w:val="auto"/>
          <w:sz w:val="32"/>
          <w:szCs w:val="32"/>
        </w:rPr>
      </w:pPr>
      <w:bookmarkStart w:id="404" w:name="_Toc31450"/>
      <w:bookmarkStart w:id="405" w:name="_Toc11997"/>
      <w:bookmarkStart w:id="406" w:name="_Toc29280"/>
      <w:bookmarkStart w:id="407" w:name="_Toc5465"/>
      <w:bookmarkStart w:id="408" w:name="_Toc19790"/>
      <w:bookmarkStart w:id="409" w:name="_Toc14736"/>
      <w:bookmarkStart w:id="410" w:name="_Toc9018"/>
      <w:bookmarkStart w:id="411" w:name="_Toc28364"/>
      <w:r>
        <w:rPr>
          <w:rFonts w:hint="default" w:ascii="Times New Roman" w:hAnsi="Times New Roman" w:eastAsia="黑体" w:cs="Times New Roman"/>
          <w:color w:val="auto"/>
          <w:sz w:val="32"/>
          <w:szCs w:val="32"/>
        </w:rPr>
        <w:t>8、验收监测的质量控制和质量保证</w:t>
      </w:r>
      <w:bookmarkEnd w:id="377"/>
      <w:bookmarkEnd w:id="378"/>
      <w:bookmarkEnd w:id="379"/>
      <w:bookmarkEnd w:id="380"/>
      <w:bookmarkEnd w:id="381"/>
      <w:bookmarkEnd w:id="401"/>
      <w:bookmarkEnd w:id="404"/>
      <w:bookmarkEnd w:id="405"/>
      <w:bookmarkEnd w:id="406"/>
      <w:bookmarkEnd w:id="407"/>
      <w:bookmarkEnd w:id="408"/>
      <w:bookmarkEnd w:id="409"/>
      <w:bookmarkEnd w:id="410"/>
      <w:bookmarkEnd w:id="411"/>
    </w:p>
    <w:p>
      <w:pPr>
        <w:pStyle w:val="3"/>
        <w:ind w:firstLine="0" w:firstLineChars="0"/>
        <w:rPr>
          <w:rFonts w:hint="default" w:ascii="Times New Roman" w:hAnsi="Times New Roman" w:eastAsia="仿宋_GB2312" w:cs="Times New Roman"/>
          <w:color w:val="auto"/>
          <w:sz w:val="28"/>
          <w:szCs w:val="28"/>
        </w:rPr>
      </w:pPr>
      <w:bookmarkStart w:id="412" w:name="_Toc32266"/>
      <w:bookmarkStart w:id="413" w:name="_Toc24626"/>
      <w:bookmarkStart w:id="414" w:name="_Toc24132"/>
      <w:bookmarkStart w:id="415" w:name="_Toc26280"/>
      <w:bookmarkStart w:id="416" w:name="_Toc1984"/>
      <w:bookmarkStart w:id="417" w:name="_Toc23607"/>
      <w:bookmarkStart w:id="418" w:name="_Toc16745"/>
      <w:bookmarkStart w:id="419" w:name="_Toc5227"/>
      <w:bookmarkStart w:id="420" w:name="_Toc28416"/>
      <w:bookmarkStart w:id="421" w:name="_Toc21556"/>
      <w:bookmarkStart w:id="422" w:name="_Toc10541"/>
      <w:bookmarkStart w:id="423" w:name="_Toc4224"/>
      <w:bookmarkStart w:id="424" w:name="_Toc25636"/>
      <w:bookmarkStart w:id="425" w:name="_Toc28823"/>
      <w:r>
        <w:rPr>
          <w:rFonts w:hint="default" w:ascii="Times New Roman" w:hAnsi="Times New Roman" w:eastAsia="宋体" w:cs="Times New Roman"/>
          <w:color w:val="auto"/>
          <w:szCs w:val="32"/>
        </w:rPr>
        <w:t xml:space="preserve">8.1 </w:t>
      </w:r>
      <w:r>
        <w:rPr>
          <w:rFonts w:hint="default" w:ascii="Times New Roman" w:hAnsi="Times New Roman" w:eastAsia="仿宋_GB2312" w:cs="Times New Roman"/>
          <w:color w:val="auto"/>
          <w:szCs w:val="32"/>
        </w:rPr>
        <w:t>质量控制和质量保证</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ind w:firstLine="0" w:firstLineChars="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rPr>
        <w:t>湖南格林城院环境检测咨询有限公司通过了湖南省质量技术监督局计量认证（证书编号：151812050136），具备国家有关法律、行政法规规定的基本条件和能力，在监测过程中，对样品采集、运输、保存和检测的全过程严格按照国家相关技术规范和标准分析方法的要求进行，对布点、采样、分析、数据处理的全过程实施质量控制，严格操作技术规范，保证监测数据的准确可靠。</w:t>
      </w:r>
    </w:p>
    <w:p>
      <w:pPr>
        <w:ind w:firstLine="56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rPr>
        <w:t>（1） 采样质量控制：</w:t>
      </w:r>
    </w:p>
    <w:p>
      <w:pPr>
        <w:numPr>
          <w:ilvl w:val="0"/>
          <w:numId w:val="1"/>
        </w:numPr>
        <w:ind w:firstLine="56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rPr>
        <w:t>监测取样时段内，保证主要环保设施运行正常，各工序均处于正常生产状态，生产能力达到验收监测的工况要求。</w:t>
      </w:r>
    </w:p>
    <w:p>
      <w:pPr>
        <w:numPr>
          <w:ilvl w:val="0"/>
          <w:numId w:val="1"/>
        </w:numPr>
        <w:ind w:firstLine="56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rPr>
        <w:t>点位设置：根据项目布局、生产及污染源排放情况，按监测规范要求合理布设监测点位，保证各监测点位的代表性、可比性和科学性。</w:t>
      </w:r>
    </w:p>
    <w:p>
      <w:pPr>
        <w:numPr>
          <w:ilvl w:val="0"/>
          <w:numId w:val="1"/>
        </w:numPr>
        <w:ind w:firstLine="56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rPr>
        <w:t>噪声监测：噪声测量前后测量仪器均经校准，灵敏度相差不大0.5dB(A)。监测时测量仪器配置防风罩，根据当天的天气情况，在无雨雪、雷电，风速在5m/s以下进行测量，风速＞5m/s停止测试。厂界环境噪声在一般情况下，测点选在工业企业厂界外1m、高度1.2m以上、距任一反射面距离不小于1m的位置。</w:t>
      </w:r>
    </w:p>
    <w:p>
      <w:pPr>
        <w:ind w:firstLine="560"/>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color w:val="auto"/>
          <w:sz w:val="28"/>
          <w:szCs w:val="28"/>
        </w:rPr>
        <w:t>声级计校准记录见表8-1。</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表8-1声级计校准记录表</w:t>
      </w:r>
    </w:p>
    <w:tbl>
      <w:tblPr>
        <w:tblStyle w:val="22"/>
        <w:tblW w:w="9245" w:type="dxa"/>
        <w:jc w:val="center"/>
        <w:tblInd w:w="-10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548"/>
        <w:gridCol w:w="1545"/>
        <w:gridCol w:w="1070"/>
        <w:gridCol w:w="1492"/>
        <w:gridCol w:w="1523"/>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005"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状态</w:t>
            </w:r>
          </w:p>
        </w:tc>
        <w:tc>
          <w:tcPr>
            <w:tcW w:w="1548"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仪器设备名称</w:t>
            </w:r>
          </w:p>
        </w:tc>
        <w:tc>
          <w:tcPr>
            <w:tcW w:w="1545"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校准设备名称</w:t>
            </w:r>
          </w:p>
        </w:tc>
        <w:tc>
          <w:tcPr>
            <w:tcW w:w="1070"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校准值</w:t>
            </w:r>
          </w:p>
        </w:tc>
        <w:tc>
          <w:tcPr>
            <w:tcW w:w="1492"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校准器标准值</w:t>
            </w:r>
          </w:p>
        </w:tc>
        <w:tc>
          <w:tcPr>
            <w:tcW w:w="1523"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允许误差范围</w:t>
            </w:r>
          </w:p>
        </w:tc>
        <w:tc>
          <w:tcPr>
            <w:tcW w:w="1062" w:type="dxa"/>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结果</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100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采样前</w:t>
            </w:r>
          </w:p>
        </w:tc>
        <w:tc>
          <w:tcPr>
            <w:tcW w:w="154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AWA5688多功能声级计 </w:t>
            </w:r>
          </w:p>
        </w:tc>
        <w:tc>
          <w:tcPr>
            <w:tcW w:w="154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AWA6221A</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声级校准器</w:t>
            </w:r>
          </w:p>
        </w:tc>
        <w:tc>
          <w:tcPr>
            <w:tcW w:w="107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93.8</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1492"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1523"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10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100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采样后</w:t>
            </w:r>
          </w:p>
        </w:tc>
        <w:tc>
          <w:tcPr>
            <w:tcW w:w="154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AWA5688多功能声级计 </w:t>
            </w:r>
          </w:p>
        </w:tc>
        <w:tc>
          <w:tcPr>
            <w:tcW w:w="154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AWA6221A</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声级校准器</w:t>
            </w:r>
          </w:p>
        </w:tc>
        <w:tc>
          <w:tcPr>
            <w:tcW w:w="107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93.8</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1492"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23"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合格</w:t>
            </w:r>
          </w:p>
        </w:tc>
      </w:tr>
    </w:tbl>
    <w:p>
      <w:pPr>
        <w:spacing w:beforeLines="50"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（2）实验室质量控制</w:t>
      </w:r>
    </w:p>
    <w:p>
      <w:pPr>
        <w:numPr>
          <w:ilvl w:val="0"/>
          <w:numId w:val="2"/>
        </w:numPr>
        <w:spacing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所用玻璃仪器均经校准，分析仪器经过了周期性计量检定，并在有效期内使用。</w:t>
      </w:r>
    </w:p>
    <w:p>
      <w:pPr>
        <w:numPr>
          <w:ilvl w:val="0"/>
          <w:numId w:val="2"/>
        </w:numPr>
        <w:spacing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监测人员经过持证上岗考核并持有合格证书。实验室分析人员按国家或行业标准分析方法对样品进行分析，每批样品在检测同时抽取10%的自控平行样及带质控样。</w:t>
      </w:r>
    </w:p>
    <w:p>
      <w:pPr>
        <w:numPr>
          <w:ilvl w:val="0"/>
          <w:numId w:val="1"/>
        </w:num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监测结果数据处理：正确、真实、齐全、清晰填写实验室分析原始记录，按规定公式和运算规则计算监测结果，经分析人、校核人和审核人三级审核签字后才可上报。</w:t>
      </w:r>
    </w:p>
    <w:p>
      <w:pPr>
        <w:numPr>
          <w:ilvl w:val="0"/>
          <w:numId w:val="1"/>
        </w:num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报告编制：项目负责人负责报告编制，审核人员负责校对，确保报告中数据与原始数据一致无误。经报告编写人、审核人和签发人三级审核签字后方可报出。</w:t>
      </w:r>
    </w:p>
    <w:p>
      <w:pPr>
        <w:pStyle w:val="3"/>
        <w:spacing w:line="240" w:lineRule="auto"/>
        <w:ind w:firstLine="0" w:firstLineChars="0"/>
        <w:rPr>
          <w:rFonts w:hint="default" w:ascii="Times New Roman" w:hAnsi="Times New Roman" w:eastAsia="仿宋_GB2312" w:cs="Times New Roman"/>
          <w:color w:val="auto"/>
          <w:sz w:val="28"/>
          <w:szCs w:val="28"/>
        </w:rPr>
      </w:pPr>
      <w:bookmarkStart w:id="426" w:name="_Toc12560"/>
      <w:bookmarkStart w:id="427" w:name="_Toc15191"/>
      <w:bookmarkStart w:id="428" w:name="_Toc12945"/>
      <w:bookmarkStart w:id="429" w:name="_Toc27990"/>
      <w:bookmarkStart w:id="430" w:name="_Toc14674"/>
      <w:bookmarkStart w:id="431" w:name="_Toc25155"/>
      <w:bookmarkStart w:id="432" w:name="_Toc22845"/>
      <w:bookmarkStart w:id="433" w:name="_Toc5370"/>
      <w:bookmarkStart w:id="434" w:name="_Toc18136"/>
      <w:bookmarkStart w:id="435" w:name="_Toc25482"/>
      <w:bookmarkStart w:id="436" w:name="_Toc6565"/>
      <w:bookmarkStart w:id="437" w:name="_Toc6116"/>
      <w:bookmarkStart w:id="438" w:name="_Toc12292"/>
      <w:r>
        <w:rPr>
          <w:rFonts w:hint="default" w:ascii="Times New Roman" w:hAnsi="Times New Roman" w:eastAsia="宋体" w:cs="Times New Roman"/>
          <w:color w:val="auto"/>
          <w:szCs w:val="32"/>
        </w:rPr>
        <w:t xml:space="preserve">8.2 </w:t>
      </w:r>
      <w:r>
        <w:rPr>
          <w:rFonts w:hint="default" w:ascii="Times New Roman" w:hAnsi="Times New Roman" w:eastAsia="仿宋_GB2312" w:cs="Times New Roman"/>
          <w:color w:val="auto"/>
          <w:szCs w:val="32"/>
        </w:rPr>
        <w:t>监测分析方法</w:t>
      </w:r>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240" w:lineRule="auto"/>
        <w:ind w:firstLine="561" w:firstLineChars="0"/>
        <w:rPr>
          <w:rFonts w:hint="default" w:ascii="Times New Roman" w:hAnsi="Times New Roman" w:eastAsia="宋体" w:cs="Times New Roman"/>
          <w:b/>
          <w:color w:val="auto"/>
          <w:szCs w:val="24"/>
        </w:rPr>
      </w:pPr>
      <w:r>
        <w:rPr>
          <w:rFonts w:hint="default" w:ascii="Times New Roman" w:hAnsi="Times New Roman" w:eastAsia="宋体" w:cs="Times New Roman"/>
          <w:color w:val="auto"/>
          <w:sz w:val="28"/>
          <w:szCs w:val="28"/>
        </w:rPr>
        <w:t>监测分析方法见表8-2。</w:t>
      </w:r>
    </w:p>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表8-2监测分析方法一览表</w:t>
      </w:r>
    </w:p>
    <w:tbl>
      <w:tblPr>
        <w:tblStyle w:val="22"/>
        <w:tblpPr w:leftFromText="180" w:rightFromText="180" w:vertAnchor="text" w:horzAnchor="page" w:tblpX="912" w:tblpY="230"/>
        <w:tblOverlap w:val="never"/>
        <w:tblW w:w="9854"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326"/>
        <w:gridCol w:w="1764"/>
        <w:gridCol w:w="2768"/>
        <w:gridCol w:w="2251"/>
        <w:gridCol w:w="174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blHeader/>
        </w:trPr>
        <w:tc>
          <w:tcPr>
            <w:tcW w:w="1326" w:type="dxa"/>
            <w:tcBorders>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764" w:type="dxa"/>
            <w:tcBorders>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768" w:type="dxa"/>
            <w:tcBorders>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分析方法</w:t>
            </w:r>
          </w:p>
        </w:tc>
        <w:tc>
          <w:tcPr>
            <w:tcW w:w="2251" w:type="dxa"/>
            <w:tcBorders>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方法来源</w:t>
            </w:r>
          </w:p>
        </w:tc>
        <w:tc>
          <w:tcPr>
            <w:tcW w:w="1745" w:type="dxa"/>
            <w:tcBorders>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检出限</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restar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538-2009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离子色谱法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544-2016</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restar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539-2009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5.0×10-6mg/m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离子色谱法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544-2016</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restar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539-2009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5.0×10</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离子色谱法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544-2016</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0.005mg/m</w:t>
            </w:r>
            <w:r>
              <w:rPr>
                <w:rFonts w:hint="default" w:ascii="Times New Roman" w:hAnsi="Times New Roman" w:eastAsia="宋体"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restar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玻璃电极法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6920-86</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重铬酸盐法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828-2017</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重量法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11901-1989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五日生化需氧量（BOD5）</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稀释与接种法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505-2009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637-2012</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纳氏试剂分光光度法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535-2009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钼酸铵分光光度法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11893-89</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8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总镉</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《水和废水监测分析方法》</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83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总铅</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《水和废水监测分析方法》</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总砷</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原子荧光分光光度法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694-2014</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restart"/>
            <w:tcBorders>
              <w:top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玻璃电极法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6920-86</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《水和废水监测分析方法》</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《水和废水监测分析方法》</w:t>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vMerge w:val="continue"/>
            <w:tcBorders>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764"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2768"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原子荧光法</w:t>
            </w:r>
          </w:p>
        </w:tc>
        <w:tc>
          <w:tcPr>
            <w:tcW w:w="22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HJ 694-2014</w:t>
            </w:r>
            <w:r>
              <w:rPr>
                <w:rFonts w:hint="default" w:ascii="Times New Roman" w:hAnsi="Times New Roman" w:eastAsia="宋体" w:cs="Times New Roman"/>
                <w:color w:val="auto"/>
                <w:sz w:val="21"/>
                <w:szCs w:val="21"/>
              </w:rPr>
              <w:tab/>
            </w:r>
          </w:p>
        </w:tc>
        <w:tc>
          <w:tcPr>
            <w:tcW w:w="1745" w:type="dxa"/>
            <w:tcBorders>
              <w:top w:val="single" w:color="000000" w:sz="6" w:space="0"/>
              <w:left w:val="single" w:color="000000" w:sz="6" w:space="0"/>
              <w:bottom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20" w:hRule="exact"/>
        </w:trPr>
        <w:tc>
          <w:tcPr>
            <w:tcW w:w="1326" w:type="dxa"/>
            <w:tcBorders>
              <w:top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64" w:type="dxa"/>
            <w:tcBorders>
              <w:top w:val="single" w:color="000000" w:sz="6" w:space="0"/>
              <w:left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2768" w:type="dxa"/>
            <w:tcBorders>
              <w:top w:val="single" w:color="000000" w:sz="6" w:space="0"/>
              <w:left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连续等效声级法</w:t>
            </w:r>
          </w:p>
        </w:tc>
        <w:tc>
          <w:tcPr>
            <w:tcW w:w="2251" w:type="dxa"/>
            <w:tcBorders>
              <w:top w:val="single" w:color="000000" w:sz="6" w:space="0"/>
              <w:left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12348-2008</w:t>
            </w:r>
          </w:p>
        </w:tc>
        <w:tc>
          <w:tcPr>
            <w:tcW w:w="1745" w:type="dxa"/>
            <w:tcBorders>
              <w:top w:val="single" w:color="000000" w:sz="6" w:space="0"/>
              <w:lef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28dB(A)</w:t>
            </w:r>
          </w:p>
        </w:tc>
      </w:tr>
    </w:tbl>
    <w:p>
      <w:pPr>
        <w:pStyle w:val="3"/>
        <w:spacing w:line="240" w:lineRule="auto"/>
        <w:ind w:firstLine="0" w:firstLineChars="0"/>
        <w:rPr>
          <w:rFonts w:hint="default" w:ascii="Times New Roman" w:hAnsi="Times New Roman" w:eastAsia="仿宋_GB2312" w:cs="Times New Roman"/>
          <w:color w:val="auto"/>
          <w:szCs w:val="32"/>
        </w:rPr>
      </w:pPr>
      <w:bookmarkStart w:id="439" w:name="_Toc24234"/>
      <w:bookmarkStart w:id="440" w:name="_Toc1243"/>
      <w:bookmarkStart w:id="441" w:name="_Toc30457"/>
      <w:bookmarkStart w:id="442" w:name="_Toc25942"/>
      <w:bookmarkStart w:id="443" w:name="_Toc3263"/>
      <w:bookmarkStart w:id="444" w:name="_Toc4819"/>
      <w:bookmarkStart w:id="445" w:name="_Toc15534"/>
      <w:bookmarkStart w:id="446" w:name="_Toc32411"/>
      <w:bookmarkStart w:id="447" w:name="_Toc19296"/>
      <w:bookmarkStart w:id="448" w:name="_Toc24584"/>
      <w:bookmarkStart w:id="449" w:name="_Toc8040"/>
      <w:bookmarkStart w:id="450" w:name="_Toc27680"/>
      <w:bookmarkStart w:id="451" w:name="_Toc14193"/>
      <w:bookmarkStart w:id="452" w:name="_Toc23401"/>
      <w:r>
        <w:rPr>
          <w:rFonts w:hint="default" w:ascii="Times New Roman" w:hAnsi="Times New Roman" w:eastAsia="仿宋_GB2312" w:cs="Times New Roman"/>
          <w:color w:val="auto"/>
          <w:szCs w:val="32"/>
        </w:rPr>
        <w:t>8.3检测仪器</w:t>
      </w:r>
      <w:bookmarkEnd w:id="439"/>
      <w:bookmarkEnd w:id="440"/>
      <w:bookmarkEnd w:id="441"/>
      <w:bookmarkEnd w:id="442"/>
      <w:bookmarkEnd w:id="443"/>
      <w:bookmarkEnd w:id="444"/>
      <w:bookmarkEnd w:id="445"/>
      <w:bookmarkEnd w:id="446"/>
      <w:bookmarkEnd w:id="447"/>
      <w:bookmarkEnd w:id="448"/>
      <w:bookmarkEnd w:id="449"/>
    </w:p>
    <w:p>
      <w:pPr>
        <w:spacing w:line="240" w:lineRule="auto"/>
        <w:ind w:firstLine="561"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检测仪器计量情况见下表8-3。</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表8-3监测仪器计量情况</w:t>
      </w:r>
    </w:p>
    <w:tbl>
      <w:tblPr>
        <w:tblStyle w:val="22"/>
        <w:tblpPr w:leftFromText="180" w:rightFromText="180" w:vertAnchor="text" w:horzAnchor="page" w:tblpX="912" w:tblpY="230"/>
        <w:tblOverlap w:val="never"/>
        <w:tblW w:w="985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11"/>
        <w:gridCol w:w="2143"/>
        <w:gridCol w:w="3364"/>
        <w:gridCol w:w="27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161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分析项目项目</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所用仪器型号</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仪器检定情况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PIC-8离子色谱仪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PIC-8离子色谱仪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铅及其化合物</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PIC-8离子色谱仪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PHS-3C PH计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HCA-102标准COD消解器</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JJ224BC型电子天平</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五日生化需氧量（BOD5）</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LRH-150F生化培养箱</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OIL-2红外测油仪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V-1800B可见分光光度计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V-1800B可见分光光度计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6"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总镉</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总铅</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总砷</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AFS200T原子荧光光谱仪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PHS-3C PH计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07"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AAS9000原子吸收分光光度计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AFS200T原子荧光光谱仪</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exact"/>
        </w:trPr>
        <w:tc>
          <w:tcPr>
            <w:tcW w:w="161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4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33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AWA5688多功能声级计</w:t>
            </w:r>
          </w:p>
        </w:tc>
        <w:tc>
          <w:tcPr>
            <w:tcW w:w="27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已检定</w:t>
            </w:r>
          </w:p>
        </w:tc>
      </w:tr>
    </w:tbl>
    <w:p>
      <w:pPr>
        <w:pStyle w:val="3"/>
        <w:spacing w:line="240" w:lineRule="auto"/>
        <w:ind w:firstLine="0" w:firstLineChars="0"/>
        <w:rPr>
          <w:rFonts w:hint="default" w:ascii="Times New Roman" w:hAnsi="Times New Roman" w:eastAsia="仿宋_GB2312" w:cs="Times New Roman"/>
          <w:color w:val="auto"/>
          <w:szCs w:val="32"/>
        </w:rPr>
      </w:pPr>
      <w:bookmarkStart w:id="453" w:name="_Toc13287"/>
      <w:bookmarkStart w:id="454" w:name="_Toc24420"/>
      <w:bookmarkStart w:id="455" w:name="_Toc11787"/>
      <w:bookmarkStart w:id="456" w:name="_Toc30836"/>
      <w:bookmarkStart w:id="457" w:name="_Toc938"/>
      <w:bookmarkStart w:id="458" w:name="_Toc5220"/>
      <w:bookmarkStart w:id="459" w:name="_Toc32636"/>
      <w:bookmarkStart w:id="460" w:name="_Toc3196"/>
      <w:bookmarkStart w:id="461" w:name="_Toc30955"/>
      <w:r>
        <w:rPr>
          <w:rFonts w:hint="default" w:ascii="Times New Roman" w:hAnsi="Times New Roman" w:eastAsia="仿宋_GB2312" w:cs="Times New Roman"/>
          <w:color w:val="auto"/>
          <w:szCs w:val="32"/>
        </w:rPr>
        <w:t>8.4人员资质</w:t>
      </w:r>
      <w:bookmarkEnd w:id="453"/>
      <w:bookmarkEnd w:id="454"/>
      <w:bookmarkEnd w:id="455"/>
      <w:bookmarkEnd w:id="456"/>
      <w:bookmarkEnd w:id="457"/>
      <w:bookmarkEnd w:id="458"/>
      <w:bookmarkEnd w:id="459"/>
      <w:bookmarkEnd w:id="460"/>
      <w:bookmarkEnd w:id="461"/>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湖南格林城院环境检测咨询有限公司通过了湖南省质量技术监督局计量认证（证书编号：151812050136），具备相关监测项目的资质能力，采样与分析人员均经过培训并持证上岗。</w:t>
      </w:r>
    </w:p>
    <w:p>
      <w:pPr>
        <w:ind w:firstLine="0" w:firstLineChars="0"/>
        <w:rPr>
          <w:rFonts w:hint="default" w:ascii="Times New Roman" w:hAnsi="Times New Roman" w:cs="Times New Roman"/>
          <w:color w:val="auto"/>
        </w:rPr>
      </w:pPr>
      <w:bookmarkStart w:id="462" w:name="_Toc12283"/>
      <w:bookmarkStart w:id="463" w:name="_Toc11729"/>
      <w:bookmarkStart w:id="464" w:name="_Toc32632"/>
      <w:bookmarkStart w:id="465" w:name="_Toc29894"/>
      <w:bookmarkStart w:id="466" w:name="_Toc12095"/>
      <w:bookmarkStart w:id="467" w:name="_Toc10609"/>
      <w:bookmarkStart w:id="468" w:name="_Toc702"/>
      <w:bookmarkStart w:id="469" w:name="_Toc19462"/>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ind w:firstLine="0" w:firstLineChars="0"/>
        <w:rPr>
          <w:rFonts w:hint="default" w:ascii="Times New Roman" w:hAnsi="Times New Roman" w:eastAsia="黑体" w:cs="Times New Roman"/>
          <w:color w:val="auto"/>
          <w:sz w:val="32"/>
          <w:szCs w:val="32"/>
        </w:rPr>
      </w:pPr>
      <w:bookmarkStart w:id="470" w:name="_Toc16163"/>
      <w:r>
        <w:rPr>
          <w:rFonts w:hint="default" w:ascii="Times New Roman" w:hAnsi="Times New Roman" w:eastAsia="黑体" w:cs="Times New Roman"/>
          <w:color w:val="auto"/>
          <w:sz w:val="32"/>
          <w:szCs w:val="32"/>
        </w:rPr>
        <w:t>9、验收监测结果</w:t>
      </w:r>
      <w:bookmarkEnd w:id="450"/>
      <w:r>
        <w:rPr>
          <w:rFonts w:hint="default" w:ascii="Times New Roman" w:hAnsi="Times New Roman" w:eastAsia="黑体" w:cs="Times New Roman"/>
          <w:color w:val="auto"/>
          <w:sz w:val="32"/>
          <w:szCs w:val="32"/>
        </w:rPr>
        <w:t>及评价</w:t>
      </w:r>
      <w:bookmarkEnd w:id="451"/>
      <w:bookmarkEnd w:id="452"/>
      <w:bookmarkEnd w:id="462"/>
      <w:bookmarkEnd w:id="463"/>
      <w:bookmarkEnd w:id="464"/>
      <w:bookmarkEnd w:id="465"/>
      <w:bookmarkEnd w:id="466"/>
      <w:bookmarkEnd w:id="467"/>
      <w:bookmarkEnd w:id="468"/>
      <w:bookmarkEnd w:id="469"/>
      <w:bookmarkEnd w:id="470"/>
    </w:p>
    <w:p>
      <w:pPr>
        <w:pStyle w:val="3"/>
        <w:ind w:firstLine="0" w:firstLineChars="0"/>
        <w:rPr>
          <w:rFonts w:hint="default" w:ascii="Times New Roman" w:hAnsi="Times New Roman" w:eastAsia="仿宋_GB2312" w:cs="Times New Roman"/>
          <w:color w:val="auto"/>
          <w:szCs w:val="32"/>
        </w:rPr>
      </w:pPr>
      <w:bookmarkStart w:id="471" w:name="_Toc23677"/>
      <w:bookmarkStart w:id="472" w:name="_Toc7766"/>
      <w:bookmarkStart w:id="473" w:name="_Toc22382"/>
      <w:bookmarkStart w:id="474" w:name="_Toc16216"/>
      <w:bookmarkStart w:id="475" w:name="_Toc23744"/>
      <w:bookmarkStart w:id="476" w:name="_Toc21311"/>
      <w:bookmarkStart w:id="477" w:name="_Toc7803"/>
      <w:bookmarkStart w:id="478" w:name="_Toc30825"/>
      <w:bookmarkStart w:id="479" w:name="_Toc30376"/>
      <w:bookmarkStart w:id="480" w:name="_Toc5280"/>
      <w:bookmarkStart w:id="481" w:name="_Toc31799"/>
      <w:bookmarkStart w:id="482" w:name="_Toc8353"/>
      <w:bookmarkStart w:id="483" w:name="_Toc18702"/>
      <w:bookmarkStart w:id="484" w:name="_Toc7139"/>
      <w:r>
        <w:rPr>
          <w:rFonts w:hint="default" w:ascii="Times New Roman" w:hAnsi="Times New Roman" w:eastAsia="宋体" w:cs="Times New Roman"/>
          <w:color w:val="auto"/>
          <w:szCs w:val="32"/>
        </w:rPr>
        <w:t xml:space="preserve">9.1 </w:t>
      </w:r>
      <w:r>
        <w:rPr>
          <w:rFonts w:hint="default" w:ascii="Times New Roman" w:hAnsi="Times New Roman" w:eastAsia="仿宋_GB2312" w:cs="Times New Roman"/>
          <w:color w:val="auto"/>
          <w:szCs w:val="32"/>
        </w:rPr>
        <w:t>验收</w:t>
      </w:r>
      <w:bookmarkEnd w:id="471"/>
      <w:bookmarkEnd w:id="472"/>
      <w:bookmarkEnd w:id="473"/>
      <w:bookmarkEnd w:id="474"/>
      <w:r>
        <w:rPr>
          <w:rFonts w:hint="default" w:ascii="Times New Roman" w:hAnsi="Times New Roman" w:eastAsia="仿宋_GB2312" w:cs="Times New Roman"/>
          <w:color w:val="auto"/>
          <w:szCs w:val="32"/>
        </w:rPr>
        <w:t>监测期间工况分析</w:t>
      </w:r>
      <w:bookmarkEnd w:id="475"/>
      <w:bookmarkEnd w:id="476"/>
      <w:bookmarkEnd w:id="477"/>
      <w:bookmarkEnd w:id="478"/>
      <w:bookmarkEnd w:id="479"/>
      <w:bookmarkEnd w:id="480"/>
      <w:bookmarkEnd w:id="481"/>
      <w:bookmarkEnd w:id="482"/>
      <w:bookmarkEnd w:id="483"/>
      <w:bookmarkEnd w:id="484"/>
    </w:p>
    <w:p>
      <w:pPr>
        <w:ind w:firstLine="560" w:firstLineChars="0"/>
        <w:rPr>
          <w:rFonts w:hint="default" w:ascii="Times New Roman" w:hAnsi="Times New Roman" w:cs="Times New Roman"/>
          <w:color w:val="auto"/>
          <w:szCs w:val="32"/>
        </w:rPr>
      </w:pPr>
      <w:r>
        <w:rPr>
          <w:rFonts w:hint="default" w:ascii="Times New Roman" w:hAnsi="Times New Roman" w:cs="Times New Roman"/>
          <w:color w:val="auto"/>
          <w:sz w:val="28"/>
          <w:szCs w:val="28"/>
        </w:rPr>
        <w:t>按设计年转存量来计算，验收期间现场监测工况为 75.2%</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76.1%，满足“验收监测应在工况稳定、生产达到设计生产能力负荷的75%以上（国家、地方排放标准对生产负荷另有规定的按标准规定执行）的情况下进行”的验收监测技术规定。验收监测期间工况表见表 9-1 所示。</w:t>
      </w:r>
      <w:bookmarkStart w:id="485" w:name="_Toc12976"/>
      <w:bookmarkStart w:id="486" w:name="_Toc30965"/>
    </w:p>
    <w:bookmarkEnd w:id="485"/>
    <w:bookmarkEnd w:id="486"/>
    <w:p>
      <w:pPr>
        <w:ind w:firstLine="422"/>
        <w:jc w:val="center"/>
        <w:rPr>
          <w:rFonts w:hint="default" w:ascii="Times New Roman" w:hAnsi="Times New Roman" w:cs="Times New Roman"/>
          <w:color w:val="auto"/>
          <w:sz w:val="28"/>
          <w:szCs w:val="28"/>
        </w:rPr>
      </w:pPr>
      <w:bookmarkStart w:id="487" w:name="_Toc13471"/>
      <w:r>
        <w:rPr>
          <w:rFonts w:hint="default" w:ascii="Times New Roman" w:hAnsi="Times New Roman" w:cs="Times New Roman"/>
          <w:b/>
          <w:bCs/>
          <w:color w:val="auto"/>
          <w:sz w:val="21"/>
          <w:szCs w:val="21"/>
        </w:rPr>
        <w:t>表 9-1 验收监测期间工况分析</w:t>
      </w:r>
    </w:p>
    <w:tbl>
      <w:tblPr>
        <w:tblStyle w:val="21"/>
        <w:tblW w:w="97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837"/>
        <w:gridCol w:w="2037"/>
        <w:gridCol w:w="2140"/>
        <w:gridCol w:w="2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58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监测日期</w:t>
            </w:r>
          </w:p>
        </w:tc>
        <w:tc>
          <w:tcPr>
            <w:tcW w:w="183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203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日转存量</w:t>
            </w:r>
          </w:p>
        </w:tc>
        <w:tc>
          <w:tcPr>
            <w:tcW w:w="214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设计最大储存量（t）</w:t>
            </w:r>
          </w:p>
        </w:tc>
        <w:tc>
          <w:tcPr>
            <w:tcW w:w="214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58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2019.3.13</w:t>
            </w:r>
          </w:p>
        </w:tc>
        <w:tc>
          <w:tcPr>
            <w:tcW w:w="183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废铅酸蓄电池</w:t>
            </w:r>
          </w:p>
        </w:tc>
        <w:tc>
          <w:tcPr>
            <w:tcW w:w="203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56.4t</w:t>
            </w:r>
          </w:p>
        </w:tc>
        <w:tc>
          <w:tcPr>
            <w:tcW w:w="214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214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58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2019.3.14</w:t>
            </w:r>
          </w:p>
        </w:tc>
        <w:tc>
          <w:tcPr>
            <w:tcW w:w="183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3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57.1t</w:t>
            </w:r>
          </w:p>
        </w:tc>
        <w:tc>
          <w:tcPr>
            <w:tcW w:w="214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214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76.1</w:t>
            </w:r>
          </w:p>
        </w:tc>
      </w:tr>
    </w:tbl>
    <w:p>
      <w:pPr>
        <w:pStyle w:val="3"/>
        <w:ind w:firstLine="0" w:firstLineChars="0"/>
        <w:rPr>
          <w:rFonts w:hint="default" w:ascii="Times New Roman" w:hAnsi="Times New Roman" w:eastAsia="仿宋_GB2312" w:cs="Times New Roman"/>
          <w:color w:val="auto"/>
          <w:szCs w:val="32"/>
        </w:rPr>
      </w:pPr>
      <w:bookmarkStart w:id="488" w:name="_Toc152"/>
      <w:bookmarkStart w:id="489" w:name="_Toc2958"/>
      <w:bookmarkStart w:id="490" w:name="_Toc11769"/>
      <w:bookmarkStart w:id="491" w:name="_Toc26540"/>
      <w:bookmarkStart w:id="492" w:name="_Toc24130"/>
      <w:bookmarkStart w:id="493" w:name="_Toc28038"/>
      <w:bookmarkStart w:id="494" w:name="_Toc9990"/>
      <w:bookmarkStart w:id="495" w:name="_Toc8838"/>
      <w:bookmarkStart w:id="496" w:name="_Toc8440"/>
      <w:bookmarkStart w:id="497" w:name="_Toc14037"/>
      <w:r>
        <w:rPr>
          <w:rFonts w:hint="default" w:ascii="Times New Roman" w:hAnsi="Times New Roman" w:eastAsia="仿宋_GB2312" w:cs="Times New Roman"/>
          <w:color w:val="auto"/>
          <w:szCs w:val="32"/>
        </w:rPr>
        <w:t>9.2 环保设施调试运行结果</w:t>
      </w:r>
      <w:bookmarkEnd w:id="488"/>
    </w:p>
    <w:p>
      <w:pPr>
        <w:pStyle w:val="4"/>
        <w:ind w:firstLine="562"/>
        <w:rPr>
          <w:rFonts w:hint="default" w:ascii="Times New Roman" w:hAnsi="Times New Roman" w:cs="Times New Roman"/>
          <w:color w:val="auto"/>
          <w:sz w:val="28"/>
          <w:szCs w:val="28"/>
        </w:rPr>
      </w:pPr>
      <w:bookmarkStart w:id="498" w:name="_Toc13436"/>
      <w:r>
        <w:rPr>
          <w:rFonts w:hint="default" w:ascii="Times New Roman" w:hAnsi="Times New Roman" w:cs="Times New Roman"/>
          <w:color w:val="auto"/>
          <w:sz w:val="28"/>
          <w:szCs w:val="28"/>
        </w:rPr>
        <w:t>9.2.1废水监测结果</w:t>
      </w:r>
      <w:bookmarkEnd w:id="489"/>
      <w:bookmarkEnd w:id="490"/>
      <w:bookmarkEnd w:id="491"/>
      <w:bookmarkEnd w:id="492"/>
      <w:bookmarkEnd w:id="493"/>
      <w:bookmarkEnd w:id="494"/>
      <w:bookmarkEnd w:id="495"/>
      <w:bookmarkEnd w:id="496"/>
      <w:bookmarkEnd w:id="498"/>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废水监测结果见表9-2。</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表9-2 废水监测结果一览表</w:t>
      </w:r>
    </w:p>
    <w:tbl>
      <w:tblPr>
        <w:tblStyle w:val="21"/>
        <w:tblW w:w="985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8"/>
        <w:gridCol w:w="1252"/>
        <w:gridCol w:w="1361"/>
        <w:gridCol w:w="1081"/>
        <w:gridCol w:w="1102"/>
        <w:gridCol w:w="1089"/>
        <w:gridCol w:w="1426"/>
        <w:gridCol w:w="916"/>
        <w:gridCol w:w="8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4" w:hRule="atLeast"/>
          <w:tblHeader/>
          <w:jc w:val="center"/>
        </w:trPr>
        <w:tc>
          <w:tcPr>
            <w:tcW w:w="81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点位</w:t>
            </w:r>
          </w:p>
        </w:tc>
        <w:tc>
          <w:tcPr>
            <w:tcW w:w="125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日期</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4698"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 测 结 果 （单位：mg/L）</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要求</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4" w:hRule="atLeast"/>
          <w:tblHeader/>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均值或范围</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7" w:hRule="exact"/>
          <w:jc w:val="center"/>
        </w:trPr>
        <w:tc>
          <w:tcPr>
            <w:tcW w:w="81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总排口</w:t>
            </w:r>
          </w:p>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pH（无量纲）</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7.30</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7.32</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7.34</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7.30-7.34</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8"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7.31</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7.32</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7.33</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7.31-7.33</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85"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悬浮物</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需氧量</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11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1089"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1426"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916"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081"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102"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1089"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21.0</w:t>
            </w:r>
          </w:p>
        </w:tc>
        <w:tc>
          <w:tcPr>
            <w:tcW w:w="1426"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916"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809"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p>
        </w:tc>
        <w:tc>
          <w:tcPr>
            <w:tcW w:w="1102"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1089"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w:t>
            </w:r>
          </w:p>
        </w:tc>
        <w:tc>
          <w:tcPr>
            <w:tcW w:w="1426"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6"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1.91</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24"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1.92</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1"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总镉</w:t>
            </w:r>
          </w:p>
        </w:tc>
        <w:tc>
          <w:tcPr>
            <w:tcW w:w="10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1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4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1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089"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426"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916"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6"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总铅</w:t>
            </w:r>
          </w:p>
        </w:tc>
        <w:tc>
          <w:tcPr>
            <w:tcW w:w="1081"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11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089"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426"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80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4"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1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089"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1426"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916"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361"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总砷</w:t>
            </w:r>
          </w:p>
        </w:tc>
        <w:tc>
          <w:tcPr>
            <w:tcW w:w="1081"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0.0015</w:t>
            </w:r>
          </w:p>
        </w:tc>
        <w:tc>
          <w:tcPr>
            <w:tcW w:w="1102"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0.0017</w:t>
            </w:r>
          </w:p>
        </w:tc>
        <w:tc>
          <w:tcPr>
            <w:tcW w:w="1089"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0.0018</w:t>
            </w:r>
          </w:p>
        </w:tc>
        <w:tc>
          <w:tcPr>
            <w:tcW w:w="1426"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0.0017</w:t>
            </w:r>
          </w:p>
        </w:tc>
        <w:tc>
          <w:tcPr>
            <w:tcW w:w="916"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809"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52"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36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0.0016</w:t>
            </w:r>
          </w:p>
        </w:tc>
        <w:tc>
          <w:tcPr>
            <w:tcW w:w="1102"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0.0017</w:t>
            </w:r>
          </w:p>
        </w:tc>
        <w:tc>
          <w:tcPr>
            <w:tcW w:w="1089"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0.0019</w:t>
            </w:r>
          </w:p>
        </w:tc>
        <w:tc>
          <w:tcPr>
            <w:tcW w:w="1426"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0.0017</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0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09" w:hRule="atLeast"/>
          <w:jc w:val="center"/>
        </w:trPr>
        <w:tc>
          <w:tcPr>
            <w:tcW w:w="207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7784" w:type="dxa"/>
            <w:gridSpan w:val="7"/>
            <w:tcBorders>
              <w:tl2br w:val="nil"/>
              <w:tr2bl w:val="nil"/>
            </w:tcBorders>
            <w:vAlign w:val="center"/>
          </w:tcPr>
          <w:p>
            <w:pPr>
              <w:spacing w:line="240" w:lineRule="auto"/>
              <w:ind w:firstLine="0" w:firstLineChars="0"/>
              <w:jc w:val="center"/>
              <w:rPr>
                <w:rFonts w:hint="default"/>
                <w:sz w:val="21"/>
                <w:szCs w:val="21"/>
              </w:rPr>
            </w:pPr>
            <w:r>
              <w:rPr>
                <w:rFonts w:hint="eastAsia"/>
                <w:sz w:val="21"/>
                <w:szCs w:val="21"/>
                <w:lang w:val="en-US" w:eastAsia="zh-CN"/>
              </w:rPr>
              <w:t>1、</w:t>
            </w:r>
            <w:r>
              <w:rPr>
                <w:rFonts w:hint="default"/>
                <w:sz w:val="21"/>
                <w:szCs w:val="21"/>
              </w:rPr>
              <w:t>执行《污水综合排放标准》（GB8978-1996）表4中的三级标准和表1中的标准。</w:t>
            </w:r>
          </w:p>
          <w:p>
            <w:pPr>
              <w:bidi w:val="0"/>
              <w:ind w:left="0" w:leftChars="0" w:firstLine="0" w:firstLineChars="0"/>
              <w:rPr>
                <w:rFonts w:hint="eastAsia" w:eastAsiaTheme="minorEastAsia"/>
                <w:sz w:val="21"/>
                <w:szCs w:val="21"/>
                <w:lang w:val="en-US" w:eastAsia="zh-CN"/>
              </w:rPr>
            </w:pPr>
            <w:r>
              <w:rPr>
                <w:rFonts w:hint="eastAsia"/>
                <w:sz w:val="21"/>
                <w:szCs w:val="21"/>
                <w:lang w:val="en-US" w:eastAsia="zh-CN"/>
              </w:rPr>
              <w:t>2、“L”表示低于方法检出限，下同。</w:t>
            </w:r>
          </w:p>
        </w:tc>
      </w:tr>
    </w:tbl>
    <w:p>
      <w:pPr>
        <w:ind w:firstLine="560"/>
        <w:rPr>
          <w:rFonts w:hint="default" w:ascii="Times New Roman" w:hAnsi="Times New Roman" w:cs="Times New Roman"/>
          <w:color w:val="auto"/>
          <w:sz w:val="28"/>
          <w:szCs w:val="28"/>
        </w:rPr>
      </w:pPr>
      <w:bookmarkStart w:id="499" w:name="_Toc17935"/>
      <w:bookmarkStart w:id="500" w:name="_Toc29930"/>
      <w:bookmarkStart w:id="501" w:name="_Toc32079"/>
      <w:bookmarkStart w:id="502" w:name="_Toc18617"/>
      <w:bookmarkStart w:id="503" w:name="_Toc9251"/>
      <w:bookmarkStart w:id="504" w:name="_Toc11689"/>
      <w:bookmarkStart w:id="505" w:name="_Toc21536"/>
      <w:bookmarkStart w:id="506" w:name="_Toc1353"/>
      <w:r>
        <w:rPr>
          <w:rFonts w:hint="default" w:ascii="Times New Roman" w:hAnsi="Times New Roman" w:cs="Times New Roman"/>
          <w:color w:val="auto"/>
          <w:sz w:val="28"/>
          <w:szCs w:val="28"/>
        </w:rPr>
        <w:t>由表9-2可知，验收监测期间，总排口废水中pH浓度范围为7.30</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7.34、SS最大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为48mg/L、CODcr最大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为82mg/L、BOD</w:t>
      </w:r>
      <w:r>
        <w:rPr>
          <w:rFonts w:hint="default" w:ascii="Times New Roman" w:hAnsi="Times New Roman" w:cs="Times New Roman"/>
          <w:color w:val="auto"/>
          <w:sz w:val="28"/>
          <w:szCs w:val="28"/>
          <w:vertAlign w:val="subscript"/>
        </w:rPr>
        <w:t>5</w:t>
      </w:r>
      <w:r>
        <w:rPr>
          <w:rFonts w:hint="default" w:ascii="Times New Roman" w:hAnsi="Times New Roman" w:cs="Times New Roman"/>
          <w:color w:val="auto"/>
          <w:sz w:val="28"/>
          <w:szCs w:val="28"/>
        </w:rPr>
        <w:t>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为20.5mg/L、石油类最大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为0.14mg/L、总镉最大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为0.0001L、总铅最大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w:t>
      </w:r>
      <w:r>
        <w:rPr>
          <w:rFonts w:hint="default" w:ascii="Times New Roman" w:hAnsi="Times New Roman" w:cs="Times New Roman"/>
          <w:color w:val="auto"/>
          <w:sz w:val="28"/>
          <w:szCs w:val="28"/>
          <w:lang w:eastAsia="zh-CN"/>
        </w:rPr>
        <w:t>0.005</w:t>
      </w:r>
      <w:r>
        <w:rPr>
          <w:rFonts w:hint="default" w:ascii="Times New Roman" w:hAnsi="Times New Roman" w:cs="Times New Roman"/>
          <w:color w:val="auto"/>
          <w:sz w:val="28"/>
          <w:szCs w:val="28"/>
        </w:rPr>
        <w:t>mg/L、总砷最大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为0.0017mg/L，均符合《《污水综合排放标准》（GB8978-1996）表4中的三级标准和表1中的标准限值要求。</w:t>
      </w:r>
    </w:p>
    <w:p>
      <w:pPr>
        <w:pStyle w:val="4"/>
        <w:ind w:firstLine="562"/>
        <w:rPr>
          <w:rFonts w:hint="default" w:ascii="Times New Roman" w:hAnsi="Times New Roman" w:cs="Times New Roman"/>
          <w:color w:val="auto"/>
          <w:sz w:val="28"/>
          <w:szCs w:val="28"/>
        </w:rPr>
      </w:pPr>
      <w:bookmarkStart w:id="507" w:name="_Toc14888"/>
      <w:r>
        <w:rPr>
          <w:rFonts w:hint="default" w:ascii="Times New Roman" w:hAnsi="Times New Roman" w:cs="Times New Roman"/>
          <w:color w:val="auto"/>
          <w:sz w:val="28"/>
          <w:szCs w:val="28"/>
        </w:rPr>
        <w:t>9.2.2大气污染物监测结果及评价</w:t>
      </w:r>
      <w:bookmarkEnd w:id="497"/>
      <w:bookmarkEnd w:id="499"/>
      <w:bookmarkEnd w:id="500"/>
      <w:bookmarkEnd w:id="501"/>
      <w:bookmarkEnd w:id="502"/>
      <w:bookmarkEnd w:id="503"/>
      <w:bookmarkEnd w:id="504"/>
      <w:bookmarkEnd w:id="505"/>
      <w:bookmarkEnd w:id="506"/>
      <w:bookmarkEnd w:id="507"/>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大气污染物有组织排放监测结果及评价见表9-3、9-4。</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表9-3 大气污染物有组织排放监测结果及评价一览表</w:t>
      </w:r>
    </w:p>
    <w:p>
      <w:pPr>
        <w:adjustRightInd w:val="0"/>
        <w:spacing w:line="360" w:lineRule="exact"/>
        <w:ind w:firstLine="480"/>
        <w:jc w:val="right"/>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单位：排放浓度：mg/m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，排放速率：kg/h，标干排气流量：m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bl>
      <w:tblPr>
        <w:tblStyle w:val="21"/>
        <w:tblW w:w="1027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33"/>
        <w:gridCol w:w="917"/>
        <w:gridCol w:w="1166"/>
        <w:gridCol w:w="1150"/>
        <w:gridCol w:w="1100"/>
        <w:gridCol w:w="1167"/>
        <w:gridCol w:w="1167"/>
        <w:gridCol w:w="1104"/>
        <w:gridCol w:w="10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69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检测点位</w:t>
            </w:r>
          </w:p>
        </w:tc>
        <w:tc>
          <w:tcPr>
            <w:tcW w:w="7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检测日期</w:t>
            </w:r>
          </w:p>
        </w:tc>
        <w:tc>
          <w:tcPr>
            <w:tcW w:w="2083"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检测项目</w:t>
            </w:r>
          </w:p>
        </w:tc>
        <w:tc>
          <w:tcPr>
            <w:tcW w:w="676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2083"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115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110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最大值</w:t>
            </w:r>
          </w:p>
        </w:tc>
        <w:tc>
          <w:tcPr>
            <w:tcW w:w="110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bookmarkStart w:id="508" w:name="_Hlt502591044"/>
            <w:bookmarkEnd w:id="508"/>
            <w:bookmarkStart w:id="509" w:name="_Hlt502591051"/>
            <w:bookmarkEnd w:id="509"/>
            <w:bookmarkStart w:id="510" w:name="_Hlt502591045"/>
            <w:bookmarkEnd w:id="510"/>
            <w:r>
              <w:rPr>
                <w:rFonts w:hint="default" w:ascii="Times New Roman" w:hAnsi="Times New Roman" w:cs="Times New Roman"/>
                <w:b/>
                <w:bCs/>
                <w:color w:val="auto"/>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9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◎5碱吸收塔排气筒</w:t>
            </w:r>
          </w:p>
        </w:tc>
        <w:tc>
          <w:tcPr>
            <w:tcW w:w="7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9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tc>
        <w:tc>
          <w:tcPr>
            <w:tcW w:w="11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11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110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81"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continue"/>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66"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tc>
        <w:tc>
          <w:tcPr>
            <w:tcW w:w="1150"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0.0088</w:t>
            </w:r>
          </w:p>
        </w:tc>
        <w:tc>
          <w:tcPr>
            <w:tcW w:w="1100"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0.0092</w:t>
            </w:r>
          </w:p>
        </w:tc>
        <w:tc>
          <w:tcPr>
            <w:tcW w:w="1167"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0.0088</w:t>
            </w:r>
          </w:p>
        </w:tc>
        <w:tc>
          <w:tcPr>
            <w:tcW w:w="1167"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0.0092</w:t>
            </w:r>
          </w:p>
        </w:tc>
        <w:tc>
          <w:tcPr>
            <w:tcW w:w="1104"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79"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5"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restart"/>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铅及其化合物</w:t>
            </w:r>
          </w:p>
        </w:tc>
        <w:tc>
          <w:tcPr>
            <w:tcW w:w="1166"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tc>
        <w:tc>
          <w:tcPr>
            <w:tcW w:w="1150"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1100"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0.030</w:t>
            </w:r>
          </w:p>
        </w:tc>
        <w:tc>
          <w:tcPr>
            <w:tcW w:w="1167"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0.029</w:t>
            </w:r>
          </w:p>
        </w:tc>
        <w:tc>
          <w:tcPr>
            <w:tcW w:w="1167"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1104"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0.70</w:t>
            </w:r>
          </w:p>
        </w:tc>
        <w:tc>
          <w:tcPr>
            <w:tcW w:w="1079"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66"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tc>
        <w:tc>
          <w:tcPr>
            <w:tcW w:w="1150"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0.000058</w:t>
            </w:r>
          </w:p>
        </w:tc>
        <w:tc>
          <w:tcPr>
            <w:tcW w:w="1100"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0.000054</w:t>
            </w:r>
          </w:p>
        </w:tc>
        <w:tc>
          <w:tcPr>
            <w:tcW w:w="1167"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0.000054</w:t>
            </w:r>
          </w:p>
        </w:tc>
        <w:tc>
          <w:tcPr>
            <w:tcW w:w="1167"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0.000058</w:t>
            </w:r>
          </w:p>
        </w:tc>
        <w:tc>
          <w:tcPr>
            <w:tcW w:w="1104"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079"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8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标干排气流量</w:t>
            </w:r>
          </w:p>
        </w:tc>
        <w:tc>
          <w:tcPr>
            <w:tcW w:w="11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1658</w:t>
            </w:r>
          </w:p>
        </w:tc>
        <w:tc>
          <w:tcPr>
            <w:tcW w:w="11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1797</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1866</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1866</w:t>
            </w:r>
          </w:p>
        </w:tc>
        <w:tc>
          <w:tcPr>
            <w:tcW w:w="110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2"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9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tc>
        <w:tc>
          <w:tcPr>
            <w:tcW w:w="11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11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110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1"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continue"/>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66"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tc>
        <w:tc>
          <w:tcPr>
            <w:tcW w:w="1150"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0.0094</w:t>
            </w:r>
          </w:p>
        </w:tc>
        <w:tc>
          <w:tcPr>
            <w:tcW w:w="1100"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0.0104</w:t>
            </w:r>
          </w:p>
        </w:tc>
        <w:tc>
          <w:tcPr>
            <w:tcW w:w="1167"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0.0099</w:t>
            </w:r>
          </w:p>
        </w:tc>
        <w:tc>
          <w:tcPr>
            <w:tcW w:w="1167"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0.0104</w:t>
            </w:r>
          </w:p>
        </w:tc>
        <w:tc>
          <w:tcPr>
            <w:tcW w:w="1104"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79" w:type="dxa"/>
            <w:tcBorders>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restart"/>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铅及其化合物</w:t>
            </w:r>
          </w:p>
        </w:tc>
        <w:tc>
          <w:tcPr>
            <w:tcW w:w="1166"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tc>
        <w:tc>
          <w:tcPr>
            <w:tcW w:w="1150"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0.031</w:t>
            </w:r>
          </w:p>
        </w:tc>
        <w:tc>
          <w:tcPr>
            <w:tcW w:w="1100"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0.027</w:t>
            </w:r>
          </w:p>
        </w:tc>
        <w:tc>
          <w:tcPr>
            <w:tcW w:w="1167"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w:t>
            </w:r>
          </w:p>
        </w:tc>
        <w:tc>
          <w:tcPr>
            <w:tcW w:w="1167"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0.031</w:t>
            </w:r>
          </w:p>
        </w:tc>
        <w:tc>
          <w:tcPr>
            <w:tcW w:w="1104"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0.70</w:t>
            </w:r>
          </w:p>
        </w:tc>
        <w:tc>
          <w:tcPr>
            <w:tcW w:w="1079" w:type="dxa"/>
            <w:tcBorders>
              <w:top w:val="single" w:color="000000" w:sz="4" w:space="0"/>
              <w:bottom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1"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66"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tc>
        <w:tc>
          <w:tcPr>
            <w:tcW w:w="1150"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0.000054</w:t>
            </w:r>
          </w:p>
        </w:tc>
        <w:tc>
          <w:tcPr>
            <w:tcW w:w="1100"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0.000050</w:t>
            </w:r>
          </w:p>
        </w:tc>
        <w:tc>
          <w:tcPr>
            <w:tcW w:w="1167"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0.000049</w:t>
            </w:r>
          </w:p>
        </w:tc>
        <w:tc>
          <w:tcPr>
            <w:tcW w:w="1167"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0.000054</w:t>
            </w:r>
          </w:p>
        </w:tc>
        <w:tc>
          <w:tcPr>
            <w:tcW w:w="1104"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079" w:type="dxa"/>
            <w:tcBorders>
              <w:top w:val="single" w:color="000000"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6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8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标干排气流量</w:t>
            </w:r>
          </w:p>
        </w:tc>
        <w:tc>
          <w:tcPr>
            <w:tcW w:w="11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1746</w:t>
            </w:r>
          </w:p>
        </w:tc>
        <w:tc>
          <w:tcPr>
            <w:tcW w:w="11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1863</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1948</w:t>
            </w:r>
          </w:p>
        </w:tc>
        <w:tc>
          <w:tcPr>
            <w:tcW w:w="116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1948</w:t>
            </w:r>
          </w:p>
        </w:tc>
        <w:tc>
          <w:tcPr>
            <w:tcW w:w="110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2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8850" w:type="dxa"/>
            <w:gridSpan w:val="8"/>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执行《大气污染物综合排放标准》(GB16297-1996)表2中最高允许排放浓度和15m高排气筒最高允许排放速率二级标准。排气筒高度为15m。</w:t>
            </w:r>
          </w:p>
        </w:tc>
      </w:tr>
    </w:tbl>
    <w:p>
      <w:pPr>
        <w:spacing w:line="240" w:lineRule="auto"/>
        <w:ind w:firstLine="0" w:firstLineChars="0"/>
        <w:jc w:val="center"/>
        <w:rPr>
          <w:rFonts w:hint="default" w:ascii="Times New Roman" w:hAnsi="Times New Roman" w:cs="Times New Roman"/>
          <w:color w:val="auto"/>
          <w:sz w:val="21"/>
          <w:szCs w:val="21"/>
        </w:rPr>
      </w:pPr>
    </w:p>
    <w:p>
      <w:pPr>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 w:val="21"/>
          <w:szCs w:val="21"/>
        </w:rPr>
        <w:t>表9-4大气污染物无组织排放监测结果及评价一览表</w:t>
      </w:r>
    </w:p>
    <w:tbl>
      <w:tblPr>
        <w:tblStyle w:val="21"/>
        <w:tblW w:w="10100" w:type="dxa"/>
        <w:jc w:val="center"/>
        <w:tblInd w:w="-39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79"/>
        <w:gridCol w:w="1384"/>
        <w:gridCol w:w="1602"/>
        <w:gridCol w:w="1270"/>
        <w:gridCol w:w="1271"/>
        <w:gridCol w:w="1232"/>
        <w:gridCol w:w="1231"/>
        <w:gridCol w:w="12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526" w:hRule="atLeast"/>
          <w:jc w:val="center"/>
        </w:trPr>
        <w:tc>
          <w:tcPr>
            <w:tcW w:w="2263"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项目及点位</w:t>
            </w:r>
          </w:p>
        </w:tc>
        <w:tc>
          <w:tcPr>
            <w:tcW w:w="7837" w:type="dxa"/>
            <w:gridSpan w:val="6"/>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 测 结 果（单位：mg/m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2263"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4143" w:type="dxa"/>
            <w:gridSpan w:val="3"/>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2019.03.13</w:t>
            </w:r>
          </w:p>
        </w:tc>
        <w:tc>
          <w:tcPr>
            <w:tcW w:w="3694" w:type="dxa"/>
            <w:gridSpan w:val="3"/>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2019.03.14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24" w:hRule="atLeast"/>
          <w:jc w:val="center"/>
        </w:trPr>
        <w:tc>
          <w:tcPr>
            <w:tcW w:w="2263"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3" w:hRule="atLeast"/>
          <w:jc w:val="center"/>
        </w:trPr>
        <w:tc>
          <w:tcPr>
            <w:tcW w:w="87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铅及其化合物</w:t>
            </w: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◎1工厂上风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最大监测值</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60" w:hRule="atLeas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3" w:hRule="atLeast"/>
          <w:jc w:val="center"/>
        </w:trPr>
        <w:tc>
          <w:tcPr>
            <w:tcW w:w="87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◎1工厂上风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16" w:hRule="atLeast"/>
          <w:jc w:val="center"/>
        </w:trPr>
        <w:tc>
          <w:tcPr>
            <w:tcW w:w="87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◎4工厂下风</w:t>
            </w:r>
          </w:p>
        </w:tc>
        <w:tc>
          <w:tcPr>
            <w:tcW w:w="16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5" w:hRule="exac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最大监测值</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5" w:hRule="exac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5" w:hRule="exac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85" w:hRule="atLeast"/>
          <w:jc w:val="center"/>
        </w:trPr>
        <w:tc>
          <w:tcPr>
            <w:tcW w:w="226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w:t>
            </w:r>
          </w:p>
        </w:tc>
        <w:tc>
          <w:tcPr>
            <w:tcW w:w="783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执行《大气污染物综合排放标准》(GB16297-1996)表2中无组织排放监控浓度限值。</w:t>
            </w:r>
          </w:p>
        </w:tc>
      </w:tr>
    </w:tbl>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由表9-3、9-4可知，验收监测期间，大气污染物中铅及其化合物排放浓度最大值为0.035mg/m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、排放速率最大值为0.000058mg/m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、无组织排放最大值为5.0×10</w:t>
      </w:r>
      <w:r>
        <w:rPr>
          <w:rFonts w:hint="default" w:ascii="Times New Roman" w:hAnsi="Times New Roman" w:cs="Times New Roman"/>
          <w:color w:val="auto"/>
          <w:sz w:val="28"/>
          <w:szCs w:val="28"/>
          <w:vertAlign w:val="superscript"/>
        </w:rPr>
        <w:t>-6</w:t>
      </w:r>
      <w:r>
        <w:rPr>
          <w:rFonts w:hint="default" w:ascii="Times New Roman" w:hAnsi="Times New Roman" w:cs="Times New Roman"/>
          <w:color w:val="auto"/>
          <w:sz w:val="28"/>
          <w:szCs w:val="28"/>
        </w:rPr>
        <w:t>L ，硫酸雾排放浓度最大值为5.6mg/m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、排放速率最大值为0.0104mg/m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、无组织排放最大值为0.005L ，均符合《大气污染物综合排放标准》（GB16297-1996）表2大气污染物排放限值要求。</w:t>
      </w:r>
    </w:p>
    <w:p>
      <w:pPr>
        <w:pStyle w:val="3"/>
        <w:ind w:firstLine="0" w:firstLineChars="0"/>
        <w:rPr>
          <w:rFonts w:hint="default" w:ascii="Times New Roman" w:hAnsi="Times New Roman" w:cs="Times New Roman"/>
          <w:color w:val="auto"/>
        </w:rPr>
      </w:pPr>
      <w:bookmarkStart w:id="511" w:name="_Toc8992"/>
      <w:bookmarkStart w:id="512" w:name="_Toc29895"/>
      <w:bookmarkStart w:id="513" w:name="_Toc30979"/>
      <w:bookmarkStart w:id="514" w:name="_Toc21351"/>
      <w:bookmarkStart w:id="515" w:name="_Toc12007"/>
      <w:bookmarkStart w:id="516" w:name="_Toc21968"/>
      <w:bookmarkStart w:id="517" w:name="_Toc24617"/>
      <w:bookmarkStart w:id="518" w:name="_Toc16845"/>
      <w:bookmarkStart w:id="519" w:name="_Toc6951"/>
      <w:bookmarkStart w:id="520" w:name="_Toc27479"/>
      <w:bookmarkStart w:id="521" w:name="_Toc23633"/>
      <w:r>
        <w:rPr>
          <w:rFonts w:hint="default" w:ascii="Times New Roman" w:hAnsi="Times New Roman" w:cs="Times New Roman" w:eastAsiaTheme="minorEastAsia"/>
          <w:color w:val="auto"/>
          <w:sz w:val="28"/>
          <w:szCs w:val="28"/>
        </w:rPr>
        <w:t>9.2.3 噪声监测结果及评价</w:t>
      </w:r>
      <w:bookmarkEnd w:id="487"/>
      <w:bookmarkEnd w:id="511"/>
      <w:bookmarkEnd w:id="512"/>
      <w:bookmarkEnd w:id="513"/>
      <w:bookmarkEnd w:id="514"/>
      <w:bookmarkEnd w:id="515"/>
      <w:bookmarkEnd w:id="516"/>
      <w:bookmarkEnd w:id="517"/>
      <w:bookmarkEnd w:id="518"/>
      <w:bookmarkEnd w:id="519"/>
      <w:bookmarkEnd w:id="520"/>
      <w:bookmarkEnd w:id="521"/>
    </w:p>
    <w:p>
      <w:pPr>
        <w:spacing w:line="240" w:lineRule="auto"/>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噪声监测结果及评价见表9-5。</w:t>
      </w:r>
    </w:p>
    <w:p>
      <w:pPr>
        <w:spacing w:line="240" w:lineRule="auto"/>
        <w:ind w:firstLine="0" w:firstLineChars="0"/>
        <w:jc w:val="center"/>
        <w:rPr>
          <w:rFonts w:hint="default" w:ascii="Times New Roman" w:hAnsi="Times New Roman" w:cs="Times New Roman"/>
          <w:b/>
          <w:bCs/>
          <w:color w:val="auto"/>
          <w:sz w:val="21"/>
          <w:szCs w:val="21"/>
        </w:rPr>
      </w:pPr>
    </w:p>
    <w:p>
      <w:pPr>
        <w:spacing w:line="240" w:lineRule="auto"/>
        <w:ind w:firstLine="0" w:firstLineChars="0"/>
        <w:jc w:val="center"/>
        <w:rPr>
          <w:rFonts w:hint="default" w:ascii="Times New Roman" w:hAnsi="Times New Roman" w:cs="Times New Roman"/>
          <w:b/>
          <w:bCs/>
          <w:color w:val="auto"/>
          <w:sz w:val="21"/>
          <w:szCs w:val="21"/>
        </w:rPr>
      </w:pPr>
    </w:p>
    <w:p>
      <w:pPr>
        <w:spacing w:line="240" w:lineRule="auto"/>
        <w:ind w:firstLine="0" w:firstLineChars="0"/>
        <w:jc w:val="center"/>
        <w:rPr>
          <w:rFonts w:hint="default" w:ascii="Times New Roman" w:hAnsi="Times New Roman" w:cs="Times New Roman"/>
          <w:b/>
          <w:bCs/>
          <w:color w:val="auto"/>
          <w:sz w:val="21"/>
          <w:szCs w:val="21"/>
        </w:rPr>
      </w:pP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表9-5  噪声监测结果及评价一览表</w:t>
      </w:r>
    </w:p>
    <w:tbl>
      <w:tblPr>
        <w:tblStyle w:val="22"/>
        <w:tblW w:w="99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714"/>
        <w:gridCol w:w="1724"/>
        <w:gridCol w:w="2077"/>
        <w:gridCol w:w="1980"/>
        <w:gridCol w:w="14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trPr>
        <w:tc>
          <w:tcPr>
            <w:tcW w:w="4438"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405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噪声监测值Leq（dB）</w:t>
            </w:r>
          </w:p>
        </w:tc>
        <w:tc>
          <w:tcPr>
            <w:tcW w:w="14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trPr>
        <w:tc>
          <w:tcPr>
            <w:tcW w:w="4438"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4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trPr>
        <w:tc>
          <w:tcPr>
            <w:tcW w:w="271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▲1厂界南面外1m</w:t>
            </w: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51.8</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52.0</w:t>
            </w:r>
          </w:p>
        </w:tc>
        <w:tc>
          <w:tcPr>
            <w:tcW w:w="14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trPr>
        <w:tc>
          <w:tcPr>
            <w:tcW w:w="271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42.0</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42.4</w:t>
            </w:r>
          </w:p>
        </w:tc>
        <w:tc>
          <w:tcPr>
            <w:tcW w:w="14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trPr>
        <w:tc>
          <w:tcPr>
            <w:tcW w:w="271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▲2厂界西面外1m</w:t>
            </w: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53.4</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53.7</w:t>
            </w:r>
          </w:p>
        </w:tc>
        <w:tc>
          <w:tcPr>
            <w:tcW w:w="14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6" w:hRule="atLeast"/>
        </w:trPr>
        <w:tc>
          <w:tcPr>
            <w:tcW w:w="271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44.6</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44.9</w:t>
            </w:r>
          </w:p>
        </w:tc>
        <w:tc>
          <w:tcPr>
            <w:tcW w:w="14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50" w:hRule="atLeast"/>
        </w:trPr>
        <w:tc>
          <w:tcPr>
            <w:tcW w:w="271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▲3厂界北面外1m</w:t>
            </w: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55.7</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c>
          <w:tcPr>
            <w:tcW w:w="14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4" w:hRule="atLeast"/>
        </w:trPr>
        <w:tc>
          <w:tcPr>
            <w:tcW w:w="271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72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207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45.8</w:t>
            </w:r>
          </w:p>
        </w:tc>
        <w:tc>
          <w:tcPr>
            <w:tcW w:w="198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46.1</w:t>
            </w:r>
          </w:p>
        </w:tc>
        <w:tc>
          <w:tcPr>
            <w:tcW w:w="14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84" w:hRule="atLeast"/>
        </w:trPr>
        <w:tc>
          <w:tcPr>
            <w:tcW w:w="2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7248" w:type="dxa"/>
            <w:gridSpan w:val="4"/>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执行《工业企业厂界环境噪声排放标准》（GB12348-2008）3类标准（昼间：65，夜间：55）</w:t>
            </w:r>
          </w:p>
        </w:tc>
      </w:tr>
    </w:tbl>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由表9-5可知，验收监测期间，公司厂界南面、西面和北面监控点昼间厂界噪声最大值为</w:t>
      </w:r>
      <w:r>
        <w:rPr>
          <w:rFonts w:hint="default" w:ascii="Times New Roman" w:hAnsi="Times New Roman" w:cs="Times New Roman"/>
          <w:color w:val="auto"/>
          <w:sz w:val="28"/>
          <w:szCs w:val="28"/>
          <w:lang w:val="en-US" w:eastAsia="zh-CN"/>
        </w:rPr>
        <w:t>56.0</w:t>
      </w:r>
      <w:r>
        <w:rPr>
          <w:rFonts w:hint="default" w:ascii="Times New Roman" w:hAnsi="Times New Roman" w:cs="Times New Roman"/>
          <w:color w:val="auto"/>
          <w:sz w:val="28"/>
          <w:szCs w:val="28"/>
        </w:rPr>
        <w:t>dB，夜间厂界噪声最大值</w:t>
      </w:r>
      <w:r>
        <w:rPr>
          <w:rFonts w:hint="default" w:ascii="Times New Roman" w:hAnsi="Times New Roman" w:cs="Times New Roman"/>
          <w:color w:val="auto"/>
          <w:sz w:val="28"/>
          <w:szCs w:val="28"/>
          <w:lang w:val="en-US" w:eastAsia="zh-CN"/>
        </w:rPr>
        <w:t>46.1</w:t>
      </w:r>
      <w:r>
        <w:rPr>
          <w:rFonts w:hint="default" w:ascii="Times New Roman" w:hAnsi="Times New Roman" w:cs="Times New Roman"/>
          <w:color w:val="auto"/>
          <w:sz w:val="28"/>
          <w:szCs w:val="28"/>
        </w:rPr>
        <w:t>dB，均符合GB12348-2008《工业企业厂界环境噪声排放标准》3类标准限值要求。</w:t>
      </w:r>
    </w:p>
    <w:p>
      <w:pPr>
        <w:pStyle w:val="3"/>
        <w:ind w:firstLine="0" w:firstLineChars="0"/>
        <w:rPr>
          <w:rFonts w:hint="default" w:ascii="Times New Roman" w:hAnsi="Times New Roman" w:eastAsia="仿宋_GB2312" w:cs="Times New Roman"/>
          <w:color w:val="auto"/>
          <w:szCs w:val="32"/>
        </w:rPr>
      </w:pPr>
      <w:bookmarkStart w:id="522" w:name="_Toc10961"/>
      <w:r>
        <w:rPr>
          <w:rFonts w:hint="default" w:ascii="Times New Roman" w:hAnsi="Times New Roman" w:eastAsia="仿宋_GB2312" w:cs="Times New Roman"/>
          <w:color w:val="auto"/>
          <w:szCs w:val="32"/>
        </w:rPr>
        <w:t>9.3工程建设对环境的影响</w:t>
      </w:r>
      <w:bookmarkEnd w:id="522"/>
    </w:p>
    <w:p>
      <w:pPr>
        <w:pStyle w:val="3"/>
        <w:ind w:firstLine="562"/>
        <w:rPr>
          <w:rFonts w:hint="default" w:ascii="Times New Roman" w:hAnsi="Times New Roman" w:cs="Times New Roman"/>
          <w:color w:val="auto"/>
          <w:sz w:val="28"/>
          <w:szCs w:val="28"/>
        </w:rPr>
      </w:pPr>
      <w:bookmarkStart w:id="523" w:name="_Toc21020"/>
      <w:r>
        <w:rPr>
          <w:rFonts w:hint="default" w:ascii="Times New Roman" w:hAnsi="Times New Roman" w:cs="Times New Roman"/>
          <w:color w:val="auto"/>
          <w:sz w:val="28"/>
          <w:szCs w:val="28"/>
        </w:rPr>
        <w:t>9.3.1地下水监测结果及评价</w:t>
      </w:r>
      <w:bookmarkEnd w:id="523"/>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地下水监测结果见表9-6。</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表9-6地下水监测结果一览表</w:t>
      </w:r>
    </w:p>
    <w:tbl>
      <w:tblPr>
        <w:tblStyle w:val="21"/>
        <w:tblW w:w="985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1574"/>
        <w:gridCol w:w="1126"/>
        <w:gridCol w:w="1263"/>
        <w:gridCol w:w="1202"/>
        <w:gridCol w:w="1427"/>
        <w:gridCol w:w="1191"/>
        <w:gridCol w:w="9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4" w:hRule="atLeast"/>
          <w:tblHeader/>
          <w:jc w:val="center"/>
        </w:trPr>
        <w:tc>
          <w:tcPr>
            <w:tcW w:w="108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点位</w:t>
            </w:r>
          </w:p>
        </w:tc>
        <w:tc>
          <w:tcPr>
            <w:tcW w:w="157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日期</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389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 测 结 果（单位：mg/L）</w:t>
            </w:r>
          </w:p>
        </w:tc>
        <w:tc>
          <w:tcPr>
            <w:tcW w:w="11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要求</w:t>
            </w:r>
          </w:p>
        </w:tc>
        <w:tc>
          <w:tcPr>
            <w:tcW w:w="98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04" w:hRule="atLeast"/>
          <w:tblHeader/>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120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均值或范围</w:t>
            </w:r>
          </w:p>
        </w:tc>
        <w:tc>
          <w:tcPr>
            <w:tcW w:w="119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北侧居民家水井</w:t>
            </w:r>
          </w:p>
          <w:p>
            <w:pPr>
              <w:spacing w:line="240" w:lineRule="auto"/>
              <w:ind w:firstLine="0" w:firstLineChars="0"/>
              <w:jc w:val="center"/>
              <w:rPr>
                <w:rFonts w:hint="default" w:ascii="Times New Roman" w:hAnsi="Times New Roman" w:cs="Times New Roman"/>
                <w:color w:val="auto"/>
                <w:sz w:val="21"/>
                <w:szCs w:val="21"/>
              </w:rPr>
            </w:pPr>
          </w:p>
        </w:tc>
        <w:tc>
          <w:tcPr>
            <w:tcW w:w="1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pH（无量纲）</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6.79</w:t>
            </w:r>
          </w:p>
        </w:tc>
        <w:tc>
          <w:tcPr>
            <w:tcW w:w="12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6.81</w:t>
            </w:r>
          </w:p>
        </w:tc>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6.79-6.81</w:t>
            </w:r>
          </w:p>
        </w:tc>
        <w:tc>
          <w:tcPr>
            <w:tcW w:w="11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98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1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6.78</w:t>
            </w:r>
          </w:p>
        </w:tc>
        <w:tc>
          <w:tcPr>
            <w:tcW w:w="12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6.80</w:t>
            </w:r>
          </w:p>
        </w:tc>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6.78-6.80</w:t>
            </w:r>
          </w:p>
        </w:tc>
        <w:tc>
          <w:tcPr>
            <w:tcW w:w="119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20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4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1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98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126"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63"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2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427"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0.0001L</w:t>
            </w:r>
          </w:p>
        </w:tc>
        <w:tc>
          <w:tcPr>
            <w:tcW w:w="1191"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82"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1263"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2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427"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1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98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126"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63"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202"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427" w:type="dxa"/>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0.001L</w:t>
            </w:r>
          </w:p>
        </w:tc>
        <w:tc>
          <w:tcPr>
            <w:tcW w:w="1191"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82" w:type="dxa"/>
            <w:vMerge w:val="continue"/>
            <w:tcBorders>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1126"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1263"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202"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427" w:type="dxa"/>
            <w:tcBorders>
              <w:top w:val="single" w:color="auto" w:sz="4" w:space="0"/>
              <w:bottom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191"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982" w:type="dxa"/>
            <w:vMerge w:val="restart"/>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8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4"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11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263"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202"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427" w:type="dxa"/>
            <w:tcBorders>
              <w:top w:val="single" w:color="auto" w:sz="4" w:space="0"/>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0.0003L</w:t>
            </w:r>
          </w:p>
        </w:tc>
        <w:tc>
          <w:tcPr>
            <w:tcW w:w="119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90" w:hRule="atLeast"/>
          <w:jc w:val="center"/>
        </w:trPr>
        <w:tc>
          <w:tcPr>
            <w:tcW w:w="10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8765" w:type="dxa"/>
            <w:gridSpan w:val="7"/>
            <w:tcBorders>
              <w:top w:val="single" w:color="auto" w:sz="4" w:space="0"/>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执行《地下水质量标准》（GB/T 14848--2017）III级标准。</w:t>
            </w:r>
          </w:p>
        </w:tc>
      </w:tr>
    </w:tbl>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由表9-6可知，验收监测期间，北侧居民家地下水中pH值范围为6.78</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6.81，镉、铅和砷最大监测值分别为0.0001L、0.001L和0.0003L，均符合《地下水质量标准》（GB/T 14848</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2017）III级标准限值要求。</w:t>
      </w:r>
    </w:p>
    <w:p>
      <w:pPr>
        <w:pStyle w:val="4"/>
        <w:ind w:firstLine="562"/>
        <w:rPr>
          <w:rFonts w:hint="default" w:ascii="Times New Roman" w:hAnsi="Times New Roman" w:cs="Times New Roman"/>
          <w:color w:val="auto"/>
          <w:sz w:val="28"/>
          <w:szCs w:val="28"/>
        </w:rPr>
      </w:pPr>
      <w:bookmarkStart w:id="524" w:name="_Toc20132"/>
      <w:r>
        <w:rPr>
          <w:rFonts w:hint="default" w:ascii="Times New Roman" w:hAnsi="Times New Roman" w:cs="Times New Roman"/>
          <w:color w:val="auto"/>
          <w:sz w:val="28"/>
          <w:szCs w:val="28"/>
        </w:rPr>
        <w:t>9.3.2环境空气监测结果及评价</w:t>
      </w:r>
      <w:bookmarkEnd w:id="524"/>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环境空气监测结果及评价见表9-7。</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表9-7环境空气监测结果及评价一览表</w:t>
      </w:r>
    </w:p>
    <w:tbl>
      <w:tblPr>
        <w:tblStyle w:val="21"/>
        <w:tblW w:w="989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556"/>
        <w:gridCol w:w="817"/>
        <w:gridCol w:w="908"/>
        <w:gridCol w:w="960"/>
        <w:gridCol w:w="950"/>
        <w:gridCol w:w="1020"/>
        <w:gridCol w:w="890"/>
        <w:gridCol w:w="858"/>
        <w:gridCol w:w="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tblHeader/>
          <w:jc w:val="center"/>
        </w:trPr>
        <w:tc>
          <w:tcPr>
            <w:tcW w:w="10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点位</w:t>
            </w:r>
          </w:p>
        </w:tc>
        <w:tc>
          <w:tcPr>
            <w:tcW w:w="15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日期</w:t>
            </w:r>
          </w:p>
        </w:tc>
        <w:tc>
          <w:tcPr>
            <w:tcW w:w="8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3838"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 测 结 果（单位：mg/m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74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标准要求</w:t>
            </w:r>
          </w:p>
        </w:tc>
        <w:tc>
          <w:tcPr>
            <w:tcW w:w="83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blHeader/>
          <w:jc w:val="center"/>
        </w:trPr>
        <w:tc>
          <w:tcPr>
            <w:tcW w:w="10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0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96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c>
          <w:tcPr>
            <w:tcW w:w="10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第四次</w:t>
            </w:r>
          </w:p>
        </w:tc>
        <w:tc>
          <w:tcPr>
            <w:tcW w:w="89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小时值</w:t>
            </w:r>
          </w:p>
        </w:tc>
        <w:tc>
          <w:tcPr>
            <w:tcW w:w="858"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均值</w:t>
            </w:r>
          </w:p>
        </w:tc>
        <w:tc>
          <w:tcPr>
            <w:tcW w:w="83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exact"/>
          <w:jc w:val="center"/>
        </w:trPr>
        <w:tc>
          <w:tcPr>
            <w:tcW w:w="10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龙山社区居民</w:t>
            </w:r>
          </w:p>
        </w:tc>
        <w:tc>
          <w:tcPr>
            <w:tcW w:w="15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8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90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9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0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8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w:t>
            </w:r>
          </w:p>
        </w:tc>
        <w:tc>
          <w:tcPr>
            <w:tcW w:w="85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w:t>
            </w:r>
          </w:p>
        </w:tc>
        <w:tc>
          <w:tcPr>
            <w:tcW w:w="83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8" w:hRule="exact"/>
          <w:jc w:val="center"/>
        </w:trPr>
        <w:tc>
          <w:tcPr>
            <w:tcW w:w="10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8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0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96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10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0.005L</w:t>
            </w:r>
          </w:p>
        </w:tc>
        <w:tc>
          <w:tcPr>
            <w:tcW w:w="8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5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3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8793" w:type="dxa"/>
            <w:gridSpan w:val="9"/>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eastAsia="zh-CN"/>
              </w:rPr>
              <w:t>《环境影响评价技术导则 大气环境》（HJ2.2-2018）表D.1其他污染物空气质量浓度参考限值</w:t>
            </w:r>
            <w:r>
              <w:rPr>
                <w:rFonts w:hint="default" w:ascii="Times New Roman" w:hAnsi="Times New Roman" w:cs="Times New Roman"/>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tblHeader/>
          <w:jc w:val="center"/>
        </w:trPr>
        <w:tc>
          <w:tcPr>
            <w:tcW w:w="10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15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日期</w:t>
            </w:r>
          </w:p>
        </w:tc>
        <w:tc>
          <w:tcPr>
            <w:tcW w:w="8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838"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 测 结 果（单位：mg/m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748"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要求</w:t>
            </w:r>
          </w:p>
        </w:tc>
        <w:tc>
          <w:tcPr>
            <w:tcW w:w="83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blHeader/>
          <w:jc w:val="center"/>
        </w:trPr>
        <w:tc>
          <w:tcPr>
            <w:tcW w:w="10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86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97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第二次</w:t>
            </w:r>
          </w:p>
        </w:tc>
        <w:tc>
          <w:tcPr>
            <w:tcW w:w="1748"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3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6" w:hRule="exact"/>
          <w:jc w:val="center"/>
        </w:trPr>
        <w:tc>
          <w:tcPr>
            <w:tcW w:w="10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龙山社区居民</w:t>
            </w:r>
          </w:p>
        </w:tc>
        <w:tc>
          <w:tcPr>
            <w:tcW w:w="15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2019.03.13</w:t>
            </w:r>
          </w:p>
        </w:tc>
        <w:tc>
          <w:tcPr>
            <w:tcW w:w="8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铅及其化合物</w:t>
            </w:r>
          </w:p>
        </w:tc>
        <w:tc>
          <w:tcPr>
            <w:tcW w:w="186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97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748"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0.0015</w:t>
            </w:r>
          </w:p>
        </w:tc>
        <w:tc>
          <w:tcPr>
            <w:tcW w:w="83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exact"/>
          <w:jc w:val="center"/>
        </w:trPr>
        <w:tc>
          <w:tcPr>
            <w:tcW w:w="10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2019.03.14</w:t>
            </w:r>
          </w:p>
        </w:tc>
        <w:tc>
          <w:tcPr>
            <w:tcW w:w="8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86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97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L</w:t>
            </w:r>
          </w:p>
        </w:tc>
        <w:tc>
          <w:tcPr>
            <w:tcW w:w="1748"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3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0" w:hRule="atLeast"/>
          <w:jc w:val="center"/>
        </w:trPr>
        <w:tc>
          <w:tcPr>
            <w:tcW w:w="10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8793" w:type="dxa"/>
            <w:gridSpan w:val="9"/>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执行《大气中铅及其化合物的卫生标准》（GB7355-87）居住区最高允许浓度标准。</w:t>
            </w:r>
          </w:p>
        </w:tc>
      </w:tr>
    </w:tbl>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由表9-7可知，验收监测期间，龙山社区居民点环境空气中硫酸雾最大值为0.005L，符合</w:t>
      </w:r>
      <w:r>
        <w:rPr>
          <w:rFonts w:hint="default" w:ascii="Times New Roman" w:hAnsi="Times New Roman" w:cs="Times New Roman"/>
          <w:color w:val="auto"/>
          <w:sz w:val="28"/>
          <w:szCs w:val="28"/>
          <w:lang w:eastAsia="zh-CN"/>
        </w:rPr>
        <w:t>《环境影响评价技术导则 大气环境》（HJ2.2-2018）表D.1其他污染物空气质量浓度参考限值</w:t>
      </w:r>
      <w:r>
        <w:rPr>
          <w:rFonts w:hint="default" w:ascii="Times New Roman" w:hAnsi="Times New Roman" w:cs="Times New Roman"/>
          <w:color w:val="auto"/>
          <w:sz w:val="28"/>
          <w:szCs w:val="28"/>
        </w:rPr>
        <w:t>标准；环境空气中铅及其化合物最大值为5.0L×10</w:t>
      </w:r>
      <w:r>
        <w:rPr>
          <w:rFonts w:hint="default" w:ascii="Times New Roman" w:hAnsi="Times New Roman" w:cs="Times New Roman"/>
          <w:color w:val="auto"/>
          <w:sz w:val="28"/>
          <w:szCs w:val="28"/>
          <w:vertAlign w:val="superscript"/>
        </w:rPr>
        <w:t>-6</w:t>
      </w:r>
      <w:r>
        <w:rPr>
          <w:rFonts w:hint="default" w:ascii="Times New Roman" w:hAnsi="Times New Roman" w:cs="Times New Roman"/>
          <w:color w:val="auto"/>
          <w:sz w:val="28"/>
          <w:szCs w:val="28"/>
        </w:rPr>
        <w:t>L，符合《大气中铅及其化合物的卫生标准》（GB7355-87）居住区最高允许浓度标准。</w:t>
      </w:r>
    </w:p>
    <w:p>
      <w:pPr>
        <w:pStyle w:val="3"/>
        <w:ind w:firstLine="0" w:firstLineChars="0"/>
        <w:rPr>
          <w:rFonts w:hint="default" w:ascii="Times New Roman" w:hAnsi="Times New Roman" w:eastAsia="仿宋_GB2312" w:cs="Times New Roman"/>
          <w:color w:val="auto"/>
          <w:szCs w:val="32"/>
        </w:rPr>
      </w:pPr>
      <w:bookmarkStart w:id="525" w:name="_Toc3052"/>
      <w:bookmarkStart w:id="526" w:name="_Toc14575"/>
      <w:bookmarkStart w:id="527" w:name="_Toc17864"/>
      <w:bookmarkStart w:id="528" w:name="_Toc897"/>
      <w:bookmarkStart w:id="529" w:name="_Toc28484"/>
      <w:bookmarkStart w:id="530" w:name="_Toc10295"/>
      <w:bookmarkStart w:id="531" w:name="_Toc19218"/>
      <w:bookmarkStart w:id="532" w:name="_Toc25406"/>
      <w:bookmarkStart w:id="533" w:name="_Toc10641"/>
      <w:bookmarkStart w:id="534" w:name="_Toc30082"/>
      <w:bookmarkStart w:id="535" w:name="_Toc26461"/>
      <w:bookmarkStart w:id="536" w:name="_Toc16463"/>
      <w:r>
        <w:rPr>
          <w:rFonts w:hint="default" w:ascii="Times New Roman" w:hAnsi="Times New Roman" w:eastAsia="宋体" w:cs="Times New Roman"/>
          <w:color w:val="auto"/>
          <w:szCs w:val="32"/>
        </w:rPr>
        <w:t>9.4</w:t>
      </w:r>
      <w:r>
        <w:rPr>
          <w:rFonts w:hint="default" w:ascii="Times New Roman" w:hAnsi="Times New Roman" w:eastAsia="仿宋_GB2312" w:cs="Times New Roman"/>
          <w:color w:val="auto"/>
          <w:szCs w:val="32"/>
        </w:rPr>
        <w:t>建设项目执行国家环境管理制度情况检查</w:t>
      </w:r>
      <w:bookmarkEnd w:id="525"/>
      <w:bookmarkEnd w:id="526"/>
      <w:bookmarkEnd w:id="527"/>
      <w:bookmarkEnd w:id="528"/>
      <w:bookmarkEnd w:id="529"/>
      <w:bookmarkEnd w:id="530"/>
      <w:bookmarkEnd w:id="531"/>
      <w:bookmarkEnd w:id="532"/>
      <w:bookmarkEnd w:id="533"/>
      <w:bookmarkEnd w:id="534"/>
      <w:bookmarkEnd w:id="535"/>
      <w:bookmarkEnd w:id="536"/>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建设项目依据国家有关环保政策的要求，公司于2017年3月委托湖南天瑶环境技术有限公司完成了《益阳市银海环保科技有限公司年收贮废旧铅酸蓄电池1万吨建设项目环境影响报告书》的编制，2017年4月5日益阳市环境保护局以益环审（书）[2017]10号予以批复。项目中主要环保设施在建设和试运行期间经过多次完善整改，基本与主体工程同时设计、同时施工、同时投入使用。目前项目设施运行稳定</w:t>
      </w:r>
      <w:bookmarkStart w:id="537" w:name="_Toc20748"/>
      <w:bookmarkStart w:id="538" w:name="_Toc20088"/>
      <w:bookmarkStart w:id="539" w:name="_Toc6400"/>
      <w:bookmarkStart w:id="540" w:name="_Toc14235"/>
      <w:bookmarkStart w:id="541" w:name="_Toc12291"/>
      <w:bookmarkStart w:id="542" w:name="_Toc8083"/>
      <w:bookmarkStart w:id="543" w:name="_Toc15586"/>
      <w:bookmarkStart w:id="544" w:name="_Toc15653"/>
      <w:bookmarkStart w:id="545" w:name="_Toc6351"/>
      <w:bookmarkStart w:id="546" w:name="_Toc14156"/>
      <w:bookmarkStart w:id="547" w:name="_Toc30088"/>
      <w:bookmarkStart w:id="548" w:name="_Toc14322"/>
      <w:r>
        <w:rPr>
          <w:rFonts w:hint="default" w:ascii="Times New Roman" w:hAnsi="Times New Roman" w:cs="Times New Roman"/>
          <w:color w:val="auto"/>
          <w:sz w:val="28"/>
          <w:szCs w:val="28"/>
        </w:rPr>
        <w:t>。</w:t>
      </w:r>
    </w:p>
    <w:p>
      <w:pPr>
        <w:pStyle w:val="3"/>
        <w:ind w:firstLine="0" w:firstLineChars="0"/>
        <w:rPr>
          <w:rFonts w:hint="default" w:ascii="Times New Roman" w:hAnsi="Times New Roman" w:eastAsia="宋体" w:cs="Times New Roman"/>
          <w:color w:val="auto"/>
          <w:szCs w:val="32"/>
        </w:rPr>
      </w:pPr>
      <w:bookmarkStart w:id="549" w:name="_Toc4217"/>
      <w:r>
        <w:rPr>
          <w:rFonts w:hint="default" w:ascii="Times New Roman" w:hAnsi="Times New Roman" w:eastAsia="宋体" w:cs="Times New Roman"/>
          <w:color w:val="auto"/>
          <w:szCs w:val="32"/>
        </w:rPr>
        <w:t>9.5</w:t>
      </w:r>
      <w:r>
        <w:rPr>
          <w:rFonts w:hint="default" w:ascii="Times New Roman" w:hAnsi="Times New Roman" w:eastAsia="仿宋_GB2312" w:cs="Times New Roman"/>
          <w:color w:val="auto"/>
          <w:szCs w:val="32"/>
        </w:rPr>
        <w:t>固体废弃物综合利用处理</w:t>
      </w:r>
      <w:bookmarkEnd w:id="537"/>
      <w:bookmarkEnd w:id="538"/>
      <w:bookmarkEnd w:id="539"/>
      <w:bookmarkEnd w:id="540"/>
      <w:bookmarkEnd w:id="541"/>
      <w:bookmarkEnd w:id="542"/>
      <w:bookmarkEnd w:id="543"/>
      <w:bookmarkEnd w:id="544"/>
      <w:bookmarkEnd w:id="545"/>
      <w:bookmarkEnd w:id="546"/>
      <w:bookmarkEnd w:id="547"/>
      <w:bookmarkEnd w:id="548"/>
      <w:bookmarkEnd w:id="549"/>
    </w:p>
    <w:p>
      <w:pPr>
        <w:widowControl/>
        <w:ind w:firstLine="560"/>
        <w:jc w:val="left"/>
        <w:rPr>
          <w:rFonts w:hint="default" w:ascii="Times New Roman" w:hAnsi="Times New Roman" w:cs="Times New Roman"/>
          <w:color w:val="auto"/>
          <w:sz w:val="28"/>
          <w:szCs w:val="28"/>
        </w:rPr>
      </w:pPr>
      <w:bookmarkStart w:id="550" w:name="_Toc25069"/>
      <w:bookmarkStart w:id="551" w:name="_Toc4939"/>
      <w:bookmarkStart w:id="552" w:name="_Toc2756"/>
      <w:bookmarkStart w:id="553" w:name="_Toc10060"/>
      <w:bookmarkStart w:id="554" w:name="_Toc6764"/>
      <w:bookmarkStart w:id="555" w:name="_Toc5226"/>
      <w:bookmarkStart w:id="556" w:name="_Toc25451"/>
      <w:bookmarkStart w:id="557" w:name="_Toc3318"/>
      <w:bookmarkStart w:id="558" w:name="_Toc18525"/>
      <w:bookmarkStart w:id="559" w:name="_Toc25414"/>
      <w:bookmarkStart w:id="560" w:name="_Toc9158"/>
      <w:bookmarkStart w:id="561" w:name="_Toc18254"/>
      <w:r>
        <w:rPr>
          <w:rFonts w:hint="default" w:ascii="Times New Roman" w:hAnsi="Times New Roman" w:cs="Times New Roman"/>
          <w:color w:val="auto"/>
          <w:sz w:val="28"/>
          <w:szCs w:val="28"/>
        </w:rPr>
        <w:t>本项目固体废物主要为生活垃圾、废劳保用品、废弃拖把和电解液等。生活垃圾和废劳保用品集中收集后委托环卫部门定期清运，废弃拖把和电解液委托有资质单位</w:t>
      </w:r>
      <w:r>
        <w:rPr>
          <w:rFonts w:hint="default" w:ascii="Times New Roman" w:hAnsi="Times New Roman" w:cs="Times New Roman"/>
          <w:color w:val="auto"/>
          <w:sz w:val="28"/>
          <w:szCs w:val="28"/>
          <w:lang w:eastAsia="zh-CN"/>
        </w:rPr>
        <w:t>湖南省金翼有色金属综合回收有限公司</w:t>
      </w:r>
      <w:r>
        <w:rPr>
          <w:rFonts w:hint="default" w:ascii="Times New Roman" w:hAnsi="Times New Roman" w:cs="Times New Roman"/>
          <w:color w:val="auto"/>
          <w:sz w:val="28"/>
          <w:szCs w:val="28"/>
        </w:rPr>
        <w:t>定期收集处理。</w:t>
      </w:r>
    </w:p>
    <w:p>
      <w:pPr>
        <w:pStyle w:val="3"/>
        <w:ind w:firstLine="0" w:firstLineChars="0"/>
        <w:rPr>
          <w:rFonts w:hint="default" w:ascii="Times New Roman" w:hAnsi="Times New Roman" w:eastAsia="宋体" w:cs="Times New Roman"/>
          <w:color w:val="auto"/>
          <w:szCs w:val="32"/>
        </w:rPr>
      </w:pPr>
      <w:bookmarkStart w:id="562" w:name="_Toc8718"/>
      <w:r>
        <w:rPr>
          <w:rFonts w:hint="default" w:ascii="Times New Roman" w:hAnsi="Times New Roman" w:eastAsia="宋体" w:cs="Times New Roman"/>
          <w:color w:val="auto"/>
          <w:szCs w:val="32"/>
        </w:rPr>
        <w:t>9.6</w:t>
      </w:r>
      <w:r>
        <w:rPr>
          <w:rFonts w:hint="default" w:ascii="Times New Roman" w:hAnsi="Times New Roman" w:eastAsia="仿宋_GB2312" w:cs="Times New Roman"/>
          <w:color w:val="auto"/>
          <w:szCs w:val="32"/>
        </w:rPr>
        <w:t>环保管理制度及人员责任分工</w:t>
      </w:r>
      <w:bookmarkEnd w:id="550"/>
      <w:bookmarkEnd w:id="551"/>
      <w:bookmarkEnd w:id="552"/>
      <w:bookmarkEnd w:id="553"/>
      <w:bookmarkEnd w:id="554"/>
      <w:bookmarkEnd w:id="555"/>
      <w:bookmarkEnd w:id="556"/>
      <w:bookmarkEnd w:id="557"/>
      <w:bookmarkEnd w:id="558"/>
      <w:bookmarkEnd w:id="559"/>
      <w:bookmarkEnd w:id="560"/>
      <w:bookmarkEnd w:id="561"/>
      <w:bookmarkEnd w:id="562"/>
    </w:p>
    <w:p>
      <w:pPr>
        <w:spacing w:line="240" w:lineRule="auto"/>
        <w:ind w:firstLine="56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本项目各项环保工作依照环保部门要求执行。日常环保管理工作由办公室负责。生产期间，目前无投诉。</w:t>
      </w:r>
    </w:p>
    <w:p>
      <w:pPr>
        <w:pStyle w:val="2"/>
        <w:ind w:firstLine="562"/>
        <w:rPr>
          <w:rFonts w:hint="default" w:ascii="Times New Roman" w:hAnsi="Times New Roman" w:cs="Times New Roman"/>
          <w:color w:val="auto"/>
          <w:sz w:val="28"/>
          <w:szCs w:val="28"/>
        </w:rPr>
      </w:pPr>
    </w:p>
    <w:p>
      <w:pPr>
        <w:ind w:firstLine="560"/>
        <w:rPr>
          <w:rFonts w:hint="default" w:ascii="Times New Roman" w:hAnsi="Times New Roman" w:cs="Times New Roman"/>
          <w:color w:val="auto"/>
          <w:sz w:val="28"/>
          <w:szCs w:val="28"/>
        </w:rPr>
      </w:pPr>
    </w:p>
    <w:p>
      <w:pPr>
        <w:pStyle w:val="2"/>
        <w:ind w:firstLine="562"/>
        <w:rPr>
          <w:rFonts w:hint="default" w:ascii="Times New Roman" w:hAnsi="Times New Roman" w:cs="Times New Roman"/>
          <w:color w:val="auto"/>
          <w:sz w:val="28"/>
          <w:szCs w:val="28"/>
        </w:rPr>
      </w:pPr>
    </w:p>
    <w:p>
      <w:pPr>
        <w:ind w:firstLine="560"/>
        <w:rPr>
          <w:rFonts w:hint="default" w:ascii="Times New Roman" w:hAnsi="Times New Roman" w:cs="Times New Roman"/>
          <w:color w:val="auto"/>
          <w:sz w:val="28"/>
          <w:szCs w:val="28"/>
        </w:rPr>
      </w:pPr>
    </w:p>
    <w:p>
      <w:pPr>
        <w:pStyle w:val="2"/>
        <w:ind w:firstLine="562"/>
        <w:rPr>
          <w:rFonts w:hint="default" w:ascii="Times New Roman" w:hAnsi="Times New Roman" w:cs="Times New Roman"/>
          <w:color w:val="auto"/>
          <w:sz w:val="28"/>
          <w:szCs w:val="28"/>
        </w:rPr>
      </w:pPr>
    </w:p>
    <w:p>
      <w:pPr>
        <w:ind w:firstLine="560"/>
        <w:rPr>
          <w:rFonts w:hint="default" w:ascii="Times New Roman" w:hAnsi="Times New Roman" w:cs="Times New Roman"/>
          <w:color w:val="auto"/>
          <w:sz w:val="28"/>
          <w:szCs w:val="28"/>
        </w:rPr>
      </w:pPr>
    </w:p>
    <w:p>
      <w:pPr>
        <w:pStyle w:val="2"/>
        <w:ind w:firstLine="562"/>
        <w:rPr>
          <w:rFonts w:hint="default" w:ascii="Times New Roman" w:hAnsi="Times New Roman" w:cs="Times New Roman"/>
          <w:color w:val="auto"/>
          <w:sz w:val="28"/>
          <w:szCs w:val="28"/>
        </w:rPr>
      </w:pPr>
    </w:p>
    <w:p>
      <w:pPr>
        <w:ind w:firstLine="560"/>
        <w:rPr>
          <w:rFonts w:hint="default" w:ascii="Times New Roman" w:hAnsi="Times New Roman" w:cs="Times New Roman"/>
          <w:color w:val="auto"/>
          <w:sz w:val="28"/>
          <w:szCs w:val="28"/>
        </w:rPr>
      </w:pPr>
    </w:p>
    <w:p>
      <w:pPr>
        <w:pStyle w:val="2"/>
        <w:ind w:firstLine="562"/>
        <w:rPr>
          <w:rFonts w:hint="default" w:ascii="Times New Roman" w:hAnsi="Times New Roman" w:cs="Times New Roman"/>
          <w:color w:val="auto"/>
          <w:sz w:val="28"/>
          <w:szCs w:val="28"/>
        </w:rPr>
      </w:pPr>
    </w:p>
    <w:p>
      <w:pPr>
        <w:ind w:firstLine="560"/>
        <w:rPr>
          <w:rFonts w:hint="default" w:ascii="Times New Roman" w:hAnsi="Times New Roman" w:cs="Times New Roman"/>
          <w:color w:val="auto"/>
          <w:sz w:val="28"/>
          <w:szCs w:val="28"/>
        </w:rPr>
      </w:pPr>
    </w:p>
    <w:p>
      <w:pPr>
        <w:pStyle w:val="2"/>
        <w:ind w:firstLine="562"/>
        <w:rPr>
          <w:rFonts w:hint="default" w:ascii="Times New Roman" w:hAnsi="Times New Roman" w:cs="Times New Roman"/>
          <w:color w:val="auto"/>
          <w:sz w:val="28"/>
          <w:szCs w:val="28"/>
        </w:rPr>
      </w:pPr>
    </w:p>
    <w:p>
      <w:pPr>
        <w:ind w:firstLine="480"/>
        <w:rPr>
          <w:rFonts w:hint="default" w:ascii="Times New Roman" w:hAnsi="Times New Roman" w:cs="Times New Roman"/>
          <w:color w:val="auto"/>
        </w:rPr>
      </w:pPr>
    </w:p>
    <w:p>
      <w:pPr>
        <w:pStyle w:val="2"/>
        <w:ind w:firstLine="0" w:firstLineChars="0"/>
        <w:rPr>
          <w:rFonts w:hint="default" w:ascii="Times New Roman" w:hAnsi="Times New Roman" w:eastAsia="黑体" w:cs="Times New Roman"/>
          <w:color w:val="auto"/>
          <w:sz w:val="32"/>
          <w:szCs w:val="32"/>
        </w:rPr>
      </w:pPr>
      <w:bookmarkStart w:id="563" w:name="_Toc11000"/>
      <w:bookmarkStart w:id="564" w:name="_Toc211"/>
      <w:bookmarkStart w:id="565" w:name="_Toc14507"/>
      <w:bookmarkStart w:id="566" w:name="_Toc5560"/>
      <w:bookmarkStart w:id="567" w:name="_Toc21076"/>
      <w:bookmarkStart w:id="568" w:name="_Toc14933"/>
      <w:bookmarkStart w:id="569" w:name="_Toc716"/>
      <w:bookmarkStart w:id="570" w:name="_Toc21575"/>
      <w:bookmarkStart w:id="571" w:name="_Toc21238"/>
      <w:bookmarkStart w:id="572" w:name="_Toc10744"/>
      <w:bookmarkStart w:id="573" w:name="_Toc18807"/>
      <w:bookmarkStart w:id="574" w:name="_Toc30750"/>
      <w:bookmarkStart w:id="575" w:name="_Toc32249"/>
      <w:bookmarkStart w:id="576" w:name="_Toc5107"/>
      <w:r>
        <w:rPr>
          <w:rFonts w:hint="default" w:ascii="Times New Roman" w:hAnsi="Times New Roman" w:eastAsia="黑体" w:cs="Times New Roman"/>
          <w:color w:val="auto"/>
          <w:sz w:val="32"/>
          <w:szCs w:val="32"/>
        </w:rPr>
        <w:t>10、验收监测结论</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3"/>
        <w:ind w:firstLine="0" w:firstLineChars="0"/>
        <w:rPr>
          <w:rFonts w:hint="default" w:ascii="Times New Roman" w:hAnsi="Times New Roman" w:eastAsia="仿宋_GB2312" w:cs="Times New Roman"/>
          <w:color w:val="auto"/>
          <w:szCs w:val="32"/>
        </w:rPr>
      </w:pPr>
      <w:bookmarkStart w:id="577" w:name="_Toc24067"/>
      <w:bookmarkStart w:id="578" w:name="_Toc31960"/>
      <w:bookmarkStart w:id="579" w:name="_Toc6870"/>
      <w:bookmarkStart w:id="580" w:name="_Toc3537"/>
      <w:bookmarkStart w:id="581" w:name="_Toc19952"/>
      <w:bookmarkStart w:id="582" w:name="_Toc2362"/>
      <w:bookmarkStart w:id="583" w:name="_Toc26528"/>
      <w:bookmarkStart w:id="584" w:name="_Toc17384"/>
      <w:bookmarkStart w:id="585" w:name="_Toc31408"/>
      <w:bookmarkStart w:id="586" w:name="_Toc11551"/>
      <w:r>
        <w:rPr>
          <w:rFonts w:hint="default" w:ascii="Times New Roman" w:hAnsi="Times New Roman" w:eastAsia="仿宋_GB2312" w:cs="Times New Roman"/>
          <w:color w:val="auto"/>
          <w:szCs w:val="32"/>
        </w:rPr>
        <w:t>10.1</w:t>
      </w:r>
      <w:bookmarkEnd w:id="577"/>
      <w:bookmarkEnd w:id="578"/>
      <w:bookmarkEnd w:id="579"/>
      <w:bookmarkEnd w:id="580"/>
      <w:bookmarkEnd w:id="581"/>
      <w:bookmarkEnd w:id="582"/>
      <w:bookmarkEnd w:id="583"/>
      <w:bookmarkEnd w:id="584"/>
      <w:bookmarkEnd w:id="585"/>
      <w:bookmarkStart w:id="587" w:name="_Toc16717"/>
      <w:bookmarkStart w:id="588" w:name="_Toc17032"/>
      <w:bookmarkStart w:id="589" w:name="_Toc23123"/>
      <w:bookmarkStart w:id="590" w:name="_Toc29978"/>
      <w:bookmarkStart w:id="591" w:name="_Toc8927"/>
      <w:bookmarkStart w:id="592" w:name="_Toc21739"/>
      <w:bookmarkStart w:id="593" w:name="_Toc18302"/>
      <w:bookmarkStart w:id="594" w:name="_Toc11616"/>
      <w:bookmarkStart w:id="595" w:name="_Toc27644"/>
      <w:r>
        <w:rPr>
          <w:rFonts w:hint="default" w:ascii="Times New Roman" w:hAnsi="Times New Roman" w:eastAsia="仿宋_GB2312" w:cs="Times New Roman"/>
          <w:color w:val="auto"/>
          <w:szCs w:val="32"/>
        </w:rPr>
        <w:t>污染物排放监测结论</w:t>
      </w:r>
      <w:bookmarkEnd w:id="586"/>
    </w:p>
    <w:p>
      <w:pPr>
        <w:pStyle w:val="4"/>
        <w:ind w:firstLine="562"/>
        <w:rPr>
          <w:rFonts w:hint="default" w:ascii="Times New Roman" w:hAnsi="Times New Roman" w:cs="Times New Roman"/>
          <w:color w:val="auto"/>
          <w:sz w:val="28"/>
          <w:szCs w:val="28"/>
        </w:rPr>
      </w:pPr>
      <w:bookmarkStart w:id="596" w:name="_Toc18908"/>
      <w:r>
        <w:rPr>
          <w:rFonts w:hint="default" w:ascii="Times New Roman" w:hAnsi="Times New Roman" w:cs="Times New Roman"/>
          <w:color w:val="auto"/>
          <w:sz w:val="28"/>
          <w:szCs w:val="28"/>
        </w:rPr>
        <w:t>10.1.1废水验收监测结论</w:t>
      </w:r>
      <w:bookmarkEnd w:id="596"/>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验收监测期间，总排口废水中pH浓度范围为7.30</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7.34、SS最大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为48mg/L、CODcr最大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为82mg/L、BOD</w:t>
      </w:r>
      <w:r>
        <w:rPr>
          <w:rFonts w:hint="default" w:ascii="Times New Roman" w:hAnsi="Times New Roman" w:cs="Times New Roman"/>
          <w:color w:val="auto"/>
          <w:sz w:val="28"/>
          <w:szCs w:val="28"/>
          <w:vertAlign w:val="subscript"/>
        </w:rPr>
        <w:t>5</w:t>
      </w:r>
      <w:r>
        <w:rPr>
          <w:rFonts w:hint="default" w:ascii="Times New Roman" w:hAnsi="Times New Roman" w:cs="Times New Roman"/>
          <w:color w:val="auto"/>
          <w:sz w:val="28"/>
          <w:szCs w:val="28"/>
        </w:rPr>
        <w:t>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为20.5mg/L、石油类最大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为0.14mg/L、总镉最大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为0.0001L、总铅最大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w:t>
      </w:r>
      <w:r>
        <w:rPr>
          <w:rFonts w:hint="default" w:ascii="Times New Roman" w:hAnsi="Times New Roman" w:cs="Times New Roman"/>
          <w:color w:val="auto"/>
          <w:sz w:val="28"/>
          <w:szCs w:val="28"/>
          <w:lang w:eastAsia="zh-CN"/>
        </w:rPr>
        <w:t>0.005</w:t>
      </w:r>
      <w:r>
        <w:rPr>
          <w:rFonts w:hint="default" w:ascii="Times New Roman" w:hAnsi="Times New Roman" w:cs="Times New Roman"/>
          <w:color w:val="auto"/>
          <w:sz w:val="28"/>
          <w:szCs w:val="28"/>
        </w:rPr>
        <w:t>mg/L、总砷最大</w:t>
      </w:r>
      <w:r>
        <w:rPr>
          <w:rFonts w:hint="default" w:ascii="Times New Roman" w:hAnsi="Times New Roman" w:cs="Times New Roman"/>
          <w:color w:val="auto"/>
          <w:sz w:val="28"/>
          <w:szCs w:val="28"/>
          <w:lang w:eastAsia="zh-CN"/>
        </w:rPr>
        <w:t>均值</w:t>
      </w:r>
      <w:r>
        <w:rPr>
          <w:rFonts w:hint="default" w:ascii="Times New Roman" w:hAnsi="Times New Roman" w:cs="Times New Roman"/>
          <w:color w:val="auto"/>
          <w:sz w:val="28"/>
          <w:szCs w:val="28"/>
        </w:rPr>
        <w:t>为0.0017mg/L，均符合《《污水综合排放标准》（GB8978-1996）表4中的三级标准和表1中的标准限值要求。</w:t>
      </w:r>
    </w:p>
    <w:p>
      <w:pPr>
        <w:pStyle w:val="4"/>
        <w:ind w:firstLine="562"/>
        <w:rPr>
          <w:rFonts w:hint="default" w:ascii="Times New Roman" w:hAnsi="Times New Roman" w:cs="Times New Roman"/>
          <w:color w:val="auto"/>
          <w:sz w:val="28"/>
          <w:szCs w:val="28"/>
        </w:rPr>
      </w:pPr>
      <w:bookmarkStart w:id="597" w:name="_Toc23675"/>
      <w:r>
        <w:rPr>
          <w:rFonts w:hint="default" w:ascii="Times New Roman" w:hAnsi="Times New Roman" w:cs="Times New Roman"/>
          <w:color w:val="auto"/>
          <w:sz w:val="28"/>
          <w:szCs w:val="28"/>
        </w:rPr>
        <w:t>10.1.2废气验收监测结论</w:t>
      </w:r>
      <w:bookmarkEnd w:id="587"/>
      <w:bookmarkEnd w:id="588"/>
      <w:bookmarkEnd w:id="589"/>
      <w:bookmarkEnd w:id="590"/>
      <w:bookmarkEnd w:id="591"/>
      <w:bookmarkEnd w:id="592"/>
      <w:bookmarkEnd w:id="593"/>
      <w:bookmarkEnd w:id="594"/>
      <w:bookmarkEnd w:id="595"/>
      <w:bookmarkEnd w:id="597"/>
    </w:p>
    <w:p>
      <w:pPr>
        <w:ind w:firstLine="560"/>
        <w:rPr>
          <w:rFonts w:hint="default" w:ascii="Times New Roman" w:hAnsi="Times New Roman" w:cs="Times New Roman"/>
          <w:color w:val="auto"/>
          <w:sz w:val="28"/>
          <w:szCs w:val="28"/>
        </w:rPr>
      </w:pPr>
      <w:bookmarkStart w:id="598" w:name="_Toc26040"/>
      <w:bookmarkStart w:id="599" w:name="_Toc19558"/>
      <w:bookmarkStart w:id="600" w:name="_Toc23573"/>
      <w:bookmarkStart w:id="601" w:name="_Toc22840"/>
      <w:bookmarkStart w:id="602" w:name="_Toc30661"/>
      <w:bookmarkStart w:id="603" w:name="_Toc19557"/>
      <w:bookmarkStart w:id="604" w:name="_Toc12130"/>
      <w:bookmarkStart w:id="605" w:name="_Toc29966"/>
      <w:bookmarkStart w:id="606" w:name="_Toc13032"/>
      <w:r>
        <w:rPr>
          <w:rFonts w:hint="default" w:ascii="Times New Roman" w:hAnsi="Times New Roman" w:cs="Times New Roman"/>
          <w:color w:val="auto"/>
          <w:sz w:val="28"/>
          <w:szCs w:val="28"/>
        </w:rPr>
        <w:t>验收监测期间，大气污染物中铅及其化合物排放浓度最大值为0.035mg/m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、排放速率最大值为0.000058mg/m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、无组织排放最大值为5.0×10</w:t>
      </w:r>
      <w:r>
        <w:rPr>
          <w:rFonts w:hint="default" w:ascii="Times New Roman" w:hAnsi="Times New Roman" w:cs="Times New Roman"/>
          <w:color w:val="auto"/>
          <w:sz w:val="28"/>
          <w:szCs w:val="28"/>
          <w:vertAlign w:val="superscript"/>
        </w:rPr>
        <w:t>-6</w:t>
      </w:r>
      <w:r>
        <w:rPr>
          <w:rFonts w:hint="default" w:ascii="Times New Roman" w:hAnsi="Times New Roman" w:cs="Times New Roman"/>
          <w:color w:val="auto"/>
          <w:sz w:val="28"/>
          <w:szCs w:val="28"/>
        </w:rPr>
        <w:t>L ，硫酸雾排放浓度最大值为5.6mg/m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、排放速率最大值为0.0104mg/m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、无组织排放最大值为0.005L ，均符合《大气污染物综合排放标准》（GB16297-1996）表2大气污染物排放限值要求。</w:t>
      </w:r>
    </w:p>
    <w:p>
      <w:pPr>
        <w:pStyle w:val="4"/>
        <w:ind w:firstLine="562"/>
        <w:rPr>
          <w:rFonts w:hint="default" w:ascii="Times New Roman" w:hAnsi="Times New Roman" w:cs="Times New Roman"/>
          <w:color w:val="auto"/>
          <w:sz w:val="28"/>
          <w:szCs w:val="28"/>
        </w:rPr>
      </w:pPr>
      <w:bookmarkStart w:id="607" w:name="_Toc22926"/>
      <w:r>
        <w:rPr>
          <w:rFonts w:hint="default" w:ascii="Times New Roman" w:hAnsi="Times New Roman" w:cs="Times New Roman"/>
          <w:color w:val="auto"/>
          <w:sz w:val="28"/>
          <w:szCs w:val="28"/>
        </w:rPr>
        <w:t>10.1.3噪声验收监测结论</w:t>
      </w:r>
      <w:bookmarkEnd w:id="598"/>
      <w:bookmarkEnd w:id="599"/>
      <w:bookmarkEnd w:id="600"/>
      <w:bookmarkEnd w:id="601"/>
      <w:bookmarkEnd w:id="602"/>
      <w:bookmarkEnd w:id="603"/>
      <w:bookmarkEnd w:id="604"/>
      <w:bookmarkEnd w:id="605"/>
      <w:bookmarkEnd w:id="606"/>
      <w:bookmarkEnd w:id="607"/>
    </w:p>
    <w:p>
      <w:pPr>
        <w:ind w:firstLine="560"/>
        <w:rPr>
          <w:rFonts w:hint="default" w:ascii="Times New Roman" w:hAnsi="Times New Roman" w:cs="Times New Roman"/>
          <w:color w:val="auto"/>
          <w:sz w:val="28"/>
          <w:szCs w:val="28"/>
        </w:rPr>
      </w:pPr>
      <w:bookmarkStart w:id="608" w:name="_Toc17031"/>
      <w:bookmarkStart w:id="609" w:name="_Toc25896"/>
      <w:bookmarkStart w:id="610" w:name="_Toc4130"/>
      <w:bookmarkStart w:id="611" w:name="_Toc15408"/>
      <w:bookmarkStart w:id="612" w:name="_Toc20931"/>
      <w:bookmarkStart w:id="613" w:name="_Toc18665"/>
      <w:bookmarkStart w:id="614" w:name="_Toc22960"/>
      <w:r>
        <w:rPr>
          <w:rFonts w:hint="default" w:ascii="Times New Roman" w:hAnsi="Times New Roman" w:cs="Times New Roman"/>
          <w:color w:val="auto"/>
          <w:sz w:val="28"/>
          <w:szCs w:val="28"/>
        </w:rPr>
        <w:t>验收监测期间，公司厂界南面、西面和北面监控点昼间</w:t>
      </w:r>
      <w:r>
        <w:rPr>
          <w:rFonts w:hint="eastAsia" w:ascii="Times New Roman" w:hAnsi="Times New Roman" w:cs="Times New Roman"/>
          <w:color w:val="auto"/>
          <w:sz w:val="28"/>
          <w:szCs w:val="28"/>
          <w:lang w:eastAsia="zh-CN"/>
        </w:rPr>
        <w:t>厂界噪声最大值为56.0dB，夜间厂界噪声最大值46.1dB，</w:t>
      </w:r>
      <w:r>
        <w:rPr>
          <w:rFonts w:hint="default" w:ascii="Times New Roman" w:hAnsi="Times New Roman" w:cs="Times New Roman"/>
          <w:color w:val="auto"/>
          <w:sz w:val="28"/>
          <w:szCs w:val="28"/>
        </w:rPr>
        <w:t>均符合GB12348-2008《工业企业厂界环境噪声排放标准》3类标准限值要求。</w:t>
      </w:r>
    </w:p>
    <w:p>
      <w:pPr>
        <w:pStyle w:val="4"/>
        <w:ind w:firstLine="562"/>
        <w:rPr>
          <w:rFonts w:hint="default" w:ascii="Times New Roman" w:hAnsi="Times New Roman" w:cs="Times New Roman"/>
          <w:color w:val="auto"/>
          <w:sz w:val="28"/>
          <w:szCs w:val="28"/>
        </w:rPr>
      </w:pPr>
      <w:bookmarkStart w:id="615" w:name="_Toc13619"/>
      <w:r>
        <w:rPr>
          <w:rFonts w:hint="default" w:ascii="Times New Roman" w:hAnsi="Times New Roman" w:cs="Times New Roman"/>
          <w:color w:val="auto"/>
          <w:sz w:val="28"/>
          <w:szCs w:val="28"/>
        </w:rPr>
        <w:t>10.1.4固体废物验收监测结论</w:t>
      </w:r>
      <w:bookmarkEnd w:id="608"/>
      <w:bookmarkEnd w:id="609"/>
      <w:bookmarkEnd w:id="615"/>
    </w:p>
    <w:bookmarkEnd w:id="610"/>
    <w:p>
      <w:pPr>
        <w:widowControl/>
        <w:ind w:firstLine="560"/>
        <w:jc w:val="left"/>
        <w:rPr>
          <w:rFonts w:hint="default" w:ascii="Times New Roman" w:hAnsi="Times New Roman" w:cs="Times New Roman"/>
          <w:color w:val="auto"/>
          <w:sz w:val="28"/>
          <w:szCs w:val="28"/>
        </w:rPr>
      </w:pPr>
      <w:bookmarkStart w:id="616" w:name="_Toc16158"/>
      <w:bookmarkStart w:id="617" w:name="_Toc22762"/>
      <w:bookmarkStart w:id="618" w:name="_Toc14183"/>
      <w:bookmarkStart w:id="619" w:name="_Toc7927"/>
      <w:bookmarkStart w:id="620" w:name="_Toc28254"/>
      <w:bookmarkStart w:id="621" w:name="_Toc30570"/>
      <w:bookmarkStart w:id="622" w:name="_Toc23046"/>
      <w:bookmarkStart w:id="623" w:name="_Toc27944"/>
      <w:bookmarkStart w:id="624" w:name="_Toc28751"/>
      <w:r>
        <w:rPr>
          <w:rFonts w:hint="default" w:ascii="Times New Roman" w:hAnsi="Times New Roman" w:cs="Times New Roman"/>
          <w:color w:val="auto"/>
          <w:sz w:val="28"/>
          <w:szCs w:val="28"/>
        </w:rPr>
        <w:t>本项目固体废物主要为生活垃圾、废劳保用品、废弃拖把和电解液等。生活垃圾和废劳保用品集中收集后委托环卫部门定期清运，废弃拖把和电解液委托有资质单位</w:t>
      </w:r>
      <w:r>
        <w:rPr>
          <w:rFonts w:hint="default" w:ascii="Times New Roman" w:hAnsi="Times New Roman" w:cs="Times New Roman"/>
          <w:color w:val="auto"/>
          <w:sz w:val="28"/>
          <w:szCs w:val="28"/>
          <w:lang w:eastAsia="zh-CN"/>
        </w:rPr>
        <w:t>湖南省金翼有色金属综合回收有限公司</w:t>
      </w:r>
      <w:r>
        <w:rPr>
          <w:rFonts w:hint="default" w:ascii="Times New Roman" w:hAnsi="Times New Roman" w:cs="Times New Roman"/>
          <w:color w:val="auto"/>
          <w:sz w:val="28"/>
          <w:szCs w:val="28"/>
        </w:rPr>
        <w:t>定期收集处理。</w:t>
      </w:r>
    </w:p>
    <w:p>
      <w:pPr>
        <w:pStyle w:val="3"/>
        <w:ind w:firstLine="0" w:firstLineChars="0"/>
        <w:rPr>
          <w:rFonts w:hint="default" w:ascii="Times New Roman" w:hAnsi="Times New Roman" w:eastAsia="仿宋_GB2312" w:cs="Times New Roman"/>
          <w:color w:val="auto"/>
          <w:szCs w:val="32"/>
        </w:rPr>
      </w:pPr>
      <w:bookmarkStart w:id="625" w:name="_Toc5272"/>
      <w:r>
        <w:rPr>
          <w:rFonts w:hint="default" w:ascii="Times New Roman" w:hAnsi="Times New Roman" w:eastAsia="仿宋_GB2312" w:cs="Times New Roman"/>
          <w:color w:val="auto"/>
          <w:szCs w:val="32"/>
        </w:rPr>
        <w:t>10.2工程建设对环境影响监测结论</w:t>
      </w:r>
      <w:bookmarkEnd w:id="625"/>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验收监测期间，对公司北侧居民地下水和龙山社区居民点环境空气进行了监测。北侧居民家地下水中pH值范围为6.78</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6.81，镉、铅和砷最大监测值分别为0.0001L、、0.001L和0.0003L，均符合《地下水质量标准》（GB/T 14848--2017）III级标准限值要求；龙山社区居民点环境空气中硫酸雾最大值为0.005L，符合</w:t>
      </w:r>
      <w:r>
        <w:rPr>
          <w:rFonts w:hint="default" w:ascii="Times New Roman" w:hAnsi="Times New Roman" w:cs="Times New Roman"/>
          <w:color w:val="auto"/>
          <w:sz w:val="28"/>
          <w:szCs w:val="28"/>
          <w:lang w:eastAsia="zh-CN"/>
        </w:rPr>
        <w:t>《环境影响评价技术导则 大气环境》（HJ2.2-2018）表D.1其他污染物空气质量浓度参考限值</w:t>
      </w:r>
      <w:r>
        <w:rPr>
          <w:rFonts w:hint="default" w:ascii="Times New Roman" w:hAnsi="Times New Roman" w:cs="Times New Roman"/>
          <w:color w:val="auto"/>
          <w:sz w:val="28"/>
          <w:szCs w:val="28"/>
        </w:rPr>
        <w:t>标准；环境空气中铅及其化合物最大值为5.0L×10</w:t>
      </w:r>
      <w:r>
        <w:rPr>
          <w:rFonts w:hint="default" w:ascii="Times New Roman" w:hAnsi="Times New Roman" w:cs="Times New Roman"/>
          <w:color w:val="auto"/>
          <w:sz w:val="28"/>
          <w:szCs w:val="28"/>
          <w:vertAlign w:val="superscript"/>
        </w:rPr>
        <w:t>-6</w:t>
      </w:r>
      <w:r>
        <w:rPr>
          <w:rFonts w:hint="default" w:ascii="Times New Roman" w:hAnsi="Times New Roman" w:cs="Times New Roman"/>
          <w:color w:val="auto"/>
          <w:sz w:val="28"/>
          <w:szCs w:val="28"/>
        </w:rPr>
        <w:t>L，符合《大气中铅及其化合物的卫生标准》（GB7355-87）居住区最高允许浓度标准。</w:t>
      </w:r>
    </w:p>
    <w:p>
      <w:pPr>
        <w:pStyle w:val="3"/>
        <w:ind w:firstLine="0" w:firstLineChars="0"/>
        <w:rPr>
          <w:rFonts w:hint="default" w:ascii="Times New Roman" w:hAnsi="Times New Roman" w:eastAsia="仿宋_GB2312" w:cs="Times New Roman"/>
          <w:color w:val="auto"/>
          <w:szCs w:val="32"/>
        </w:rPr>
      </w:pPr>
      <w:bookmarkStart w:id="626" w:name="_Toc19074"/>
      <w:r>
        <w:rPr>
          <w:rFonts w:hint="default" w:ascii="Times New Roman" w:hAnsi="Times New Roman" w:eastAsia="宋体" w:cs="Times New Roman"/>
          <w:color w:val="auto"/>
          <w:szCs w:val="32"/>
        </w:rPr>
        <w:t>10.3</w:t>
      </w:r>
      <w:r>
        <w:rPr>
          <w:rFonts w:hint="default" w:ascii="Times New Roman" w:hAnsi="Times New Roman" w:eastAsia="仿宋_GB2312" w:cs="Times New Roman"/>
          <w:color w:val="auto"/>
          <w:szCs w:val="32"/>
        </w:rPr>
        <w:t>环境管理检查结论</w:t>
      </w:r>
      <w:bookmarkEnd w:id="611"/>
      <w:bookmarkEnd w:id="612"/>
      <w:bookmarkEnd w:id="613"/>
      <w:bookmarkEnd w:id="614"/>
      <w:bookmarkEnd w:id="616"/>
      <w:bookmarkEnd w:id="617"/>
      <w:bookmarkEnd w:id="618"/>
      <w:bookmarkEnd w:id="619"/>
      <w:bookmarkEnd w:id="620"/>
      <w:bookmarkEnd w:id="621"/>
      <w:bookmarkEnd w:id="622"/>
      <w:bookmarkEnd w:id="623"/>
      <w:bookmarkEnd w:id="624"/>
      <w:bookmarkEnd w:id="626"/>
    </w:p>
    <w:p>
      <w:pPr>
        <w:spacing w:line="240" w:lineRule="auto"/>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建设项目环境保护审查、审批手续齐全，环保设施基本做到了与主体工程同时设计、同时施工、同时运行，环评批复要求基本落实，该项目建立各项环境管理规章制度、操作规程。日常环保管理工作由办公室负责。</w:t>
      </w:r>
    </w:p>
    <w:p>
      <w:pPr>
        <w:pStyle w:val="3"/>
        <w:ind w:firstLine="0" w:firstLineChars="0"/>
        <w:rPr>
          <w:rFonts w:hint="default" w:ascii="Times New Roman" w:hAnsi="Times New Roman" w:eastAsia="仿宋_GB2312" w:cs="Times New Roman"/>
          <w:color w:val="auto"/>
          <w:szCs w:val="32"/>
        </w:rPr>
      </w:pPr>
      <w:bookmarkStart w:id="627" w:name="_Toc1386"/>
      <w:bookmarkStart w:id="628" w:name="_Toc25022"/>
      <w:bookmarkStart w:id="629" w:name="_Toc21454"/>
      <w:bookmarkStart w:id="630" w:name="_Toc14515"/>
      <w:bookmarkStart w:id="631" w:name="_Toc6685"/>
      <w:bookmarkStart w:id="632" w:name="_Toc26283"/>
      <w:bookmarkStart w:id="633" w:name="_Toc9491"/>
      <w:bookmarkStart w:id="634" w:name="_Toc4000"/>
      <w:bookmarkStart w:id="635" w:name="_Toc25907"/>
      <w:bookmarkStart w:id="636" w:name="_Toc967"/>
      <w:bookmarkStart w:id="637" w:name="_Toc19669"/>
      <w:bookmarkStart w:id="638" w:name="_Toc17540"/>
      <w:bookmarkStart w:id="639" w:name="_Toc27090"/>
      <w:bookmarkStart w:id="640" w:name="_Toc11619"/>
      <w:r>
        <w:rPr>
          <w:rFonts w:hint="default" w:ascii="Times New Roman" w:hAnsi="Times New Roman" w:eastAsia="宋体" w:cs="Times New Roman"/>
          <w:color w:val="auto"/>
          <w:szCs w:val="32"/>
        </w:rPr>
        <w:t>10.4</w:t>
      </w:r>
      <w:r>
        <w:rPr>
          <w:rFonts w:hint="default" w:ascii="Times New Roman" w:hAnsi="Times New Roman" w:eastAsia="仿宋_GB2312" w:cs="Times New Roman"/>
          <w:color w:val="auto"/>
          <w:szCs w:val="32"/>
        </w:rPr>
        <w:t>总体结论</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line="240" w:lineRule="auto"/>
        <w:ind w:firstLine="560"/>
        <w:rPr>
          <w:rFonts w:hint="default" w:ascii="Times New Roman" w:hAnsi="Times New Roman" w:cs="Times New Roman"/>
          <w:color w:val="auto"/>
          <w:sz w:val="28"/>
          <w:szCs w:val="28"/>
        </w:rPr>
      </w:pPr>
      <w:bookmarkStart w:id="641" w:name="_Toc29552"/>
      <w:r>
        <w:rPr>
          <w:rFonts w:hint="default" w:ascii="Times New Roman" w:hAnsi="Times New Roman" w:cs="Times New Roman"/>
          <w:color w:val="auto"/>
          <w:sz w:val="28"/>
          <w:szCs w:val="28"/>
        </w:rPr>
        <w:t>该项目按照环评要求建设，严格执行“三同时”制度。验收监测期间，经现场检查和采样监测，该项目废气、厂界噪声监测结果符合相应标准限值的要求，固体废物均得到妥善处理。环评批复的要求基本落实，环境保护设施管理基本到位，该建设项目基本达到竣工环境保护验收条件。</w:t>
      </w:r>
      <w:bookmarkEnd w:id="641"/>
    </w:p>
    <w:p>
      <w:pPr>
        <w:ind w:firstLine="480"/>
        <w:rPr>
          <w:rFonts w:hint="default" w:ascii="Times New Roman" w:hAnsi="Times New Roman" w:cs="Times New Roman"/>
          <w:color w:val="auto"/>
        </w:rPr>
      </w:pPr>
    </w:p>
    <w:p>
      <w:pPr>
        <w:pStyle w:val="2"/>
        <w:ind w:firstLine="562"/>
        <w:rPr>
          <w:rFonts w:hint="default" w:ascii="Times New Roman" w:hAnsi="Times New Roman" w:eastAsia="仿宋_GB2312" w:cs="Times New Roman"/>
          <w:color w:val="auto"/>
          <w:sz w:val="28"/>
          <w:szCs w:val="28"/>
        </w:rPr>
      </w:pPr>
    </w:p>
    <w:p>
      <w:pPr>
        <w:ind w:firstLine="0" w:firstLineChars="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0" w:firstLineChars="0"/>
        <w:rPr>
          <w:rFonts w:hint="default" w:ascii="Times New Roman" w:hAnsi="Times New Roman" w:cs="Times New Roman"/>
          <w:color w:val="auto"/>
          <w:sz w:val="72"/>
        </w:rPr>
      </w:pPr>
    </w:p>
    <w:p>
      <w:pPr>
        <w:tabs>
          <w:tab w:val="left" w:pos="2692"/>
        </w:tabs>
        <w:ind w:firstLine="0" w:firstLineChars="0"/>
        <w:jc w:val="left"/>
        <w:rPr>
          <w:rFonts w:hint="default" w:ascii="Times New Roman" w:hAnsi="Times New Roman" w:cs="Times New Roman"/>
          <w:color w:val="auto"/>
        </w:rPr>
        <w:sectPr>
          <w:headerReference r:id="rId9" w:type="default"/>
          <w:footerReference r:id="rId10" w:type="default"/>
          <w:pgSz w:w="11906" w:h="16838"/>
          <w:pgMar w:top="1440" w:right="1080" w:bottom="1440" w:left="1080" w:header="851" w:footer="992" w:gutter="0"/>
          <w:pgNumType w:start="1"/>
          <w:cols w:space="425" w:num="1"/>
          <w:docGrid w:type="lines" w:linePitch="312" w:charSpace="0"/>
        </w:sectPr>
      </w:pPr>
    </w:p>
    <w:p>
      <w:pPr>
        <w:ind w:firstLine="482"/>
        <w:rPr>
          <w:rFonts w:hint="default" w:ascii="Times New Roman" w:hAnsi="Times New Roman" w:cs="Times New Roman"/>
          <w:color w:val="auto"/>
          <w:szCs w:val="24"/>
        </w:rPr>
      </w:pPr>
      <w:bookmarkStart w:id="642" w:name="_Toc19560"/>
      <w:bookmarkStart w:id="643" w:name="_Toc29302"/>
      <w:bookmarkStart w:id="644" w:name="_Toc15288"/>
      <w:bookmarkStart w:id="645" w:name="_Toc12169"/>
      <w:r>
        <w:rPr>
          <w:rFonts w:hint="default" w:ascii="Times New Roman" w:hAnsi="Times New Roman" w:cs="Times New Roman"/>
          <w:b/>
          <w:bCs/>
          <w:color w:val="auto"/>
        </w:rPr>
        <w:t>附件1</w:t>
      </w:r>
      <w:r>
        <w:rPr>
          <w:rFonts w:hint="default" w:ascii="Times New Roman" w:hAnsi="Times New Roman" w:cs="Times New Roman"/>
          <w:b/>
          <w:bCs/>
          <w:color w:val="auto"/>
          <w:lang w:eastAsia="zh-CN"/>
        </w:rPr>
        <w:t>：</w:t>
      </w:r>
      <w:r>
        <w:rPr>
          <w:rFonts w:hint="default" w:ascii="Times New Roman" w:hAnsi="Times New Roman" w:cs="Times New Roman"/>
          <w:b/>
          <w:bCs/>
          <w:color w:val="auto"/>
        </w:rPr>
        <w:t>建设项目工程竣工环境保护“三同时”验收登记表</w:t>
      </w:r>
      <w:bookmarkEnd w:id="642"/>
      <w:bookmarkEnd w:id="643"/>
      <w:bookmarkEnd w:id="644"/>
      <w:bookmarkEnd w:id="645"/>
    </w:p>
    <w:p>
      <w:pPr>
        <w:pStyle w:val="7"/>
        <w:bidi w:val="0"/>
        <w:rPr>
          <w:rFonts w:hint="default"/>
        </w:rPr>
      </w:pPr>
      <w:bookmarkStart w:id="646" w:name="_Toc26484"/>
      <w:bookmarkStart w:id="647" w:name="_Toc17471"/>
      <w:bookmarkStart w:id="648" w:name="_Toc12887"/>
      <w:bookmarkStart w:id="649" w:name="_Toc19523"/>
      <w:bookmarkStart w:id="650" w:name="_Toc8378"/>
      <w:r>
        <w:rPr>
          <w:rFonts w:hint="eastAsia" w:ascii="Times New Roman" w:hAnsi="Times New Roman" w:cs="Times New Roman" w:eastAsiaTheme="minorEastAsia"/>
          <w:b/>
          <w:bCs/>
          <w:color w:val="auto"/>
          <w:lang w:eastAsia="zh-CN"/>
        </w:rPr>
        <w:drawing>
          <wp:anchor distT="0" distB="0" distL="114300" distR="114300" simplePos="0" relativeHeight="294898688" behindDoc="0" locked="0" layoutInCell="1" allowOverlap="1">
            <wp:simplePos x="0" y="0"/>
            <wp:positionH relativeFrom="column">
              <wp:posOffset>2346960</wp:posOffset>
            </wp:positionH>
            <wp:positionV relativeFrom="page">
              <wp:posOffset>94615</wp:posOffset>
            </wp:positionV>
            <wp:extent cx="5445760" cy="7713980"/>
            <wp:effectExtent l="0" t="0" r="1270" b="2540"/>
            <wp:wrapNone/>
            <wp:docPr id="32" name="图片 32" descr="6df3493613c19db28f4394a42f0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df3493613c19db28f4394a42f07025"/>
                    <pic:cNvPicPr>
                      <a:picLocks noChangeAspect="1"/>
                    </pic:cNvPicPr>
                  </pic:nvPicPr>
                  <pic:blipFill>
                    <a:blip r:embed="rId18"/>
                    <a:stretch>
                      <a:fillRect/>
                    </a:stretch>
                  </pic:blipFill>
                  <pic:spPr>
                    <a:xfrm rot="16200000">
                      <a:off x="0" y="0"/>
                      <a:ext cx="5445760" cy="7713980"/>
                    </a:xfrm>
                    <a:prstGeom prst="rect">
                      <a:avLst/>
                    </a:prstGeom>
                  </pic:spPr>
                </pic:pic>
              </a:graphicData>
            </a:graphic>
          </wp:anchor>
        </w:drawing>
      </w:r>
    </w:p>
    <w:p>
      <w:pPr>
        <w:pStyle w:val="2"/>
        <w:ind w:left="0" w:leftChars="0" w:firstLine="0" w:firstLineChars="0"/>
        <w:rPr>
          <w:rFonts w:hint="eastAsia" w:eastAsiaTheme="minorEastAsia"/>
          <w:lang w:eastAsia="zh-CN"/>
        </w:rPr>
        <w:sectPr>
          <w:headerReference r:id="rId11" w:type="default"/>
          <w:footerReference r:id="rId12" w:type="default"/>
          <w:pgSz w:w="16838" w:h="11906" w:orient="landscape"/>
          <w:pgMar w:top="720" w:right="720" w:bottom="720" w:left="720" w:header="851" w:footer="992" w:gutter="0"/>
          <w:cols w:space="425" w:num="1"/>
          <w:docGrid w:type="lines" w:linePitch="312" w:charSpace="0"/>
        </w:sectPr>
      </w:pPr>
    </w:p>
    <w:p>
      <w:pPr>
        <w:pStyle w:val="2"/>
        <w:rPr>
          <w:rFonts w:hint="eastAsia"/>
          <w:lang w:eastAsia="zh-CN"/>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附件2</w:t>
      </w:r>
      <w:bookmarkEnd w:id="646"/>
      <w:r>
        <w:rPr>
          <w:rFonts w:hint="default" w:ascii="Times New Roman" w:hAnsi="Times New Roman" w:cs="Times New Roman"/>
          <w:b/>
          <w:bCs/>
          <w:color w:val="auto"/>
        </w:rPr>
        <w:t>：环评批复</w:t>
      </w:r>
      <w:bookmarkEnd w:id="647"/>
      <w:bookmarkEnd w:id="648"/>
      <w:bookmarkEnd w:id="649"/>
      <w:bookmarkEnd w:id="650"/>
    </w:p>
    <w:p>
      <w:pPr>
        <w:ind w:firstLine="480"/>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7192010"/>
            <wp:effectExtent l="0" t="0" r="2540" b="8890"/>
            <wp:docPr id="1" name="图片 1" descr="C:\Users\ADMINI~1\AppData\Local\Temp\WeChat Files\b6c629facc950aa3e17e9a9a4331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6c629facc950aa3e17e9a9a4331b3a.jpg"/>
                    <pic:cNvPicPr>
                      <a:picLocks noChangeAspect="1" noChangeArrowheads="1"/>
                    </pic:cNvPicPr>
                  </pic:nvPicPr>
                  <pic:blipFill>
                    <a:blip r:embed="rId19" cstate="email"/>
                    <a:srcRect/>
                    <a:stretch>
                      <a:fillRect/>
                    </a:stretch>
                  </pic:blipFill>
                  <pic:spPr>
                    <a:xfrm>
                      <a:off x="0" y="0"/>
                      <a:ext cx="5274310" cy="7192596"/>
                    </a:xfrm>
                    <a:prstGeom prst="rect">
                      <a:avLst/>
                    </a:prstGeom>
                    <a:noFill/>
                    <a:ln w="9525">
                      <a:noFill/>
                      <a:miter lim="800000"/>
                      <a:headEnd/>
                      <a:tailEnd/>
                    </a:ln>
                  </pic:spPr>
                </pic:pic>
              </a:graphicData>
            </a:graphic>
          </wp:inline>
        </w:drawing>
      </w:r>
    </w:p>
    <w:p>
      <w:pPr>
        <w:ind w:firstLine="0" w:firstLineChars="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ind w:left="0" w:leftChars="0" w:firstLine="0" w:firstLineChars="0"/>
        <w:jc w:val="both"/>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3675" cy="7703820"/>
            <wp:effectExtent l="0" t="0" r="3175" b="11430"/>
            <wp:docPr id="5" name="图片 5" descr="C:\Users\ADMINI~1\AppData\Local\Temp\WeChat Files\6eb15d9e6716046cfafe343546a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6eb15d9e6716046cfafe343546ae522.jpg"/>
                    <pic:cNvPicPr>
                      <a:picLocks noChangeAspect="1" noChangeArrowheads="1"/>
                    </pic:cNvPicPr>
                  </pic:nvPicPr>
                  <pic:blipFill>
                    <a:blip r:embed="rId20" cstate="email"/>
                    <a:srcRect/>
                    <a:stretch>
                      <a:fillRect/>
                    </a:stretch>
                  </pic:blipFill>
                  <pic:spPr>
                    <a:xfrm>
                      <a:off x="0" y="0"/>
                      <a:ext cx="5274310" cy="7704246"/>
                    </a:xfrm>
                    <a:prstGeom prst="rect">
                      <a:avLst/>
                    </a:prstGeom>
                    <a:noFill/>
                    <a:ln w="9525">
                      <a:noFill/>
                      <a:miter lim="800000"/>
                      <a:headEnd/>
                      <a:tailEnd/>
                    </a:ln>
                  </pic:spPr>
                </pic:pic>
              </a:graphicData>
            </a:graphic>
          </wp:inline>
        </w:drawing>
      </w:r>
      <w:r>
        <w:rPr>
          <w:rFonts w:hint="default" w:ascii="Times New Roman" w:hAnsi="Times New Roman" w:cs="Times New Roman"/>
          <w:color w:val="auto"/>
        </w:rPr>
        <w:drawing>
          <wp:inline distT="0" distB="0" distL="0" distR="0">
            <wp:extent cx="5273675" cy="7703820"/>
            <wp:effectExtent l="0" t="0" r="3175" b="11430"/>
            <wp:docPr id="12" name="图片 12" descr="C:\Users\ADMINI~1\AppData\Local\Temp\WeChat Files\6eb15d9e6716046cfafe343546a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6eb15d9e6716046cfafe343546ae522.jpg"/>
                    <pic:cNvPicPr>
                      <a:picLocks noChangeAspect="1" noChangeArrowheads="1"/>
                    </pic:cNvPicPr>
                  </pic:nvPicPr>
                  <pic:blipFill>
                    <a:blip r:embed="rId20" cstate="email"/>
                    <a:srcRect/>
                    <a:stretch>
                      <a:fillRect/>
                    </a:stretch>
                  </pic:blipFill>
                  <pic:spPr>
                    <a:xfrm>
                      <a:off x="0" y="0"/>
                      <a:ext cx="5274310" cy="7704246"/>
                    </a:xfrm>
                    <a:prstGeom prst="rect">
                      <a:avLst/>
                    </a:prstGeom>
                    <a:noFill/>
                    <a:ln w="9525">
                      <a:noFill/>
                      <a:miter lim="800000"/>
                      <a:headEnd/>
                      <a:tailEnd/>
                    </a:ln>
                  </pic:spPr>
                </pic:pic>
              </a:graphicData>
            </a:graphic>
          </wp:inline>
        </w:drawing>
      </w:r>
      <w:r>
        <w:rPr>
          <w:rFonts w:hint="default" w:ascii="Times New Roman" w:hAnsi="Times New Roman" w:cs="Times New Roman"/>
          <w:color w:val="auto"/>
        </w:rPr>
        <w:drawing>
          <wp:inline distT="0" distB="0" distL="0" distR="0">
            <wp:extent cx="5335905" cy="7314565"/>
            <wp:effectExtent l="0" t="0" r="17145" b="635"/>
            <wp:docPr id="6" name="图片 6" descr="C:\Users\ADMINI~1\AppData\Local\Temp\WeChat Files\564b7ae036fff4954753e93edb04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564b7ae036fff4954753e93edb04e4b.jpg"/>
                    <pic:cNvPicPr>
                      <a:picLocks noChangeAspect="1" noChangeArrowheads="1"/>
                    </pic:cNvPicPr>
                  </pic:nvPicPr>
                  <pic:blipFill>
                    <a:blip r:embed="rId21" cstate="email"/>
                    <a:srcRect/>
                    <a:stretch>
                      <a:fillRect/>
                    </a:stretch>
                  </pic:blipFill>
                  <pic:spPr>
                    <a:xfrm>
                      <a:off x="0" y="0"/>
                      <a:ext cx="5335905" cy="7314565"/>
                    </a:xfrm>
                    <a:prstGeom prst="rect">
                      <a:avLst/>
                    </a:prstGeom>
                    <a:noFill/>
                    <a:ln w="9525">
                      <a:noFill/>
                      <a:miter lim="800000"/>
                      <a:headEnd/>
                      <a:tailEnd/>
                    </a:ln>
                  </pic:spPr>
                </pic:pic>
              </a:graphicData>
            </a:graphic>
          </wp:inline>
        </w:drawing>
      </w: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p>
      <w:pPr>
        <w:ind w:firstLine="0" w:firstLineChars="0"/>
        <w:rPr>
          <w:rFonts w:hint="default" w:ascii="Times New Roman" w:hAnsi="Times New Roman" w:cs="Times New Roman"/>
          <w:color w:val="auto"/>
        </w:rPr>
      </w:pPr>
      <w:bookmarkStart w:id="651" w:name="_Toc21669"/>
    </w:p>
    <w:p>
      <w:pPr>
        <w:ind w:firstLine="482"/>
        <w:jc w:val="left"/>
        <w:rPr>
          <w:rFonts w:hint="default" w:ascii="Times New Roman" w:hAnsi="Times New Roman" w:cs="Times New Roman"/>
          <w:b/>
          <w:bCs/>
          <w:color w:val="auto"/>
        </w:rPr>
      </w:pPr>
      <w:bookmarkStart w:id="652" w:name="_Toc8624"/>
      <w:bookmarkStart w:id="653" w:name="_Toc6113"/>
      <w:bookmarkStart w:id="654" w:name="_Toc11374"/>
      <w:bookmarkStart w:id="655" w:name="_Toc23203"/>
      <w:r>
        <w:rPr>
          <w:rFonts w:hint="default" w:ascii="Times New Roman" w:hAnsi="Times New Roman" w:cs="Times New Roman"/>
          <w:b/>
          <w:bCs/>
          <w:color w:val="auto"/>
        </w:rPr>
        <w:t>附件3</w:t>
      </w:r>
      <w:bookmarkEnd w:id="651"/>
      <w:bookmarkEnd w:id="652"/>
      <w:bookmarkEnd w:id="653"/>
      <w:bookmarkEnd w:id="654"/>
      <w:r>
        <w:rPr>
          <w:rFonts w:hint="default" w:ascii="Times New Roman" w:hAnsi="Times New Roman" w:cs="Times New Roman"/>
          <w:b/>
          <w:bCs/>
          <w:color w:val="auto"/>
        </w:rPr>
        <w:t>：营业执照</w:t>
      </w:r>
      <w:bookmarkEnd w:id="655"/>
      <w:bookmarkStart w:id="656" w:name="_Toc13671"/>
      <w:bookmarkStart w:id="657" w:name="_Toc30475"/>
      <w:bookmarkStart w:id="658" w:name="_Toc16323"/>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4904740" cy="7665720"/>
            <wp:effectExtent l="0" t="0" r="10160"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2"/>
                    <a:stretch>
                      <a:fillRect/>
                    </a:stretch>
                  </pic:blipFill>
                  <pic:spPr>
                    <a:xfrm>
                      <a:off x="0" y="0"/>
                      <a:ext cx="4904740" cy="7665720"/>
                    </a:xfrm>
                    <a:prstGeom prst="rect">
                      <a:avLst/>
                    </a:prstGeom>
                    <a:noFill/>
                    <a:ln w="9525">
                      <a:noFill/>
                    </a:ln>
                  </pic:spPr>
                </pic:pic>
              </a:graphicData>
            </a:graphic>
          </wp:inline>
        </w:drawing>
      </w:r>
    </w:p>
    <w:p>
      <w:pPr>
        <w:pStyle w:val="2"/>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p>
      <w:pPr>
        <w:ind w:left="0" w:leftChars="0" w:firstLine="0" w:firstLineChars="0"/>
        <w:rPr>
          <w:rFonts w:hint="default" w:ascii="Times New Roman" w:hAnsi="Times New Roman" w:cs="Times New Roman"/>
          <w:b/>
          <w:bCs/>
          <w:color w:val="auto"/>
        </w:rPr>
      </w:pPr>
      <w:bookmarkStart w:id="659" w:name="_Toc28371"/>
      <w:bookmarkStart w:id="660" w:name="_Toc24668"/>
      <w:r>
        <w:rPr>
          <w:rFonts w:hint="default" w:ascii="Times New Roman" w:hAnsi="Times New Roman" w:cs="Times New Roman"/>
          <w:b/>
          <w:bCs/>
          <w:color w:val="auto"/>
        </w:rPr>
        <w:t>附件4：验收工况证明</w:t>
      </w:r>
      <w:bookmarkEnd w:id="656"/>
      <w:bookmarkEnd w:id="657"/>
      <w:bookmarkEnd w:id="658"/>
      <w:bookmarkEnd w:id="659"/>
      <w:bookmarkEnd w:id="660"/>
    </w:p>
    <w:p>
      <w:pPr>
        <w:pStyle w:val="2"/>
        <w:ind w:firstLine="883"/>
        <w:rPr>
          <w:rFonts w:hint="default" w:ascii="Times New Roman" w:hAnsi="Times New Roman" w:cs="Times New Roman"/>
          <w:bCs/>
          <w:color w:val="auto"/>
        </w:rPr>
      </w:pPr>
    </w:p>
    <w:p>
      <w:pPr>
        <w:ind w:left="0" w:leftChars="0" w:firstLine="0" w:firstLineChars="0"/>
        <w:rPr>
          <w:rFonts w:hint="default" w:ascii="Times New Roman" w:hAnsi="Times New Roman" w:cs="Times New Roman"/>
          <w:b/>
          <w:bCs/>
          <w:color w:val="auto"/>
        </w:rPr>
      </w:pPr>
      <w:bookmarkStart w:id="661" w:name="_Toc8398"/>
      <w:bookmarkStart w:id="662" w:name="_Toc16585"/>
      <w:bookmarkStart w:id="663" w:name="_Toc30178"/>
      <w:bookmarkStart w:id="664" w:name="_Toc8900"/>
      <w:bookmarkStart w:id="665" w:name="_Toc30136"/>
      <w:r>
        <w:rPr>
          <w:rFonts w:hint="default" w:ascii="Times New Roman" w:hAnsi="Times New Roman" w:cs="Times New Roman"/>
          <w:b/>
          <w:bCs/>
          <w:color w:val="auto"/>
        </w:rPr>
        <w:drawing>
          <wp:inline distT="0" distB="0" distL="114300" distR="114300">
            <wp:extent cx="5266055" cy="7498080"/>
            <wp:effectExtent l="0" t="0" r="10795" b="7620"/>
            <wp:docPr id="30" name="图片 30" descr="ebbca4b8cd768734626b45a2c869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bbca4b8cd768734626b45a2c8694e6"/>
                    <pic:cNvPicPr>
                      <a:picLocks noChangeAspect="1"/>
                    </pic:cNvPicPr>
                  </pic:nvPicPr>
                  <pic:blipFill>
                    <a:blip r:embed="rId23"/>
                    <a:stretch>
                      <a:fillRect/>
                    </a:stretch>
                  </pic:blipFill>
                  <pic:spPr>
                    <a:xfrm>
                      <a:off x="0" y="0"/>
                      <a:ext cx="5266055" cy="7498080"/>
                    </a:xfrm>
                    <a:prstGeom prst="rect">
                      <a:avLst/>
                    </a:prstGeom>
                  </pic:spPr>
                </pic:pic>
              </a:graphicData>
            </a:graphic>
          </wp:inline>
        </w:drawing>
      </w:r>
    </w:p>
    <w:p>
      <w:pPr>
        <w:ind w:left="0" w:leftChars="0" w:firstLine="0" w:firstLineChars="0"/>
        <w:rPr>
          <w:rFonts w:hint="default" w:ascii="Times New Roman" w:hAnsi="Times New Roman" w:cs="Times New Roman"/>
          <w:b/>
          <w:bCs/>
          <w:color w:val="auto"/>
        </w:rPr>
      </w:pPr>
    </w:p>
    <w:p>
      <w:pPr>
        <w:ind w:left="0" w:leftChars="0" w:firstLine="0" w:firstLineChars="0"/>
        <w:rPr>
          <w:rFonts w:hint="default" w:ascii="Times New Roman" w:hAnsi="Times New Roman" w:cs="Times New Roman"/>
          <w:b/>
          <w:bCs/>
          <w:color w:val="auto"/>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附件5</w:t>
      </w:r>
      <w:bookmarkEnd w:id="661"/>
      <w:bookmarkStart w:id="666" w:name="_Toc4207"/>
      <w:bookmarkStart w:id="667" w:name="_Toc23410"/>
      <w:bookmarkStart w:id="668" w:name="_Toc10071"/>
      <w:r>
        <w:rPr>
          <w:rFonts w:hint="default" w:ascii="Times New Roman" w:hAnsi="Times New Roman" w:cs="Times New Roman"/>
          <w:b/>
          <w:bCs/>
          <w:color w:val="auto"/>
        </w:rPr>
        <w:t>：危废委托处置合同及相关资质</w:t>
      </w:r>
      <w:bookmarkEnd w:id="662"/>
      <w:bookmarkEnd w:id="666"/>
      <w:bookmarkEnd w:id="667"/>
      <w:bookmarkEnd w:id="668"/>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69230" cy="7595870"/>
            <wp:effectExtent l="0" t="0" r="7620" b="5080"/>
            <wp:docPr id="4" name="图片 4" descr="4de3ded6184cc872c7d3e3f957ca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de3ded6184cc872c7d3e3f957ca7f2"/>
                    <pic:cNvPicPr>
                      <a:picLocks noChangeAspect="1"/>
                    </pic:cNvPicPr>
                  </pic:nvPicPr>
                  <pic:blipFill>
                    <a:blip r:embed="rId24"/>
                    <a:stretch>
                      <a:fillRect/>
                    </a:stretch>
                  </pic:blipFill>
                  <pic:spPr>
                    <a:xfrm>
                      <a:off x="0" y="0"/>
                      <a:ext cx="5269230" cy="7595870"/>
                    </a:xfrm>
                    <a:prstGeom prst="rect">
                      <a:avLst/>
                    </a:prstGeom>
                  </pic:spPr>
                </pic:pic>
              </a:graphicData>
            </a:graphic>
          </wp:inline>
        </w:drawing>
      </w:r>
      <w:bookmarkStart w:id="677" w:name="_GoBack"/>
      <w:bookmarkEnd w:id="677"/>
    </w:p>
    <w:p>
      <w:pPr>
        <w:ind w:left="0" w:leftChars="0" w:firstLine="0" w:firstLineChars="0"/>
        <w:rPr>
          <w:rFonts w:hint="default" w:ascii="Times New Roman" w:hAnsi="Times New Roman" w:cs="Times New Roman"/>
          <w:b/>
          <w:bCs/>
          <w:color w:val="auto"/>
        </w:rPr>
      </w:pPr>
    </w:p>
    <w:p>
      <w:pPr>
        <w:pStyle w:val="2"/>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028565" cy="7627620"/>
            <wp:effectExtent l="0" t="0" r="635" b="11430"/>
            <wp:docPr id="18" name="图片 18" descr="14a4c32aef289882195b2fd9367e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a4c32aef289882195b2fd9367ec6c"/>
                    <pic:cNvPicPr>
                      <a:picLocks noChangeAspect="1"/>
                    </pic:cNvPicPr>
                  </pic:nvPicPr>
                  <pic:blipFill>
                    <a:blip r:embed="rId25"/>
                    <a:stretch>
                      <a:fillRect/>
                    </a:stretch>
                  </pic:blipFill>
                  <pic:spPr>
                    <a:xfrm>
                      <a:off x="0" y="0"/>
                      <a:ext cx="5028565" cy="7627620"/>
                    </a:xfrm>
                    <a:prstGeom prst="rect">
                      <a:avLst/>
                    </a:prstGeom>
                  </pic:spPr>
                </pic:pic>
              </a:graphicData>
            </a:graphic>
          </wp:inline>
        </w:drawing>
      </w:r>
    </w:p>
    <w:p>
      <w:pPr>
        <w:rPr>
          <w:rFonts w:hint="default" w:ascii="Times New Roman" w:hAnsi="Times New Roman" w:cs="Times New Roman"/>
          <w:color w:val="auto"/>
          <w:lang w:eastAsia="zh-CN"/>
        </w:rPr>
      </w:pPr>
    </w:p>
    <w:p>
      <w:pPr>
        <w:ind w:left="0" w:leftChars="0" w:firstLine="0" w:firstLineChars="0"/>
        <w:rPr>
          <w:rFonts w:hint="default" w:ascii="Times New Roman" w:hAnsi="Times New Roman" w:cs="Times New Roman"/>
          <w:color w:val="auto"/>
          <w:lang w:eastAsia="zh-CN"/>
        </w:rPr>
      </w:pPr>
    </w:p>
    <w:p>
      <w:pPr>
        <w:pStyle w:val="2"/>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266690" cy="8261985"/>
            <wp:effectExtent l="0" t="0" r="10160" b="5715"/>
            <wp:docPr id="19" name="图片 19" descr="d0ff7c1026b6b0b1ffa4c669a7f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0ff7c1026b6b0b1ffa4c669a7f7093"/>
                    <pic:cNvPicPr>
                      <a:picLocks noChangeAspect="1"/>
                    </pic:cNvPicPr>
                  </pic:nvPicPr>
                  <pic:blipFill>
                    <a:blip r:embed="rId26"/>
                    <a:stretch>
                      <a:fillRect/>
                    </a:stretch>
                  </pic:blipFill>
                  <pic:spPr>
                    <a:xfrm>
                      <a:off x="0" y="0"/>
                      <a:ext cx="5266690" cy="8261985"/>
                    </a:xfrm>
                    <a:prstGeom prst="rect">
                      <a:avLst/>
                    </a:prstGeom>
                  </pic:spPr>
                </pic:pic>
              </a:graphicData>
            </a:graphic>
          </wp:inline>
        </w:drawing>
      </w:r>
    </w:p>
    <w:p>
      <w:pPr>
        <w:rPr>
          <w:rFonts w:hint="default" w:ascii="Times New Roman" w:hAnsi="Times New Roman" w:cs="Times New Roman"/>
          <w:color w:val="auto"/>
          <w:lang w:eastAsia="zh-CN"/>
        </w:rPr>
      </w:pPr>
    </w:p>
    <w:p>
      <w:pPr>
        <w:ind w:left="0" w:leftChars="0" w:firstLine="0" w:firstLineChars="0"/>
        <w:rPr>
          <w:rFonts w:hint="default"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lang w:eastAsia="zh-CN"/>
        </w:rPr>
        <w:drawing>
          <wp:inline distT="0" distB="0" distL="114300" distR="114300">
            <wp:extent cx="5066030" cy="8117840"/>
            <wp:effectExtent l="0" t="0" r="1270" b="16510"/>
            <wp:docPr id="33" name="图片 33" descr="be2a4f556f352fa588dba9a4b200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e2a4f556f352fa588dba9a4b200e15"/>
                    <pic:cNvPicPr>
                      <a:picLocks noChangeAspect="1"/>
                    </pic:cNvPicPr>
                  </pic:nvPicPr>
                  <pic:blipFill>
                    <a:blip r:embed="rId27"/>
                    <a:stretch>
                      <a:fillRect/>
                    </a:stretch>
                  </pic:blipFill>
                  <pic:spPr>
                    <a:xfrm>
                      <a:off x="0" y="0"/>
                      <a:ext cx="5066030" cy="8117840"/>
                    </a:xfrm>
                    <a:prstGeom prst="rect">
                      <a:avLst/>
                    </a:prstGeom>
                  </pic:spPr>
                </pic:pic>
              </a:graphicData>
            </a:graphic>
          </wp:inline>
        </w:drawing>
      </w:r>
    </w:p>
    <w:p>
      <w:pPr>
        <w:ind w:left="0" w:leftChars="0" w:firstLine="0" w:firstLineChars="0"/>
        <w:rPr>
          <w:rFonts w:hint="default" w:ascii="Times New Roman" w:hAnsi="Times New Roman" w:cs="Times New Roman"/>
          <w:color w:val="auto"/>
          <w:lang w:eastAsia="zh-CN"/>
        </w:rPr>
      </w:pPr>
      <w:bookmarkStart w:id="669" w:name="_Toc7513"/>
      <w:r>
        <w:rPr>
          <w:rFonts w:hint="default" w:ascii="Times New Roman" w:hAnsi="Times New Roman" w:cs="Times New Roman"/>
          <w:color w:val="auto"/>
          <w:lang w:eastAsia="zh-CN"/>
        </w:rPr>
        <w:drawing>
          <wp:inline distT="0" distB="0" distL="114300" distR="114300">
            <wp:extent cx="5266690" cy="8213725"/>
            <wp:effectExtent l="0" t="0" r="10160" b="15875"/>
            <wp:docPr id="36" name="图片 36" descr="508e7da57bd7f24a1c49e6e92e0f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08e7da57bd7f24a1c49e6e92e0ffdc"/>
                    <pic:cNvPicPr>
                      <a:picLocks noChangeAspect="1"/>
                    </pic:cNvPicPr>
                  </pic:nvPicPr>
                  <pic:blipFill>
                    <a:blip r:embed="rId28"/>
                    <a:stretch>
                      <a:fillRect/>
                    </a:stretch>
                  </pic:blipFill>
                  <pic:spPr>
                    <a:xfrm>
                      <a:off x="0" y="0"/>
                      <a:ext cx="5266690" cy="8213725"/>
                    </a:xfrm>
                    <a:prstGeom prst="rect">
                      <a:avLst/>
                    </a:prstGeom>
                  </pic:spPr>
                </pic:pic>
              </a:graphicData>
            </a:graphic>
          </wp:inline>
        </w:drawing>
      </w:r>
    </w:p>
    <w:p>
      <w:pPr>
        <w:ind w:left="0" w:leftChars="0" w:firstLine="0" w:firstLineChars="0"/>
        <w:rPr>
          <w:rFonts w:hint="default" w:ascii="Times New Roman" w:hAnsi="Times New Roman" w:cs="Times New Roman"/>
          <w:color w:val="auto"/>
          <w:lang w:eastAsia="zh-CN"/>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附件6</w:t>
      </w:r>
      <w:r>
        <w:rPr>
          <w:rFonts w:hint="default" w:ascii="Times New Roman" w:hAnsi="Times New Roman" w:cs="Times New Roman"/>
          <w:b/>
          <w:bCs/>
          <w:color w:val="auto"/>
          <w:lang w:eastAsia="zh-CN"/>
        </w:rPr>
        <w:t>：</w:t>
      </w:r>
      <w:r>
        <w:rPr>
          <w:rFonts w:hint="default" w:ascii="Times New Roman" w:hAnsi="Times New Roman" w:cs="Times New Roman"/>
          <w:b/>
          <w:bCs/>
          <w:color w:val="auto"/>
        </w:rPr>
        <w:t>检测报告</w:t>
      </w:r>
      <w:bookmarkEnd w:id="669"/>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eastAsia="zh-CN"/>
        </w:rPr>
        <w:drawing>
          <wp:inline distT="0" distB="0" distL="114300" distR="114300">
            <wp:extent cx="5266690" cy="7628890"/>
            <wp:effectExtent l="0" t="0" r="10160" b="10160"/>
            <wp:docPr id="15" name="图片 15" descr="9d2dc76b49d82fad8dc6ddf25ec5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d2dc76b49d82fad8dc6ddf25ec516a"/>
                    <pic:cNvPicPr>
                      <a:picLocks noChangeAspect="1"/>
                    </pic:cNvPicPr>
                  </pic:nvPicPr>
                  <pic:blipFill>
                    <a:blip r:embed="rId29"/>
                    <a:stretch>
                      <a:fillRect/>
                    </a:stretch>
                  </pic:blipFill>
                  <pic:spPr>
                    <a:xfrm>
                      <a:off x="0" y="0"/>
                      <a:ext cx="5266690" cy="7628890"/>
                    </a:xfrm>
                    <a:prstGeom prst="rect">
                      <a:avLst/>
                    </a:prstGeom>
                  </pic:spPr>
                </pic:pic>
              </a:graphicData>
            </a:graphic>
          </wp:inline>
        </w:drawing>
      </w:r>
    </w:p>
    <w:p>
      <w:pPr>
        <w:ind w:firstLine="480"/>
        <w:rPr>
          <w:rFonts w:hint="default" w:ascii="Times New Roman" w:hAnsi="Times New Roman" w:cs="Times New Roman"/>
          <w:color w:val="auto"/>
        </w:rPr>
      </w:pPr>
    </w:p>
    <w:p>
      <w:pPr>
        <w:pStyle w:val="2"/>
        <w:spacing w:line="240" w:lineRule="atLeast"/>
        <w:ind w:firstLine="0" w:firstLineChars="0"/>
        <w:rPr>
          <w:rFonts w:hint="default" w:ascii="Times New Roman" w:hAnsi="Times New Roman" w:cs="Times New Roman"/>
          <w:color w:val="auto"/>
          <w:sz w:val="32"/>
          <w:szCs w:val="32"/>
        </w:rPr>
      </w:pPr>
      <w:r>
        <w:rPr>
          <w:rFonts w:hint="default" w:ascii="Times New Roman" w:hAnsi="Times New Roman" w:cs="Times New Roman"/>
          <w:color w:val="auto"/>
          <w:lang w:eastAsia="zh-CN"/>
        </w:rPr>
        <w:drawing>
          <wp:inline distT="0" distB="0" distL="114300" distR="114300">
            <wp:extent cx="5266690" cy="7847965"/>
            <wp:effectExtent l="0" t="0" r="10160" b="635"/>
            <wp:docPr id="42" name="图片 42" descr="微信图片_2019032516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90325161652"/>
                    <pic:cNvPicPr>
                      <a:picLocks noChangeAspect="1"/>
                    </pic:cNvPicPr>
                  </pic:nvPicPr>
                  <pic:blipFill>
                    <a:blip r:embed="rId30"/>
                    <a:stretch>
                      <a:fillRect/>
                    </a:stretch>
                  </pic:blipFill>
                  <pic:spPr>
                    <a:xfrm>
                      <a:off x="0" y="0"/>
                      <a:ext cx="5266690" cy="7847965"/>
                    </a:xfrm>
                    <a:prstGeom prst="rect">
                      <a:avLst/>
                    </a:prstGeom>
                  </pic:spPr>
                </pic:pic>
              </a:graphicData>
            </a:graphic>
          </wp:inline>
        </w:drawing>
      </w:r>
    </w:p>
    <w:p>
      <w:pPr>
        <w:ind w:firstLine="0" w:firstLineChars="0"/>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eastAsia="zh-CN"/>
        </w:rPr>
        <w:drawing>
          <wp:inline distT="0" distB="0" distL="114300" distR="114300">
            <wp:extent cx="5266690" cy="8124825"/>
            <wp:effectExtent l="0" t="0" r="10160" b="9525"/>
            <wp:docPr id="43" name="图片 43" descr="56a5a593027cfef669a21fb10721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6a5a593027cfef669a21fb107217ff"/>
                    <pic:cNvPicPr>
                      <a:picLocks noChangeAspect="1"/>
                    </pic:cNvPicPr>
                  </pic:nvPicPr>
                  <pic:blipFill>
                    <a:blip r:embed="rId31"/>
                    <a:stretch>
                      <a:fillRect/>
                    </a:stretch>
                  </pic:blipFill>
                  <pic:spPr>
                    <a:xfrm>
                      <a:off x="0" y="0"/>
                      <a:ext cx="5266690" cy="8124825"/>
                    </a:xfrm>
                    <a:prstGeom prst="rect">
                      <a:avLst/>
                    </a:prstGeom>
                  </pic:spPr>
                </pic:pic>
              </a:graphicData>
            </a:graphic>
          </wp:inline>
        </w:drawing>
      </w:r>
    </w:p>
    <w:p>
      <w:pPr>
        <w:pStyle w:val="2"/>
        <w:ind w:left="0" w:leftChars="0" w:firstLine="0" w:firstLineChars="0"/>
        <w:rPr>
          <w:rFonts w:hint="default" w:ascii="Times New Roman" w:hAnsi="Times New Roman" w:cs="Times New Roman"/>
          <w:b w:val="0"/>
          <w:bCs/>
          <w:color w:val="auto"/>
          <w:kern w:val="2"/>
          <w:sz w:val="28"/>
          <w:szCs w:val="28"/>
          <w:lang w:val="en-US" w:eastAsia="zh-CN"/>
        </w:rPr>
      </w:pPr>
    </w:p>
    <w:p>
      <w:pPr>
        <w:ind w:left="0" w:leftChars="0" w:firstLine="0" w:firstLineChars="0"/>
        <w:rPr>
          <w:rFonts w:hint="default" w:ascii="Times New Roman" w:hAnsi="Times New Roman" w:cs="Times New Roman"/>
          <w:b w:val="0"/>
          <w:bCs/>
          <w:color w:val="auto"/>
          <w:kern w:val="2"/>
          <w:sz w:val="28"/>
          <w:szCs w:val="28"/>
          <w:lang w:val="en-US" w:eastAsia="zh-CN"/>
        </w:rPr>
      </w:pPr>
      <w:r>
        <w:rPr>
          <w:rFonts w:hint="default" w:ascii="Times New Roman" w:hAnsi="Times New Roman" w:cs="Times New Roman"/>
          <w:color w:val="auto"/>
          <w:sz w:val="32"/>
          <w:szCs w:val="32"/>
          <w:lang w:eastAsia="zh-CN"/>
        </w:rPr>
        <w:drawing>
          <wp:inline distT="0" distB="0" distL="114300" distR="114300">
            <wp:extent cx="5266690" cy="7917180"/>
            <wp:effectExtent l="0" t="0" r="10160" b="7620"/>
            <wp:docPr id="44" name="图片 44" descr="8b48f0a57c1ce5f9e5278ad9e946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b48f0a57c1ce5f9e5278ad9e94685f"/>
                    <pic:cNvPicPr>
                      <a:picLocks noChangeAspect="1"/>
                    </pic:cNvPicPr>
                  </pic:nvPicPr>
                  <pic:blipFill>
                    <a:blip r:embed="rId32"/>
                    <a:stretch>
                      <a:fillRect/>
                    </a:stretch>
                  </pic:blipFill>
                  <pic:spPr>
                    <a:xfrm>
                      <a:off x="0" y="0"/>
                      <a:ext cx="5266690" cy="7917180"/>
                    </a:xfrm>
                    <a:prstGeom prst="rect">
                      <a:avLst/>
                    </a:prstGeom>
                  </pic:spPr>
                </pic:pic>
              </a:graphicData>
            </a:graphic>
          </wp:inline>
        </w:drawing>
      </w:r>
    </w:p>
    <w:p>
      <w:pPr>
        <w:pStyle w:val="2"/>
        <w:rPr>
          <w:rFonts w:hint="default" w:ascii="Times New Roman" w:hAnsi="Times New Roman" w:cs="Times New Roman"/>
          <w:color w:val="auto"/>
          <w:lang w:val="en-US" w:eastAsia="zh-CN"/>
        </w:rPr>
      </w:pPr>
    </w:p>
    <w:p>
      <w:pPr>
        <w:ind w:firstLine="480"/>
        <w:rPr>
          <w:rFonts w:hint="default" w:ascii="Times New Roman" w:hAnsi="Times New Roman" w:cs="Times New Roman"/>
          <w:color w:val="auto"/>
        </w:rPr>
      </w:pPr>
    </w:p>
    <w:p>
      <w:pPr>
        <w:ind w:firstLine="0" w:firstLineChars="0"/>
        <w:rPr>
          <w:rFonts w:hint="default" w:ascii="Times New Roman" w:hAnsi="Times New Roman" w:cs="Times New Roman"/>
          <w:color w:val="auto"/>
        </w:rPr>
      </w:pPr>
      <w:r>
        <w:rPr>
          <w:rFonts w:hint="default" w:ascii="Times New Roman" w:hAnsi="Times New Roman" w:cs="Times New Roman"/>
          <w:color w:val="auto"/>
          <w:lang w:eastAsia="zh-CN"/>
        </w:rPr>
        <w:drawing>
          <wp:inline distT="0" distB="0" distL="114300" distR="114300">
            <wp:extent cx="5266690" cy="8065770"/>
            <wp:effectExtent l="0" t="0" r="10160" b="11430"/>
            <wp:docPr id="46" name="图片 46" descr="微信图片_2019032516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190325161926"/>
                    <pic:cNvPicPr>
                      <a:picLocks noChangeAspect="1"/>
                    </pic:cNvPicPr>
                  </pic:nvPicPr>
                  <pic:blipFill>
                    <a:blip r:embed="rId33"/>
                    <a:stretch>
                      <a:fillRect/>
                    </a:stretch>
                  </pic:blipFill>
                  <pic:spPr>
                    <a:xfrm>
                      <a:off x="0" y="0"/>
                      <a:ext cx="5266690" cy="8065770"/>
                    </a:xfrm>
                    <a:prstGeom prst="rect">
                      <a:avLst/>
                    </a:prstGeom>
                  </pic:spPr>
                </pic:pic>
              </a:graphicData>
            </a:graphic>
          </wp:inline>
        </w:drawing>
      </w:r>
    </w:p>
    <w:p>
      <w:pPr>
        <w:ind w:firstLine="48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eastAsiaTheme="minorEastAsia"/>
          <w:b w:val="0"/>
          <w:bCs/>
          <w:color w:val="auto"/>
          <w:kern w:val="2"/>
          <w:sz w:val="28"/>
          <w:szCs w:val="28"/>
          <w:lang w:val="en-US" w:eastAsia="zh-CN" w:bidi="ar-SA"/>
        </w:rPr>
        <w:drawing>
          <wp:inline distT="0" distB="0" distL="114300" distR="114300">
            <wp:extent cx="5266690" cy="7800340"/>
            <wp:effectExtent l="0" t="0" r="10160" b="10160"/>
            <wp:docPr id="47" name="图片 47" descr="e0984948b3007e8bbc9da56ea652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0984948b3007e8bbc9da56ea652eb7"/>
                    <pic:cNvPicPr>
                      <a:picLocks noChangeAspect="1"/>
                    </pic:cNvPicPr>
                  </pic:nvPicPr>
                  <pic:blipFill>
                    <a:blip r:embed="rId34"/>
                    <a:stretch>
                      <a:fillRect/>
                    </a:stretch>
                  </pic:blipFill>
                  <pic:spPr>
                    <a:xfrm>
                      <a:off x="0" y="0"/>
                      <a:ext cx="5266690" cy="7800340"/>
                    </a:xfrm>
                    <a:prstGeom prst="rect">
                      <a:avLst/>
                    </a:prstGeom>
                  </pic:spPr>
                </pic:pic>
              </a:graphicData>
            </a:graphic>
          </wp:inline>
        </w:drawing>
      </w:r>
    </w:p>
    <w:p>
      <w:pPr>
        <w:ind w:firstLine="0" w:firstLineChars="0"/>
        <w:rPr>
          <w:rFonts w:hint="default" w:ascii="Times New Roman" w:hAnsi="Times New Roman" w:cs="Times New Roman"/>
          <w:color w:val="auto"/>
        </w:rPr>
      </w:pPr>
    </w:p>
    <w:p>
      <w:pPr>
        <w:widowControl/>
        <w:ind w:firstLine="0" w:firstLineChars="0"/>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bookmarkEnd w:id="663"/>
    <w:bookmarkEnd w:id="664"/>
    <w:bookmarkEnd w:id="665"/>
    <w:p>
      <w:pPr>
        <w:pStyle w:val="2"/>
        <w:spacing w:line="240" w:lineRule="atLeast"/>
        <w:ind w:firstLine="0" w:firstLineChars="0"/>
        <w:rPr>
          <w:rFonts w:hint="default" w:ascii="Times New Roman" w:hAnsi="Times New Roman" w:cs="Times New Roman"/>
          <w:color w:val="auto"/>
        </w:rPr>
      </w:pPr>
      <w:bookmarkStart w:id="670" w:name="_Toc24488"/>
      <w:r>
        <w:rPr>
          <w:rFonts w:hint="default" w:ascii="Times New Roman" w:hAnsi="Times New Roman" w:cs="Times New Roman"/>
          <w:color w:val="auto"/>
          <w:lang w:eastAsia="zh-CN"/>
        </w:rPr>
        <w:drawing>
          <wp:inline distT="0" distB="0" distL="114300" distR="114300">
            <wp:extent cx="5266690" cy="8017510"/>
            <wp:effectExtent l="0" t="0" r="6350" b="13970"/>
            <wp:docPr id="48" name="图片 48" descr="5f89d93e500ee58e5f070e8ffb16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f89d93e500ee58e5f070e8ffb1670c"/>
                    <pic:cNvPicPr>
                      <a:picLocks noChangeAspect="1"/>
                    </pic:cNvPicPr>
                  </pic:nvPicPr>
                  <pic:blipFill>
                    <a:blip r:embed="rId35"/>
                    <a:stretch>
                      <a:fillRect/>
                    </a:stretch>
                  </pic:blipFill>
                  <pic:spPr>
                    <a:xfrm>
                      <a:off x="0" y="0"/>
                      <a:ext cx="5266690" cy="8017510"/>
                    </a:xfrm>
                    <a:prstGeom prst="rect">
                      <a:avLst/>
                    </a:prstGeom>
                  </pic:spPr>
                </pic:pic>
              </a:graphicData>
            </a:graphic>
          </wp:inline>
        </w:drawing>
      </w:r>
    </w:p>
    <w:p>
      <w:pPr>
        <w:ind w:firstLine="48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eastAsia="zh-CN"/>
        </w:rPr>
        <w:drawing>
          <wp:inline distT="0" distB="0" distL="114300" distR="114300">
            <wp:extent cx="5266690" cy="8006715"/>
            <wp:effectExtent l="0" t="0" r="10160" b="13335"/>
            <wp:docPr id="49" name="图片 49" descr="af733e6233620d48682b1b9c7139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f733e6233620d48682b1b9c7139d7d"/>
                    <pic:cNvPicPr>
                      <a:picLocks noChangeAspect="1"/>
                    </pic:cNvPicPr>
                  </pic:nvPicPr>
                  <pic:blipFill>
                    <a:blip r:embed="rId36"/>
                    <a:stretch>
                      <a:fillRect/>
                    </a:stretch>
                  </pic:blipFill>
                  <pic:spPr>
                    <a:xfrm>
                      <a:off x="0" y="0"/>
                      <a:ext cx="5266690" cy="8006715"/>
                    </a:xfrm>
                    <a:prstGeom prst="rect">
                      <a:avLst/>
                    </a:prstGeom>
                  </pic:spPr>
                </pic:pic>
              </a:graphicData>
            </a:graphic>
          </wp:inline>
        </w:drawing>
      </w:r>
    </w:p>
    <w:p>
      <w:pPr>
        <w:ind w:firstLine="48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eastAsia="zh-CN"/>
        </w:rPr>
        <w:drawing>
          <wp:inline distT="0" distB="0" distL="114300" distR="114300">
            <wp:extent cx="5266690" cy="7624445"/>
            <wp:effectExtent l="0" t="0" r="10160" b="14605"/>
            <wp:docPr id="50" name="图片 50" descr="4d10c6bea88f168586ef0647aec2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d10c6bea88f168586ef0647aec283f"/>
                    <pic:cNvPicPr>
                      <a:picLocks noChangeAspect="1"/>
                    </pic:cNvPicPr>
                  </pic:nvPicPr>
                  <pic:blipFill>
                    <a:blip r:embed="rId37"/>
                    <a:stretch>
                      <a:fillRect/>
                    </a:stretch>
                  </pic:blipFill>
                  <pic:spPr>
                    <a:xfrm>
                      <a:off x="0" y="0"/>
                      <a:ext cx="5266690" cy="7624445"/>
                    </a:xfrm>
                    <a:prstGeom prst="rect">
                      <a:avLst/>
                    </a:prstGeom>
                  </pic:spPr>
                </pic:pic>
              </a:graphicData>
            </a:graphic>
          </wp:inline>
        </w:drawing>
      </w:r>
    </w:p>
    <w:p>
      <w:pPr>
        <w:ind w:firstLine="480"/>
        <w:rPr>
          <w:rFonts w:hint="default" w:ascii="Times New Roman" w:hAnsi="Times New Roman" w:cs="Times New Roman"/>
          <w:color w:val="auto"/>
        </w:rPr>
      </w:pPr>
    </w:p>
    <w:p>
      <w:pPr>
        <w:pStyle w:val="2"/>
        <w:ind w:firstLine="883"/>
        <w:rPr>
          <w:rFonts w:hint="default" w:ascii="Times New Roman" w:hAnsi="Times New Roman" w:cs="Times New Roman"/>
          <w:color w:val="auto"/>
        </w:rPr>
      </w:pPr>
    </w:p>
    <w:p>
      <w:pPr>
        <w:ind w:firstLine="480"/>
        <w:rPr>
          <w:rFonts w:hint="default" w:ascii="Times New Roman" w:hAnsi="Times New Roman" w:cs="Times New Roman"/>
          <w:color w:val="auto"/>
        </w:rPr>
      </w:pPr>
    </w:p>
    <w:p>
      <w:pPr>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266690" cy="7987030"/>
            <wp:effectExtent l="0" t="0" r="10160" b="13970"/>
            <wp:docPr id="51" name="图片 51" descr="0855d104b84f5c80671b3c4149b9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855d104b84f5c80671b3c4149b90d4"/>
                    <pic:cNvPicPr>
                      <a:picLocks noChangeAspect="1"/>
                    </pic:cNvPicPr>
                  </pic:nvPicPr>
                  <pic:blipFill>
                    <a:blip r:embed="rId38"/>
                    <a:stretch>
                      <a:fillRect/>
                    </a:stretch>
                  </pic:blipFill>
                  <pic:spPr>
                    <a:xfrm>
                      <a:off x="0" y="0"/>
                      <a:ext cx="5266690" cy="7987030"/>
                    </a:xfrm>
                    <a:prstGeom prst="rect">
                      <a:avLst/>
                    </a:prstGeom>
                  </pic:spPr>
                </pic:pic>
              </a:graphicData>
            </a:graphic>
          </wp:inline>
        </w:drawing>
      </w:r>
    </w:p>
    <w:p>
      <w:pPr>
        <w:ind w:firstLine="482"/>
        <w:rPr>
          <w:rFonts w:hint="default" w:ascii="Times New Roman" w:hAnsi="Times New Roman" w:cs="Times New Roman"/>
          <w:color w:val="auto"/>
          <w:lang w:eastAsia="zh-CN"/>
        </w:rPr>
      </w:pPr>
    </w:p>
    <w:p>
      <w:pPr>
        <w:ind w:firstLine="482"/>
        <w:rPr>
          <w:rFonts w:hint="default" w:ascii="Times New Roman" w:hAnsi="Times New Roman" w:cs="Times New Roman"/>
          <w:color w:val="auto"/>
          <w:lang w:eastAsia="zh-CN"/>
        </w:rPr>
      </w:pPr>
    </w:p>
    <w:p>
      <w:pPr>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205095" cy="7948930"/>
            <wp:effectExtent l="0" t="0" r="14605" b="13970"/>
            <wp:docPr id="52" name="图片 52" descr="0367d74fdcae5a332cee5ace43ae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367d74fdcae5a332cee5ace43ae65e"/>
                    <pic:cNvPicPr>
                      <a:picLocks noChangeAspect="1"/>
                    </pic:cNvPicPr>
                  </pic:nvPicPr>
                  <pic:blipFill>
                    <a:blip r:embed="rId39"/>
                    <a:srcRect r="1170" b="1295"/>
                    <a:stretch>
                      <a:fillRect/>
                    </a:stretch>
                  </pic:blipFill>
                  <pic:spPr>
                    <a:xfrm>
                      <a:off x="0" y="0"/>
                      <a:ext cx="5205095" cy="7948930"/>
                    </a:xfrm>
                    <a:prstGeom prst="rect">
                      <a:avLst/>
                    </a:prstGeom>
                  </pic:spPr>
                </pic:pic>
              </a:graphicData>
            </a:graphic>
          </wp:inline>
        </w:drawing>
      </w:r>
    </w:p>
    <w:p>
      <w:pPr>
        <w:ind w:firstLine="482"/>
        <w:rPr>
          <w:rFonts w:hint="default" w:ascii="Times New Roman" w:hAnsi="Times New Roman" w:cs="Times New Roman"/>
          <w:color w:val="auto"/>
          <w:lang w:eastAsia="zh-CN"/>
        </w:rPr>
      </w:pPr>
    </w:p>
    <w:p>
      <w:pPr>
        <w:ind w:firstLine="482"/>
        <w:rPr>
          <w:rFonts w:hint="default" w:ascii="Times New Roman" w:hAnsi="Times New Roman" w:cs="Times New Roman"/>
          <w:b/>
          <w:bCs/>
          <w:color w:val="auto"/>
        </w:rPr>
      </w:pPr>
    </w:p>
    <w:p>
      <w:pPr>
        <w:ind w:firstLine="482"/>
        <w:rPr>
          <w:rFonts w:hint="default" w:ascii="Times New Roman" w:hAnsi="Times New Roman" w:cs="Times New Roman"/>
          <w:b/>
          <w:bCs/>
          <w:color w:val="auto"/>
        </w:rPr>
      </w:pPr>
    </w:p>
    <w:p>
      <w:pPr>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266690" cy="8001635"/>
            <wp:effectExtent l="0" t="0" r="10160" b="18415"/>
            <wp:docPr id="53" name="图片 53" descr="00b3f5c8bef48bcfe422a6d2ebd4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b3f5c8bef48bcfe422a6d2ebd4b27"/>
                    <pic:cNvPicPr>
                      <a:picLocks noChangeAspect="1"/>
                    </pic:cNvPicPr>
                  </pic:nvPicPr>
                  <pic:blipFill>
                    <a:blip r:embed="rId40"/>
                    <a:stretch>
                      <a:fillRect/>
                    </a:stretch>
                  </pic:blipFill>
                  <pic:spPr>
                    <a:xfrm>
                      <a:off x="0" y="0"/>
                      <a:ext cx="5266690" cy="8001635"/>
                    </a:xfrm>
                    <a:prstGeom prst="rect">
                      <a:avLst/>
                    </a:prstGeom>
                  </pic:spPr>
                </pic:pic>
              </a:graphicData>
            </a:graphic>
          </wp:inline>
        </w:drawing>
      </w:r>
    </w:p>
    <w:p>
      <w:pPr>
        <w:ind w:left="0" w:leftChars="0" w:firstLine="0" w:firstLineChars="0"/>
        <w:rPr>
          <w:rFonts w:hint="default" w:ascii="Times New Roman" w:hAnsi="Times New Roman" w:cs="Times New Roman"/>
          <w:color w:val="auto"/>
          <w:lang w:eastAsia="zh-CN"/>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附件7</w:t>
      </w:r>
      <w:r>
        <w:rPr>
          <w:rFonts w:hint="default" w:ascii="Times New Roman" w:hAnsi="Times New Roman" w:cs="Times New Roman"/>
          <w:b/>
          <w:bCs/>
          <w:color w:val="auto"/>
          <w:lang w:eastAsia="zh-CN"/>
        </w:rPr>
        <w:t>：</w:t>
      </w:r>
      <w:r>
        <w:rPr>
          <w:rFonts w:hint="default" w:ascii="Times New Roman" w:hAnsi="Times New Roman" w:cs="Times New Roman"/>
          <w:b/>
          <w:bCs/>
          <w:color w:val="auto"/>
        </w:rPr>
        <w:t>应急预案登记备案表</w:t>
      </w:r>
    </w:p>
    <w:p>
      <w:pPr>
        <w:ind w:firstLine="480"/>
        <w:rPr>
          <w:rFonts w:hint="default" w:ascii="Times New Roman" w:hAnsi="Times New Roman" w:cs="Times New Roman"/>
          <w:color w:val="auto"/>
        </w:rPr>
      </w:pPr>
    </w:p>
    <w:p>
      <w:pPr>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684395" cy="6985000"/>
            <wp:effectExtent l="0" t="0" r="1905" b="6350"/>
            <wp:docPr id="7" name="图片 7" descr="C:\Users\ADMINI~1\AppData\Local\Temp\WeChat Files\9275814cb15d3b4d98e62660f8b18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9275814cb15d3b4d98e62660f8b184e.jpg"/>
                    <pic:cNvPicPr>
                      <a:picLocks noChangeAspect="1" noChangeArrowheads="1"/>
                    </pic:cNvPicPr>
                  </pic:nvPicPr>
                  <pic:blipFill>
                    <a:blip r:embed="rId41" cstate="email"/>
                    <a:srcRect/>
                    <a:stretch>
                      <a:fillRect/>
                    </a:stretch>
                  </pic:blipFill>
                  <pic:spPr>
                    <a:xfrm>
                      <a:off x="0" y="0"/>
                      <a:ext cx="4684395" cy="6985531"/>
                    </a:xfrm>
                    <a:prstGeom prst="rect">
                      <a:avLst/>
                    </a:prstGeom>
                    <a:noFill/>
                    <a:ln w="9525">
                      <a:noFill/>
                      <a:miter lim="800000"/>
                      <a:headEnd/>
                      <a:tailEnd/>
                    </a:ln>
                  </pic:spPr>
                </pic:pic>
              </a:graphicData>
            </a:graphic>
          </wp:inline>
        </w:drawing>
      </w: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bidi w:val="0"/>
        <w:rPr>
          <w:rFonts w:hint="default" w:ascii="Times New Roman" w:hAnsi="Times New Roman" w:cs="Times New Roman"/>
          <w:color w:val="auto"/>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w:t>
      </w:r>
      <w:r>
        <w:rPr>
          <w:rFonts w:hint="default" w:ascii="Times New Roman" w:hAnsi="Times New Roman" w:cs="Times New Roman"/>
          <w:b/>
          <w:bCs/>
          <w:color w:val="auto"/>
          <w:lang w:val="en-US" w:eastAsia="zh-CN"/>
        </w:rPr>
        <w:t>8：建设项目</w:t>
      </w:r>
      <w:r>
        <w:rPr>
          <w:rFonts w:hint="default" w:ascii="Times New Roman" w:hAnsi="Times New Roman" w:cs="Times New Roman"/>
          <w:b/>
          <w:bCs/>
          <w:color w:val="auto"/>
        </w:rPr>
        <w:t>竣工环境保护验收意见</w:t>
      </w:r>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67960" cy="7559040"/>
            <wp:effectExtent l="0" t="0" r="8890" b="3810"/>
            <wp:docPr id="8" name="图片 8" descr="d2c542f1939cd45e2bdc24b51ad5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c542f1939cd45e2bdc24b51ad5b5b"/>
                    <pic:cNvPicPr>
                      <a:picLocks noChangeAspect="1"/>
                    </pic:cNvPicPr>
                  </pic:nvPicPr>
                  <pic:blipFill>
                    <a:blip r:embed="rId42"/>
                    <a:stretch>
                      <a:fillRect/>
                    </a:stretch>
                  </pic:blipFill>
                  <pic:spPr>
                    <a:xfrm>
                      <a:off x="0" y="0"/>
                      <a:ext cx="5267960" cy="7559040"/>
                    </a:xfrm>
                    <a:prstGeom prst="rect">
                      <a:avLst/>
                    </a:prstGeom>
                  </pic:spPr>
                </pic:pic>
              </a:graphicData>
            </a:graphic>
          </wp:inline>
        </w:drawing>
      </w:r>
    </w:p>
    <w:p>
      <w:pPr>
        <w:rPr>
          <w:rFonts w:hint="eastAsia" w:eastAsiaTheme="minor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73040" cy="7583170"/>
            <wp:effectExtent l="0" t="0" r="3810" b="17780"/>
            <wp:docPr id="9" name="图片 9" descr="577edf77db4d7e4eef82a1dadb90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77edf77db4d7e4eef82a1dadb9060d"/>
                    <pic:cNvPicPr>
                      <a:picLocks noChangeAspect="1"/>
                    </pic:cNvPicPr>
                  </pic:nvPicPr>
                  <pic:blipFill>
                    <a:blip r:embed="rId43"/>
                    <a:stretch>
                      <a:fillRect/>
                    </a:stretch>
                  </pic:blipFill>
                  <pic:spPr>
                    <a:xfrm>
                      <a:off x="0" y="0"/>
                      <a:ext cx="5273040" cy="7583170"/>
                    </a:xfrm>
                    <a:prstGeom prst="rect">
                      <a:avLst/>
                    </a:prstGeom>
                  </pic:spPr>
                </pic:pic>
              </a:graphicData>
            </a:graphic>
          </wp:inline>
        </w:drawing>
      </w:r>
    </w:p>
    <w:p>
      <w:pPr>
        <w:autoSpaceDE w:val="0"/>
        <w:autoSpaceDN w:val="0"/>
        <w:spacing w:line="480" w:lineRule="exact"/>
        <w:ind w:firstLine="600" w:firstLineChars="200"/>
        <w:rPr>
          <w:rFonts w:hint="default" w:ascii="Times New Roman" w:hAnsi="Times New Roman" w:eastAsia="仿宋_GB2312" w:cs="Times New Roman"/>
          <w:color w:val="auto"/>
          <w:sz w:val="30"/>
          <w:szCs w:val="30"/>
        </w:rPr>
      </w:pPr>
    </w:p>
    <w:p>
      <w:pPr>
        <w:autoSpaceDE w:val="0"/>
        <w:autoSpaceDN w:val="0"/>
        <w:spacing w:line="480" w:lineRule="exact"/>
        <w:ind w:firstLine="600" w:firstLineChars="200"/>
        <w:rPr>
          <w:rFonts w:hint="default" w:ascii="Times New Roman" w:hAnsi="Times New Roman" w:eastAsia="仿宋_GB2312" w:cs="Times New Roman"/>
          <w:color w:val="auto"/>
          <w:sz w:val="30"/>
          <w:szCs w:val="30"/>
        </w:rPr>
      </w:pPr>
    </w:p>
    <w:p>
      <w:pPr>
        <w:autoSpaceDE w:val="0"/>
        <w:autoSpaceDN w:val="0"/>
        <w:spacing w:line="480" w:lineRule="exact"/>
        <w:ind w:firstLine="600" w:firstLineChars="200"/>
        <w:rPr>
          <w:rFonts w:hint="default" w:ascii="Times New Roman" w:hAnsi="Times New Roman" w:eastAsia="仿宋_GB2312" w:cs="Times New Roman"/>
          <w:color w:val="auto"/>
          <w:sz w:val="30"/>
          <w:szCs w:val="30"/>
        </w:rPr>
      </w:pPr>
    </w:p>
    <w:p>
      <w:pPr>
        <w:autoSpaceDE w:val="0"/>
        <w:autoSpaceDN w:val="0"/>
        <w:spacing w:line="480" w:lineRule="exact"/>
        <w:ind w:left="0" w:leftChars="0" w:firstLine="0" w:firstLineChars="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eastAsia="zh-CN"/>
        </w:rPr>
        <w:drawing>
          <wp:anchor distT="0" distB="0" distL="114300" distR="114300" simplePos="0" relativeHeight="294896640" behindDoc="0" locked="0" layoutInCell="1" allowOverlap="1">
            <wp:simplePos x="0" y="0"/>
            <wp:positionH relativeFrom="column">
              <wp:posOffset>9525</wp:posOffset>
            </wp:positionH>
            <wp:positionV relativeFrom="paragraph">
              <wp:posOffset>161925</wp:posOffset>
            </wp:positionV>
            <wp:extent cx="5271770" cy="7607935"/>
            <wp:effectExtent l="0" t="0" r="5080" b="12065"/>
            <wp:wrapSquare wrapText="bothSides"/>
            <wp:docPr id="28" name="图片 28" descr="70c86e5995ca645b6682d089e2cb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0c86e5995ca645b6682d089e2cb0f7"/>
                    <pic:cNvPicPr>
                      <a:picLocks noChangeAspect="1"/>
                    </pic:cNvPicPr>
                  </pic:nvPicPr>
                  <pic:blipFill>
                    <a:blip r:embed="rId44"/>
                    <a:stretch>
                      <a:fillRect/>
                    </a:stretch>
                  </pic:blipFill>
                  <pic:spPr>
                    <a:xfrm>
                      <a:off x="0" y="0"/>
                      <a:ext cx="5271770" cy="7607935"/>
                    </a:xfrm>
                    <a:prstGeom prst="rect">
                      <a:avLst/>
                    </a:prstGeom>
                  </pic:spPr>
                </pic:pic>
              </a:graphicData>
            </a:graphic>
          </wp:anchor>
        </w:drawing>
      </w:r>
    </w:p>
    <w:p>
      <w:pPr>
        <w:autoSpaceDE w:val="0"/>
        <w:autoSpaceDN w:val="0"/>
        <w:spacing w:line="480" w:lineRule="exact"/>
        <w:ind w:left="0" w:leftChars="0" w:firstLine="0" w:firstLineChars="0"/>
        <w:rPr>
          <w:rFonts w:hint="eastAsia" w:ascii="Times New Roman" w:hAnsi="Times New Roman" w:eastAsia="仿宋_GB2312" w:cs="Times New Roman"/>
          <w:color w:val="auto"/>
          <w:sz w:val="30"/>
          <w:szCs w:val="30"/>
          <w:lang w:eastAsia="zh-CN"/>
        </w:rPr>
      </w:pPr>
    </w:p>
    <w:p>
      <w:pPr>
        <w:autoSpaceDE w:val="0"/>
        <w:autoSpaceDN w:val="0"/>
        <w:spacing w:line="480" w:lineRule="exact"/>
        <w:ind w:left="0" w:leftChars="0" w:firstLine="0" w:firstLineChars="0"/>
        <w:rPr>
          <w:rFonts w:hint="default" w:ascii="Times New Roman" w:hAnsi="Times New Roman" w:eastAsia="仿宋_GB2312" w:cs="Times New Roman"/>
          <w:color w:val="auto"/>
          <w:sz w:val="30"/>
          <w:szCs w:val="30"/>
        </w:rPr>
      </w:pPr>
    </w:p>
    <w:p>
      <w:pPr>
        <w:autoSpaceDE w:val="0"/>
        <w:autoSpaceDN w:val="0"/>
        <w:spacing w:line="480" w:lineRule="exact"/>
        <w:ind w:left="0" w:leftChars="0" w:firstLine="0" w:firstLineChars="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eastAsia="zh-CN"/>
        </w:rPr>
        <w:drawing>
          <wp:anchor distT="0" distB="0" distL="114300" distR="114300" simplePos="0" relativeHeight="294897664" behindDoc="0" locked="0" layoutInCell="1" allowOverlap="1">
            <wp:simplePos x="0" y="0"/>
            <wp:positionH relativeFrom="column">
              <wp:posOffset>-19050</wp:posOffset>
            </wp:positionH>
            <wp:positionV relativeFrom="paragraph">
              <wp:posOffset>247650</wp:posOffset>
            </wp:positionV>
            <wp:extent cx="5274310" cy="7534910"/>
            <wp:effectExtent l="0" t="0" r="2540" b="8890"/>
            <wp:wrapSquare wrapText="bothSides"/>
            <wp:docPr id="29" name="图片 29" descr="5682ae0f89283e7c0bfc955a5c55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682ae0f89283e7c0bfc955a5c55d95"/>
                    <pic:cNvPicPr>
                      <a:picLocks noChangeAspect="1"/>
                    </pic:cNvPicPr>
                  </pic:nvPicPr>
                  <pic:blipFill>
                    <a:blip r:embed="rId45"/>
                    <a:stretch>
                      <a:fillRect/>
                    </a:stretch>
                  </pic:blipFill>
                  <pic:spPr>
                    <a:xfrm>
                      <a:off x="0" y="0"/>
                      <a:ext cx="5274310" cy="7534910"/>
                    </a:xfrm>
                    <a:prstGeom prst="rect">
                      <a:avLst/>
                    </a:prstGeom>
                  </pic:spPr>
                </pic:pic>
              </a:graphicData>
            </a:graphic>
          </wp:anchor>
        </w:drawing>
      </w:r>
    </w:p>
    <w:p>
      <w:pPr>
        <w:autoSpaceDE w:val="0"/>
        <w:autoSpaceDN w:val="0"/>
        <w:spacing w:line="480" w:lineRule="exact"/>
        <w:ind w:left="0" w:leftChars="0" w:firstLine="0" w:firstLineChars="0"/>
        <w:rPr>
          <w:rFonts w:hint="eastAsia" w:ascii="Times New Roman" w:hAnsi="Times New Roman" w:eastAsia="仿宋_GB2312" w:cs="Times New Roman"/>
          <w:color w:val="auto"/>
          <w:sz w:val="30"/>
          <w:szCs w:val="30"/>
          <w:lang w:eastAsia="zh-CN"/>
        </w:rPr>
      </w:pPr>
    </w:p>
    <w:p>
      <w:pPr>
        <w:autoSpaceDE w:val="0"/>
        <w:autoSpaceDN w:val="0"/>
        <w:spacing w:line="480" w:lineRule="exact"/>
        <w:ind w:left="0" w:leftChars="0" w:firstLine="0" w:firstLineChars="0"/>
        <w:rPr>
          <w:rFonts w:hint="default" w:ascii="Times New Roman" w:hAnsi="Times New Roman" w:eastAsia="仿宋_GB2312" w:cs="Times New Roman"/>
          <w:color w:val="auto"/>
          <w:sz w:val="30"/>
          <w:szCs w:val="30"/>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附件</w:t>
      </w:r>
      <w:r>
        <w:rPr>
          <w:rFonts w:hint="default" w:ascii="Times New Roman" w:hAnsi="Times New Roman" w:cs="Times New Roman"/>
          <w:b/>
          <w:bCs/>
          <w:color w:val="auto"/>
          <w:lang w:val="en-US" w:eastAsia="zh-CN"/>
        </w:rPr>
        <w:t>9</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验收专家人员信息表</w:t>
      </w:r>
    </w:p>
    <w:p>
      <w:pPr>
        <w:bidi w:val="0"/>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5266690" cy="7352030"/>
            <wp:effectExtent l="0" t="0" r="10160" b="1270"/>
            <wp:docPr id="40" name="图片 40" descr="4b8d0dfa5826655a1eabe5438c89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b8d0dfa5826655a1eabe5438c89b87"/>
                    <pic:cNvPicPr>
                      <a:picLocks noChangeAspect="1"/>
                    </pic:cNvPicPr>
                  </pic:nvPicPr>
                  <pic:blipFill>
                    <a:blip r:embed="rId46"/>
                    <a:stretch>
                      <a:fillRect/>
                    </a:stretch>
                  </pic:blipFill>
                  <pic:spPr>
                    <a:xfrm>
                      <a:off x="0" y="0"/>
                      <a:ext cx="5266690" cy="7352030"/>
                    </a:xfrm>
                    <a:prstGeom prst="rect">
                      <a:avLst/>
                    </a:prstGeom>
                  </pic:spPr>
                </pic:pic>
              </a:graphicData>
            </a:graphic>
          </wp:inline>
        </w:drawing>
      </w:r>
    </w:p>
    <w:p>
      <w:pPr>
        <w:bidi w:val="0"/>
        <w:rPr>
          <w:rFonts w:hint="default" w:ascii="Times New Roman" w:hAnsi="Times New Roman" w:cs="Times New Roman"/>
          <w:color w:val="auto"/>
        </w:rPr>
      </w:pPr>
    </w:p>
    <w:p>
      <w:pPr>
        <w:rPr>
          <w:rFonts w:hint="default"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bookmarkEnd w:id="670"/>
    <w:p>
      <w:pPr>
        <w:ind w:firstLine="482"/>
        <w:rPr>
          <w:rFonts w:hint="default" w:ascii="Times New Roman" w:hAnsi="Times New Roman" w:cs="Times New Roman"/>
          <w:b/>
          <w:bCs/>
          <w:color w:val="auto"/>
        </w:rPr>
      </w:pPr>
      <w:bookmarkStart w:id="671" w:name="_Toc31671"/>
      <w:bookmarkStart w:id="672" w:name="_Toc21239"/>
      <w:r>
        <w:rPr>
          <w:rFonts w:hint="default" w:ascii="Times New Roman" w:hAnsi="Times New Roman" w:cs="Times New Roman"/>
          <w:b/>
          <w:bCs/>
          <w:color w:val="auto"/>
        </w:rPr>
        <w:t>附图1：项目地理位置图</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pict>
          <v:rect id="_x0000_s2061" o:spid="_x0000_s2061" o:spt="1" style="position:absolute;left:0pt;margin-left:283.4pt;margin-top:153.55pt;height:61.5pt;width:213.75pt;z-index:294895616;v-text-anchor:middle;mso-width-relative:page;mso-height-relative:page;" filled="f" stroked="t" coordsize="21600,21600" o:gfxdata="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&#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UclC13AAAAAsBAAAPAAAAAAAAAAEAIAAAACIAAABk&#10;cnMvZG93bnJldi54bWxQSwECFAAUAAAACACHTuJA63LaGHQCAAC3BAAADgAAAAAAAAABACAAAAAr&#10;AQAAZHJzL2Uyb0RvYy54bWxQSwUGAAAAAAYABgBZAQAAEQYAAAAA&#10;">
            <v:path/>
            <v:fill on="f" focussize="0,0"/>
            <v:stroke weight="1pt" color="#41719C"/>
            <v:imagedata o:title=""/>
            <o:lock v:ext="edit"/>
            <v:textbox>
              <w:txbxContent>
                <w:p>
                  <w:pPr>
                    <w:ind w:firstLine="482"/>
                    <w:rPr>
                      <w:b/>
                      <w:bCs/>
                      <w:color w:val="BBB104"/>
                    </w:rPr>
                  </w:pPr>
                  <w:r>
                    <w:rPr>
                      <w:rFonts w:hint="eastAsia"/>
                      <w:b/>
                      <w:bCs/>
                      <w:color w:val="BBB104"/>
                    </w:rPr>
                    <w:t>项目所在地</w:t>
                  </w:r>
                </w:p>
              </w:txbxContent>
            </v:textbox>
          </v:rect>
        </w:pict>
      </w:r>
      <w:r>
        <w:rPr>
          <w:rFonts w:hint="default" w:ascii="Times New Roman" w:hAnsi="Times New Roman" w:cs="Times New Roman"/>
          <w:color w:val="auto"/>
        </w:rPr>
        <w:pict>
          <v:rect id="_x0000_s2060" o:spid="_x0000_s2060" o:spt="1" style="position:absolute;left:0pt;margin-left:601.4pt;margin-top:8.45pt;height:67.5pt;width:64.5pt;z-index:262460416;v-text-anchor:middle;mso-width-relative:page;mso-height-relative:page;" filled="f" stroked="t" coordsize="21600,21600" o:gfxdata="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JLrFbbAAAADAEAAA8AAAAAAAAAAQAgAAAAIgAAAGRycy9kb3du&#10;cmV2LnhtbFBLAQIUABQAAAAIAIdO4kBKL3HzbgIAALYEAAAOAAAAAAAAAAEAIAAAACoBAABkcnMv&#10;ZTJvRG9jLnhtbFBLBQYAAAAABgAGAFkBAAAKBgAAAAA=&#10;">
            <v:path/>
            <v:fill on="f" focussize="0,0"/>
            <v:stroke weight="1pt" color="#41719C"/>
            <v:imagedata o:title=""/>
            <o:lock v:ext="edit"/>
            <v:textbox>
              <w:txbxContent>
                <w:p>
                  <w:pPr>
                    <w:widowControl/>
                    <w:ind w:firstLine="0" w:firstLineChars="0"/>
                    <w:jc w:val="left"/>
                  </w:pPr>
                  <w:r>
                    <w:rPr>
                      <w:rFonts w:ascii="宋体" w:hAnsi="宋体" w:eastAsia="宋体" w:cs="宋体"/>
                      <w:kern w:val="0"/>
                      <w:szCs w:val="24"/>
                    </w:rPr>
                    <w:drawing>
                      <wp:inline distT="0" distB="0" distL="114300" distR="114300">
                        <wp:extent cx="742950" cy="609600"/>
                        <wp:effectExtent l="0" t="0" r="0" b="0"/>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47"/>
                                <a:stretch>
                                  <a:fillRect/>
                                </a:stretch>
                              </pic:blipFill>
                              <pic:spPr>
                                <a:xfrm>
                                  <a:off x="0" y="0"/>
                                  <a:ext cx="742950" cy="609600"/>
                                </a:xfrm>
                                <a:prstGeom prst="rect">
                                  <a:avLst/>
                                </a:prstGeom>
                                <a:noFill/>
                                <a:ln w="9525">
                                  <a:noFill/>
                                </a:ln>
                              </pic:spPr>
                            </pic:pic>
                          </a:graphicData>
                        </a:graphic>
                      </wp:inline>
                    </w:drawing>
                  </w:r>
                </w:p>
                <w:p>
                  <w:pPr>
                    <w:ind w:firstLine="480"/>
                  </w:pPr>
                </w:p>
              </w:txbxContent>
            </v:textbox>
          </v:rect>
        </w:pict>
      </w:r>
      <w:r>
        <w:rPr>
          <w:rFonts w:hint="default" w:ascii="Times New Roman" w:hAnsi="Times New Roman" w:eastAsia="宋体" w:cs="Times New Roman"/>
          <w:color w:val="auto"/>
          <w:kern w:val="0"/>
          <w:szCs w:val="24"/>
        </w:rPr>
        <w:drawing>
          <wp:inline distT="0" distB="0" distL="114300" distR="114300">
            <wp:extent cx="8181975" cy="4973320"/>
            <wp:effectExtent l="0" t="0" r="9525" b="1778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8" cstate="email"/>
                    <a:stretch>
                      <a:fillRect/>
                    </a:stretch>
                  </pic:blipFill>
                  <pic:spPr>
                    <a:xfrm>
                      <a:off x="0" y="0"/>
                      <a:ext cx="8181975" cy="4973320"/>
                    </a:xfrm>
                    <a:prstGeom prst="rect">
                      <a:avLst/>
                    </a:prstGeom>
                    <a:noFill/>
                    <a:ln w="9525">
                      <a:noFill/>
                    </a:ln>
                  </pic:spPr>
                </pic:pic>
              </a:graphicData>
            </a:graphic>
          </wp:inline>
        </w:drawing>
      </w:r>
    </w:p>
    <w:p>
      <w:pPr>
        <w:ind w:firstLine="0" w:firstLineChars="0"/>
        <w:jc w:val="center"/>
        <w:rPr>
          <w:rFonts w:hint="default" w:ascii="Times New Roman" w:hAnsi="Times New Roman" w:cs="Times New Roman"/>
          <w:color w:val="auto"/>
        </w:rPr>
      </w:pPr>
    </w:p>
    <w:p>
      <w:pPr>
        <w:ind w:firstLine="482"/>
        <w:rPr>
          <w:rFonts w:hint="default" w:ascii="Times New Roman" w:hAnsi="Times New Roman" w:cs="Times New Roman"/>
          <w:b/>
          <w:bCs/>
          <w:color w:val="auto"/>
        </w:rPr>
      </w:pPr>
      <w:r>
        <w:rPr>
          <w:rFonts w:hint="default" w:ascii="Times New Roman" w:hAnsi="Times New Roman" w:cs="Times New Roman"/>
          <w:b/>
          <w:bCs/>
          <w:color w:val="auto"/>
        </w:rPr>
        <w:t>附图2：项目总平面布置示意图</w:t>
      </w:r>
    </w:p>
    <w:p>
      <w:pPr>
        <w:pStyle w:val="2"/>
        <w:ind w:firstLine="883"/>
        <w:rPr>
          <w:rFonts w:hint="default" w:ascii="Times New Roman" w:hAnsi="Times New Roman" w:cs="Times New Roman"/>
          <w:color w:val="auto"/>
        </w:rPr>
      </w:pPr>
    </w:p>
    <w:p>
      <w:pPr>
        <w:pStyle w:val="2"/>
        <w:ind w:firstLine="883"/>
        <w:rPr>
          <w:rFonts w:hint="default" w:ascii="Times New Roman" w:hAnsi="Times New Roman" w:cs="Times New Roman"/>
          <w:bCs/>
          <w:color w:val="auto"/>
        </w:rPr>
      </w:pPr>
      <w:r>
        <w:rPr>
          <w:rFonts w:hint="default" w:ascii="Times New Roman" w:hAnsi="Times New Roman" w:cs="Times New Roman"/>
          <w:color w:val="auto"/>
        </w:rPr>
        <w:pict>
          <v:rect id="_x0000_s2059" o:spid="_x0000_s2059" o:spt="1" style="position:absolute;left:0pt;margin-left:78.15pt;margin-top:34.05pt;height:284.25pt;width:552.8pt;z-index:262463488;v-text-anchor:middle;mso-width-relative:page;mso-height-relative:page;" fillcolor="#FFFFFF" filled="t" stroked="t" coordsize="21600,21600" o:gfxdata="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BqRNkAAAALAQAADwAAAAAAAAABACAAAAAiAAAAZHJzL2Rvd25yZXYueG1sUEsB&#10;AhQAFAAAAAgAh07iQO3FkcRmAgAAtQQAAA4AAAAAAAAAAQAgAAAAKAEAAGRycy9lMm9Eb2MueG1s&#10;UEsFBgAAAAAGAAYAWQEAAAAGAAAAAA==&#10;">
            <v:path/>
            <v:fill on="t" focussize="0,0"/>
            <v:stroke weight="1pt" color="#70AD47"/>
            <v:imagedata o:title=""/>
            <o:lock v:ext="edit"/>
          </v:rect>
        </w:pict>
      </w:r>
      <w:r>
        <w:rPr>
          <w:rFonts w:hint="default" w:ascii="Times New Roman" w:hAnsi="Times New Roman" w:cs="Times New Roman"/>
          <w:color w:val="auto"/>
        </w:rPr>
        <w:pict>
          <v:rect id="_x0000_s2058" o:spid="_x0000_s2058" o:spt="1" style="position:absolute;left:0pt;margin-left:135.9pt;margin-top:16.8pt;height:30pt;width:138.75pt;z-index:262465536;v-text-anchor:middle;mso-width-relative:page;mso-height-relative:page;" filled="f" stroked="f" coordsize="21600,21600" o:gfxdata="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trkrYAAAACQEAAA8A&#10;AAAAAAAAAQAgAAAAIgAAAGRycy9kb3ducmV2LnhtbFBLAQIUABQAAAAIAIdO4kDwvyMSUAIAAG0E&#10;AAAOAAAAAAAAAAEAIAAAACcBAABkcnMvZTJvRG9jLnhtbFBLBQYAAAAABgAGAFkBAADpBQAAAAA=&#10;">
            <v:path/>
            <v:fill on="f" focussize="0,0"/>
            <v:stroke on="f" weight="1pt"/>
            <v:imagedata o:title=""/>
            <o:lock v:ext="edit"/>
            <v:textbox>
              <w:txbxContent>
                <w:p>
                  <w:pPr>
                    <w:ind w:firstLine="480"/>
                    <w:jc w:val="center"/>
                  </w:pPr>
                  <w:r>
                    <w:rPr>
                      <w:rFonts w:hint="eastAsia"/>
                    </w:rPr>
                    <w:t>导流沟</w:t>
                  </w:r>
                </w:p>
              </w:txbxContent>
            </v:textbox>
          </v:rect>
        </w:pict>
      </w:r>
      <w:r>
        <w:rPr>
          <w:rFonts w:hint="default" w:ascii="Times New Roman" w:hAnsi="Times New Roman" w:cs="Times New Roman"/>
          <w:color w:val="auto"/>
        </w:rPr>
        <w:pict>
          <v:rect id="_x0000_s2057" o:spid="_x0000_s2057" o:spt="1" style="position:absolute;left:0pt;margin-left:308.4pt;margin-top:2.55pt;height:33.75pt;width:93pt;z-index:262464512;v-text-anchor:middle;mso-width-relative:page;mso-height-relative:page;" fillcolor="#FFFFFF" filled="t" stroked="t" coordsize="21600,21600" o:gfxdata="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hlASy1wAAAAgBAAAPAAAAAAAAAAEAIAAAACIAAABkcnMvZG93bnJldi54bWxQ&#10;SwECFAAUAAAACACHTuJAFQj5T2oCAAC/BAAADgAAAAAAAAABACAAAAAmAQAAZHJzL2Uyb0RvYy54&#10;bWxQSwUGAAAAAAYABgBZAQAAAgYAAAAA&#10;">
            <v:path/>
            <v:fill on="t" focussize="0,0"/>
            <v:stroke weight="1pt" color="#70AD47"/>
            <v:imagedata o:title=""/>
            <o:lock v:ext="edit"/>
            <v:textbox>
              <w:txbxContent>
                <w:p>
                  <w:pPr>
                    <w:ind w:firstLine="480"/>
                    <w:jc w:val="center"/>
                  </w:pPr>
                  <w:r>
                    <w:rPr>
                      <w:rFonts w:hint="eastAsia"/>
                    </w:rPr>
                    <w:t>大门</w:t>
                  </w:r>
                </w:p>
              </w:txbxContent>
            </v:textbox>
          </v:rect>
        </w:pict>
      </w:r>
      <w:r>
        <w:rPr>
          <w:rFonts w:hint="default" w:ascii="Times New Roman" w:hAnsi="Times New Roman" w:cs="Times New Roman"/>
          <w:color w:val="auto"/>
        </w:rPr>
        <w:pict>
          <v:rect id="_x0000_s2056" o:spid="_x0000_s2056" o:spt="1" style="position:absolute;left:0pt;margin-left:59.4pt;margin-top:15.3pt;height:329.25pt;width:588pt;z-index:262462464;v-text-anchor:middle;mso-width-relative:page;mso-height-relative:page;" fillcolor="#FFFFFF" filled="t" stroked="t" coordsize="21600,21600" o:gfxdata="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H5eL2QAAAAsBAAAPAAAAAAAAAAEAIAAAACIAAABkcnMvZG93bnJldi54bWxQ&#10;SwECFAAUAAAACACHTuJA9yWvs2gCAADABAAADgAAAAAAAAABACAAAAAoAQAAZHJzL2Uyb0RvYy54&#10;bWxQSwUGAAAAAAYABgBZAQAAAgYAAAAA&#10;">
            <v:path/>
            <v:fill on="t" focussize="0,0"/>
            <v:stroke weight="1pt" color="#70AD47"/>
            <v:imagedata o:title=""/>
            <o:lock v:ext="edit"/>
            <v:textbox>
              <w:txbxContent>
                <w:p>
                  <w:pPr>
                    <w:ind w:firstLine="480"/>
                    <w:jc w:val="center"/>
                  </w:pPr>
                </w:p>
              </w:txbxContent>
            </v:textbox>
          </v:rect>
        </w:pict>
      </w:r>
      <w:r>
        <w:rPr>
          <w:rFonts w:hint="default" w:ascii="Times New Roman" w:hAnsi="Times New Roman" w:cs="Times New Roman"/>
          <w:color w:val="auto"/>
        </w:rPr>
        <w:pict>
          <v:rect id="_x0000_s2055" o:spid="_x0000_s2055" o:spt="1" style="position:absolute;left:0pt;margin-left:53.15pt;margin-top:1.1pt;height:352.45pt;width:601.5pt;z-index:262461440;v-text-anchor:middle;mso-width-relative:page;mso-height-relative:page;" fillcolor="#FFFFFF" filled="t" stroked="t" coordsize="21600,21600" o:gfxdata="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mGDrtgAAAAKAQAADwAAAAAAAAABACAAAAAiAAAAZHJzL2Rvd25yZXYueG1sUEsBAhQA&#10;FAAAAAgAh07iQDXlnMdkAgAAtQQAAA4AAAAAAAAAAQAgAAAAJwEAAGRycy9lMm9Eb2MueG1sUEsF&#10;BgAAAAAGAAYAWQEAAP0FAAAAAA==&#10;">
            <v:path/>
            <v:fill on="t" focussize="0,0"/>
            <v:stroke weight="1pt" color="#70AD47"/>
            <v:imagedata o:title=""/>
            <o:lock v:ext="edit"/>
          </v:rect>
        </w:pict>
      </w:r>
    </w:p>
    <w:p>
      <w:pPr>
        <w:ind w:firstLine="880"/>
        <w:rPr>
          <w:rFonts w:hint="default" w:ascii="Times New Roman" w:hAnsi="Times New Roman" w:cs="Times New Roman"/>
          <w:b/>
          <w:bCs/>
          <w:color w:val="auto"/>
        </w:rPr>
      </w:pPr>
      <w:r>
        <w:rPr>
          <w:rFonts w:hint="default" w:ascii="Times New Roman" w:hAnsi="Times New Roman" w:cs="Times New Roman"/>
          <w:color w:val="auto"/>
          <w:sz w:val="44"/>
        </w:rPr>
        <w:pict>
          <v:rect id="_x0000_s2054" o:spid="_x0000_s2054" o:spt="1" style="position:absolute;left:0pt;margin-left:312.15pt;margin-top:22.85pt;height:84pt;width:136.5pt;z-index:294894592;v-text-anchor:middle;mso-width-relative:page;mso-height-relative:page;" filled="f" stroked="f" coordsize="21600,21600" o:gfxdata="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5X4tdkAAAAKAQAA&#10;DwAAAAAAAAABACAAAAAiAAAAZHJzL2Rvd25yZXYueG1sUEsBAhQAFAAAAAgAh07iQBGfOLNRAgAA&#10;bgQAAA4AAAAAAAAAAQAgAAAAKAEAAGRycy9lMm9Eb2MueG1sUEsFBgAAAAAGAAYAWQEAAOsFAAAA&#10;AA==&#10;">
            <v:path/>
            <v:fill on="f" focussize="0,0"/>
            <v:stroke on="f" weight="1pt"/>
            <v:imagedata o:title=""/>
            <o:lock v:ext="edit"/>
            <v:textbox>
              <w:txbxContent>
                <w:p>
                  <w:pPr>
                    <w:ind w:firstLine="480"/>
                    <w:jc w:val="center"/>
                    <w:rPr>
                      <w:color w:val="FF0000"/>
                    </w:rPr>
                  </w:pPr>
                  <w:r>
                    <w:rPr>
                      <w:rFonts w:hint="eastAsia"/>
                      <w:color w:val="FF0000"/>
                    </w:rPr>
                    <w:t>装卸区</w:t>
                  </w:r>
                </w:p>
              </w:txbxContent>
            </v:textbox>
          </v:rect>
        </w:pict>
      </w:r>
      <w:r>
        <w:rPr>
          <w:rFonts w:hint="default" w:ascii="Times New Roman" w:hAnsi="Times New Roman" w:cs="Times New Roman"/>
          <w:color w:val="auto"/>
          <w:sz w:val="44"/>
        </w:rPr>
        <w:pict>
          <v:rect id="_x0000_s2053" o:spid="_x0000_s2053" o:spt="1" style="position:absolute;left:0pt;margin-left:91.45pt;margin-top:17.55pt;height:79.6pt;width:17.4pt;z-index:294892544;v-text-anchor:middle;mso-width-relative:page;mso-height-relative:page;" fillcolor="#FFFFFF" filled="t" stroked="f" coordsize="21600,21600" o:gfxdata="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yfl0nZAAAA&#10;CgEAAA8AAAAAAAAAAQAgAAAAIgAAAGRycy9kb3ducmV2LnhtbFBLAQIUABQAAAAIAIdO4kDWdqKb&#10;VQIAAIoEAAAOAAAAAAAAAAEAIAAAACgBAABkcnMvZTJvRG9jLnhtbFBLBQYAAAAABgAGAFkBAADv&#10;BQAAAAA=&#10;">
            <v:path/>
            <v:fill on="t" focussize="0,0"/>
            <v:stroke on="f" weight="1pt"/>
            <v:imagedata o:title=""/>
            <o:lock v:ext="edit"/>
            <v:textbox>
              <w:txbxContent>
                <w:p>
                  <w:pPr>
                    <w:ind w:firstLine="0" w:firstLineChars="0"/>
                  </w:pPr>
                  <w:r>
                    <w:rPr>
                      <w:rFonts w:hint="eastAsia"/>
                    </w:rPr>
                    <w:t>导</w:t>
                  </w:r>
                </w:p>
                <w:p>
                  <w:pPr>
                    <w:ind w:firstLine="0" w:firstLineChars="0"/>
                  </w:pPr>
                  <w:r>
                    <w:rPr>
                      <w:rFonts w:hint="eastAsia"/>
                    </w:rPr>
                    <w:t>流</w:t>
                  </w:r>
                </w:p>
                <w:p>
                  <w:pPr>
                    <w:ind w:firstLine="0" w:firstLineChars="0"/>
                  </w:pPr>
                  <w:r>
                    <w:rPr>
                      <w:rFonts w:hint="eastAsia"/>
                    </w:rPr>
                    <w:t>沟</w:t>
                  </w:r>
                </w:p>
              </w:txbxContent>
            </v:textbox>
          </v:rect>
        </w:pict>
      </w:r>
    </w:p>
    <w:p>
      <w:pPr>
        <w:pStyle w:val="2"/>
        <w:ind w:firstLine="883"/>
        <w:rPr>
          <w:rFonts w:hint="default" w:ascii="Times New Roman" w:hAnsi="Times New Roman" w:cs="Times New Roman"/>
          <w:bCs/>
          <w:color w:val="auto"/>
        </w:rPr>
      </w:pPr>
      <w:r>
        <w:rPr>
          <w:rFonts w:hint="default" w:ascii="Times New Roman" w:hAnsi="Times New Roman" w:cs="Times New Roman"/>
          <w:color w:val="auto"/>
        </w:rPr>
        <w:pict>
          <v:rect id="_x0000_s2052" o:spid="_x0000_s2052" o:spt="1" style="position:absolute;left:0pt;margin-left:602.2pt;margin-top:17.45pt;height:159.75pt;width:20.45pt;z-index:273274880;v-text-anchor:middle;mso-width-relative:page;mso-height-relative:page;" fillcolor="#FFFFFF" filled="t" stroked="f" coordsize="21600,21600" o:gfxdata="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0pUcu2gAAAAwBAAAPAAAAAAAAAAEAIAAAACIAAABkcnMvZG93bnJldi54bWxQSwECFAAU&#10;AAAACACHTuJAfXXZkGECAACWBAAADgAAAAAAAAABACAAAAApAQAAZHJzL2Uyb0RvYy54bWxQSwUG&#10;AAAAAAYABgBZAQAA/AUAAAAA&#10;">
            <v:path/>
            <v:fill on="t" focussize="0,0"/>
            <v:stroke on="f" weight="1pt"/>
            <v:imagedata o:title=""/>
            <o:lock v:ext="edit"/>
            <v:textbox>
              <w:txbxContent>
                <w:p>
                  <w:pPr>
                    <w:ind w:firstLine="0" w:firstLineChars="0"/>
                  </w:pPr>
                  <w:r>
                    <w:rPr>
                      <w:rFonts w:hint="eastAsia"/>
                    </w:rPr>
                    <w:t>导</w:t>
                  </w:r>
                </w:p>
                <w:p>
                  <w:pPr>
                    <w:ind w:firstLine="480"/>
                    <w:jc w:val="center"/>
                  </w:pPr>
                </w:p>
                <w:p>
                  <w:pPr>
                    <w:ind w:firstLine="0" w:firstLineChars="0"/>
                  </w:pPr>
                  <w:r>
                    <w:rPr>
                      <w:rFonts w:hint="eastAsia"/>
                    </w:rPr>
                    <w:t>流</w:t>
                  </w:r>
                </w:p>
                <w:p>
                  <w:pPr>
                    <w:ind w:firstLine="0" w:firstLineChars="0"/>
                  </w:pPr>
                </w:p>
                <w:p>
                  <w:pPr>
                    <w:ind w:firstLine="0" w:firstLineChars="0"/>
                  </w:pPr>
                  <w:r>
                    <w:rPr>
                      <w:rFonts w:hint="eastAsia"/>
                    </w:rPr>
                    <w:t>沟</w:t>
                  </w:r>
                </w:p>
              </w:txbxContent>
            </v:textbox>
          </v:rect>
        </w:pict>
      </w:r>
    </w:p>
    <w:p>
      <w:pPr>
        <w:ind w:firstLine="482"/>
        <w:rPr>
          <w:rFonts w:hint="default" w:ascii="Times New Roman" w:hAnsi="Times New Roman" w:cs="Times New Roman"/>
          <w:b/>
          <w:bCs/>
          <w:color w:val="auto"/>
        </w:rPr>
      </w:pPr>
    </w:p>
    <w:p>
      <w:pPr>
        <w:pStyle w:val="2"/>
        <w:ind w:firstLine="883"/>
        <w:rPr>
          <w:rFonts w:hint="default" w:ascii="Times New Roman" w:hAnsi="Times New Roman" w:cs="Times New Roman"/>
          <w:bCs/>
          <w:color w:val="auto"/>
        </w:rPr>
      </w:pPr>
      <w:r>
        <w:rPr>
          <w:rFonts w:hint="default" w:ascii="Times New Roman" w:hAnsi="Times New Roman" w:cs="Times New Roman"/>
          <w:color w:val="auto"/>
        </w:rPr>
        <w:pict>
          <v:rect id="_x0000_s2051" o:spid="_x0000_s2051" o:spt="1" style="position:absolute;left:0pt;margin-left:60.15pt;margin-top:17.35pt;height:83.25pt;width:59.25pt;z-index:294893568;v-text-anchor:middle;mso-width-relative:page;mso-height-relative:page;" fillcolor="#FFFF00" filled="t" stroked="t" coordsize="21600,21600" o:gfxdata="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fNEdLXAAAACgEAAA8AAAAAAAAAAQAgAAAAIgAAAGRycy9kb3ducmV2LnhtbFBL&#10;AQIUABQAAAAIAIdO4kBfD/bxaQIAAL8EAAAOAAAAAAAAAAEAIAAAACYBAABkcnMvZTJvRG9jLnht&#10;bFBLBQYAAAAABgAGAFkBAAABBgAAAAA=&#10;">
            <v:path/>
            <v:fill on="t" focussize="0,0"/>
            <v:stroke weight="1pt" color="#70AD47"/>
            <v:imagedata o:title=""/>
            <o:lock v:ext="edit"/>
            <v:textbox>
              <w:txbxContent>
                <w:p>
                  <w:pPr>
                    <w:ind w:firstLine="0" w:firstLineChars="0"/>
                  </w:pPr>
                  <w:r>
                    <w:rPr>
                      <w:rFonts w:hint="eastAsia"/>
                    </w:rPr>
                    <w:t>电解液收集池</w:t>
                  </w:r>
                </w:p>
              </w:txbxContent>
            </v:textbox>
          </v:rect>
        </w:pict>
      </w:r>
    </w:p>
    <w:p>
      <w:pPr>
        <w:ind w:firstLine="482"/>
        <w:rPr>
          <w:rFonts w:hint="default" w:ascii="Times New Roman" w:hAnsi="Times New Roman" w:cs="Times New Roman"/>
          <w:b/>
          <w:bCs/>
          <w:color w:val="auto"/>
        </w:rPr>
      </w:pPr>
    </w:p>
    <w:p>
      <w:pPr>
        <w:pStyle w:val="2"/>
        <w:ind w:firstLine="883"/>
        <w:rPr>
          <w:rFonts w:hint="default" w:ascii="Times New Roman" w:hAnsi="Times New Roman" w:cs="Times New Roman"/>
          <w:bCs/>
          <w:color w:val="auto"/>
        </w:rPr>
      </w:pPr>
    </w:p>
    <w:p>
      <w:pPr>
        <w:ind w:firstLine="482"/>
        <w:rPr>
          <w:rFonts w:hint="default" w:ascii="Times New Roman" w:hAnsi="Times New Roman" w:cs="Times New Roman"/>
          <w:b/>
          <w:bCs/>
          <w:color w:val="auto"/>
        </w:rPr>
      </w:pPr>
    </w:p>
    <w:p>
      <w:pPr>
        <w:pStyle w:val="2"/>
        <w:ind w:firstLine="883"/>
        <w:rPr>
          <w:rFonts w:hint="default" w:ascii="Times New Roman" w:hAnsi="Times New Roman" w:cs="Times New Roman"/>
          <w:bCs/>
          <w:color w:val="auto"/>
        </w:rPr>
      </w:pPr>
    </w:p>
    <w:p>
      <w:pPr>
        <w:ind w:firstLine="482"/>
        <w:rPr>
          <w:rFonts w:hint="default" w:ascii="Times New Roman" w:hAnsi="Times New Roman" w:cs="Times New Roman"/>
          <w:b/>
          <w:bCs/>
          <w:color w:val="auto"/>
        </w:rPr>
      </w:pPr>
    </w:p>
    <w:p>
      <w:pPr>
        <w:pStyle w:val="2"/>
        <w:ind w:firstLine="883"/>
        <w:rPr>
          <w:rFonts w:hint="default" w:ascii="Times New Roman" w:hAnsi="Times New Roman" w:cs="Times New Roman"/>
          <w:bCs/>
          <w:color w:val="auto"/>
        </w:rPr>
      </w:pPr>
      <w:r>
        <w:rPr>
          <w:rFonts w:hint="default" w:ascii="Times New Roman" w:hAnsi="Times New Roman" w:cs="Times New Roman"/>
          <w:color w:val="auto"/>
        </w:rPr>
        <w:pict>
          <v:rect id="_x0000_s2050" o:spid="_x0000_s2050" o:spt="1" style="position:absolute;left:0pt;margin-left:228.9pt;margin-top:14.1pt;height:30pt;width:138.75pt;z-index:273273856;v-text-anchor:middle;mso-width-relative:page;mso-height-relative:page;" filled="f" stroked="f" coordsize="21600,21600" o:gfxdata="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KrzJDYAAAACQEAAA8AAAAAAAAAAQAgAAAA&#10;IgAAAGRycy9kb3ducmV2LnhtbFBLAQIUABQAAAAIAIdO4kANdESkRAIAAGEEAAAOAAAAAAAAAAEA&#10;IAAAACcBAABkcnMvZTJvRG9jLnhtbFBLBQYAAAAABgAGAFkBAADdBQAAAAA=&#10;">
            <v:path/>
            <v:fill on="f" focussize="0,0"/>
            <v:stroke on="f" weight="1pt"/>
            <v:imagedata o:title=""/>
            <o:lock v:ext="edit"/>
            <v:textbox>
              <w:txbxContent>
                <w:p>
                  <w:pPr>
                    <w:ind w:firstLine="480"/>
                    <w:jc w:val="center"/>
                  </w:pPr>
                  <w:r>
                    <w:rPr>
                      <w:rFonts w:hint="eastAsia"/>
                    </w:rPr>
                    <w:t>导流沟</w:t>
                  </w:r>
                </w:p>
              </w:txbxContent>
            </v:textbox>
          </v:rect>
        </w:pict>
      </w:r>
    </w:p>
    <w:p>
      <w:pPr>
        <w:ind w:firstLine="482"/>
        <w:rPr>
          <w:rFonts w:hint="default" w:ascii="Times New Roman" w:hAnsi="Times New Roman" w:cs="Times New Roman"/>
          <w:b/>
          <w:bCs/>
          <w:color w:val="auto"/>
        </w:rPr>
      </w:pPr>
    </w:p>
    <w:p>
      <w:pPr>
        <w:widowControl/>
        <w:ind w:left="1685" w:leftChars="200" w:hanging="1205" w:hangingChars="500"/>
        <w:jc w:val="left"/>
        <w:rPr>
          <w:rFonts w:hint="default" w:ascii="Times New Roman" w:hAnsi="Times New Roman" w:cs="Times New Roman"/>
          <w:color w:val="auto"/>
        </w:rPr>
      </w:pPr>
      <w:r>
        <w:rPr>
          <w:rFonts w:hint="default" w:ascii="Times New Roman" w:hAnsi="Times New Roman" w:cs="Times New Roman"/>
          <w:b/>
          <w:bCs/>
          <w:color w:val="auto"/>
        </w:rPr>
        <w:t>附图3：项目地理位置及周边环境示意图</w:t>
      </w:r>
      <w:bookmarkEnd w:id="671"/>
      <w:bookmarkEnd w:id="672"/>
      <w:r>
        <w:rPr>
          <w:rFonts w:hint="default" w:ascii="Times New Roman" w:hAnsi="Times New Roman" w:eastAsia="宋体" w:cs="Times New Roman"/>
          <w:color w:val="auto"/>
          <w:kern w:val="0"/>
          <w:szCs w:val="24"/>
        </w:rPr>
        <w:drawing>
          <wp:inline distT="0" distB="0" distL="114300" distR="114300">
            <wp:extent cx="7610475" cy="5146040"/>
            <wp:effectExtent l="0" t="0" r="9525" b="16510"/>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49"/>
                    <a:stretch>
                      <a:fillRect/>
                    </a:stretch>
                  </pic:blipFill>
                  <pic:spPr>
                    <a:xfrm>
                      <a:off x="0" y="0"/>
                      <a:ext cx="7610475" cy="5146040"/>
                    </a:xfrm>
                    <a:prstGeom prst="rect">
                      <a:avLst/>
                    </a:prstGeom>
                    <a:noFill/>
                    <a:ln w="9525">
                      <a:noFill/>
                    </a:ln>
                  </pic:spPr>
                </pic:pic>
              </a:graphicData>
            </a:graphic>
          </wp:inline>
        </w:drawing>
      </w:r>
    </w:p>
    <w:p>
      <w:pPr>
        <w:ind w:left="1440" w:leftChars="200" w:hanging="960" w:hangingChars="400"/>
        <w:jc w:val="left"/>
        <w:rPr>
          <w:rFonts w:hint="default" w:ascii="Times New Roman" w:hAnsi="Times New Roman" w:eastAsia="宋体" w:cs="Times New Roman"/>
          <w:color w:val="auto"/>
          <w:kern w:val="0"/>
          <w:szCs w:val="24"/>
        </w:rPr>
        <w:sectPr>
          <w:headerReference r:id="rId13" w:type="default"/>
          <w:pgSz w:w="16838" w:h="11906" w:orient="landscape"/>
          <w:pgMar w:top="1440" w:right="1080" w:bottom="1440" w:left="1080" w:header="851" w:footer="992" w:gutter="0"/>
          <w:cols w:space="425" w:num="1"/>
          <w:docGrid w:type="lines" w:linePitch="312" w:charSpace="0"/>
        </w:sectPr>
      </w:pPr>
    </w:p>
    <w:p>
      <w:pPr>
        <w:ind w:firstLine="482"/>
        <w:rPr>
          <w:rFonts w:hint="default" w:ascii="Times New Roman" w:hAnsi="Times New Roman" w:cs="Times New Roman"/>
          <w:b/>
          <w:bCs/>
          <w:color w:val="auto"/>
        </w:rPr>
      </w:pPr>
      <w:bookmarkStart w:id="673" w:name="_Toc18055"/>
      <w:bookmarkStart w:id="674" w:name="_Toc23164"/>
      <w:bookmarkStart w:id="675" w:name="_Toc4077"/>
      <w:bookmarkStart w:id="676" w:name="_Toc27270"/>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w:t>
      </w:r>
      <w:r>
        <w:rPr>
          <w:rFonts w:hint="default" w:ascii="Times New Roman" w:hAnsi="Times New Roman" w:cs="Times New Roman"/>
          <w:b/>
          <w:bCs/>
          <w:color w:val="auto"/>
          <w:lang w:eastAsia="zh-CN"/>
        </w:rPr>
        <w:t>建设项目环保</w:t>
      </w:r>
      <w:r>
        <w:rPr>
          <w:rFonts w:hint="default" w:ascii="Times New Roman" w:hAnsi="Times New Roman" w:cs="Times New Roman"/>
          <w:b/>
          <w:bCs/>
          <w:color w:val="auto"/>
        </w:rPr>
        <w:t>设施相关照片</w:t>
      </w:r>
      <w:bookmarkEnd w:id="673"/>
      <w:bookmarkEnd w:id="674"/>
      <w:bookmarkEnd w:id="675"/>
      <w:bookmarkEnd w:id="676"/>
    </w:p>
    <w:p>
      <w:pPr>
        <w:ind w:firstLine="480"/>
        <w:rPr>
          <w:rFonts w:hint="default" w:ascii="Times New Roman" w:hAnsi="Times New Roman" w:eastAsia="宋体" w:cs="Times New Roman"/>
          <w:color w:val="auto"/>
          <w:szCs w:val="24"/>
        </w:rPr>
      </w:pPr>
    </w:p>
    <w:p>
      <w:pPr>
        <w:rPr>
          <w:rFonts w:hint="default" w:ascii="Times New Roman" w:hAnsi="Times New Roman" w:cs="Times New Roman"/>
          <w:color w:val="auto"/>
        </w:rPr>
      </w:pPr>
    </w:p>
    <w:tbl>
      <w:tblPr>
        <w:tblStyle w:val="22"/>
        <w:tblpPr w:leftFromText="180" w:rightFromText="180" w:vertAnchor="page" w:horzAnchor="page" w:tblpXSpec="center" w:tblpY="2685"/>
        <w:tblW w:w="8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0"/>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3" w:hRule="atLeast"/>
          <w:jc w:val="center"/>
        </w:trPr>
        <w:tc>
          <w:tcPr>
            <w:tcW w:w="4130" w:type="dxa"/>
          </w:tcPr>
          <w:p>
            <w:pPr>
              <w:widowControl/>
              <w:ind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479040" cy="3639185"/>
                  <wp:effectExtent l="0" t="0" r="16510" b="18415"/>
                  <wp:docPr id="38" name="图片 38" descr="5a8bf0974cfabb683aa4d56858b6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a8bf0974cfabb683aa4d56858b66d1"/>
                          <pic:cNvPicPr>
                            <a:picLocks noChangeAspect="1"/>
                          </pic:cNvPicPr>
                        </pic:nvPicPr>
                        <pic:blipFill>
                          <a:blip r:embed="rId50" cstate="email"/>
                          <a:stretch>
                            <a:fillRect/>
                          </a:stretch>
                        </pic:blipFill>
                        <pic:spPr>
                          <a:xfrm>
                            <a:off x="0" y="0"/>
                            <a:ext cx="2479040" cy="3639185"/>
                          </a:xfrm>
                          <a:prstGeom prst="rect">
                            <a:avLst/>
                          </a:prstGeom>
                        </pic:spPr>
                      </pic:pic>
                    </a:graphicData>
                  </a:graphic>
                </wp:inline>
              </w:drawing>
            </w:r>
          </w:p>
        </w:tc>
        <w:tc>
          <w:tcPr>
            <w:tcW w:w="4470" w:type="dxa"/>
          </w:tcPr>
          <w:p>
            <w:pPr>
              <w:widowControl/>
              <w:ind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94940" cy="3593465"/>
                  <wp:effectExtent l="0" t="0" r="10160" b="6985"/>
                  <wp:docPr id="37" name="图片 37" descr="eee4059a57c2f38feccdcc3b46db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ee4059a57c2f38feccdcc3b46db8d1"/>
                          <pic:cNvPicPr>
                            <a:picLocks noChangeAspect="1"/>
                          </pic:cNvPicPr>
                        </pic:nvPicPr>
                        <pic:blipFill>
                          <a:blip r:embed="rId51" cstate="email"/>
                          <a:stretch>
                            <a:fillRect/>
                          </a:stretch>
                        </pic:blipFill>
                        <pic:spPr>
                          <a:xfrm>
                            <a:off x="0" y="0"/>
                            <a:ext cx="2694940" cy="3593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4130" w:type="dxa"/>
          </w:tcPr>
          <w:p>
            <w:pPr>
              <w:widowControl/>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公司正门</w:t>
            </w:r>
          </w:p>
        </w:tc>
        <w:tc>
          <w:tcPr>
            <w:tcW w:w="4470" w:type="dxa"/>
          </w:tcPr>
          <w:p>
            <w:pPr>
              <w:widowControl/>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6" w:hRule="atLeast"/>
          <w:jc w:val="center"/>
        </w:trPr>
        <w:tc>
          <w:tcPr>
            <w:tcW w:w="4130" w:type="dxa"/>
          </w:tcPr>
          <w:p>
            <w:pPr>
              <w:pStyle w:val="2"/>
              <w:ind w:firstLine="0" w:firstLineChars="0"/>
              <w:outlineLvl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84120" cy="1161415"/>
                  <wp:effectExtent l="0" t="0" r="11430" b="635"/>
                  <wp:docPr id="34" name="图片 34" descr="7082237f1b232f83502dfd59d07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082237f1b232f83502dfd59d071119"/>
                          <pic:cNvPicPr>
                            <a:picLocks noChangeAspect="1"/>
                          </pic:cNvPicPr>
                        </pic:nvPicPr>
                        <pic:blipFill>
                          <a:blip r:embed="rId52" cstate="email"/>
                          <a:stretch>
                            <a:fillRect/>
                          </a:stretch>
                        </pic:blipFill>
                        <pic:spPr>
                          <a:xfrm>
                            <a:off x="0" y="0"/>
                            <a:ext cx="2484120" cy="1161415"/>
                          </a:xfrm>
                          <a:prstGeom prst="rect">
                            <a:avLst/>
                          </a:prstGeom>
                        </pic:spPr>
                      </pic:pic>
                    </a:graphicData>
                  </a:graphic>
                </wp:inline>
              </w:drawing>
            </w:r>
          </w:p>
          <w:p>
            <w:pPr>
              <w:pStyle w:val="2"/>
              <w:ind w:firstLine="0" w:firstLineChars="0"/>
              <w:outlineLvl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84120" cy="1503680"/>
                  <wp:effectExtent l="0" t="0" r="11430" b="1270"/>
                  <wp:docPr id="35" name="图片 35" descr="e36096356ca2b31691a7bd24090d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36096356ca2b31691a7bd24090da34"/>
                          <pic:cNvPicPr>
                            <a:picLocks noChangeAspect="1"/>
                          </pic:cNvPicPr>
                        </pic:nvPicPr>
                        <pic:blipFill>
                          <a:blip r:embed="rId53" cstate="email"/>
                          <a:stretch>
                            <a:fillRect/>
                          </a:stretch>
                        </pic:blipFill>
                        <pic:spPr>
                          <a:xfrm>
                            <a:off x="0" y="0"/>
                            <a:ext cx="2484120" cy="1503680"/>
                          </a:xfrm>
                          <a:prstGeom prst="rect">
                            <a:avLst/>
                          </a:prstGeom>
                        </pic:spPr>
                      </pic:pic>
                    </a:graphicData>
                  </a:graphic>
                </wp:inline>
              </w:drawing>
            </w:r>
          </w:p>
          <w:p>
            <w:pPr>
              <w:ind w:firstLine="960" w:firstLineChars="40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电解液收集池</w:t>
            </w:r>
          </w:p>
        </w:tc>
        <w:tc>
          <w:tcPr>
            <w:tcW w:w="4470" w:type="dxa"/>
          </w:tcPr>
          <w:p>
            <w:pPr>
              <w:widowControl/>
              <w:ind w:firstLine="0" w:firstLineChars="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drawing>
                <wp:inline distT="0" distB="0" distL="114300" distR="114300">
                  <wp:extent cx="2765425" cy="2736215"/>
                  <wp:effectExtent l="0" t="0" r="15875" b="6985"/>
                  <wp:docPr id="2" name="图片 2" descr="17203934343167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039343431675786"/>
                          <pic:cNvPicPr>
                            <a:picLocks noChangeAspect="1"/>
                          </pic:cNvPicPr>
                        </pic:nvPicPr>
                        <pic:blipFill>
                          <a:blip r:embed="rId54"/>
                          <a:stretch>
                            <a:fillRect/>
                          </a:stretch>
                        </pic:blipFill>
                        <pic:spPr>
                          <a:xfrm>
                            <a:off x="0" y="0"/>
                            <a:ext cx="2765425" cy="2736215"/>
                          </a:xfrm>
                          <a:prstGeom prst="rect">
                            <a:avLst/>
                          </a:prstGeom>
                        </pic:spPr>
                      </pic:pic>
                    </a:graphicData>
                  </a:graphic>
                </wp:inline>
              </w:drawing>
            </w:r>
          </w:p>
          <w:p>
            <w:pPr>
              <w:pStyle w:val="2"/>
              <w:ind w:firstLine="1205" w:firstLineChars="50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z w:val="24"/>
                <w:szCs w:val="24"/>
                <w:lang w:val="en-US" w:eastAsia="zh-CN"/>
              </w:rPr>
              <w:t>危险废物暂存处</w:t>
            </w:r>
          </w:p>
        </w:tc>
      </w:tr>
    </w:tbl>
    <w:p>
      <w:pPr>
        <w:pStyle w:val="2"/>
        <w:ind w:firstLine="883"/>
        <w:rPr>
          <w:rFonts w:hint="default" w:ascii="Times New Roman" w:hAnsi="Times New Roman" w:cs="Times New Roman"/>
          <w:color w:val="auto"/>
        </w:rPr>
      </w:pPr>
    </w:p>
    <w:p>
      <w:pPr>
        <w:tabs>
          <w:tab w:val="left" w:pos="2908"/>
        </w:tabs>
        <w:ind w:left="0" w:leftChars="0" w:firstLine="0" w:firstLineChars="0"/>
        <w:jc w:val="left"/>
        <w:rPr>
          <w:rFonts w:hint="default" w:ascii="Times New Roman" w:hAnsi="Times New Roman" w:cs="Times New Roman"/>
          <w:color w:val="auto"/>
        </w:rPr>
      </w:pPr>
    </w:p>
    <w:sectPr>
      <w:headerReference r:id="rId14" w:type="default"/>
      <w:pgSz w:w="11906" w:h="16838"/>
      <w:pgMar w:top="1080" w:right="1440" w:bottom="108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spacing w:line="240" w:lineRule="auto"/>
      <w:ind w:firstLine="666" w:firstLineChars="0"/>
    </w:pPr>
    <w:r>
      <w:pict>
        <v:shape id="_x0000_s3075" o:spid="_x0000_s307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path/>
          <v:fill on="f" focussize="0,0"/>
          <v:stroke on="f" weight="0.5pt" joinstyle="miter"/>
          <v:imagedata o:title=""/>
          <o:lock v:ext="edit"/>
          <v:textbox inset="0mm,0mm,0mm,0mm" style="mso-fit-shape-to-text:t;">
            <w:txbxContent>
              <w:p>
                <w:pPr>
                  <w:pStyle w:val="15"/>
                  <w:ind w:firstLine="360"/>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w:t>
                </w:r>
              </w:p>
            </w:txbxContent>
          </v:textbox>
        </v:shape>
      </w:pict>
    </w:r>
    <w:r>
      <w:pict>
        <v:shape id="_x0000_s3074" o:spid="_x0000_s3074"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path/>
          <v:fill on="f" focussize="0,0"/>
          <v:stroke on="f" weight="0.5pt" joinstyle="miter"/>
          <v:imagedata o:title=""/>
          <o:lock v:ext="edit"/>
          <v:textbox inset="0mm,0mm,0mm,0mm" style="mso-fit-shape-to-text:t;">
            <w:txbxContent>
              <w:p>
                <w:pPr>
                  <w:pStyle w:val="15"/>
                  <w:ind w:firstLine="360"/>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szCs w:val="21"/>
      </w:rPr>
    </w:pPr>
    <w:r>
      <w:pict>
        <v:shape id="_x0000_s3073" o:spid="_x0000_s3073"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p>
                <w:pPr>
                  <w:pStyle w:val="15"/>
                  <w:ind w:firstLine="360"/>
                </w:pPr>
                <w:r>
                  <w:rPr>
                    <w:rFonts w:hint="eastAsia"/>
                  </w:rPr>
                  <w:t xml:space="preserve">第 </w:t>
                </w:r>
                <w:r>
                  <w:fldChar w:fldCharType="begin"/>
                </w:r>
                <w:r>
                  <w:instrText xml:space="preserve"> PAGE  \* MERGEFORMAT </w:instrText>
                </w:r>
                <w:r>
                  <w:fldChar w:fldCharType="separate"/>
                </w:r>
                <w:r>
                  <w:t>44</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360"/>
      <w:jc w:val="center"/>
    </w:pPr>
    <w:r>
      <w:rPr>
        <w:rFonts w:hint="eastAsia"/>
      </w:rPr>
      <w:t>益阳市银海环保科技有限公司年收贮废旧铅酸蓄电池1万吨建设项目竣工环境保护验收监测报告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360"/>
      <w:jc w:val="center"/>
    </w:pPr>
    <w:r>
      <w:rPr>
        <w:rFonts w:hint="eastAsia"/>
      </w:rPr>
      <w:t>益阳市银海环保科技有限公司年收贮废旧铅酸蓄电池1万吨建设项目竣工环境保护验收监测报告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360"/>
      <w:jc w:val="center"/>
    </w:pPr>
    <w:r>
      <w:rPr>
        <w:rFonts w:hint="eastAsia"/>
      </w:rPr>
      <w:t>益阳市银海环保科技有限公司年收贮废旧铅酸蓄电池1万吨建设项目竣工环境保护验收监测报告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360"/>
      <w:jc w:val="center"/>
    </w:pPr>
    <w:r>
      <w:rPr>
        <w:rFonts w:hint="eastAsia"/>
      </w:rPr>
      <w:t>益阳市银海环保科技有限公司年收贮废旧铅酸蓄电池1万吨建设项目竣工环境保护验收监测报告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EE088"/>
    <w:multiLevelType w:val="singleLevel"/>
    <w:tmpl w:val="58BEE088"/>
    <w:lvl w:ilvl="0" w:tentative="0">
      <w:start w:val="1"/>
      <w:numFmt w:val="lowerLetter"/>
      <w:suff w:val="space"/>
      <w:lvlText w:val="%1."/>
      <w:lvlJc w:val="left"/>
    </w:lvl>
  </w:abstractNum>
  <w:abstractNum w:abstractNumId="1">
    <w:nsid w:val="58BEE5E1"/>
    <w:multiLevelType w:val="singleLevel"/>
    <w:tmpl w:val="58BEE5E1"/>
    <w:lvl w:ilvl="0" w:tentative="0">
      <w:start w:val="1"/>
      <w:numFmt w:val="low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422F1"/>
    <w:rsid w:val="000E755A"/>
    <w:rsid w:val="00172A27"/>
    <w:rsid w:val="001A0871"/>
    <w:rsid w:val="001A4B80"/>
    <w:rsid w:val="001F17C4"/>
    <w:rsid w:val="00376401"/>
    <w:rsid w:val="004E4344"/>
    <w:rsid w:val="00514AB8"/>
    <w:rsid w:val="00732720"/>
    <w:rsid w:val="0087465D"/>
    <w:rsid w:val="00AA08FF"/>
    <w:rsid w:val="00C74D2E"/>
    <w:rsid w:val="00CC2D0E"/>
    <w:rsid w:val="00DF1BD1"/>
    <w:rsid w:val="00F422A8"/>
    <w:rsid w:val="00F5695F"/>
    <w:rsid w:val="00F92C06"/>
    <w:rsid w:val="00FA16A1"/>
    <w:rsid w:val="00FE604D"/>
    <w:rsid w:val="010848B7"/>
    <w:rsid w:val="01604327"/>
    <w:rsid w:val="018C71B9"/>
    <w:rsid w:val="01F02AAE"/>
    <w:rsid w:val="01FD6829"/>
    <w:rsid w:val="022270D0"/>
    <w:rsid w:val="025A30A5"/>
    <w:rsid w:val="02DA53E6"/>
    <w:rsid w:val="038D15AB"/>
    <w:rsid w:val="043E22FA"/>
    <w:rsid w:val="055B1BBB"/>
    <w:rsid w:val="05845312"/>
    <w:rsid w:val="058F140F"/>
    <w:rsid w:val="05BF2029"/>
    <w:rsid w:val="06CF5EEB"/>
    <w:rsid w:val="071B2B4B"/>
    <w:rsid w:val="077E640A"/>
    <w:rsid w:val="078D3A50"/>
    <w:rsid w:val="07BE6802"/>
    <w:rsid w:val="082624EE"/>
    <w:rsid w:val="09183C00"/>
    <w:rsid w:val="09227759"/>
    <w:rsid w:val="09BC3218"/>
    <w:rsid w:val="09DA361A"/>
    <w:rsid w:val="0AAA109A"/>
    <w:rsid w:val="0B103CD9"/>
    <w:rsid w:val="0B3D7764"/>
    <w:rsid w:val="0B5C0DE7"/>
    <w:rsid w:val="0BB1106E"/>
    <w:rsid w:val="0BBE37EE"/>
    <w:rsid w:val="0BFB6FF7"/>
    <w:rsid w:val="0C2B7167"/>
    <w:rsid w:val="0C846F7E"/>
    <w:rsid w:val="0D3F5CF7"/>
    <w:rsid w:val="0DC54C21"/>
    <w:rsid w:val="0E026A58"/>
    <w:rsid w:val="0E3F1DC5"/>
    <w:rsid w:val="0E4B44DD"/>
    <w:rsid w:val="0E53762D"/>
    <w:rsid w:val="0EAE634A"/>
    <w:rsid w:val="0EB35B2F"/>
    <w:rsid w:val="0F156C92"/>
    <w:rsid w:val="1016688A"/>
    <w:rsid w:val="102D09CF"/>
    <w:rsid w:val="104F5AAE"/>
    <w:rsid w:val="10561BE3"/>
    <w:rsid w:val="116D7F93"/>
    <w:rsid w:val="116F4A74"/>
    <w:rsid w:val="1177763C"/>
    <w:rsid w:val="11895C00"/>
    <w:rsid w:val="12262519"/>
    <w:rsid w:val="12635766"/>
    <w:rsid w:val="12AC1E6E"/>
    <w:rsid w:val="12AE158C"/>
    <w:rsid w:val="14D45AB9"/>
    <w:rsid w:val="14FC5B9D"/>
    <w:rsid w:val="150B746D"/>
    <w:rsid w:val="151A499B"/>
    <w:rsid w:val="158402A9"/>
    <w:rsid w:val="15D151E7"/>
    <w:rsid w:val="15E460D6"/>
    <w:rsid w:val="15F02B77"/>
    <w:rsid w:val="16186585"/>
    <w:rsid w:val="16752B7F"/>
    <w:rsid w:val="167E4DA9"/>
    <w:rsid w:val="16F01E0F"/>
    <w:rsid w:val="16FE4CA2"/>
    <w:rsid w:val="175B4105"/>
    <w:rsid w:val="18CB3FD6"/>
    <w:rsid w:val="18FC04C4"/>
    <w:rsid w:val="198E0DF5"/>
    <w:rsid w:val="19D619ED"/>
    <w:rsid w:val="1A403614"/>
    <w:rsid w:val="1AB02651"/>
    <w:rsid w:val="1B252806"/>
    <w:rsid w:val="1BFD7DDF"/>
    <w:rsid w:val="1C043E76"/>
    <w:rsid w:val="1C051D87"/>
    <w:rsid w:val="1C734F94"/>
    <w:rsid w:val="1D332ED7"/>
    <w:rsid w:val="1D851452"/>
    <w:rsid w:val="1DDC40D3"/>
    <w:rsid w:val="1DFD4CE1"/>
    <w:rsid w:val="1F0C2344"/>
    <w:rsid w:val="1F4E51C2"/>
    <w:rsid w:val="1F5431D3"/>
    <w:rsid w:val="1F634801"/>
    <w:rsid w:val="1FFC027D"/>
    <w:rsid w:val="20512FC2"/>
    <w:rsid w:val="20CD5029"/>
    <w:rsid w:val="20E242F0"/>
    <w:rsid w:val="216E5ECA"/>
    <w:rsid w:val="21753FA3"/>
    <w:rsid w:val="217635C2"/>
    <w:rsid w:val="21E4730C"/>
    <w:rsid w:val="22137574"/>
    <w:rsid w:val="22443E57"/>
    <w:rsid w:val="227C1B4E"/>
    <w:rsid w:val="23055295"/>
    <w:rsid w:val="230E465F"/>
    <w:rsid w:val="23D93CDB"/>
    <w:rsid w:val="240D0EF0"/>
    <w:rsid w:val="2446361B"/>
    <w:rsid w:val="24705D3B"/>
    <w:rsid w:val="252F06B5"/>
    <w:rsid w:val="25630AAC"/>
    <w:rsid w:val="263A1237"/>
    <w:rsid w:val="2689348E"/>
    <w:rsid w:val="26E62219"/>
    <w:rsid w:val="27281200"/>
    <w:rsid w:val="274063D0"/>
    <w:rsid w:val="2744144A"/>
    <w:rsid w:val="27964BDD"/>
    <w:rsid w:val="28477CF2"/>
    <w:rsid w:val="288C214A"/>
    <w:rsid w:val="29245637"/>
    <w:rsid w:val="29686160"/>
    <w:rsid w:val="297F10CA"/>
    <w:rsid w:val="29DF4357"/>
    <w:rsid w:val="2A443C4C"/>
    <w:rsid w:val="2B336497"/>
    <w:rsid w:val="2B7A6DF2"/>
    <w:rsid w:val="2B9D73BD"/>
    <w:rsid w:val="2BD43F53"/>
    <w:rsid w:val="2CAC08AE"/>
    <w:rsid w:val="2CD1159F"/>
    <w:rsid w:val="2D7C1769"/>
    <w:rsid w:val="2D7D19A3"/>
    <w:rsid w:val="2F274505"/>
    <w:rsid w:val="2F713FBE"/>
    <w:rsid w:val="300413E7"/>
    <w:rsid w:val="30810991"/>
    <w:rsid w:val="30BC78A1"/>
    <w:rsid w:val="328E25C8"/>
    <w:rsid w:val="32AE43E0"/>
    <w:rsid w:val="32D863B1"/>
    <w:rsid w:val="32F07C0B"/>
    <w:rsid w:val="32F85577"/>
    <w:rsid w:val="3304253F"/>
    <w:rsid w:val="33B04CF9"/>
    <w:rsid w:val="33FC651F"/>
    <w:rsid w:val="34B01408"/>
    <w:rsid w:val="34B8158F"/>
    <w:rsid w:val="34C53769"/>
    <w:rsid w:val="34D04A78"/>
    <w:rsid w:val="35943FC0"/>
    <w:rsid w:val="35CF675E"/>
    <w:rsid w:val="3618622D"/>
    <w:rsid w:val="36192EBC"/>
    <w:rsid w:val="36240F18"/>
    <w:rsid w:val="36343B6B"/>
    <w:rsid w:val="367C52FB"/>
    <w:rsid w:val="36A27854"/>
    <w:rsid w:val="36FC7560"/>
    <w:rsid w:val="37194253"/>
    <w:rsid w:val="374875FB"/>
    <w:rsid w:val="37657FCE"/>
    <w:rsid w:val="377076DC"/>
    <w:rsid w:val="37B56B41"/>
    <w:rsid w:val="37FB0051"/>
    <w:rsid w:val="37FF22BB"/>
    <w:rsid w:val="38B97950"/>
    <w:rsid w:val="395B5382"/>
    <w:rsid w:val="39964DCA"/>
    <w:rsid w:val="3A0C44B5"/>
    <w:rsid w:val="3AA650CC"/>
    <w:rsid w:val="3ADF5681"/>
    <w:rsid w:val="3AEC4DC0"/>
    <w:rsid w:val="3B386860"/>
    <w:rsid w:val="3B457405"/>
    <w:rsid w:val="3B87094A"/>
    <w:rsid w:val="3BC96B6C"/>
    <w:rsid w:val="3C07087A"/>
    <w:rsid w:val="3C3848E4"/>
    <w:rsid w:val="3C58696B"/>
    <w:rsid w:val="3C5A25BA"/>
    <w:rsid w:val="3C72178A"/>
    <w:rsid w:val="3DCF3EA1"/>
    <w:rsid w:val="3F5C151B"/>
    <w:rsid w:val="3FA92DE3"/>
    <w:rsid w:val="3FB53138"/>
    <w:rsid w:val="401870BC"/>
    <w:rsid w:val="405242A5"/>
    <w:rsid w:val="4197117E"/>
    <w:rsid w:val="41BB209E"/>
    <w:rsid w:val="42156CFB"/>
    <w:rsid w:val="42522902"/>
    <w:rsid w:val="42807350"/>
    <w:rsid w:val="43034F78"/>
    <w:rsid w:val="43250F09"/>
    <w:rsid w:val="43394022"/>
    <w:rsid w:val="43CB20AD"/>
    <w:rsid w:val="441B16CD"/>
    <w:rsid w:val="443969BC"/>
    <w:rsid w:val="44491608"/>
    <w:rsid w:val="44FF1CFC"/>
    <w:rsid w:val="451A3E0B"/>
    <w:rsid w:val="45E1303C"/>
    <w:rsid w:val="475F22F5"/>
    <w:rsid w:val="47B57C0C"/>
    <w:rsid w:val="47F819EC"/>
    <w:rsid w:val="484E6FF0"/>
    <w:rsid w:val="499D2DD0"/>
    <w:rsid w:val="49CD45A1"/>
    <w:rsid w:val="4A805F1D"/>
    <w:rsid w:val="4A81441F"/>
    <w:rsid w:val="4A8C46A0"/>
    <w:rsid w:val="4AA715AB"/>
    <w:rsid w:val="4B974DE7"/>
    <w:rsid w:val="4C4F1F22"/>
    <w:rsid w:val="4CD96E33"/>
    <w:rsid w:val="4D7E07B3"/>
    <w:rsid w:val="4E6078D3"/>
    <w:rsid w:val="500A4401"/>
    <w:rsid w:val="50CA3512"/>
    <w:rsid w:val="50CC4240"/>
    <w:rsid w:val="50CF4D05"/>
    <w:rsid w:val="510C14D8"/>
    <w:rsid w:val="51BD05AC"/>
    <w:rsid w:val="51F31649"/>
    <w:rsid w:val="52944EB3"/>
    <w:rsid w:val="533E00C8"/>
    <w:rsid w:val="534D0337"/>
    <w:rsid w:val="539B1148"/>
    <w:rsid w:val="545152E9"/>
    <w:rsid w:val="54820A88"/>
    <w:rsid w:val="54A32642"/>
    <w:rsid w:val="54D032B1"/>
    <w:rsid w:val="54DF7BAA"/>
    <w:rsid w:val="55633B78"/>
    <w:rsid w:val="559B4D66"/>
    <w:rsid w:val="5612439D"/>
    <w:rsid w:val="5638226F"/>
    <w:rsid w:val="565F38B4"/>
    <w:rsid w:val="568058B3"/>
    <w:rsid w:val="56DF0B9D"/>
    <w:rsid w:val="57712CF7"/>
    <w:rsid w:val="578A38D8"/>
    <w:rsid w:val="57B53BA6"/>
    <w:rsid w:val="585D0EB7"/>
    <w:rsid w:val="58E00868"/>
    <w:rsid w:val="58F67117"/>
    <w:rsid w:val="595746BA"/>
    <w:rsid w:val="59A42828"/>
    <w:rsid w:val="59C06977"/>
    <w:rsid w:val="5A254395"/>
    <w:rsid w:val="5A985801"/>
    <w:rsid w:val="5B0C2362"/>
    <w:rsid w:val="5B9053AC"/>
    <w:rsid w:val="5BDB3C61"/>
    <w:rsid w:val="5C284AF5"/>
    <w:rsid w:val="5D3F1969"/>
    <w:rsid w:val="5D476518"/>
    <w:rsid w:val="5D8E36E9"/>
    <w:rsid w:val="5DCD185C"/>
    <w:rsid w:val="5F4B24DA"/>
    <w:rsid w:val="5F667E1D"/>
    <w:rsid w:val="5FF75A63"/>
    <w:rsid w:val="60115909"/>
    <w:rsid w:val="60D35C92"/>
    <w:rsid w:val="60FA65E6"/>
    <w:rsid w:val="612552C0"/>
    <w:rsid w:val="612C5420"/>
    <w:rsid w:val="616D2A1D"/>
    <w:rsid w:val="61953959"/>
    <w:rsid w:val="61D70089"/>
    <w:rsid w:val="621837F0"/>
    <w:rsid w:val="626F296E"/>
    <w:rsid w:val="62935E08"/>
    <w:rsid w:val="62CA42CA"/>
    <w:rsid w:val="6326564A"/>
    <w:rsid w:val="63435375"/>
    <w:rsid w:val="6388774A"/>
    <w:rsid w:val="646513BA"/>
    <w:rsid w:val="64D039F0"/>
    <w:rsid w:val="64FA5D45"/>
    <w:rsid w:val="65242931"/>
    <w:rsid w:val="656B3007"/>
    <w:rsid w:val="657F41FF"/>
    <w:rsid w:val="663F0C1E"/>
    <w:rsid w:val="66457150"/>
    <w:rsid w:val="6690029B"/>
    <w:rsid w:val="66AE69EA"/>
    <w:rsid w:val="66B948E5"/>
    <w:rsid w:val="66C94817"/>
    <w:rsid w:val="66DD5540"/>
    <w:rsid w:val="677E38B3"/>
    <w:rsid w:val="67DC1595"/>
    <w:rsid w:val="68DA319F"/>
    <w:rsid w:val="69310E1C"/>
    <w:rsid w:val="69547134"/>
    <w:rsid w:val="69C3014F"/>
    <w:rsid w:val="6AA12287"/>
    <w:rsid w:val="6B1C4A61"/>
    <w:rsid w:val="6B81786D"/>
    <w:rsid w:val="6BB26290"/>
    <w:rsid w:val="6C2C3234"/>
    <w:rsid w:val="6C5414DF"/>
    <w:rsid w:val="6C637A83"/>
    <w:rsid w:val="6C692EC8"/>
    <w:rsid w:val="6CDD67BC"/>
    <w:rsid w:val="6D1F266E"/>
    <w:rsid w:val="6D56659F"/>
    <w:rsid w:val="6D825315"/>
    <w:rsid w:val="6D8354DE"/>
    <w:rsid w:val="6D960D61"/>
    <w:rsid w:val="6DBB508D"/>
    <w:rsid w:val="6DFC457D"/>
    <w:rsid w:val="6DFE30F8"/>
    <w:rsid w:val="6E485769"/>
    <w:rsid w:val="6EF44287"/>
    <w:rsid w:val="6F6B6D30"/>
    <w:rsid w:val="6FDB16D2"/>
    <w:rsid w:val="70564882"/>
    <w:rsid w:val="705D0CE3"/>
    <w:rsid w:val="70A75EA5"/>
    <w:rsid w:val="70CF2A7F"/>
    <w:rsid w:val="71227DA7"/>
    <w:rsid w:val="72563620"/>
    <w:rsid w:val="729E57BE"/>
    <w:rsid w:val="72A37D01"/>
    <w:rsid w:val="72A85481"/>
    <w:rsid w:val="72D45211"/>
    <w:rsid w:val="72E61494"/>
    <w:rsid w:val="72F21A23"/>
    <w:rsid w:val="730D52DE"/>
    <w:rsid w:val="734E431A"/>
    <w:rsid w:val="735C30B2"/>
    <w:rsid w:val="73E500A3"/>
    <w:rsid w:val="73EE1DC2"/>
    <w:rsid w:val="740149C0"/>
    <w:rsid w:val="74B637D4"/>
    <w:rsid w:val="74C03565"/>
    <w:rsid w:val="74D72274"/>
    <w:rsid w:val="752E309C"/>
    <w:rsid w:val="75BD5936"/>
    <w:rsid w:val="762370F0"/>
    <w:rsid w:val="765C67DC"/>
    <w:rsid w:val="76641CAB"/>
    <w:rsid w:val="769A52B3"/>
    <w:rsid w:val="774F6A91"/>
    <w:rsid w:val="775F17A6"/>
    <w:rsid w:val="786B2DE7"/>
    <w:rsid w:val="78D31066"/>
    <w:rsid w:val="78D34DF9"/>
    <w:rsid w:val="796D29B8"/>
    <w:rsid w:val="7A2F17EE"/>
    <w:rsid w:val="7AE0301C"/>
    <w:rsid w:val="7BB44EBD"/>
    <w:rsid w:val="7C1354BA"/>
    <w:rsid w:val="7C3E1528"/>
    <w:rsid w:val="7C585987"/>
    <w:rsid w:val="7CDD5B06"/>
    <w:rsid w:val="7D366625"/>
    <w:rsid w:val="7FB35EEE"/>
    <w:rsid w:val="7FDA3B64"/>
    <w:rsid w:val="7FE80736"/>
    <w:rsid w:val="7FE866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360" w:firstLineChars="200"/>
      <w:jc w:val="both"/>
    </w:pPr>
    <w:rPr>
      <w:rFonts w:ascii="Calibri" w:hAnsi="Calibri" w:eastAsiaTheme="minorEastAsia" w:cstheme="minorBidi"/>
      <w:kern w:val="2"/>
      <w:sz w:val="24"/>
      <w:szCs w:val="22"/>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link w:val="43"/>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5"/>
    <w:unhideWhenUsed/>
    <w:qFormat/>
    <w:uiPriority w:val="0"/>
    <w:pPr>
      <w:keepNext/>
      <w:keepLines/>
      <w:spacing w:line="413" w:lineRule="auto"/>
      <w:outlineLvl w:val="2"/>
    </w:pPr>
    <w:rPr>
      <w:b/>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First Indent"/>
    <w:basedOn w:val="1"/>
    <w:qFormat/>
    <w:uiPriority w:val="0"/>
    <w:pPr>
      <w:overflowPunct w:val="0"/>
      <w:autoSpaceDE w:val="0"/>
      <w:autoSpaceDN w:val="0"/>
      <w:adjustRightInd w:val="0"/>
      <w:ind w:firstLine="539"/>
      <w:textAlignment w:val="baseline"/>
    </w:pPr>
    <w:rPr>
      <w:rFonts w:ascii="仿宋_GB2312" w:eastAsia="仿宋_GB2312"/>
      <w:color w:val="000000"/>
      <w:kern w:val="0"/>
      <w:position w:val="-2"/>
      <w:sz w:val="28"/>
      <w:szCs w:val="20"/>
    </w:rPr>
  </w:style>
  <w:style w:type="paragraph" w:styleId="6">
    <w:name w:val="Normal Indent"/>
    <w:basedOn w:val="1"/>
    <w:qFormat/>
    <w:uiPriority w:val="0"/>
    <w:pPr>
      <w:ind w:firstLine="420"/>
    </w:pPr>
    <w:rPr>
      <w:szCs w:val="24"/>
    </w:rPr>
  </w:style>
  <w:style w:type="paragraph" w:styleId="7">
    <w:name w:val="Document Map"/>
    <w:basedOn w:val="1"/>
    <w:link w:val="65"/>
    <w:qFormat/>
    <w:uiPriority w:val="0"/>
    <w:rPr>
      <w:rFonts w:ascii="宋体" w:eastAsia="宋体"/>
      <w:sz w:val="18"/>
      <w:szCs w:val="18"/>
    </w:rPr>
  </w:style>
  <w:style w:type="paragraph" w:styleId="8">
    <w:name w:val="annotation text"/>
    <w:basedOn w:val="1"/>
    <w:link w:val="67"/>
    <w:qFormat/>
    <w:uiPriority w:val="0"/>
    <w:pPr>
      <w:jc w:val="left"/>
    </w:pPr>
  </w:style>
  <w:style w:type="paragraph" w:styleId="9">
    <w:name w:val="Body Text"/>
    <w:basedOn w:val="1"/>
    <w:qFormat/>
    <w:uiPriority w:val="0"/>
    <w:pPr>
      <w:spacing w:line="500" w:lineRule="exact"/>
      <w:ind w:firstLine="880"/>
    </w:pPr>
    <w:rPr>
      <w:rFonts w:ascii="宋体" w:hAnsi="宋体"/>
    </w:rPr>
  </w:style>
  <w:style w:type="paragraph" w:styleId="10">
    <w:name w:val="Body Text Indent"/>
    <w:basedOn w:val="1"/>
    <w:qFormat/>
    <w:uiPriority w:val="0"/>
    <w:pPr>
      <w:ind w:firstLine="600"/>
    </w:pPr>
    <w:rPr>
      <w:rFonts w:ascii="宋体"/>
      <w:sz w:val="30"/>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Body Text Indent 2"/>
    <w:basedOn w:val="1"/>
    <w:qFormat/>
    <w:uiPriority w:val="0"/>
    <w:pPr>
      <w:spacing w:after="120" w:line="480" w:lineRule="auto"/>
      <w:ind w:left="420" w:leftChars="200"/>
    </w:pPr>
    <w:rPr>
      <w:rFonts w:ascii="Times New Roman" w:hAnsi="Times New Roman" w:eastAsia="宋体" w:cs="Times New Roman"/>
      <w:szCs w:val="20"/>
    </w:rPr>
  </w:style>
  <w:style w:type="paragraph" w:styleId="14">
    <w:name w:val="Balloon Text"/>
    <w:basedOn w:val="1"/>
    <w:link w:val="66"/>
    <w:qFormat/>
    <w:uiPriority w:val="0"/>
    <w:pPr>
      <w:spacing w:line="240" w:lineRule="auto"/>
    </w:pPr>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cs="宋体"/>
      <w:kern w:val="0"/>
    </w:rPr>
  </w:style>
  <w:style w:type="paragraph" w:styleId="20">
    <w:name w:val="annotation subject"/>
    <w:basedOn w:val="8"/>
    <w:next w:val="8"/>
    <w:link w:val="68"/>
    <w:qFormat/>
    <w:uiPriority w:val="0"/>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basedOn w:val="23"/>
    <w:unhideWhenUsed/>
    <w:qFormat/>
    <w:uiPriority w:val="0"/>
    <w:rPr>
      <w:rFonts w:hint="default"/>
      <w:sz w:val="24"/>
    </w:rPr>
  </w:style>
  <w:style w:type="character" w:styleId="26">
    <w:name w:val="FollowedHyperlink"/>
    <w:basedOn w:val="23"/>
    <w:qFormat/>
    <w:uiPriority w:val="0"/>
    <w:rPr>
      <w:color w:val="666666"/>
      <w:u w:val="none"/>
    </w:rPr>
  </w:style>
  <w:style w:type="character" w:styleId="27">
    <w:name w:val="Hyperlink"/>
    <w:basedOn w:val="23"/>
    <w:qFormat/>
    <w:uiPriority w:val="0"/>
    <w:rPr>
      <w:color w:val="666666"/>
      <w:u w:val="none"/>
    </w:rPr>
  </w:style>
  <w:style w:type="character" w:styleId="28">
    <w:name w:val="annotation reference"/>
    <w:basedOn w:val="23"/>
    <w:qFormat/>
    <w:uiPriority w:val="0"/>
    <w:rPr>
      <w:sz w:val="21"/>
      <w:szCs w:val="21"/>
    </w:rPr>
  </w:style>
  <w:style w:type="paragraph" w:customStyle="1" w:styleId="29">
    <w:name w:val="样式 行距: 固定值 24 磅 首行缩进:  2 字符"/>
    <w:basedOn w:val="1"/>
    <w:qFormat/>
    <w:uiPriority w:val="0"/>
    <w:pPr>
      <w:spacing w:line="480" w:lineRule="exact"/>
      <w:ind w:firstLine="480"/>
    </w:pPr>
    <w:rPr>
      <w:rFonts w:cs="宋体"/>
    </w:rPr>
  </w:style>
  <w:style w:type="paragraph" w:customStyle="1" w:styleId="30">
    <w:name w:val="表格1"/>
    <w:basedOn w:val="1"/>
    <w:qFormat/>
    <w:uiPriority w:val="0"/>
    <w:pPr>
      <w:jc w:val="center"/>
    </w:pPr>
    <w:rPr>
      <w:sz w:val="21"/>
    </w:rPr>
  </w:style>
  <w:style w:type="paragraph" w:customStyle="1" w:styleId="31">
    <w:name w:val="表格内容"/>
    <w:basedOn w:val="1"/>
    <w:semiHidden/>
    <w:qFormat/>
    <w:uiPriority w:val="0"/>
    <w:pPr>
      <w:spacing w:line="240" w:lineRule="atLeast"/>
      <w:ind w:right="-86" w:rightChars="-36"/>
      <w:jc w:val="center"/>
    </w:pPr>
    <w:rPr>
      <w:sz w:val="21"/>
      <w:szCs w:val="21"/>
    </w:rPr>
  </w:style>
  <w:style w:type="paragraph" w:customStyle="1" w:styleId="32">
    <w:name w:val="表文字"/>
    <w:basedOn w:val="1"/>
    <w:qFormat/>
    <w:uiPriority w:val="0"/>
    <w:pPr>
      <w:overflowPunct w:val="0"/>
      <w:autoSpaceDE w:val="0"/>
      <w:autoSpaceDN w:val="0"/>
      <w:adjustRightInd w:val="0"/>
      <w:spacing w:line="240" w:lineRule="atLeast"/>
    </w:pPr>
    <w:rPr>
      <w:rFonts w:ascii="Times New Roman" w:hAnsi="Times New Roman" w:eastAsia="宋体" w:cs="Times New Roman"/>
      <w:kern w:val="0"/>
      <w:szCs w:val="20"/>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5">
    <w:name w:val="正文首行缩进2个字"/>
    <w:basedOn w:val="1"/>
    <w:qFormat/>
    <w:uiPriority w:val="0"/>
    <w:pPr>
      <w:ind w:firstLine="200"/>
    </w:pPr>
    <w:rPr>
      <w:rFonts w:ascii="Times New Roman" w:hAnsi="Times New Roman" w:eastAsia="宋体" w:cs="Times New Roman"/>
      <w:spacing w:val="3"/>
      <w:szCs w:val="24"/>
    </w:rPr>
  </w:style>
  <w:style w:type="paragraph" w:customStyle="1" w:styleId="36">
    <w:name w:val="图表标题"/>
    <w:basedOn w:val="1"/>
    <w:qFormat/>
    <w:uiPriority w:val="0"/>
    <w:pPr>
      <w:snapToGrid w:val="0"/>
      <w:spacing w:before="48" w:after="120" w:line="240" w:lineRule="atLeast"/>
      <w:ind w:firstLine="437"/>
      <w:jc w:val="center"/>
      <w:outlineLvl w:val="4"/>
    </w:pPr>
    <w:rPr>
      <w:rFonts w:ascii="Times New Roman" w:hAnsi="Times New Roman" w:eastAsia="黑体" w:cs="Times New Roman"/>
      <w:b/>
      <w:kern w:val="0"/>
      <w:szCs w:val="21"/>
    </w:rPr>
  </w:style>
  <w:style w:type="character" w:customStyle="1" w:styleId="37">
    <w:name w:val="fontstyle01"/>
    <w:basedOn w:val="23"/>
    <w:qFormat/>
    <w:uiPriority w:val="0"/>
    <w:rPr>
      <w:rFonts w:ascii="宋体" w:hAnsi="宋体" w:eastAsia="宋体" w:cs="宋体"/>
      <w:color w:val="FF3300"/>
      <w:sz w:val="48"/>
      <w:szCs w:val="48"/>
    </w:rPr>
  </w:style>
  <w:style w:type="table" w:customStyle="1" w:styleId="38">
    <w:name w:val="网格型1"/>
    <w:basedOn w:val="21"/>
    <w:qFormat/>
    <w:uiPriority w:val="0"/>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39">
    <w:name w:val="表格"/>
    <w:basedOn w:val="40"/>
    <w:next w:val="1"/>
    <w:qFormat/>
    <w:uiPriority w:val="0"/>
    <w:pPr>
      <w:tabs>
        <w:tab w:val="left" w:pos="2700"/>
        <w:tab w:val="left" w:pos="6300"/>
      </w:tabs>
      <w:spacing w:afterLines="0" w:line="240" w:lineRule="auto"/>
      <w:ind w:firstLine="0" w:firstLineChars="0"/>
    </w:pPr>
    <w:rPr>
      <w:rFonts w:ascii="Times New Roman" w:hAnsi="Times New Roman" w:eastAsia="宋体" w:cs="Times New Roman"/>
      <w:sz w:val="21"/>
    </w:rPr>
  </w:style>
  <w:style w:type="paragraph" w:customStyle="1" w:styleId="40">
    <w:name w:val="表头"/>
    <w:basedOn w:val="5"/>
    <w:qFormat/>
    <w:uiPriority w:val="0"/>
    <w:pPr>
      <w:tabs>
        <w:tab w:val="left" w:pos="2700"/>
        <w:tab w:val="left" w:pos="6300"/>
      </w:tabs>
      <w:spacing w:afterLines="30" w:line="500" w:lineRule="exact"/>
      <w:jc w:val="center"/>
    </w:pPr>
    <w:rPr>
      <w:rFonts w:ascii="黑体" w:eastAsia="黑体"/>
    </w:rPr>
  </w:style>
  <w:style w:type="character" w:customStyle="1" w:styleId="41">
    <w:name w:val="fontstyle21"/>
    <w:basedOn w:val="23"/>
    <w:qFormat/>
    <w:uiPriority w:val="0"/>
    <w:rPr>
      <w:rFonts w:ascii="TimesNewRomanPSMT" w:hAnsi="TimesNewRomanPSMT" w:eastAsia="TimesNewRomanPSMT" w:cs="TimesNewRomanPSMT"/>
      <w:color w:val="000000"/>
      <w:sz w:val="24"/>
      <w:szCs w:val="24"/>
    </w:rPr>
  </w:style>
  <w:style w:type="character" w:customStyle="1" w:styleId="42">
    <w:name w:val="fontstyle31"/>
    <w:basedOn w:val="23"/>
    <w:qFormat/>
    <w:uiPriority w:val="0"/>
    <w:rPr>
      <w:rFonts w:ascii="TimesNewRomanPSMT" w:hAnsi="TimesNewRomanPSMT" w:eastAsia="TimesNewRomanPSMT" w:cs="TimesNewRomanPSMT"/>
      <w:color w:val="000000"/>
      <w:sz w:val="22"/>
      <w:szCs w:val="22"/>
    </w:rPr>
  </w:style>
  <w:style w:type="character" w:customStyle="1" w:styleId="43">
    <w:name w:val="标题 2 Char"/>
    <w:link w:val="3"/>
    <w:qFormat/>
    <w:uiPriority w:val="0"/>
    <w:rPr>
      <w:rFonts w:ascii="Arial" w:hAnsi="Arial" w:eastAsia="黑体"/>
      <w:b/>
      <w:sz w:val="32"/>
    </w:rPr>
  </w:style>
  <w:style w:type="paragraph" w:customStyle="1" w:styleId="44">
    <w:name w:val="xl39"/>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hint="eastAsia" w:ascii="仿宋_GB2312" w:hAnsi="宋体" w:eastAsia="仿宋_GB2312"/>
      <w:kern w:val="0"/>
    </w:rPr>
  </w:style>
  <w:style w:type="character" w:customStyle="1" w:styleId="45">
    <w:name w:val="font21"/>
    <w:basedOn w:val="23"/>
    <w:qFormat/>
    <w:uiPriority w:val="0"/>
    <w:rPr>
      <w:rFonts w:hint="default" w:ascii="Verdana" w:hAnsi="Verdana" w:cs="Verdana"/>
      <w:color w:val="0067BB"/>
      <w:sz w:val="19"/>
      <w:szCs w:val="19"/>
      <w:u w:val="none"/>
    </w:rPr>
  </w:style>
  <w:style w:type="paragraph" w:customStyle="1" w:styleId="46">
    <w:name w:val="报告书正文 Char Char Char"/>
    <w:basedOn w:val="1"/>
    <w:qFormat/>
    <w:uiPriority w:val="0"/>
    <w:pPr>
      <w:spacing w:line="300" w:lineRule="auto"/>
      <w:ind w:firstLine="480"/>
    </w:pPr>
    <w:rPr>
      <w:rFonts w:ascii="宋体" w:hAnsi="宋体"/>
      <w:szCs w:val="20"/>
    </w:rPr>
  </w:style>
  <w:style w:type="paragraph" w:customStyle="1" w:styleId="47">
    <w:name w:val="表 图 表头"/>
    <w:basedOn w:val="1"/>
    <w:qFormat/>
    <w:uiPriority w:val="0"/>
    <w:pPr>
      <w:jc w:val="center"/>
    </w:pPr>
    <w:rPr>
      <w:szCs w:val="20"/>
    </w:rPr>
  </w:style>
  <w:style w:type="paragraph" w:customStyle="1" w:styleId="48">
    <w:name w:val="表 图 内容"/>
    <w:basedOn w:val="1"/>
    <w:qFormat/>
    <w:uiPriority w:val="0"/>
    <w:pPr>
      <w:jc w:val="center"/>
    </w:pPr>
    <w:rPr>
      <w:rFonts w:hAnsi="宋体"/>
      <w:color w:val="000000"/>
      <w:sz w:val="21"/>
      <w:szCs w:val="24"/>
    </w:rPr>
  </w:style>
  <w:style w:type="paragraph" w:customStyle="1" w:styleId="49">
    <w:name w:val="正  文"/>
    <w:basedOn w:val="1"/>
    <w:qFormat/>
    <w:uiPriority w:val="0"/>
    <w:pPr>
      <w:ind w:firstLine="480"/>
    </w:pPr>
    <w:rPr>
      <w:szCs w:val="28"/>
    </w:rPr>
  </w:style>
  <w:style w:type="paragraph" w:customStyle="1" w:styleId="50">
    <w:name w:val="表 图 内容备注"/>
    <w:basedOn w:val="48"/>
    <w:qFormat/>
    <w:uiPriority w:val="0"/>
    <w:pPr>
      <w:jc w:val="both"/>
    </w:pPr>
    <w:rPr>
      <w:rFonts w:cs="宋体"/>
      <w:szCs w:val="20"/>
    </w:rPr>
  </w:style>
  <w:style w:type="character" w:customStyle="1" w:styleId="51">
    <w:name w:val="fontstyle11"/>
    <w:basedOn w:val="23"/>
    <w:qFormat/>
    <w:uiPriority w:val="0"/>
    <w:rPr>
      <w:rFonts w:ascii="TimesNewRomanPSMT" w:hAnsi="TimesNewRomanPSMT" w:eastAsia="TimesNewRomanPSMT" w:cs="TimesNewRomanPSMT"/>
      <w:color w:val="000000"/>
      <w:sz w:val="24"/>
      <w:szCs w:val="24"/>
    </w:rPr>
  </w:style>
  <w:style w:type="paragraph" w:customStyle="1" w:styleId="52">
    <w:name w:val="样式 标题 2 + 仿宋_GB2312"/>
    <w:basedOn w:val="3"/>
    <w:qFormat/>
    <w:uiPriority w:val="0"/>
  </w:style>
  <w:style w:type="paragraph" w:customStyle="1" w:styleId="53">
    <w:name w:val="样式 正文缩进 + 四号 加粗 黑色 首行缩进:  2 字符"/>
    <w:basedOn w:val="6"/>
    <w:qFormat/>
    <w:uiPriority w:val="0"/>
    <w:pPr>
      <w:ind w:firstLine="562"/>
    </w:pPr>
    <w:rPr>
      <w:rFonts w:cs="宋体"/>
      <w:b/>
      <w:bCs/>
      <w:color w:val="000000"/>
      <w:sz w:val="28"/>
      <w:szCs w:val="20"/>
    </w:rPr>
  </w:style>
  <w:style w:type="paragraph" w:customStyle="1" w:styleId="54">
    <w:name w:val="样式 标题 1 + 仿宋_GB2312"/>
    <w:basedOn w:val="2"/>
    <w:qFormat/>
    <w:uiPriority w:val="0"/>
    <w:rPr>
      <w:rFonts w:hAnsi="仿宋_GB2312"/>
      <w:color w:val="000000"/>
    </w:rPr>
  </w:style>
  <w:style w:type="paragraph" w:customStyle="1" w:styleId="55">
    <w:name w:val="报告书正文"/>
    <w:basedOn w:val="5"/>
    <w:qFormat/>
    <w:uiPriority w:val="0"/>
    <w:pPr>
      <w:ind w:firstLine="200"/>
    </w:pPr>
    <w:rPr>
      <w:rFonts w:ascii="Times New Roman" w:hAnsi="Times New Roman" w:cs="Times New Roman"/>
      <w:sz w:val="24"/>
    </w:rPr>
  </w:style>
  <w:style w:type="paragraph" w:customStyle="1" w:styleId="56">
    <w:name w:val="样式 首行缩进:  1 厘米 行距: 固定值 25 磅"/>
    <w:basedOn w:val="1"/>
    <w:qFormat/>
    <w:uiPriority w:val="0"/>
    <w:pPr>
      <w:adjustRightInd w:val="0"/>
      <w:ind w:firstLine="200"/>
      <w:jc w:val="left"/>
      <w:textAlignment w:val="baseline"/>
    </w:pPr>
    <w:rPr>
      <w:rFonts w:ascii="宋体" w:hAnsi="Times New Roman" w:cs="宋体"/>
      <w:snapToGrid w:val="0"/>
      <w:kern w:val="24"/>
      <w:szCs w:val="24"/>
    </w:rPr>
  </w:style>
  <w:style w:type="character" w:customStyle="1" w:styleId="57">
    <w:name w:val="10"/>
    <w:basedOn w:val="23"/>
    <w:qFormat/>
    <w:uiPriority w:val="0"/>
    <w:rPr>
      <w:rFonts w:hint="default" w:ascii="Times New Roman" w:hAnsi="Times New Roman" w:cs="Times New Roman"/>
    </w:rPr>
  </w:style>
  <w:style w:type="character" w:customStyle="1" w:styleId="58">
    <w:name w:val="15"/>
    <w:basedOn w:val="23"/>
    <w:qFormat/>
    <w:uiPriority w:val="0"/>
    <w:rPr>
      <w:rFonts w:hint="default" w:ascii="Times New Roman" w:hAnsi="Times New Roman" w:cs="Times New Roman"/>
    </w:rPr>
  </w:style>
  <w:style w:type="paragraph" w:customStyle="1" w:styleId="59">
    <w:name w:val="xl24"/>
    <w:basedOn w:val="1"/>
    <w:qFormat/>
    <w:uiPriority w:val="0"/>
    <w:pPr>
      <w:widowControl/>
      <w:pBdr>
        <w:bottom w:val="single" w:color="000000" w:sz="4" w:space="0"/>
        <w:right w:val="single" w:color="000000" w:sz="4" w:space="0"/>
      </w:pBdr>
      <w:spacing w:before="100" w:beforeAutospacing="1" w:after="100" w:afterAutospacing="1"/>
      <w:jc w:val="center"/>
    </w:pPr>
    <w:rPr>
      <w:kern w:val="0"/>
      <w:szCs w:val="21"/>
    </w:rPr>
  </w:style>
  <w:style w:type="paragraph" w:customStyle="1" w:styleId="60">
    <w:name w:val="样式 表格内容 + 居中"/>
    <w:basedOn w:val="1"/>
    <w:qFormat/>
    <w:uiPriority w:val="0"/>
    <w:pPr>
      <w:jc w:val="center"/>
    </w:pPr>
    <w:rPr>
      <w:rFonts w:cs="宋体"/>
      <w:color w:val="000000"/>
    </w:rPr>
  </w:style>
  <w:style w:type="paragraph" w:customStyle="1" w:styleId="61">
    <w:name w:val="列出段落1"/>
    <w:basedOn w:val="1"/>
    <w:qFormat/>
    <w:uiPriority w:val="0"/>
    <w:pPr>
      <w:tabs>
        <w:tab w:val="left" w:pos="2310"/>
        <w:tab w:val="left" w:pos="3990"/>
        <w:tab w:val="left" w:pos="5460"/>
        <w:tab w:val="left" w:pos="7305"/>
      </w:tabs>
      <w:contextualSpacing/>
    </w:pPr>
    <w:rPr>
      <w:rFonts w:cs="黑体"/>
      <w:szCs w:val="20"/>
    </w:rPr>
  </w:style>
  <w:style w:type="paragraph" w:customStyle="1" w:styleId="62">
    <w:name w:val="Table Paragraph"/>
    <w:basedOn w:val="1"/>
    <w:qFormat/>
    <w:uiPriority w:val="1"/>
  </w:style>
  <w:style w:type="table" w:customStyle="1" w:styleId="63">
    <w:name w:val="Table Normal"/>
    <w:semiHidden/>
    <w:unhideWhenUsed/>
    <w:qFormat/>
    <w:uiPriority w:val="2"/>
    <w:pPr>
      <w:widowControl w:val="0"/>
    </w:pPr>
    <w:rPr>
      <w:sz w:val="22"/>
      <w:lang w:eastAsia="en-US"/>
    </w:rPr>
    <w:tblPr>
      <w:tblLayout w:type="fixed"/>
      <w:tblCellMar>
        <w:top w:w="0" w:type="dxa"/>
        <w:left w:w="0" w:type="dxa"/>
        <w:bottom w:w="0" w:type="dxa"/>
        <w:right w:w="0" w:type="dxa"/>
      </w:tblCellMar>
    </w:tblPr>
  </w:style>
  <w:style w:type="paragraph" w:customStyle="1" w:styleId="6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65">
    <w:name w:val="文档结构图 Char"/>
    <w:basedOn w:val="23"/>
    <w:link w:val="7"/>
    <w:qFormat/>
    <w:uiPriority w:val="0"/>
    <w:rPr>
      <w:rFonts w:ascii="宋体" w:cstheme="minorBidi"/>
      <w:kern w:val="2"/>
      <w:sz w:val="18"/>
      <w:szCs w:val="18"/>
    </w:rPr>
  </w:style>
  <w:style w:type="character" w:customStyle="1" w:styleId="66">
    <w:name w:val="批注框文本 Char"/>
    <w:basedOn w:val="23"/>
    <w:link w:val="14"/>
    <w:qFormat/>
    <w:uiPriority w:val="0"/>
    <w:rPr>
      <w:rFonts w:eastAsiaTheme="minorEastAsia" w:cstheme="minorBidi"/>
      <w:kern w:val="2"/>
      <w:sz w:val="18"/>
      <w:szCs w:val="18"/>
    </w:rPr>
  </w:style>
  <w:style w:type="character" w:customStyle="1" w:styleId="67">
    <w:name w:val="批注文字 Char"/>
    <w:basedOn w:val="23"/>
    <w:link w:val="8"/>
    <w:qFormat/>
    <w:uiPriority w:val="0"/>
    <w:rPr>
      <w:rFonts w:eastAsiaTheme="minorEastAsia" w:cstheme="minorBidi"/>
      <w:kern w:val="2"/>
      <w:sz w:val="24"/>
      <w:szCs w:val="22"/>
    </w:rPr>
  </w:style>
  <w:style w:type="character" w:customStyle="1" w:styleId="68">
    <w:name w:val="批注主题 Char"/>
    <w:basedOn w:val="67"/>
    <w:link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3.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pn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5"/>
    <customShpInfo spid="_x0000_s3074"/>
    <customShpInfo spid="_x0000_s3073"/>
    <customShpInfo spid="_x0000_s1026"/>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4033</Words>
  <Characters>22990</Characters>
  <Lines>191</Lines>
  <Paragraphs>53</Paragraphs>
  <TotalTime>41</TotalTime>
  <ScaleCrop>false</ScaleCrop>
  <LinksUpToDate>false</LinksUpToDate>
  <CharactersWithSpaces>26970</CharactersWithSpaces>
  <Application>WPS Office_11.3.0.8513_F1E327BC-269C-435d-A152-05C5408002CA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2017-08-08T01:39:00Z</dcterms:created>
  <dc:creator>Administrator</dc:creator>
  <cp:lastModifiedBy>周国宏（周文）</cp:lastModifiedBy>
  <cp:lastPrinted>2018-08-04T01:48:00Z</cp:lastPrinted>
  <dcterms:modified xsi:type="dcterms:W3CDTF">2019-04-11T03:05:12Z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