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after="240" w:afterAutospacing="0"/>
        <w:jc w:val="left"/>
      </w:pPr>
    </w:p>
    <w:p>
      <w:pPr>
        <w:keepNext w:val="0"/>
        <w:keepLines w:val="0"/>
        <w:pageBreakBefore w:val="0"/>
        <w:widowControl w:val="0"/>
        <w:kinsoku/>
        <w:wordWrap/>
        <w:overflowPunct/>
        <w:topLinePunct w:val="0"/>
        <w:autoSpaceDE/>
        <w:autoSpaceDN/>
        <w:bidi w:val="0"/>
        <w:adjustRightInd/>
        <w:snapToGrid/>
        <w:spacing w:before="360" w:line="240" w:lineRule="auto"/>
        <w:ind w:left="0" w:leftChars="0" w:right="0" w:rightChars="0" w:firstLine="0" w:firstLineChars="0"/>
        <w:jc w:val="center"/>
        <w:textAlignment w:val="auto"/>
        <w:outlineLvl w:val="9"/>
        <w:rPr>
          <w:sz w:val="52"/>
          <w:szCs w:val="52"/>
        </w:rPr>
      </w:pPr>
      <w:r>
        <w:rPr>
          <w:rFonts w:hint="eastAsia"/>
          <w:b/>
          <w:color w:val="000000"/>
          <w:spacing w:val="20"/>
          <w:sz w:val="52"/>
          <w:szCs w:val="52"/>
          <w:lang w:val="en-US" w:eastAsia="zh-CN"/>
        </w:rPr>
        <w:t>年产</w:t>
      </w:r>
      <w:r>
        <w:rPr>
          <w:rFonts w:hint="default" w:ascii="Times New Roman" w:hAnsi="Times New Roman" w:cs="Times New Roman"/>
          <w:b/>
          <w:color w:val="000000"/>
          <w:spacing w:val="20"/>
          <w:sz w:val="52"/>
          <w:szCs w:val="52"/>
          <w:lang w:val="en-US" w:eastAsia="zh-CN"/>
        </w:rPr>
        <w:t>1000</w:t>
      </w:r>
      <w:r>
        <w:rPr>
          <w:rFonts w:hint="eastAsia"/>
          <w:b/>
          <w:color w:val="000000"/>
          <w:spacing w:val="20"/>
          <w:sz w:val="52"/>
          <w:szCs w:val="52"/>
          <w:lang w:val="en-US" w:eastAsia="zh-CN"/>
        </w:rPr>
        <w:t>吨水溶性蜡生产线建设项目竣工环境</w:t>
      </w:r>
      <w:r>
        <w:rPr>
          <w:b/>
          <w:color w:val="000000"/>
          <w:spacing w:val="20"/>
          <w:sz w:val="52"/>
          <w:szCs w:val="52"/>
        </w:rPr>
        <w:t>验收</w:t>
      </w:r>
      <w:r>
        <w:rPr>
          <w:b/>
          <w:color w:val="000000"/>
          <w:spacing w:val="40"/>
          <w:sz w:val="52"/>
          <w:szCs w:val="52"/>
        </w:rPr>
        <w:t xml:space="preserve">监测报告 </w:t>
      </w:r>
    </w:p>
    <w:p>
      <w:pPr>
        <w:spacing w:before="312" w:beforeLines="100"/>
        <w:jc w:val="center"/>
        <w:rPr>
          <w:rFonts w:hint="default" w:ascii="Times New Roman" w:hAnsi="Times New Roman" w:cs="Times New Roman"/>
          <w:color w:val="auto"/>
          <w:sz w:val="28"/>
          <w:highlight w:val="none"/>
        </w:rPr>
      </w:pPr>
      <w:r>
        <w:rPr>
          <w:rFonts w:hint="default" w:ascii="Times New Roman" w:hAnsi="Times New Roman" w:cs="Times New Roman"/>
          <w:color w:val="auto"/>
          <w:sz w:val="28"/>
          <w:highlight w:val="none"/>
        </w:rPr>
        <w:t>精检竣监［201</w:t>
      </w:r>
      <w:r>
        <w:rPr>
          <w:rFonts w:hint="default" w:ascii="Times New Roman" w:hAnsi="Times New Roman" w:cs="Times New Roman"/>
          <w:color w:val="auto"/>
          <w:sz w:val="28"/>
          <w:highlight w:val="none"/>
          <w:lang w:val="en-US" w:eastAsia="zh-CN"/>
        </w:rPr>
        <w:t>8</w:t>
      </w:r>
      <w:r>
        <w:rPr>
          <w:rFonts w:hint="default" w:ascii="Times New Roman" w:hAnsi="Times New Roman" w:cs="Times New Roman"/>
          <w:color w:val="auto"/>
          <w:sz w:val="28"/>
          <w:highlight w:val="none"/>
        </w:rPr>
        <w:t>］</w:t>
      </w:r>
      <w:r>
        <w:rPr>
          <w:rFonts w:hint="default" w:ascii="Times New Roman" w:hAnsi="Times New Roman" w:cs="Times New Roman"/>
          <w:color w:val="auto"/>
          <w:sz w:val="28"/>
          <w:highlight w:val="none"/>
          <w:lang w:val="en-US" w:eastAsia="zh-CN"/>
        </w:rPr>
        <w:t>181</w:t>
      </w:r>
      <w:r>
        <w:rPr>
          <w:rFonts w:hint="default" w:ascii="Times New Roman" w:hAnsi="Times New Roman" w:cs="Times New Roman"/>
          <w:color w:val="auto"/>
          <w:sz w:val="28"/>
          <w:highlight w:val="none"/>
        </w:rPr>
        <w:t>号</w:t>
      </w:r>
    </w:p>
    <w:p>
      <w:pPr>
        <w:rPr>
          <w:sz w:val="28"/>
        </w:rPr>
      </w:pPr>
    </w:p>
    <w:p>
      <w:pPr>
        <w:rPr>
          <w:sz w:val="28"/>
        </w:rPr>
      </w:pPr>
    </w:p>
    <w:p>
      <w:pPr>
        <w:rPr>
          <w:sz w:val="28"/>
        </w:rPr>
      </w:pPr>
    </w:p>
    <w:p>
      <w:pPr>
        <w:rPr>
          <w:sz w:val="28"/>
        </w:rPr>
      </w:pPr>
    </w:p>
    <w:p>
      <w:pPr>
        <w:ind w:firstLine="1200" w:firstLineChars="400"/>
        <w:rPr>
          <w:sz w:val="30"/>
        </w:rPr>
      </w:pPr>
    </w:p>
    <w:p>
      <w:pPr>
        <w:ind w:firstLine="1200" w:firstLineChars="400"/>
        <w:rPr>
          <w:sz w:val="30"/>
        </w:rPr>
      </w:pPr>
    </w:p>
    <w:p>
      <w:pPr>
        <w:rPr>
          <w:sz w:val="30"/>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1200" w:firstLineChars="400"/>
        <w:jc w:val="both"/>
        <w:textAlignment w:val="auto"/>
        <w:outlineLvl w:val="9"/>
        <w:rPr>
          <w:rFonts w:hint="eastAsia" w:ascii="宋体" w:hAnsi="宋体" w:eastAsiaTheme="minorEastAsia"/>
          <w:sz w:val="30"/>
          <w:lang w:val="en-US" w:eastAsia="zh-CN"/>
        </w:rPr>
      </w:pPr>
      <w:r>
        <w:rPr>
          <w:rFonts w:hint="eastAsia"/>
          <w:sz w:val="30"/>
          <w:lang w:val="en-US" w:eastAsia="zh-CN"/>
        </w:rPr>
        <w:t>建设</w:t>
      </w:r>
      <w:r>
        <w:rPr>
          <w:sz w:val="30"/>
        </w:rPr>
        <w:t>单位：</w:t>
      </w:r>
      <w:r>
        <w:rPr>
          <w:rFonts w:hint="eastAsia"/>
          <w:sz w:val="30"/>
          <w:lang w:val="en-US" w:eastAsia="zh-CN"/>
        </w:rPr>
        <w:t>湖南湘芝新材料有限公司</w:t>
      </w:r>
    </w:p>
    <w:p>
      <w:pPr>
        <w:keepNext w:val="0"/>
        <w:keepLines w:val="0"/>
        <w:pageBreakBefore w:val="0"/>
        <w:widowControl w:val="0"/>
        <w:kinsoku/>
        <w:wordWrap/>
        <w:overflowPunct/>
        <w:topLinePunct w:val="0"/>
        <w:autoSpaceDE/>
        <w:autoSpaceDN/>
        <w:bidi w:val="0"/>
        <w:adjustRightInd/>
        <w:snapToGrid/>
        <w:spacing w:before="313" w:beforeLines="100" w:line="640" w:lineRule="exact"/>
        <w:ind w:right="0" w:rightChars="0" w:firstLine="1200" w:firstLineChars="400"/>
        <w:jc w:val="both"/>
        <w:textAlignment w:val="auto"/>
        <w:outlineLvl w:val="9"/>
        <w:rPr>
          <w:rFonts w:hint="eastAsia" w:ascii="宋体" w:hAnsi="宋体" w:eastAsia="宋体"/>
          <w:sz w:val="30"/>
          <w:lang w:val="en-US" w:eastAsia="zh-CN"/>
        </w:rPr>
      </w:pPr>
      <w:r>
        <w:rPr>
          <w:rFonts w:hint="eastAsia" w:ascii="宋体" w:hAnsi="宋体"/>
          <w:sz w:val="30"/>
          <w:lang w:val="en-US" w:eastAsia="zh-CN"/>
        </w:rPr>
        <w:t>编制单位：湖南精科检测有限公司</w:t>
      </w:r>
    </w:p>
    <w:p>
      <w:pPr>
        <w:ind w:left="493" w:leftChars="235" w:firstLine="800" w:firstLineChars="250"/>
        <w:rPr>
          <w:sz w:val="32"/>
        </w:rPr>
      </w:pPr>
    </w:p>
    <w:p>
      <w:pPr>
        <w:rPr>
          <w:sz w:val="28"/>
        </w:rPr>
      </w:pPr>
    </w:p>
    <w:p>
      <w:pPr>
        <w:rPr>
          <w:sz w:val="28"/>
        </w:rPr>
      </w:pPr>
    </w:p>
    <w:p>
      <w:pPr>
        <w:rPr>
          <w:sz w:val="28"/>
        </w:rPr>
      </w:pPr>
    </w:p>
    <w:p>
      <w:pPr>
        <w:autoSpaceDE w:val="0"/>
        <w:autoSpaceDN w:val="0"/>
        <w:adjustRightInd w:val="0"/>
        <w:spacing w:line="360" w:lineRule="auto"/>
        <w:jc w:val="center"/>
        <w:rPr>
          <w:color w:val="000000"/>
          <w:kern w:val="0"/>
          <w:sz w:val="32"/>
          <w:szCs w:val="32"/>
          <w:highlight w:val="none"/>
          <w:lang w:val="zh-CN"/>
        </w:rPr>
      </w:pPr>
      <w:r>
        <w:rPr>
          <w:color w:val="000000"/>
          <w:kern w:val="0"/>
          <w:sz w:val="32"/>
          <w:szCs w:val="32"/>
          <w:highlight w:val="none"/>
          <w:lang w:val="zh-CN"/>
        </w:rPr>
        <w:t xml:space="preserve">二 </w:t>
      </w:r>
      <w:r>
        <w:rPr>
          <w:color w:val="000000"/>
          <w:kern w:val="0"/>
          <w:sz w:val="32"/>
          <w:szCs w:val="32"/>
          <w:highlight w:val="none"/>
        </w:rPr>
        <w:t xml:space="preserve">O 一 </w:t>
      </w:r>
      <w:r>
        <w:rPr>
          <w:rFonts w:hint="eastAsia"/>
          <w:color w:val="000000"/>
          <w:kern w:val="0"/>
          <w:sz w:val="32"/>
          <w:szCs w:val="32"/>
          <w:highlight w:val="none"/>
          <w:lang w:eastAsia="zh-CN"/>
        </w:rPr>
        <w:t>八</w:t>
      </w:r>
      <w:r>
        <w:rPr>
          <w:color w:val="000000"/>
          <w:kern w:val="0"/>
          <w:sz w:val="32"/>
          <w:szCs w:val="32"/>
          <w:highlight w:val="none"/>
          <w:lang w:val="zh-CN"/>
        </w:rPr>
        <w:t xml:space="preserve"> 年 </w:t>
      </w:r>
      <w:r>
        <w:rPr>
          <w:rFonts w:hint="eastAsia"/>
          <w:color w:val="000000"/>
          <w:kern w:val="0"/>
          <w:sz w:val="32"/>
          <w:szCs w:val="32"/>
          <w:highlight w:val="none"/>
          <w:lang w:val="en-US" w:eastAsia="zh-CN"/>
        </w:rPr>
        <w:t>十二</w:t>
      </w:r>
      <w:r>
        <w:rPr>
          <w:color w:val="000000"/>
          <w:kern w:val="0"/>
          <w:sz w:val="32"/>
          <w:szCs w:val="32"/>
          <w:highlight w:val="none"/>
          <w:lang w:val="zh-CN"/>
        </w:rPr>
        <w:t xml:space="preserve"> 月</w:t>
      </w:r>
    </w:p>
    <w:p>
      <w:pPr>
        <w:autoSpaceDE w:val="0"/>
        <w:autoSpaceDN w:val="0"/>
        <w:adjustRightInd w:val="0"/>
        <w:spacing w:line="360" w:lineRule="auto"/>
        <w:jc w:val="both"/>
        <w:rPr>
          <w:rFonts w:hint="eastAsia"/>
          <w:color w:val="000000"/>
          <w:kern w:val="0"/>
          <w:sz w:val="32"/>
          <w:szCs w:val="32"/>
          <w:lang w:val="en-US" w:eastAsia="zh-CN"/>
        </w:rPr>
      </w:pPr>
      <w:r>
        <w:rPr>
          <w:color w:val="000000"/>
          <w:kern w:val="0"/>
          <w:sz w:val="32"/>
          <w:szCs w:val="32"/>
          <w:lang w:val="zh-CN"/>
        </w:rPr>
        <w:br w:type="page"/>
      </w:r>
      <w:r>
        <w:rPr>
          <w:rFonts w:hint="eastAsia"/>
          <w:color w:val="000000"/>
          <w:kern w:val="0"/>
          <w:sz w:val="32"/>
          <w:szCs w:val="32"/>
          <w:lang w:val="en-US" w:eastAsia="zh-CN"/>
        </w:rPr>
        <w:t xml:space="preserve">建设单位：湖南湘芝新材料有限公司                              </w:t>
      </w:r>
    </w:p>
    <w:tbl>
      <w:tblPr>
        <w:tblStyle w:val="17"/>
        <w:tblpPr w:leftFromText="180" w:rightFromText="180" w:vertAnchor="page" w:horzAnchor="page" w:tblpX="1843" w:tblpY="9893"/>
        <w:tblW w:w="8700" w:type="dxa"/>
        <w:tblInd w:w="0" w:type="dxa"/>
        <w:tblLayout w:type="fixed"/>
        <w:tblCellMar>
          <w:top w:w="0" w:type="dxa"/>
          <w:left w:w="108" w:type="dxa"/>
          <w:bottom w:w="0" w:type="dxa"/>
          <w:right w:w="108" w:type="dxa"/>
        </w:tblCellMar>
      </w:tblPr>
      <w:tblGrid>
        <w:gridCol w:w="1320"/>
        <w:gridCol w:w="3195"/>
        <w:gridCol w:w="1485"/>
        <w:gridCol w:w="2700"/>
      </w:tblGrid>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建设单位：</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湖南湘芝新材料有限公司</w:t>
            </w:r>
          </w:p>
        </w:tc>
        <w:tc>
          <w:tcPr>
            <w:tcW w:w="1485" w:type="dxa"/>
            <w:vAlign w:val="center"/>
          </w:tcPr>
          <w:p>
            <w:pPr>
              <w:autoSpaceDE w:val="0"/>
              <w:autoSpaceDN w:val="0"/>
              <w:adjustRightInd w:val="0"/>
              <w:spacing w:line="36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编制单位：</w:t>
            </w:r>
          </w:p>
        </w:tc>
        <w:tc>
          <w:tcPr>
            <w:tcW w:w="2700" w:type="dxa"/>
            <w:vAlign w:val="center"/>
          </w:tcPr>
          <w:p>
            <w:pPr>
              <w:autoSpaceDE w:val="0"/>
              <w:autoSpaceDN w:val="0"/>
              <w:adjustRightInd w:val="0"/>
              <w:spacing w:line="360" w:lineRule="auto"/>
              <w:jc w:val="center"/>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lang w:val="en-US" w:eastAsia="zh-CN"/>
              </w:rPr>
              <w:t>湖南精科检测有限公司</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电话：</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18898718008</w:t>
            </w:r>
          </w:p>
        </w:tc>
        <w:tc>
          <w:tcPr>
            <w:tcW w:w="1485" w:type="dxa"/>
            <w:vAlign w:val="center"/>
          </w:tcPr>
          <w:p>
            <w:pPr>
              <w:adjustRightInd w:val="0"/>
              <w:spacing w:before="240" w:after="240" w:line="400" w:lineRule="exact"/>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电话：</w:t>
            </w:r>
          </w:p>
        </w:tc>
        <w:tc>
          <w:tcPr>
            <w:tcW w:w="270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0731-86953766</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传真：</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w:t>
            </w:r>
          </w:p>
        </w:tc>
        <w:tc>
          <w:tcPr>
            <w:tcW w:w="1485" w:type="dxa"/>
            <w:vAlign w:val="center"/>
          </w:tcPr>
          <w:p>
            <w:pPr>
              <w:adjustRightInd w:val="0"/>
              <w:spacing w:before="240" w:after="240" w:line="400" w:lineRule="exact"/>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传真：</w:t>
            </w:r>
          </w:p>
        </w:tc>
        <w:tc>
          <w:tcPr>
            <w:tcW w:w="2700" w:type="dxa"/>
            <w:vAlign w:val="center"/>
          </w:tcPr>
          <w:p>
            <w:pPr>
              <w:adjustRightInd w:val="0"/>
              <w:spacing w:before="240" w:after="240" w:line="400" w:lineRule="exact"/>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0731-86953766</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邮编：</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413522</w:t>
            </w:r>
          </w:p>
        </w:tc>
        <w:tc>
          <w:tcPr>
            <w:tcW w:w="1485" w:type="dxa"/>
            <w:vAlign w:val="center"/>
          </w:tcPr>
          <w:p>
            <w:pPr>
              <w:adjustRightInd w:val="0"/>
              <w:spacing w:before="240" w:after="240" w:line="400" w:lineRule="exact"/>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邮编：</w:t>
            </w:r>
          </w:p>
        </w:tc>
        <w:tc>
          <w:tcPr>
            <w:tcW w:w="270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410000</w:t>
            </w:r>
          </w:p>
        </w:tc>
      </w:tr>
      <w:tr>
        <w:tblPrEx>
          <w:tblLayout w:type="fixed"/>
          <w:tblCellMar>
            <w:top w:w="0" w:type="dxa"/>
            <w:left w:w="108" w:type="dxa"/>
            <w:bottom w:w="0" w:type="dxa"/>
            <w:right w:w="108" w:type="dxa"/>
          </w:tblCellMar>
        </w:tblPrEx>
        <w:trPr>
          <w:trHeight w:val="510" w:hRule="atLeast"/>
        </w:trPr>
        <w:tc>
          <w:tcPr>
            <w:tcW w:w="1320" w:type="dxa"/>
            <w:vAlign w:val="center"/>
          </w:tcPr>
          <w:p>
            <w:pPr>
              <w:adjustRightInd w:val="0"/>
              <w:spacing w:before="240" w:after="240" w:line="400" w:lineRule="exact"/>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地址：</w:t>
            </w:r>
          </w:p>
        </w:tc>
        <w:tc>
          <w:tcPr>
            <w:tcW w:w="3195"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湖南省益阳市安化县经济开发区梅城工业园</w:t>
            </w:r>
          </w:p>
        </w:tc>
        <w:tc>
          <w:tcPr>
            <w:tcW w:w="1485" w:type="dxa"/>
            <w:vAlign w:val="center"/>
          </w:tcPr>
          <w:p>
            <w:pPr>
              <w:adjustRightInd w:val="0"/>
              <w:spacing w:before="240" w:after="240" w:line="400" w:lineRule="exact"/>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地址：</w:t>
            </w:r>
          </w:p>
        </w:tc>
        <w:tc>
          <w:tcPr>
            <w:tcW w:w="2700" w:type="dxa"/>
            <w:vAlign w:val="center"/>
          </w:tcPr>
          <w:p>
            <w:pPr>
              <w:adjustRightInd w:val="0"/>
              <w:spacing w:before="240" w:after="240" w:line="400" w:lineRule="exact"/>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长沙市雨花区长沙国际企业中心12栋</w:t>
            </w:r>
          </w:p>
        </w:tc>
      </w:tr>
    </w:tbl>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法 人 代 表：谌月槐</w:t>
      </w: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编 制 单 位：湖南精科检测有限公司</w:t>
      </w:r>
    </w:p>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法 人 代 表：昌小兵</w:t>
      </w:r>
    </w:p>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项目负责人：胡强</w:t>
      </w:r>
    </w:p>
    <w:p>
      <w:pPr>
        <w:autoSpaceDE w:val="0"/>
        <w:autoSpaceDN w:val="0"/>
        <w:adjustRightInd w:val="0"/>
        <w:spacing w:line="360" w:lineRule="auto"/>
        <w:jc w:val="both"/>
        <w:rPr>
          <w:rFonts w:hint="eastAsia"/>
          <w:color w:val="000000"/>
          <w:kern w:val="0"/>
          <w:sz w:val="32"/>
          <w:szCs w:val="32"/>
          <w:lang w:val="en-US" w:eastAsia="zh-CN"/>
        </w:rPr>
      </w:pPr>
      <w:r>
        <w:rPr>
          <w:rFonts w:hint="eastAsia"/>
          <w:color w:val="000000"/>
          <w:kern w:val="0"/>
          <w:sz w:val="32"/>
          <w:szCs w:val="32"/>
          <w:lang w:val="en-US" w:eastAsia="zh-CN"/>
        </w:rPr>
        <w:t>报告编写人：刘海</w:t>
      </w: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rFonts w:hint="eastAsia"/>
          <w:color w:val="000000"/>
          <w:kern w:val="0"/>
          <w:sz w:val="32"/>
          <w:szCs w:val="32"/>
          <w:lang w:val="en-US" w:eastAsia="zh-CN"/>
        </w:rPr>
      </w:pPr>
    </w:p>
    <w:p>
      <w:pPr>
        <w:autoSpaceDE w:val="0"/>
        <w:autoSpaceDN w:val="0"/>
        <w:adjustRightInd w:val="0"/>
        <w:spacing w:line="360" w:lineRule="auto"/>
        <w:jc w:val="both"/>
        <w:rPr>
          <w:sz w:val="28"/>
        </w:rPr>
      </w:pPr>
    </w:p>
    <w:p>
      <w:pPr>
        <w:pStyle w:val="14"/>
        <w:tabs>
          <w:tab w:val="right" w:leader="dot" w:pos="8306"/>
        </w:tabs>
        <w:jc w:val="both"/>
        <w:rPr>
          <w:rFonts w:hint="eastAsia" w:ascii="Times New Roman" w:hAnsi="Times New Roman" w:cs="Times New Roman"/>
          <w:b/>
          <w:bCs/>
          <w:sz w:val="32"/>
          <w:szCs w:val="32"/>
          <w:lang w:eastAsia="zh-CN"/>
        </w:rPr>
      </w:pPr>
      <w:r>
        <w:rPr>
          <w:sz w:val="21"/>
        </w:rPr>
        <mc:AlternateContent>
          <mc:Choice Requires="wps">
            <w:drawing>
              <wp:anchor distT="0" distB="0" distL="114300" distR="114300" simplePos="0" relativeHeight="1449918464" behindDoc="0" locked="0" layoutInCell="1" allowOverlap="1">
                <wp:simplePos x="0" y="0"/>
                <wp:positionH relativeFrom="column">
                  <wp:posOffset>1042670</wp:posOffset>
                </wp:positionH>
                <wp:positionV relativeFrom="paragraph">
                  <wp:posOffset>3060700</wp:posOffset>
                </wp:positionV>
                <wp:extent cx="3352800" cy="333375"/>
                <wp:effectExtent l="0" t="0" r="0" b="0"/>
                <wp:wrapNone/>
                <wp:docPr id="50" name="矩形 50"/>
                <wp:cNvGraphicFramePr/>
                <a:graphic xmlns:a="http://schemas.openxmlformats.org/drawingml/2006/main">
                  <a:graphicData uri="http://schemas.microsoft.com/office/word/2010/wordprocessingShape">
                    <wps:wsp>
                      <wps:cNvSpPr/>
                      <wps:spPr>
                        <a:xfrm rot="19500000">
                          <a:off x="1452245" y="3975100"/>
                          <a:ext cx="335280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lang w:val="en-US" w:eastAsia="zh-CN"/>
                              </w:rPr>
                            </w:pPr>
                            <w:r>
                              <w:rPr>
                                <w:rFonts w:hint="eastAsia"/>
                                <w:color w:val="FF0000"/>
                                <w:lang w:val="en-US" w:eastAsia="zh-CN"/>
                              </w:rPr>
                              <w:t>仅用于湖南湘芝新材料有限公司验收项目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1pt;margin-top:241pt;height:26.25pt;width:264pt;rotation:-2293760f;z-index:1449918464;v-text-anchor:middle;mso-width-relative:page;mso-height-relative:page;" filled="f" stroked="f" coordsize="21600,21600" o:gfxdata="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3QJ0naAAAA&#10;CwEAAA8AAAAAAAAAAQAgAAAAIgAAAGRycy9kb3ducmV2LnhtbFBLAQIUABQAAAAIAIdO4kB6feq5&#10;VAIAAHwEAAAOAAAAAAAAAAEAIAAAACkBAABkcnMvZTJvRG9jLnhtbFBLBQYAAAAABgAGAFkBAADv&#10;BQAAAAA=&#10;">
                <v:fill on="f" focussize="0,0"/>
                <v:stroke on="f" weight="1pt" miterlimit="8" joinstyle="miter"/>
                <v:imagedata o:title=""/>
                <o:lock v:ext="edit" aspectratio="f"/>
                <v:textbox>
                  <w:txbxContent>
                    <w:p>
                      <w:pPr>
                        <w:jc w:val="center"/>
                        <w:rPr>
                          <w:rFonts w:hint="eastAsia" w:eastAsiaTheme="minorEastAsia"/>
                          <w:color w:val="FF0000"/>
                          <w:lang w:val="en-US" w:eastAsia="zh-CN"/>
                        </w:rPr>
                      </w:pPr>
                      <w:r>
                        <w:rPr>
                          <w:rFonts w:hint="eastAsia"/>
                          <w:color w:val="FF0000"/>
                          <w:lang w:val="en-US" w:eastAsia="zh-CN"/>
                        </w:rPr>
                        <w:t>仅用于湖南湘芝新材料有限公司验收项目</w:t>
                      </w:r>
                    </w:p>
                  </w:txbxContent>
                </v:textbox>
              </v:rect>
            </w:pict>
          </mc:Fallback>
        </mc:AlternateContent>
      </w:r>
      <w:r>
        <w:rPr>
          <w:rFonts w:hint="eastAsia"/>
        </w:rPr>
        <w:drawing>
          <wp:inline distT="0" distB="0" distL="114300" distR="114300">
            <wp:extent cx="5281930" cy="7465695"/>
            <wp:effectExtent l="9525" t="9525" r="23495" b="11430"/>
            <wp:docPr id="1" name="图片 1" descr="CM证件扫描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M证件扫描件"/>
                    <pic:cNvPicPr>
                      <a:picLocks noChangeAspect="1"/>
                    </pic:cNvPicPr>
                  </pic:nvPicPr>
                  <pic:blipFill>
                    <a:blip r:embed="rId5"/>
                    <a:stretch>
                      <a:fillRect/>
                    </a:stretch>
                  </pic:blipFill>
                  <pic:spPr>
                    <a:xfrm rot="10800000">
                      <a:off x="0" y="0"/>
                      <a:ext cx="5281930" cy="7465695"/>
                    </a:xfrm>
                    <a:prstGeom prst="rect">
                      <a:avLst/>
                    </a:prstGeom>
                    <a:noFill/>
                    <a:ln w="9525">
                      <a:solidFill>
                        <a:schemeClr val="tx1"/>
                      </a:solidFill>
                    </a:ln>
                  </pic:spPr>
                </pic:pic>
              </a:graphicData>
            </a:graphic>
          </wp:inline>
        </w:drawing>
      </w:r>
    </w:p>
    <w:p>
      <w:pPr>
        <w:pStyle w:val="14"/>
        <w:tabs>
          <w:tab w:val="right" w:leader="dot" w:pos="8306"/>
        </w:tabs>
        <w:jc w:val="center"/>
        <w:rPr>
          <w:rFonts w:hint="eastAsia" w:ascii="Times New Roman" w:hAnsi="Times New Roman" w:cs="Times New Roman"/>
          <w:b/>
          <w:bCs/>
          <w:sz w:val="32"/>
          <w:szCs w:val="32"/>
          <w:lang w:eastAsia="zh-CN"/>
        </w:rPr>
      </w:pPr>
    </w:p>
    <w:p>
      <w:pPr>
        <w:pStyle w:val="14"/>
        <w:tabs>
          <w:tab w:val="right" w:leader="dot" w:pos="8306"/>
        </w:tabs>
        <w:jc w:val="center"/>
        <w:rPr>
          <w:rFonts w:hint="eastAsia" w:ascii="Times New Roman" w:hAnsi="Times New Roman" w:cs="Times New Roman"/>
          <w:b/>
          <w:bCs/>
          <w:sz w:val="32"/>
          <w:szCs w:val="32"/>
          <w:lang w:eastAsia="zh-CN"/>
        </w:rPr>
      </w:pPr>
    </w:p>
    <w:p>
      <w:pPr>
        <w:pStyle w:val="14"/>
        <w:tabs>
          <w:tab w:val="right" w:leader="dot" w:pos="8306"/>
        </w:tabs>
        <w:jc w:val="center"/>
        <w:rPr>
          <w:rFonts w:hint="eastAsia" w:ascii="Times New Roman" w:hAnsi="Times New Roman" w:cs="Times New Roman"/>
          <w:b/>
          <w:bCs/>
          <w:sz w:val="32"/>
          <w:szCs w:val="32"/>
          <w:lang w:eastAsia="zh-CN"/>
        </w:rPr>
      </w:pPr>
    </w:p>
    <w:tbl>
      <w:tblPr>
        <w:tblStyle w:val="17"/>
        <w:tblpPr w:leftFromText="180" w:rightFromText="180" w:horzAnchor="margin" w:tblpY="435"/>
        <w:tblW w:w="9180" w:type="dxa"/>
        <w:tblInd w:w="0" w:type="dxa"/>
        <w:tblLayout w:type="fixed"/>
        <w:tblCellMar>
          <w:top w:w="0" w:type="dxa"/>
          <w:left w:w="108" w:type="dxa"/>
          <w:bottom w:w="0" w:type="dxa"/>
          <w:right w:w="108" w:type="dxa"/>
        </w:tblCellMar>
      </w:tblPr>
      <w:tblGrid>
        <w:gridCol w:w="9180"/>
      </w:tblGrid>
      <w:tr>
        <w:tblPrEx>
          <w:tblLayout w:type="fixed"/>
          <w:tblCellMar>
            <w:top w:w="0" w:type="dxa"/>
            <w:left w:w="108" w:type="dxa"/>
            <w:bottom w:w="0" w:type="dxa"/>
            <w:right w:w="108" w:type="dxa"/>
          </w:tblCellMar>
        </w:tblPrEx>
        <w:trPr>
          <w:trHeight w:val="340" w:hRule="atLeast"/>
        </w:trPr>
        <w:tc>
          <w:tcPr>
            <w:tcW w:w="9180" w:type="dxa"/>
            <w:vAlign w:val="top"/>
          </w:tcPr>
          <w:p>
            <w:pPr>
              <w:spacing w:before="156" w:beforeLines="50" w:after="156" w:afterLines="50" w:line="400" w:lineRule="exact"/>
              <w:jc w:val="center"/>
              <w:rPr>
                <w:b/>
                <w:spacing w:val="40"/>
                <w:sz w:val="36"/>
                <w:szCs w:val="36"/>
              </w:rPr>
            </w:pPr>
            <w:r>
              <w:rPr>
                <w:b/>
                <w:spacing w:val="40"/>
                <w:sz w:val="36"/>
                <w:szCs w:val="36"/>
              </w:rPr>
              <w:t>报告说明</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1.本报告无湖南精科检测有限公司报告专用章、骑缝章无效。</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2.本报告不得涂改、增删。</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3.本报告只对采样样品监测结果负责。</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4.本报告未经同意不得作为商业广告使用。</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5.未经湖南精科检测有限公司书面批准，不得部分复制报告。</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6.对本报告有疑议，请在收到报告10天之内与本公司联系。</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rPr>
                <w:rFonts w:hint="default" w:ascii="Times New Roman" w:hAnsi="Times New Roman" w:cs="Times New Roman"/>
                <w:sz w:val="24"/>
              </w:rPr>
            </w:pPr>
            <w:r>
              <w:rPr>
                <w:rFonts w:hint="default" w:ascii="Times New Roman" w:hAnsi="Times New Roman" w:cs="Times New Roman"/>
                <w:sz w:val="24"/>
              </w:rPr>
              <w:t>7.除客户特别申明并支付样品管理费，所有样品超过标准规定的时效期均不再做留样。</w:t>
            </w:r>
          </w:p>
        </w:tc>
      </w:tr>
      <w:tr>
        <w:tblPrEx>
          <w:tblLayout w:type="fixed"/>
          <w:tblCellMar>
            <w:top w:w="0" w:type="dxa"/>
            <w:left w:w="108" w:type="dxa"/>
            <w:bottom w:w="0" w:type="dxa"/>
            <w:right w:w="108" w:type="dxa"/>
          </w:tblCellMar>
        </w:tblPrEx>
        <w:trPr>
          <w:trHeight w:val="454" w:hRule="atLeast"/>
        </w:trPr>
        <w:tc>
          <w:tcPr>
            <w:tcW w:w="9180" w:type="dxa"/>
            <w:vAlign w:val="top"/>
          </w:tcPr>
          <w:p>
            <w:pPr>
              <w:spacing w:before="156" w:beforeLines="50" w:after="156" w:afterLines="50" w:line="360" w:lineRule="auto"/>
              <w:ind w:firstLine="240" w:firstLineChars="100"/>
              <w:rPr>
                <w:rFonts w:hint="default" w:ascii="Times New Roman" w:hAnsi="Times New Roman" w:cs="Times New Roman"/>
                <w:sz w:val="24"/>
              </w:rPr>
            </w:pPr>
          </w:p>
        </w:tc>
      </w:tr>
    </w:tbl>
    <w:p>
      <w:pPr>
        <w:pStyle w:val="14"/>
        <w:tabs>
          <w:tab w:val="right" w:leader="dot" w:pos="8306"/>
        </w:tabs>
        <w:jc w:val="center"/>
        <w:rPr>
          <w:rFonts w:hint="eastAsia" w:ascii="Times New Roman" w:hAnsi="Times New Roman" w:cs="Times New Roman"/>
          <w:b/>
          <w:bCs/>
          <w:sz w:val="32"/>
          <w:szCs w:val="32"/>
          <w:lang w:eastAsia="zh-CN"/>
        </w:rPr>
      </w:pPr>
    </w:p>
    <w:p>
      <w:pPr>
        <w:pStyle w:val="14"/>
        <w:tabs>
          <w:tab w:val="right" w:leader="dot" w:pos="8306"/>
        </w:tabs>
        <w:jc w:val="center"/>
        <w:rPr>
          <w:rFonts w:hint="eastAsia" w:ascii="Times New Roman" w:hAnsi="Times New Roman" w:cs="Times New Roman"/>
          <w:b/>
          <w:bCs/>
          <w:sz w:val="32"/>
          <w:szCs w:val="32"/>
          <w:lang w:eastAsia="zh-CN"/>
        </w:rPr>
      </w:pPr>
    </w:p>
    <w:p>
      <w:pPr>
        <w:pStyle w:val="14"/>
        <w:tabs>
          <w:tab w:val="right" w:leader="dot" w:pos="8306"/>
        </w:tabs>
        <w:jc w:val="cente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p>
    <w:p>
      <w:pPr>
        <w:pStyle w:val="2"/>
        <w:rPr>
          <w:rFonts w:hint="eastAsia"/>
          <w:lang w:eastAsia="zh-CN"/>
        </w:rPr>
      </w:pPr>
    </w:p>
    <w:p>
      <w:pPr>
        <w:pStyle w:val="14"/>
        <w:tabs>
          <w:tab w:val="right" w:leader="dot" w:pos="8306"/>
        </w:tabs>
        <w:jc w:val="cente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p>
    <w:p>
      <w:pPr>
        <w:rPr>
          <w:rFonts w:hint="eastAsia" w:ascii="Times New Roman" w:hAnsi="Times New Roman" w:cs="Times New Roman"/>
          <w:b/>
          <w:bCs/>
          <w:sz w:val="32"/>
          <w:szCs w:val="32"/>
          <w:lang w:eastAsia="zh-CN"/>
        </w:rPr>
      </w:pPr>
      <w:r>
        <w:rPr>
          <w:b/>
          <w:sz w:val="30"/>
          <w:szCs w:val="30"/>
          <w:highlight w:val="yellow"/>
        </w:rPr>
        <w:t>声明：复制本报告中的部分内容无效。</w:t>
      </w:r>
    </w:p>
    <w:p>
      <w:pPr>
        <w:pStyle w:val="14"/>
        <w:tabs>
          <w:tab w:val="right" w:leader="dot" w:pos="8306"/>
        </w:tabs>
        <w:jc w:val="center"/>
        <w:rPr>
          <w:rFonts w:hint="eastAsia" w:ascii="Times New Roman" w:hAnsi="Times New Roman" w:cs="Times New Roman" w:eastAsiaTheme="minorEastAsia"/>
          <w:b/>
          <w:bCs/>
          <w:sz w:val="44"/>
          <w:szCs w:val="44"/>
          <w:lang w:eastAsia="zh-CN"/>
        </w:rPr>
      </w:pPr>
      <w:r>
        <w:rPr>
          <w:rFonts w:hint="eastAsia" w:ascii="Times New Roman" w:hAnsi="Times New Roman" w:cs="Times New Roman"/>
          <w:b/>
          <w:bCs/>
          <w:sz w:val="44"/>
          <w:szCs w:val="44"/>
          <w:lang w:eastAsia="zh-CN"/>
        </w:rPr>
        <w:t>目录</w:t>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TOC \o "1-3" \h \u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_Toc19517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1 验收项目概况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_Toc23671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2 验收依据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_Toc30855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2.1 建设项目环境保护相关法律、法规、规章和规范；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_Toc30855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_Toc7824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2.2 建设项目竣工环境保护验收技术规范；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_Toc7824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_Toc23676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2.3 建设项目环境影响报告表及审批部门审批决定</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_Toc23676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_Toc30352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3 工程建设情况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_Toc30352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_Toc16637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1 地理位置及平面布置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_Toc6953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_Toc6953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_Toc5631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 xml:space="preserve"> 水源及水平衡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_Toc5631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_Toc10332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 xml:space="preserve"> 生产工艺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_Toc19417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xml:space="preserve"> 项目变动情况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_Toc19417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_Toc26648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4 环境保护设施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_Toc26648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_Toc31717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 xml:space="preserve">4 </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1 污染物治理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处置设施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_Toc31717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1"/>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_Toc20688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1 废水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_Toc20688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1"/>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_Toc840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4.1.2 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1"/>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_Toc29096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_Toc29096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1"/>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_Toc2270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4 固体废物</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_Toc300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4.2 环保设施投资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_Toc28571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5 建设项目环评报告表的主要结论与建议及审批部门审批决定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_Toc28571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_Toc10934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5.1 建设项目环评报告表的主要结论与建议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_Toc10934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1"/>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_Toc225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5.1.1结论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1"/>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_Toc22495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5.1.2建议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_Toc22495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_Toc13978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5.2 审批部门审批决定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_Toc13978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_Toc24248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6 验收执行标准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_Toc24248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_Toc2845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7 验收监测内容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_Toc676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7.1 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_Toc9499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7.2 厂界噪声监测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_Toc9499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_Toc25854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8 质量保证及质量控制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_Toc25854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_Toc10289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8.1 监测分析方法及监测仪器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_Toc10289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_Toc11250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8.2 气体监测分析过程中的质量保证和质量控制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_Toc11250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_Toc30419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8.3 噪声监测分析过程中的质量保证和质量控制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_Toc30419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_Toc6456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9 验收监测结果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_Toc6456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_Toc22687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9.1 生产工况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_Toc22687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_Toc22419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9.2废气</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_Toc22419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_Toc20587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9.3 厂界噪声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_Toc20587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_Toc15673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10环评批复落实情况检查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_Toc15673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_Toc1918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11 验收监测结论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_Toc29330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11.1废水监测结论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_Toc29330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_Toc8150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11.2废气监测结论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_Toc8150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_Toc10234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11.3噪声监测结论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_Toc10234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_Toc3440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11.4固体废弃物污染控制结论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_Toc3440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_Toc6747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11.5总结论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_Toc6747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5"/>
        <w:tabs>
          <w:tab w:val="right" w:leader="dot" w:pos="8306"/>
        </w:tabs>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_Toc22243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11.6建议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_Toc22243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pStyle w:val="14"/>
        <w:tabs>
          <w:tab w:val="right" w:leader="dot" w:pos="8306"/>
        </w:tabs>
        <w:rPr>
          <w:rFonts w:hint="default" w:ascii="Times New Roman" w:hAnsi="Times New Roman" w:cs="Times New Roman"/>
        </w:rPr>
      </w:pPr>
      <w:r>
        <w:rPr>
          <w:rFonts w:hint="default" w:ascii="Times New Roman" w:hAnsi="Times New Roman" w:eastAsia="宋体" w:cs="Times New Roman"/>
          <w:bCs/>
          <w:sz w:val="24"/>
          <w:szCs w:val="24"/>
        </w:rPr>
        <w:fldChar w:fldCharType="begin"/>
      </w:r>
      <w:r>
        <w:rPr>
          <w:rFonts w:hint="default" w:ascii="Times New Roman" w:hAnsi="Times New Roman" w:eastAsia="宋体" w:cs="Times New Roman"/>
          <w:bCs/>
          <w:sz w:val="24"/>
          <w:szCs w:val="24"/>
        </w:rPr>
        <w:instrText xml:space="preserve"> HYPERLINK \l _Toc26082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建设项目竣工环境保护“三同时”验收登记表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_Toc26082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bCs/>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0"/>
        <w:rPr>
          <w:rFonts w:hint="default" w:ascii="Times New Roman" w:hAnsi="Times New Roman" w:cs="Times New Roman"/>
          <w:bCs/>
          <w:szCs w:val="24"/>
        </w:rPr>
      </w:pPr>
      <w:r>
        <w:rPr>
          <w:rFonts w:hint="default" w:ascii="Times New Roman" w:hAnsi="Times New Roman" w:cs="Times New Roman"/>
          <w:bCs/>
          <w:szCs w:val="24"/>
        </w:rPr>
        <w:fldChar w:fldCharType="end"/>
      </w:r>
    </w:p>
    <w:p>
      <w:pPr>
        <w:pStyle w:val="2"/>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附图</w:t>
      </w:r>
    </w:p>
    <w:p>
      <w:pPr>
        <w:pStyle w:val="2"/>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附图1地理位置图</w:t>
      </w:r>
    </w:p>
    <w:p>
      <w:pPr>
        <w:pStyle w:val="2"/>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附图2 平面布置及采样布点图</w:t>
      </w:r>
    </w:p>
    <w:p>
      <w:pPr>
        <w:pStyle w:val="2"/>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附图3 现场及采样照片</w:t>
      </w:r>
    </w:p>
    <w:p>
      <w:pPr>
        <w:pStyle w:val="2"/>
        <w:rPr>
          <w:rFonts w:hint="default" w:ascii="Times New Roman" w:hAnsi="Times New Roman" w:eastAsia="宋体" w:cs="Times New Roman"/>
          <w:b w:val="0"/>
          <w:bCs/>
          <w:sz w:val="28"/>
          <w:szCs w:val="28"/>
          <w:lang w:val="en-US" w:eastAsia="zh-CN"/>
        </w:rPr>
      </w:pPr>
    </w:p>
    <w:p>
      <w:pPr>
        <w:pStyle w:val="2"/>
        <w:rPr>
          <w:rFonts w:hint="default" w:ascii="Times New Roman" w:hAnsi="Times New Roman" w:eastAsia="宋体" w:cs="Times New Roman"/>
          <w:b/>
          <w:bCs w:val="0"/>
          <w:sz w:val="28"/>
          <w:szCs w:val="28"/>
          <w:lang w:val="en-US" w:eastAsia="zh-CN"/>
        </w:rPr>
      </w:pPr>
      <w:r>
        <w:rPr>
          <w:rFonts w:hint="default" w:ascii="Times New Roman" w:hAnsi="Times New Roman" w:eastAsia="宋体" w:cs="Times New Roman"/>
          <w:b/>
          <w:bCs w:val="0"/>
          <w:sz w:val="28"/>
          <w:szCs w:val="28"/>
          <w:lang w:val="en-US" w:eastAsia="zh-CN"/>
        </w:rPr>
        <w:t>附件</w:t>
      </w:r>
    </w:p>
    <w:p>
      <w:pPr>
        <w:pStyle w:val="2"/>
        <w:rPr>
          <w:rFonts w:hint="default" w:ascii="Times New Roman" w:hAnsi="Times New Roman" w:eastAsia="宋体" w:cs="Times New Roman"/>
          <w:b w:val="0"/>
          <w:bCs/>
          <w:sz w:val="28"/>
          <w:szCs w:val="28"/>
          <w:lang w:val="en-US" w:eastAsia="zh-CN"/>
        </w:rPr>
      </w:pPr>
      <w:r>
        <w:rPr>
          <w:rFonts w:hint="default" w:ascii="Times New Roman" w:hAnsi="Times New Roman" w:eastAsia="宋体" w:cs="Times New Roman"/>
          <w:b w:val="0"/>
          <w:bCs/>
          <w:sz w:val="28"/>
          <w:szCs w:val="28"/>
          <w:lang w:val="en-US" w:eastAsia="zh-CN"/>
        </w:rPr>
        <w:t>附件1 审批意见</w:t>
      </w:r>
    </w:p>
    <w:p>
      <w:pPr>
        <w:pStyle w:val="2"/>
        <w:rPr>
          <w:rFonts w:hint="default" w:ascii="Times New Roman" w:hAnsi="Times New Roman" w:eastAsia="宋体" w:cs="Times New Roman"/>
          <w:b w:val="0"/>
          <w:bCs/>
          <w:kern w:val="2"/>
          <w:sz w:val="28"/>
          <w:szCs w:val="28"/>
          <w:lang w:val="en-US" w:eastAsia="zh-CN" w:bidi="ar-SA"/>
        </w:rPr>
      </w:pPr>
      <w:r>
        <w:rPr>
          <w:rFonts w:hint="default" w:ascii="Times New Roman" w:hAnsi="Times New Roman" w:eastAsia="宋体" w:cs="Times New Roman"/>
          <w:b w:val="0"/>
          <w:bCs/>
          <w:sz w:val="28"/>
          <w:szCs w:val="28"/>
          <w:lang w:val="en-US" w:eastAsia="zh-CN"/>
        </w:rPr>
        <w:t>附件2</w:t>
      </w:r>
      <w:r>
        <w:rPr>
          <w:rFonts w:hint="default" w:ascii="Times New Roman" w:hAnsi="Times New Roman" w:eastAsia="宋体" w:cs="Times New Roman"/>
          <w:b w:val="0"/>
          <w:bCs/>
          <w:kern w:val="2"/>
          <w:sz w:val="28"/>
          <w:szCs w:val="28"/>
          <w:lang w:val="en-US" w:eastAsia="zh-CN" w:bidi="ar-SA"/>
        </w:rPr>
        <w:t>环境保护管理制度</w:t>
      </w:r>
    </w:p>
    <w:p>
      <w:pPr>
        <w:pStyle w:val="2"/>
        <w:rPr>
          <w:rFonts w:hint="default" w:ascii="Times New Roman" w:hAnsi="Times New Roman" w:eastAsia="宋体" w:cs="Times New Roman"/>
          <w:b w:val="0"/>
          <w:bCs/>
          <w:kern w:val="2"/>
          <w:sz w:val="28"/>
          <w:szCs w:val="28"/>
          <w:lang w:val="en-US" w:eastAsia="zh-CN" w:bidi="ar-SA"/>
        </w:rPr>
      </w:pPr>
      <w:r>
        <w:rPr>
          <w:rFonts w:hint="default" w:ascii="Times New Roman" w:hAnsi="Times New Roman" w:eastAsia="宋体" w:cs="Times New Roman"/>
          <w:b w:val="0"/>
          <w:bCs/>
          <w:kern w:val="2"/>
          <w:sz w:val="28"/>
          <w:szCs w:val="28"/>
          <w:lang w:val="en-US" w:eastAsia="zh-CN" w:bidi="ar-SA"/>
        </w:rPr>
        <w:t>附件3 除尘、UV光解设备运行、保养记录</w:t>
      </w:r>
    </w:p>
    <w:p>
      <w:pPr>
        <w:pStyle w:val="2"/>
        <w:rPr>
          <w:rFonts w:hint="default" w:ascii="Times New Roman" w:hAnsi="Times New Roman" w:eastAsia="宋体" w:cs="Times New Roman"/>
          <w:b w:val="0"/>
          <w:bCs/>
          <w:kern w:val="2"/>
          <w:sz w:val="28"/>
          <w:szCs w:val="28"/>
          <w:lang w:val="en-US" w:eastAsia="zh-CN" w:bidi="ar-SA"/>
        </w:rPr>
      </w:pPr>
      <w:r>
        <w:rPr>
          <w:rFonts w:hint="default" w:ascii="Times New Roman" w:hAnsi="Times New Roman" w:eastAsia="宋体" w:cs="Times New Roman"/>
          <w:b w:val="0"/>
          <w:bCs/>
          <w:kern w:val="2"/>
          <w:sz w:val="28"/>
          <w:szCs w:val="28"/>
          <w:lang w:val="en-US" w:eastAsia="zh-CN" w:bidi="ar-SA"/>
        </w:rPr>
        <w:t>附件4 营业执照</w:t>
      </w:r>
    </w:p>
    <w:p>
      <w:pPr>
        <w:pStyle w:val="2"/>
        <w:rPr>
          <w:rFonts w:hint="default" w:ascii="Times New Roman" w:hAnsi="Times New Roman" w:eastAsia="宋体" w:cs="Times New Roman"/>
          <w:b w:val="0"/>
          <w:bCs/>
          <w:kern w:val="2"/>
          <w:sz w:val="28"/>
          <w:szCs w:val="28"/>
          <w:lang w:val="en-US" w:eastAsia="zh-CN" w:bidi="ar-SA"/>
        </w:rPr>
      </w:pPr>
      <w:r>
        <w:rPr>
          <w:rFonts w:hint="default" w:ascii="Times New Roman" w:hAnsi="Times New Roman" w:eastAsia="宋体" w:cs="Times New Roman"/>
          <w:b w:val="0"/>
          <w:bCs/>
          <w:kern w:val="2"/>
          <w:sz w:val="28"/>
          <w:szCs w:val="28"/>
          <w:lang w:val="en-US" w:eastAsia="zh-CN" w:bidi="ar-SA"/>
        </w:rPr>
        <w:t>附件5委托函</w:t>
      </w:r>
    </w:p>
    <w:p>
      <w:pPr>
        <w:pStyle w:val="2"/>
        <w:rPr>
          <w:rFonts w:hint="default" w:ascii="Times New Roman" w:hAnsi="Times New Roman" w:eastAsia="宋体" w:cs="Times New Roman"/>
          <w:b w:val="0"/>
          <w:bCs/>
          <w:kern w:val="2"/>
          <w:sz w:val="28"/>
          <w:szCs w:val="28"/>
          <w:lang w:val="en-US" w:eastAsia="zh-CN" w:bidi="ar-SA"/>
        </w:rPr>
      </w:pPr>
      <w:r>
        <w:rPr>
          <w:rFonts w:hint="default" w:ascii="Times New Roman" w:hAnsi="Times New Roman" w:eastAsia="宋体" w:cs="Times New Roman"/>
          <w:b w:val="0"/>
          <w:bCs/>
          <w:kern w:val="2"/>
          <w:sz w:val="28"/>
          <w:szCs w:val="28"/>
          <w:lang w:val="en-US" w:eastAsia="zh-CN" w:bidi="ar-SA"/>
        </w:rPr>
        <w:t>附件6 生产工况</w:t>
      </w:r>
      <w:bookmarkStart w:id="108" w:name="_GoBack"/>
      <w:bookmarkEnd w:id="108"/>
    </w:p>
    <w:p>
      <w:pPr>
        <w:pStyle w:val="2"/>
        <w:rPr>
          <w:rFonts w:hint="default" w:ascii="Times New Roman" w:hAnsi="Times New Roman" w:eastAsia="宋体" w:cs="Times New Roman"/>
          <w:b w:val="0"/>
          <w:bCs/>
          <w:kern w:val="2"/>
          <w:sz w:val="28"/>
          <w:szCs w:val="28"/>
          <w:lang w:val="en-US" w:eastAsia="zh-CN" w:bidi="ar-SA"/>
        </w:rPr>
      </w:pPr>
      <w:r>
        <w:rPr>
          <w:rFonts w:hint="default" w:ascii="Times New Roman" w:hAnsi="Times New Roman" w:eastAsia="宋体" w:cs="Times New Roman"/>
          <w:b w:val="0"/>
          <w:bCs/>
          <w:kern w:val="2"/>
          <w:sz w:val="28"/>
          <w:szCs w:val="28"/>
          <w:lang w:val="en-US" w:eastAsia="zh-CN" w:bidi="ar-SA"/>
        </w:rPr>
        <w:t>附件7环保投资</w:t>
      </w:r>
    </w:p>
    <w:p>
      <w:pPr>
        <w:pStyle w:val="2"/>
        <w:rPr>
          <w:rFonts w:hint="default" w:ascii="Times New Roman" w:hAnsi="Times New Roman" w:eastAsia="宋体" w:cs="Times New Roman"/>
          <w:b w:val="0"/>
          <w:bCs/>
          <w:kern w:val="2"/>
          <w:sz w:val="28"/>
          <w:szCs w:val="28"/>
          <w:lang w:val="en-US" w:eastAsia="zh-CN" w:bidi="ar-SA"/>
        </w:rPr>
      </w:pPr>
      <w:r>
        <w:rPr>
          <w:rFonts w:hint="default" w:ascii="Times New Roman" w:hAnsi="Times New Roman" w:eastAsia="宋体" w:cs="Times New Roman"/>
          <w:b w:val="0"/>
          <w:bCs/>
          <w:kern w:val="2"/>
          <w:sz w:val="28"/>
          <w:szCs w:val="28"/>
          <w:lang w:val="en-US" w:eastAsia="zh-CN" w:bidi="ar-SA"/>
        </w:rPr>
        <w:t>附件8 资料真实情况说明</w:t>
      </w:r>
    </w:p>
    <w:p>
      <w:pPr>
        <w:pStyle w:val="2"/>
        <w:rPr>
          <w:rFonts w:hint="default" w:ascii="Times New Roman" w:hAnsi="Times New Roman" w:eastAsia="宋体" w:cs="Times New Roman"/>
          <w:b w:val="0"/>
          <w:bCs/>
          <w:kern w:val="2"/>
          <w:sz w:val="28"/>
          <w:szCs w:val="28"/>
          <w:lang w:val="en-US" w:eastAsia="zh-CN" w:bidi="ar-SA"/>
        </w:rPr>
        <w:sectPr>
          <w:footerReference r:id="rId3"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宋体" w:cs="Times New Roman"/>
          <w:b w:val="0"/>
          <w:bCs/>
          <w:kern w:val="2"/>
          <w:sz w:val="28"/>
          <w:szCs w:val="28"/>
          <w:lang w:val="en-US" w:eastAsia="zh-CN" w:bidi="ar-SA"/>
        </w:rPr>
        <w:t xml:space="preserve">附件9 厂房租赁合同 </w:t>
      </w: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32"/>
          <w:szCs w:val="32"/>
        </w:rPr>
      </w:pPr>
      <w:bookmarkStart w:id="0" w:name="_Toc19517"/>
      <w:r>
        <w:rPr>
          <w:rFonts w:hint="default" w:ascii="Times New Roman" w:hAnsi="Times New Roman" w:cs="Times New Roman"/>
          <w:sz w:val="32"/>
          <w:szCs w:val="32"/>
        </w:rPr>
        <w:t xml:space="preserve">1 </w:t>
      </w:r>
      <w:r>
        <w:rPr>
          <w:rFonts w:hint="default"/>
          <w:sz w:val="32"/>
          <w:szCs w:val="32"/>
        </w:rPr>
        <w:t>验收项目概况</w:t>
      </w:r>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随着社会进步，科技不断发展，人类社会对材料的需求日益增大，水溶性蜡作为一种制作模具的材料应运而生，水溶性蜡不同于常规模具材料，具有遇水溶解的特点，常用于汽车零件、航空零配件、船舶零件等结构复杂的零件，解决了常规模具材料的弊端。在此条件下，湖南湘芝新材料有限公司投资1200万元，在湖南省益阳市安化县经济开发区梅城工业园建设年产1000吨水溶性蜡生产线建设项目，本项目产品销售至各零配件制造公司，制成模具然后生产零配件。</w:t>
      </w:r>
      <w:r>
        <w:rPr>
          <w:rFonts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本项目</w:t>
      </w:r>
      <w:r>
        <w:rPr>
          <w:rFonts w:hint="default" w:ascii="Times New Roman" w:hAnsi="Times New Roman" w:cs="Times New Roman"/>
          <w:sz w:val="24"/>
          <w:szCs w:val="24"/>
        </w:rPr>
        <w:t>于</w:t>
      </w:r>
      <w:r>
        <w:rPr>
          <w:rFonts w:hint="eastAsia" w:ascii="Times New Roman" w:hAnsi="Times New Roman" w:cs="Times New Roman"/>
          <w:sz w:val="24"/>
          <w:szCs w:val="24"/>
        </w:rPr>
        <w:t>201</w:t>
      </w:r>
      <w:r>
        <w:rPr>
          <w:rFonts w:hint="eastAsia" w:ascii="Times New Roman" w:hAnsi="Times New Roman" w:cs="Times New Roman"/>
          <w:sz w:val="24"/>
          <w:szCs w:val="24"/>
          <w:lang w:val="en-US" w:eastAsia="zh-CN"/>
        </w:rPr>
        <w:t>8</w:t>
      </w:r>
      <w:r>
        <w:rPr>
          <w:rFonts w:hint="eastAsia" w:ascii="Times New Roman" w:hAnsi="Times New Roman" w:cs="Times New Roman"/>
          <w:sz w:val="24"/>
          <w:szCs w:val="24"/>
        </w:rPr>
        <w:t>年</w:t>
      </w:r>
      <w:r>
        <w:rPr>
          <w:rFonts w:hint="eastAsia" w:ascii="Times New Roman" w:hAnsi="Times New Roman" w:cs="Times New Roman"/>
          <w:sz w:val="24"/>
          <w:szCs w:val="24"/>
          <w:lang w:val="en-US" w:eastAsia="zh-CN"/>
        </w:rPr>
        <w:t>8</w:t>
      </w:r>
      <w:r>
        <w:rPr>
          <w:rFonts w:hint="eastAsia" w:ascii="Times New Roman" w:hAnsi="Times New Roman" w:cs="Times New Roman"/>
          <w:sz w:val="24"/>
          <w:szCs w:val="24"/>
        </w:rPr>
        <w:t>月</w:t>
      </w:r>
      <w:r>
        <w:rPr>
          <w:rFonts w:hint="default" w:ascii="Times New Roman" w:hAnsi="Times New Roman" w:cs="Times New Roman"/>
          <w:sz w:val="24"/>
          <w:szCs w:val="24"/>
        </w:rPr>
        <w:t>由</w:t>
      </w:r>
      <w:r>
        <w:rPr>
          <w:rFonts w:hint="eastAsia" w:ascii="Times New Roman" w:hAnsi="Times New Roman" w:cs="Times New Roman"/>
          <w:sz w:val="24"/>
          <w:szCs w:val="24"/>
          <w:lang w:val="en-US" w:eastAsia="zh-CN"/>
        </w:rPr>
        <w:t>广西钦天镜环境科技有限公司</w:t>
      </w:r>
      <w:r>
        <w:rPr>
          <w:rFonts w:hint="default" w:ascii="Times New Roman" w:hAnsi="Times New Roman" w:cs="Times New Roman"/>
          <w:sz w:val="24"/>
          <w:szCs w:val="24"/>
        </w:rPr>
        <w:t>完成其环境影响评价</w:t>
      </w:r>
      <w:r>
        <w:rPr>
          <w:rFonts w:hint="eastAsia" w:ascii="Times New Roman" w:hAnsi="Times New Roman" w:cs="Times New Roman"/>
          <w:sz w:val="24"/>
          <w:szCs w:val="24"/>
        </w:rPr>
        <w:t>报告表，</w:t>
      </w:r>
      <w:r>
        <w:rPr>
          <w:rFonts w:hint="eastAsia" w:ascii="Times New Roman" w:hAnsi="Times New Roman" w:cs="Times New Roman"/>
          <w:sz w:val="24"/>
          <w:szCs w:val="24"/>
          <w:lang w:val="en-US" w:eastAsia="zh-CN"/>
        </w:rPr>
        <w:t>安化县环境保护局</w:t>
      </w:r>
      <w:r>
        <w:rPr>
          <w:rFonts w:hint="default" w:ascii="Times New Roman" w:hAnsi="Times New Roman" w:cs="Times New Roman"/>
          <w:sz w:val="24"/>
          <w:szCs w:val="24"/>
        </w:rPr>
        <w:t>于</w:t>
      </w:r>
      <w:r>
        <w:rPr>
          <w:rFonts w:hint="eastAsia" w:ascii="Times New Roman" w:hAnsi="Times New Roman" w:cs="Times New Roman"/>
          <w:sz w:val="24"/>
          <w:szCs w:val="24"/>
        </w:rPr>
        <w:t>201</w:t>
      </w:r>
      <w:r>
        <w:rPr>
          <w:rFonts w:hint="eastAsia" w:ascii="Times New Roman" w:hAnsi="Times New Roman" w:cs="Times New Roman"/>
          <w:sz w:val="24"/>
          <w:szCs w:val="24"/>
          <w:lang w:val="en-US" w:eastAsia="zh-CN"/>
        </w:rPr>
        <w:t>8</w:t>
      </w:r>
      <w:r>
        <w:rPr>
          <w:rFonts w:hint="eastAsia" w:ascii="Times New Roman" w:hAnsi="Times New Roman" w:cs="Times New Roman"/>
          <w:sz w:val="24"/>
          <w:szCs w:val="24"/>
        </w:rPr>
        <w:t>年</w:t>
      </w:r>
      <w:r>
        <w:rPr>
          <w:rFonts w:hint="eastAsia" w:ascii="Times New Roman" w:hAnsi="Times New Roman" w:cs="Times New Roman"/>
          <w:sz w:val="24"/>
          <w:szCs w:val="24"/>
          <w:lang w:val="en-US" w:eastAsia="zh-CN"/>
        </w:rPr>
        <w:t>9</w:t>
      </w:r>
      <w:r>
        <w:rPr>
          <w:rFonts w:hint="eastAsia" w:ascii="Times New Roman" w:hAnsi="Times New Roman" w:cs="Times New Roman"/>
          <w:sz w:val="24"/>
          <w:szCs w:val="24"/>
        </w:rPr>
        <w:t>月</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rPr>
        <w:t>日</w:t>
      </w:r>
      <w:r>
        <w:rPr>
          <w:rFonts w:hint="eastAsia" w:ascii="Times New Roman" w:hAnsi="Times New Roman" w:cs="Times New Roman"/>
          <w:sz w:val="24"/>
          <w:szCs w:val="24"/>
          <w:lang w:val="en-US" w:eastAsia="zh-CN"/>
        </w:rPr>
        <w:t>以安环审（表）[2018]040号</w:t>
      </w:r>
      <w:r>
        <w:rPr>
          <w:rFonts w:hint="default" w:ascii="Times New Roman" w:hAnsi="Times New Roman" w:cs="Times New Roman"/>
          <w:sz w:val="24"/>
          <w:szCs w:val="24"/>
        </w:rPr>
        <w:t>文予以批复并通过评审。根据建设项目竣工环境保护验收管理办法的相关要求和规定，受</w:t>
      </w:r>
      <w:r>
        <w:rPr>
          <w:rFonts w:hint="eastAsia" w:ascii="Times New Roman" w:hAnsi="Times New Roman" w:cs="Times New Roman"/>
          <w:sz w:val="24"/>
          <w:szCs w:val="24"/>
          <w:lang w:val="en-US" w:eastAsia="zh-CN"/>
        </w:rPr>
        <w:t>湖南湘芝新材料有限公司委托</w:t>
      </w:r>
      <w:r>
        <w:rPr>
          <w:rFonts w:hint="default" w:ascii="Times New Roman" w:hAnsi="Times New Roman" w:cs="Times New Roman"/>
          <w:sz w:val="24"/>
          <w:szCs w:val="24"/>
        </w:rPr>
        <w:t>，湖南精科检测有限公司负责</w:t>
      </w:r>
      <w:r>
        <w:rPr>
          <w:rFonts w:hint="eastAsia" w:ascii="Times New Roman" w:hAnsi="Times New Roman" w:cs="Times New Roman"/>
          <w:sz w:val="24"/>
          <w:szCs w:val="24"/>
        </w:rPr>
        <w:t>该项目</w:t>
      </w:r>
      <w:r>
        <w:rPr>
          <w:rFonts w:hint="default" w:ascii="Times New Roman" w:hAnsi="Times New Roman" w:cs="Times New Roman"/>
          <w:sz w:val="24"/>
          <w:szCs w:val="24"/>
        </w:rPr>
        <w:t>竣工环境保护验收监测工作，并于201</w:t>
      </w:r>
      <w:r>
        <w:rPr>
          <w:rFonts w:hint="eastAsia" w:ascii="Times New Roman" w:hAnsi="Times New Roman" w:cs="Times New Roman"/>
          <w:sz w:val="24"/>
          <w:szCs w:val="24"/>
        </w:rPr>
        <w:t>8</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16</w:t>
      </w:r>
      <w:r>
        <w:rPr>
          <w:rFonts w:hint="eastAsia" w:ascii="Times New Roman" w:hAnsi="Times New Roman" w:cs="Times New Roman"/>
          <w:sz w:val="24"/>
          <w:szCs w:val="24"/>
        </w:rPr>
        <w:t>日</w:t>
      </w:r>
      <w:r>
        <w:rPr>
          <w:rFonts w:hint="default" w:ascii="Times New Roman" w:hAnsi="Times New Roman" w:cs="Times New Roman"/>
          <w:sz w:val="24"/>
          <w:szCs w:val="24"/>
        </w:rPr>
        <w:t>进行了现场查勘</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rPr>
        <w:t>于</w:t>
      </w:r>
      <w:r>
        <w:rPr>
          <w:rFonts w:hint="default" w:ascii="Times New Roman" w:hAnsi="Times New Roman" w:cs="Times New Roman"/>
          <w:color w:val="auto"/>
          <w:sz w:val="24"/>
          <w:szCs w:val="24"/>
        </w:rPr>
        <w:t>201</w:t>
      </w:r>
      <w:r>
        <w:rPr>
          <w:rFonts w:hint="eastAsia" w:ascii="Times New Roman" w:hAnsi="Times New Roman" w:cs="Times New Roman"/>
          <w:color w:val="auto"/>
          <w:sz w:val="24"/>
          <w:szCs w:val="24"/>
        </w:rPr>
        <w:t>8</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21</w:t>
      </w:r>
      <w:r>
        <w:rPr>
          <w:rFonts w:hint="eastAsia" w:ascii="Times New Roman" w:hAnsi="Times New Roman" w:cs="Times New Roman"/>
          <w:color w:val="auto"/>
          <w:sz w:val="24"/>
          <w:szCs w:val="24"/>
        </w:rPr>
        <w:t>日至</w:t>
      </w:r>
      <w:r>
        <w:rPr>
          <w:rFonts w:hint="eastAsia" w:ascii="Times New Roman" w:hAnsi="Times New Roman" w:cs="Times New Roman"/>
          <w:color w:val="auto"/>
          <w:sz w:val="24"/>
          <w:szCs w:val="24"/>
          <w:lang w:val="en-US" w:eastAsia="zh-CN"/>
        </w:rPr>
        <w:t>12</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22</w:t>
      </w:r>
      <w:r>
        <w:rPr>
          <w:rFonts w:hint="eastAsia" w:ascii="Times New Roman" w:hAnsi="Times New Roman" w:cs="Times New Roman"/>
          <w:color w:val="auto"/>
          <w:sz w:val="24"/>
          <w:szCs w:val="24"/>
        </w:rPr>
        <w:t>日对</w:t>
      </w:r>
      <w:r>
        <w:rPr>
          <w:rFonts w:hint="eastAsia" w:ascii="Times New Roman" w:hAnsi="Times New Roman" w:cs="Times New Roman"/>
          <w:sz w:val="24"/>
          <w:szCs w:val="24"/>
        </w:rPr>
        <w:t>项目进行了现场监测</w:t>
      </w:r>
      <w:r>
        <w:rPr>
          <w:rFonts w:hint="default" w:ascii="Times New Roman" w:hAnsi="Times New Roman" w:cs="Times New Roman"/>
          <w:sz w:val="24"/>
          <w:szCs w:val="24"/>
        </w:rPr>
        <w:t>，结合</w:t>
      </w:r>
      <w:r>
        <w:rPr>
          <w:rFonts w:hint="eastAsia" w:ascii="Times New Roman" w:hAnsi="Times New Roman" w:cs="Times New Roman"/>
          <w:sz w:val="24"/>
          <w:szCs w:val="24"/>
        </w:rPr>
        <w:t>委托单位提供的</w:t>
      </w:r>
      <w:r>
        <w:rPr>
          <w:rFonts w:hint="default" w:ascii="Times New Roman" w:hAnsi="Times New Roman" w:cs="Times New Roman"/>
          <w:sz w:val="24"/>
          <w:szCs w:val="24"/>
        </w:rPr>
        <w:t>相关资料</w:t>
      </w:r>
      <w:r>
        <w:rPr>
          <w:rFonts w:hint="eastAsia" w:ascii="Times New Roman" w:hAnsi="Times New Roman" w:cs="Times New Roman"/>
          <w:sz w:val="24"/>
          <w:szCs w:val="24"/>
        </w:rPr>
        <w:t>，在此</w:t>
      </w:r>
      <w:r>
        <w:rPr>
          <w:rFonts w:hint="default" w:ascii="Times New Roman" w:hAnsi="Times New Roman" w:cs="Times New Roman"/>
          <w:sz w:val="24"/>
          <w:szCs w:val="24"/>
        </w:rPr>
        <w:t>基础上编制了本验收监测报告。</w:t>
      </w:r>
    </w:p>
    <w:p>
      <w:pPr>
        <w:rPr>
          <w:rFonts w:hint="eastAsia" w:eastAsiaTheme="minorEastAsia"/>
          <w:lang w:eastAsia="zh-CN"/>
        </w:rPr>
      </w:pPr>
    </w:p>
    <w:p>
      <w:pPr>
        <w:rPr>
          <w:rFonts w:hint="eastAsia"/>
          <w:lang w:eastAsia="zh-CN"/>
        </w:rPr>
      </w:pPr>
    </w:p>
    <w:p>
      <w:pPr>
        <w:pStyle w:val="8"/>
        <w:rPr>
          <w:rFonts w:hint="eastAsia"/>
          <w:lang w:eastAsia="zh-CN"/>
        </w:rPr>
      </w:pPr>
    </w:p>
    <w:p>
      <w:pPr>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8"/>
        <w:rPr>
          <w:rFonts w:hint="eastAsia"/>
          <w:lang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rPr>
      </w:pPr>
      <w:bookmarkStart w:id="1" w:name="_Toc23671"/>
      <w:r>
        <w:rPr>
          <w:rFonts w:hint="default" w:ascii="Times New Roman" w:hAnsi="Times New Roman" w:cs="Times New Roman"/>
        </w:rPr>
        <w:t xml:space="preserve">2 </w:t>
      </w:r>
      <w:r>
        <w:rPr>
          <w:rFonts w:hint="default"/>
        </w:rPr>
        <w:t>验收依据</w:t>
      </w:r>
      <w:bookmarkEnd w:id="1"/>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cs="Times New Roman"/>
          <w:sz w:val="30"/>
          <w:szCs w:val="30"/>
        </w:rPr>
      </w:pPr>
      <w:bookmarkStart w:id="2" w:name="_Toc30855"/>
      <w:r>
        <w:rPr>
          <w:rFonts w:hint="default" w:ascii="Times New Roman" w:hAnsi="Times New Roman" w:cs="Times New Roman"/>
          <w:sz w:val="30"/>
          <w:szCs w:val="30"/>
        </w:rPr>
        <w:t>2.1 建设项目环境保护相关法律、法规、规章和规范；</w:t>
      </w:r>
      <w:bookmarkEnd w:id="2"/>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1、《中华人民共和国环境保护法》全国人民代表大会常务委员会，2014年4月修订，2015年1月1日起实施；</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2、《建设项目环境保护管理条例》国务院第682号令，2017年10月01日起发布施行；</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3、《关于印发污染源监测管理办法的通知》国家环保总局环发[1999]246号，1999年11月1日发布施行；</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4、《关于发布建设项目竣工环境保护验收暂行管理办法的公告》国环规环评【2017】4号，2017年11月20日</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5、《环境监测管理办法》国家环保总局第39号，2007年7月25日发布，2007年9月1日起施行；</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6、《湖南省建设项目环境保护管理办法》湖南省人民政府令第215号，2007年6月29日通过，2007年10月1日起施行；</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7、《国务院关于印发大气污染防治行动计划的通知》 国发〔2013〕37号，2013年9月10日发布。</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8、《国务院关于印发水污染防治行动计划的通知》 国发〔2015〕17号，2015年4月2号发布。</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9、《建设项目竣工环境保护验收技术指南  污染影响类</w:t>
      </w:r>
      <w:r>
        <w:rPr>
          <w:rFonts w:hint="eastAsia" w:ascii="Times New Roman" w:hAnsi="Times New Roman" w:eastAsia="宋体" w:cs="Times New Roman"/>
          <w:color w:val="000000"/>
          <w:sz w:val="24"/>
          <w:szCs w:val="24"/>
          <w:lang w:val="en-US" w:eastAsia="zh-CN" w:bidi="ar-SA"/>
        </w:rPr>
        <w:t>》（环保部[2018]第9号）2018年5月16日。</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10、《建设项目环境影响评价分类管理名录》（2017年9月1日起施行）。</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11、《中华人民共和国大气污染防治法》（中华人民共和国和国家主席令第31号、[2016年1月1日起施行]）。</w:t>
      </w:r>
    </w:p>
    <w:p>
      <w:pPr>
        <w:pStyle w:val="10"/>
        <w:keepNext w:val="0"/>
        <w:keepLines w:val="0"/>
        <w:pageBreakBefore w:val="0"/>
        <w:widowControl/>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12、《中华人民共和国固体废物污染环境防治法》（2016年11月7日修订）、《中华人民共和国水污染防治法》（中华人民共和国主席令第87号、[2018年1月1日起施行]）。</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3" w:name="_Toc7824"/>
      <w:r>
        <w:rPr>
          <w:rFonts w:hint="default" w:ascii="Times New Roman" w:hAnsi="Times New Roman" w:eastAsia="宋体" w:cs="Times New Roman"/>
          <w:b/>
          <w:sz w:val="30"/>
          <w:szCs w:val="30"/>
        </w:rPr>
        <w:t>2.2 建设项目竣工环境保护验收技术规范；</w:t>
      </w:r>
      <w:bookmarkEnd w:id="3"/>
    </w:p>
    <w:p>
      <w:pPr>
        <w:pStyle w:val="10"/>
        <w:keepNext w:val="0"/>
        <w:keepLines w:val="0"/>
        <w:pageBreakBefore w:val="0"/>
        <w:widowControl/>
        <w:numPr>
          <w:ilvl w:val="0"/>
          <w:numId w:val="1"/>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default" w:ascii="Times New Roman" w:hAnsi="Times New Roman" w:eastAsia="宋体" w:cs="Times New Roman"/>
          <w:sz w:val="24"/>
          <w:szCs w:val="24"/>
        </w:rPr>
      </w:pPr>
      <w:bookmarkStart w:id="4" w:name="_Toc9263_WPSOffice_Level2"/>
      <w:bookmarkStart w:id="5" w:name="_Toc16896_WPSOffice_Level2"/>
      <w:r>
        <w:rPr>
          <w:rFonts w:hint="default" w:ascii="Times New Roman" w:hAnsi="Times New Roman" w:eastAsia="宋体" w:cs="Times New Roman"/>
          <w:sz w:val="24"/>
          <w:szCs w:val="24"/>
        </w:rPr>
        <w:t>《大气污染物综合排放标准》(GB</w:t>
      </w:r>
      <w:r>
        <w:rPr>
          <w:rFonts w:hint="default" w:ascii="Times New Roman" w:hAnsi="Times New Roman" w:eastAsia="宋体" w:cs="Times New Roman"/>
          <w:sz w:val="24"/>
          <w:szCs w:val="24"/>
          <w:lang w:val="en-US" w:eastAsia="zh-CN"/>
        </w:rPr>
        <w:t>16297</w:t>
      </w:r>
      <w:r>
        <w:rPr>
          <w:rFonts w:hint="default" w:ascii="Times New Roman" w:hAnsi="Times New Roman" w:eastAsia="宋体" w:cs="Times New Roman"/>
          <w:sz w:val="24"/>
          <w:szCs w:val="24"/>
        </w:rPr>
        <w:t>-1996)</w:t>
      </w:r>
      <w:bookmarkEnd w:id="4"/>
      <w:bookmarkEnd w:id="5"/>
      <w:r>
        <w:rPr>
          <w:rFonts w:hint="eastAsia" w:ascii="Times New Roman" w:hAnsi="Times New Roman" w:eastAsia="宋体" w:cs="Times New Roman"/>
          <w:sz w:val="24"/>
          <w:szCs w:val="24"/>
          <w:lang w:eastAsia="zh-CN"/>
        </w:rPr>
        <w:t>。</w:t>
      </w:r>
    </w:p>
    <w:p>
      <w:pPr>
        <w:pStyle w:val="10"/>
        <w:keepNext w:val="0"/>
        <w:keepLines w:val="0"/>
        <w:pageBreakBefore w:val="0"/>
        <w:widowControl/>
        <w:numPr>
          <w:ilvl w:val="0"/>
          <w:numId w:val="1"/>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sz w:val="24"/>
          <w:szCs w:val="24"/>
          <w:lang w:val="en-US" w:eastAsia="zh-CN"/>
        </w:rPr>
      </w:pPr>
      <w:bookmarkStart w:id="6" w:name="_Toc32608_WPSOffice_Level2"/>
      <w:bookmarkStart w:id="7" w:name="_Toc27196_WPSOffice_Level2"/>
      <w:r>
        <w:rPr>
          <w:rFonts w:hint="default" w:ascii="Times New Roman" w:hAnsi="Times New Roman" w:eastAsia="宋体" w:cs="Times New Roman"/>
          <w:sz w:val="24"/>
          <w:szCs w:val="24"/>
        </w:rPr>
        <w:t>《污水综合排放标准》（GB8978-1996）</w:t>
      </w:r>
      <w:bookmarkEnd w:id="6"/>
      <w:bookmarkEnd w:id="7"/>
      <w:r>
        <w:rPr>
          <w:rFonts w:hint="eastAsia" w:ascii="Times New Roman" w:hAnsi="Times New Roman" w:eastAsia="宋体" w:cs="Times New Roman"/>
          <w:sz w:val="24"/>
          <w:szCs w:val="24"/>
          <w:lang w:eastAsia="zh-CN"/>
        </w:rPr>
        <w:t>。</w:t>
      </w:r>
    </w:p>
    <w:p>
      <w:pPr>
        <w:pStyle w:val="10"/>
        <w:keepNext w:val="0"/>
        <w:keepLines w:val="0"/>
        <w:pageBreakBefore w:val="0"/>
        <w:widowControl/>
        <w:numPr>
          <w:ilvl w:val="0"/>
          <w:numId w:val="1"/>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sz w:val="24"/>
          <w:szCs w:val="24"/>
          <w:lang w:val="en-US" w:eastAsia="zh-CN"/>
        </w:rPr>
      </w:pPr>
      <w:bookmarkStart w:id="8" w:name="_Toc22001_WPSOffice_Level2"/>
      <w:bookmarkStart w:id="9" w:name="_Toc26209_WPSOffice_Level2"/>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工业企业厂界环境噪声排放标准》（GB12348 -2008）</w:t>
      </w:r>
      <w:bookmarkEnd w:id="8"/>
      <w:bookmarkEnd w:id="9"/>
      <w:r>
        <w:rPr>
          <w:rFonts w:hint="eastAsia" w:ascii="Times New Roman" w:hAnsi="Times New Roman" w:eastAsia="宋体" w:cs="Times New Roman"/>
          <w:sz w:val="24"/>
          <w:szCs w:val="24"/>
          <w:lang w:eastAsia="zh-CN"/>
        </w:rPr>
        <w:t>。</w:t>
      </w:r>
    </w:p>
    <w:p>
      <w:pPr>
        <w:pStyle w:val="10"/>
        <w:keepNext w:val="0"/>
        <w:keepLines w:val="0"/>
        <w:pageBreakBefore w:val="0"/>
        <w:widowControl/>
        <w:numPr>
          <w:ilvl w:val="0"/>
          <w:numId w:val="1"/>
        </w:numPr>
        <w:kinsoku/>
        <w:wordWrap/>
        <w:overflowPunct/>
        <w:topLinePunct w:val="0"/>
        <w:autoSpaceDE/>
        <w:autoSpaceDN/>
        <w:bidi w:val="0"/>
        <w:adjustRightInd w:val="0"/>
        <w:snapToGrid w:val="0"/>
        <w:spacing w:after="0" w:afterLines="0" w:line="480" w:lineRule="auto"/>
        <w:ind w:left="0" w:leftChars="0" w:firstLine="0" w:firstLineChars="0"/>
        <w:jc w:val="left"/>
        <w:textAlignment w:val="auto"/>
        <w:outlineLvl w:val="9"/>
        <w:rPr>
          <w:rFonts w:hint="eastAsia" w:ascii="Times New Roman" w:hAnsi="Times New Roman" w:eastAsia="宋体" w:cs="Times New Roman"/>
          <w:sz w:val="24"/>
          <w:szCs w:val="24"/>
          <w:lang w:val="en-US" w:eastAsia="zh-CN"/>
        </w:rPr>
      </w:pPr>
      <w:bookmarkStart w:id="10" w:name="_Toc8853_WPSOffice_Level2"/>
      <w:bookmarkStart w:id="11" w:name="_Toc24768_WPSOffice_Level2"/>
      <w:r>
        <w:rPr>
          <w:rFonts w:hint="default" w:ascii="Times New Roman" w:hAnsi="Times New Roman" w:eastAsia="宋体" w:cs="Times New Roman"/>
          <w:sz w:val="24"/>
          <w:szCs w:val="24"/>
        </w:rPr>
        <w:t>《生活垃圾填埋污染控制标准》（GB16889-2008）</w:t>
      </w:r>
      <w:bookmarkEnd w:id="10"/>
      <w:bookmarkEnd w:id="11"/>
      <w:r>
        <w:rPr>
          <w:rFonts w:hint="eastAsia" w:ascii="Times New Roman" w:hAnsi="Times New Roman" w:eastAsia="宋体" w:cs="Times New Roman"/>
          <w:sz w:val="24"/>
          <w:szCs w:val="24"/>
          <w:lang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beforeAutospacing="0" w:after="0" w:afterLines="0" w:afterAutospacing="0" w:line="480" w:lineRule="auto"/>
        <w:ind w:left="0" w:leftChars="0" w:firstLine="0" w:firstLineChars="0"/>
        <w:jc w:val="both"/>
        <w:textAlignment w:val="auto"/>
        <w:outlineLvl w:val="9"/>
        <w:rPr>
          <w:rFonts w:hint="eastAsia" w:ascii="Times New Roman" w:hAnsi="Times New Roman" w:eastAsia="宋体" w:cs="Times New Roman"/>
          <w:sz w:val="24"/>
          <w:szCs w:val="24"/>
        </w:rPr>
      </w:pPr>
      <w:bookmarkStart w:id="12" w:name="_Toc0_WPSOffice_Level2"/>
      <w:bookmarkStart w:id="13" w:name="_Toc28291_WPSOffice_Level2"/>
      <w:r>
        <w:rPr>
          <w:rFonts w:hint="eastAsia" w:ascii="Times New Roman" w:hAnsi="Times New Roman" w:eastAsia="宋体" w:cs="Times New Roman"/>
          <w:sz w:val="24"/>
          <w:szCs w:val="24"/>
        </w:rPr>
        <w:t>《一般工业固体废物贮存、处置场所污染控制标准》（</w:t>
      </w:r>
      <w:r>
        <w:rPr>
          <w:rFonts w:hint="default" w:ascii="Times New Roman" w:hAnsi="Times New Roman" w:eastAsia="宋体" w:cs="Times New Roman"/>
          <w:sz w:val="24"/>
          <w:szCs w:val="24"/>
        </w:rPr>
        <w:t>GB18599-2001</w:t>
      </w:r>
      <w:r>
        <w:rPr>
          <w:rFonts w:hint="eastAsia" w:ascii="Times New Roman" w:hAnsi="Times New Roman" w:eastAsia="宋体" w:cs="Times New Roman"/>
          <w:sz w:val="24"/>
          <w:szCs w:val="24"/>
        </w:rPr>
        <w:t>）</w:t>
      </w:r>
      <w:bookmarkEnd w:id="12"/>
      <w:bookmarkEnd w:id="13"/>
      <w:r>
        <w:rPr>
          <w:rFonts w:hint="eastAsia" w:ascii="Times New Roman" w:hAnsi="Times New Roman" w:eastAsia="宋体" w:cs="Times New Roman"/>
          <w:sz w:val="24"/>
          <w:szCs w:val="24"/>
          <w:lang w:eastAsia="zh-CN"/>
        </w:rPr>
        <w:t>。</w:t>
      </w:r>
    </w:p>
    <w:p>
      <w:pPr>
        <w:keepNext w:val="0"/>
        <w:keepLines w:val="0"/>
        <w:pageBreakBefore w:val="0"/>
        <w:widowControl/>
        <w:numPr>
          <w:ilvl w:val="0"/>
          <w:numId w:val="1"/>
        </w:numPr>
        <w:kinsoku/>
        <w:wordWrap/>
        <w:overflowPunct/>
        <w:topLinePunct w:val="0"/>
        <w:autoSpaceDE/>
        <w:autoSpaceDN/>
        <w:bidi w:val="0"/>
        <w:adjustRightInd w:val="0"/>
        <w:snapToGrid w:val="0"/>
        <w:spacing w:beforeAutospacing="0" w:after="0" w:afterLines="0" w:afterAutospacing="0" w:line="480" w:lineRule="auto"/>
        <w:ind w:left="0" w:leftChars="0" w:firstLine="0" w:firstLineChars="0"/>
        <w:jc w:val="both"/>
        <w:textAlignment w:val="auto"/>
        <w:outlineLvl w:val="9"/>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危险废物贮存污染控制标准</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GB 18597-2001</w:t>
      </w:r>
      <w:r>
        <w:rPr>
          <w:rFonts w:hint="eastAsia" w:ascii="Times New Roman" w:hAnsi="Times New Roman" w:eastAsia="宋体" w:cs="Times New Roman"/>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b/>
          <w:sz w:val="30"/>
          <w:szCs w:val="30"/>
          <w:lang w:eastAsia="zh-CN"/>
        </w:rPr>
      </w:pPr>
      <w:bookmarkStart w:id="14" w:name="_Toc23676"/>
      <w:r>
        <w:rPr>
          <w:rFonts w:hint="default" w:ascii="Times New Roman" w:hAnsi="Times New Roman" w:eastAsia="宋体" w:cs="Times New Roman"/>
          <w:b/>
          <w:sz w:val="30"/>
          <w:szCs w:val="30"/>
        </w:rPr>
        <w:t>2.3 建设项目环境影响报告表及审批部门审批决定</w:t>
      </w:r>
      <w:r>
        <w:rPr>
          <w:rFonts w:hint="eastAsia" w:ascii="Times New Roman" w:hAnsi="Times New Roman" w:eastAsia="宋体" w:cs="Times New Roman"/>
          <w:b/>
          <w:sz w:val="30"/>
          <w:szCs w:val="30"/>
          <w:lang w:eastAsia="zh-CN"/>
        </w:rPr>
        <w:t>：</w:t>
      </w:r>
      <w:bookmarkEnd w:id="14"/>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Lines="0" w:afterAutospacing="0" w:line="480" w:lineRule="auto"/>
        <w:ind w:left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1、《湖南湘芝新材料有限公司年产1000吨水溶性蜡生产线建设项目环境影响报告表》广西钦天镜环境科技有限公司，2018年8月。</w:t>
      </w:r>
    </w:p>
    <w:p>
      <w:pPr>
        <w:keepNext w:val="0"/>
        <w:keepLines w:val="0"/>
        <w:pageBreakBefore w:val="0"/>
        <w:widowControl/>
        <w:numPr>
          <w:ilvl w:val="0"/>
          <w:numId w:val="0"/>
        </w:numPr>
        <w:kinsoku/>
        <w:wordWrap/>
        <w:overflowPunct/>
        <w:topLinePunct w:val="0"/>
        <w:autoSpaceDE/>
        <w:autoSpaceDN/>
        <w:bidi w:val="0"/>
        <w:adjustRightInd w:val="0"/>
        <w:snapToGrid w:val="0"/>
        <w:spacing w:beforeAutospacing="0" w:after="0" w:afterLines="0" w:afterAutospacing="0" w:line="480" w:lineRule="auto"/>
        <w:ind w:left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2、《关于湖南湘芝新材料有限公司年产1000吨水溶性蜡生产线建设项目环境影响报告表的批复》安环审（表）[2018]040号，2018年9月20日。</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15" w:name="_Toc30352"/>
      <w:r>
        <w:rPr>
          <w:rFonts w:hint="default" w:ascii="Times New Roman" w:hAnsi="Times New Roman" w:eastAsia="宋体" w:cs="Times New Roman"/>
          <w:b/>
        </w:rPr>
        <w:t>3 工程建设情况</w:t>
      </w:r>
      <w:bookmarkEnd w:id="15"/>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6" w:name="_Toc16637"/>
      <w:r>
        <w:rPr>
          <w:rFonts w:hint="default" w:ascii="Times New Roman" w:hAnsi="Times New Roman" w:eastAsia="宋体" w:cs="Times New Roman"/>
          <w:b/>
          <w:sz w:val="30"/>
          <w:szCs w:val="30"/>
        </w:rPr>
        <w:t>3</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rPr>
        <w:t>1 地理位置及平面布置</w:t>
      </w:r>
      <w:bookmarkEnd w:id="1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i w:val="0"/>
          <w:color w:val="000000"/>
          <w:sz w:val="24"/>
          <w:szCs w:val="24"/>
          <w:lang w:val="en-US" w:eastAsia="zh-CN"/>
        </w:rPr>
      </w:pPr>
      <w:r>
        <w:rPr>
          <w:rFonts w:hint="default" w:ascii="Times New Roman" w:hAnsi="Times New Roman" w:eastAsia="宋体" w:cs="Times New Roman"/>
          <w:b w:val="0"/>
          <w:i w:val="0"/>
          <w:color w:val="000000"/>
          <w:sz w:val="24"/>
          <w:szCs w:val="24"/>
        </w:rPr>
        <w:t>项目</w:t>
      </w:r>
      <w:r>
        <w:rPr>
          <w:rFonts w:hint="default" w:ascii="Times New Roman" w:hAnsi="Times New Roman" w:eastAsia="宋体" w:cs="Times New Roman"/>
          <w:b w:val="0"/>
          <w:i w:val="0"/>
          <w:color w:val="000000"/>
          <w:sz w:val="24"/>
          <w:szCs w:val="24"/>
          <w:lang w:val="en-US" w:eastAsia="zh-CN"/>
        </w:rPr>
        <w:t>位于湖南省益阳市安化县经济开发区梅城工业园，项目东南侧约260米处为217省道，东北方向2.5公里处为梅城县县城</w:t>
      </w:r>
      <w:r>
        <w:rPr>
          <w:rFonts w:hint="default" w:ascii="Times New Roman" w:hAnsi="Times New Roman" w:eastAsia="宋体" w:cs="Times New Roman"/>
          <w:b w:val="0"/>
          <w:i w:val="0"/>
          <w:color w:val="000000"/>
          <w:sz w:val="24"/>
          <w:szCs w:val="24"/>
        </w:rPr>
        <w:t>。</w:t>
      </w:r>
      <w:r>
        <w:rPr>
          <w:rFonts w:hint="default" w:ascii="Times New Roman" w:hAnsi="Times New Roman" w:eastAsia="宋体" w:cs="Times New Roman"/>
          <w:b w:val="0"/>
          <w:i w:val="0"/>
          <w:color w:val="000000"/>
          <w:sz w:val="24"/>
          <w:szCs w:val="24"/>
          <w:lang w:val="en-US" w:eastAsia="zh-CN"/>
        </w:rPr>
        <w:t>东南、西南方向均有少量居民聚集点，北方向园区外为荒地和林地。中心坐标为：E112°37′35.03″、N28°7′23.85″</w:t>
      </w:r>
      <w:r>
        <w:rPr>
          <w:rFonts w:hint="eastAsia" w:ascii="Times New Roman" w:hAnsi="Times New Roman" w:eastAsia="宋体" w:cs="Times New Roman"/>
          <w:b w:val="0"/>
          <w:i w:val="0"/>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ascii="宋体" w:hAnsi="宋体" w:eastAsia="宋体" w:cs="宋体"/>
          <w:b w:val="0"/>
          <w:i w:val="0"/>
          <w:color w:val="000000"/>
          <w:sz w:val="24"/>
          <w:szCs w:val="24"/>
        </w:rPr>
        <w:t>项目</w:t>
      </w:r>
      <w:r>
        <w:rPr>
          <w:rFonts w:hint="eastAsia" w:ascii="宋体" w:hAnsi="宋体" w:eastAsia="宋体" w:cs="宋体"/>
          <w:b w:val="0"/>
          <w:i w:val="0"/>
          <w:color w:val="000000"/>
          <w:sz w:val="24"/>
          <w:szCs w:val="24"/>
          <w:lang w:val="en-US" w:eastAsia="zh-CN"/>
        </w:rPr>
        <w:t>租用4层楼房的第一层，场地大致呈长方形，本项目设置4处们，东北角为电梯区域，西南角为楼梯间；本项目有两条东西走向的通道，一条南北走向的通道，办公区域位于项目西侧，从西至东一次为：1#成品区、包装区、生产车间、品管室、电梯区域；2#成品区、原材料区、成品检验区</w:t>
      </w:r>
      <w:r>
        <w:rPr>
          <w:rFonts w:ascii="宋体" w:hAnsi="宋体" w:eastAsia="宋体" w:cs="宋体"/>
          <w:b w:val="0"/>
          <w:i w:val="0"/>
          <w:color w:val="000000"/>
          <w:sz w:val="24"/>
          <w:szCs w:val="24"/>
        </w:rPr>
        <w:t>。</w:t>
      </w:r>
      <w:r>
        <w:rPr>
          <w:rFonts w:hint="default" w:ascii="Times New Roman" w:hAnsi="Times New Roman" w:cs="Times New Roman"/>
          <w:sz w:val="24"/>
          <w:szCs w:val="24"/>
        </w:rPr>
        <w:t>平面布置情况见附图</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7" w:name="_Toc6953"/>
      <w:r>
        <w:rPr>
          <w:rFonts w:hint="default" w:ascii="Times New Roman" w:hAnsi="Times New Roman" w:eastAsia="宋体" w:cs="Times New Roman"/>
          <w:b/>
          <w:sz w:val="30"/>
          <w:szCs w:val="30"/>
        </w:rPr>
        <w:t>3</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rPr>
        <w:t>2 建设内容</w:t>
      </w:r>
      <w:bookmarkEnd w:id="17"/>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本项目主要建设</w:t>
      </w:r>
      <w:r>
        <w:rPr>
          <w:rFonts w:hint="default" w:ascii="Times New Roman" w:hAnsi="Times New Roman" w:eastAsia="宋体" w:cs="Times New Roman"/>
          <w:sz w:val="24"/>
          <w:szCs w:val="24"/>
          <w:lang w:eastAsia="zh-CN"/>
        </w:rPr>
        <w:t>基本情况</w:t>
      </w:r>
      <w:r>
        <w:rPr>
          <w:rFonts w:hint="default" w:ascii="Times New Roman" w:hAnsi="Times New Roman" w:eastAsia="宋体" w:cs="Times New Roman"/>
          <w:sz w:val="24"/>
          <w:szCs w:val="24"/>
        </w:rPr>
        <w:t>及投资情况如下表3-</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eastAsia="宋体" w:cs="Times New Roman"/>
          <w:b/>
          <w:bCs/>
          <w:kern w:val="0"/>
          <w:sz w:val="24"/>
          <w:szCs w:val="24"/>
        </w:rPr>
      </w:pPr>
      <w:r>
        <w:rPr>
          <w:rFonts w:hint="default" w:ascii="Times New Roman" w:hAnsi="Times New Roman" w:eastAsia="宋体" w:cs="Times New Roman"/>
          <w:b/>
          <w:bCs/>
          <w:kern w:val="0"/>
          <w:sz w:val="24"/>
          <w:szCs w:val="24"/>
        </w:rPr>
        <w:t>表3-</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rPr>
        <w:t>建设项目基本情况一览表</w:t>
      </w:r>
    </w:p>
    <w:tbl>
      <w:tblPr>
        <w:tblStyle w:val="17"/>
        <w:tblW w:w="8975"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852"/>
        <w:gridCol w:w="712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pStyle w:val="19"/>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项目名称</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年产1000吨水溶性蜡生产线建设项目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建设单位</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湖南湘芝新材料有限公司</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法人代表</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谌月槐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联系人</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谌月槐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联系电话</w:t>
            </w:r>
          </w:p>
        </w:tc>
        <w:tc>
          <w:tcPr>
            <w:tcW w:w="7123"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18898718008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建设地点</w:t>
            </w:r>
          </w:p>
        </w:tc>
        <w:tc>
          <w:tcPr>
            <w:tcW w:w="7123" w:type="dxa"/>
            <w:vAlign w:val="center"/>
          </w:tcPr>
          <w:p>
            <w:pPr>
              <w:pStyle w:val="19"/>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湖南省益阳市安化县经济开发区梅城工业园</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建设性质</w:t>
            </w:r>
          </w:p>
        </w:tc>
        <w:tc>
          <w:tcPr>
            <w:tcW w:w="7123" w:type="dxa"/>
            <w:vAlign w:val="center"/>
          </w:tcPr>
          <w:p>
            <w:pPr>
              <w:spacing w:line="320" w:lineRule="exac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color w:val="000000"/>
                <w:sz w:val="21"/>
                <w:szCs w:val="21"/>
                <w:lang w:val="en-US" w:eastAsia="zh-CN"/>
              </w:rPr>
              <w:t>新建</w:t>
            </w:r>
            <w:r>
              <w:rPr>
                <w:rFonts w:hint="default" w:ascii="Times New Roman" w:hAnsi="Times New Roman" w:eastAsia="宋体" w:cs="Times New Roman"/>
                <w:sz w:val="21"/>
                <w:szCs w:val="21"/>
                <w:lang w:val="en-US" w:eastAsia="zh-CN"/>
              </w:rPr>
              <w:t xml:space="preserve">           </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行业类别及代码</w:t>
            </w:r>
          </w:p>
        </w:tc>
        <w:tc>
          <w:tcPr>
            <w:tcW w:w="7123" w:type="dxa"/>
            <w:vAlign w:val="center"/>
          </w:tcPr>
          <w:p>
            <w:pPr>
              <w:pStyle w:val="19"/>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其他日用化学品制造（蜡烛及类似制品）（C2689）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占地面积</w:t>
            </w:r>
          </w:p>
        </w:tc>
        <w:tc>
          <w:tcPr>
            <w:tcW w:w="7123" w:type="dxa"/>
            <w:vAlign w:val="center"/>
          </w:tcPr>
          <w:p>
            <w:pPr>
              <w:pStyle w:val="19"/>
              <w:spacing w:line="320" w:lineRule="exact"/>
              <w:jc w:val="center"/>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2100平方米</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Merge w:val="restar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工程投资</w:t>
            </w:r>
          </w:p>
        </w:tc>
        <w:tc>
          <w:tcPr>
            <w:tcW w:w="7123" w:type="dxa"/>
            <w:vAlign w:val="center"/>
          </w:tcPr>
          <w:p>
            <w:pPr>
              <w:pStyle w:val="19"/>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设计</w:t>
            </w:r>
            <w:r>
              <w:rPr>
                <w:rFonts w:hint="default" w:ascii="Times New Roman" w:hAnsi="Times New Roman" w:eastAsia="宋体" w:cs="Times New Roman"/>
                <w:sz w:val="21"/>
                <w:szCs w:val="21"/>
                <w:lang w:val="en-US" w:eastAsia="zh-CN"/>
              </w:rPr>
              <w:t>总投资</w:t>
            </w:r>
            <w:r>
              <w:rPr>
                <w:rFonts w:hint="eastAsia" w:ascii="Times New Roman" w:hAnsi="Times New Roman" w:eastAsia="宋体" w:cs="Times New Roman"/>
                <w:sz w:val="21"/>
                <w:szCs w:val="21"/>
                <w:lang w:val="en-US" w:eastAsia="zh-CN"/>
              </w:rPr>
              <w:t>1200</w:t>
            </w:r>
            <w:r>
              <w:rPr>
                <w:rFonts w:hint="default" w:ascii="Times New Roman" w:hAnsi="Times New Roman" w:eastAsia="宋体" w:cs="Times New Roman"/>
                <w:sz w:val="21"/>
                <w:szCs w:val="21"/>
                <w:lang w:val="en-US" w:eastAsia="zh-CN"/>
              </w:rPr>
              <w:t>万元，其中环保预投资</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lang w:val="en-US" w:eastAsia="zh-CN"/>
              </w:rPr>
              <w:t>万元，占</w:t>
            </w:r>
            <w:r>
              <w:rPr>
                <w:rFonts w:hint="eastAsia" w:ascii="Times New Roman" w:hAnsi="Times New Roman" w:eastAsia="宋体" w:cs="Times New Roman"/>
                <w:sz w:val="21"/>
                <w:szCs w:val="21"/>
                <w:lang w:val="en-US" w:eastAsia="zh-CN"/>
              </w:rPr>
              <w:t>1.67</w:t>
            </w:r>
            <w:r>
              <w:rPr>
                <w:rFonts w:hint="default" w:ascii="Times New Roman" w:hAnsi="Times New Roman" w:eastAsia="宋体"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Merge w:val="continue"/>
            <w:vAlign w:val="center"/>
          </w:tcPr>
          <w:p>
            <w:pPr>
              <w:spacing w:line="320" w:lineRule="exact"/>
              <w:jc w:val="center"/>
              <w:rPr>
                <w:rFonts w:hint="eastAsia" w:ascii="Times New Roman" w:hAnsi="Times New Roman" w:eastAsia="宋体" w:cs="Times New Roman"/>
                <w:sz w:val="21"/>
                <w:szCs w:val="21"/>
                <w:lang w:val="en-US" w:eastAsia="zh-CN"/>
              </w:rPr>
            </w:pPr>
          </w:p>
        </w:tc>
        <w:tc>
          <w:tcPr>
            <w:tcW w:w="7123" w:type="dxa"/>
            <w:vAlign w:val="center"/>
          </w:tcPr>
          <w:p>
            <w:pPr>
              <w:pStyle w:val="19"/>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实际总</w:t>
            </w:r>
            <w:r>
              <w:rPr>
                <w:rFonts w:hint="default" w:ascii="Times New Roman" w:hAnsi="Times New Roman" w:eastAsia="宋体" w:cs="Times New Roman"/>
                <w:sz w:val="21"/>
                <w:szCs w:val="21"/>
                <w:lang w:val="en-US" w:eastAsia="zh-CN"/>
              </w:rPr>
              <w:t>投资</w:t>
            </w:r>
            <w:r>
              <w:rPr>
                <w:rFonts w:hint="eastAsia" w:ascii="Times New Roman" w:hAnsi="Times New Roman" w:eastAsia="宋体" w:cs="Times New Roman"/>
                <w:sz w:val="21"/>
                <w:szCs w:val="21"/>
                <w:lang w:val="en-US" w:eastAsia="zh-CN"/>
              </w:rPr>
              <w:t>1200</w:t>
            </w:r>
            <w:r>
              <w:rPr>
                <w:rFonts w:hint="default" w:ascii="Times New Roman" w:hAnsi="Times New Roman" w:eastAsia="宋体" w:cs="Times New Roman"/>
                <w:sz w:val="21"/>
                <w:szCs w:val="21"/>
                <w:lang w:val="en-US" w:eastAsia="zh-CN"/>
              </w:rPr>
              <w:t>万元，其中环保预投资</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万元，占</w:t>
            </w:r>
            <w:r>
              <w:rPr>
                <w:rFonts w:hint="eastAsia" w:ascii="Times New Roman" w:hAnsi="Times New Roman" w:eastAsia="宋体" w:cs="Times New Roman"/>
                <w:sz w:val="21"/>
                <w:szCs w:val="21"/>
                <w:lang w:val="en-US" w:eastAsia="zh-CN"/>
              </w:rPr>
              <w:t>1.75</w:t>
            </w:r>
            <w:r>
              <w:rPr>
                <w:rFonts w:hint="default" w:ascii="Times New Roman" w:hAnsi="Times New Roman" w:eastAsia="宋体" w:cs="Times New Roman"/>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环评情况</w:t>
            </w:r>
          </w:p>
        </w:tc>
        <w:tc>
          <w:tcPr>
            <w:tcW w:w="7123" w:type="dxa"/>
            <w:vAlign w:val="center"/>
          </w:tcPr>
          <w:p>
            <w:pPr>
              <w:spacing w:line="320" w:lineRule="exact"/>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bidi="ar-SA"/>
              </w:rPr>
              <w:t>2018年8月</w:t>
            </w:r>
            <w:r>
              <w:rPr>
                <w:rFonts w:hint="default" w:ascii="Times New Roman" w:hAnsi="Times New Roman" w:eastAsia="宋体" w:cs="Times New Roman"/>
                <w:kern w:val="0"/>
                <w:sz w:val="21"/>
                <w:szCs w:val="21"/>
                <w:lang w:val="en-US" w:eastAsia="zh-CN" w:bidi="ar-SA"/>
              </w:rPr>
              <w:t>由</w:t>
            </w:r>
            <w:r>
              <w:rPr>
                <w:rFonts w:hint="eastAsia" w:ascii="Times New Roman" w:hAnsi="Times New Roman" w:eastAsia="宋体" w:cs="Times New Roman"/>
                <w:kern w:val="0"/>
                <w:sz w:val="21"/>
                <w:szCs w:val="21"/>
                <w:lang w:val="en-US" w:eastAsia="zh-CN" w:bidi="ar-SA"/>
              </w:rPr>
              <w:t>广西钦天镜环境科技有限公司</w:t>
            </w:r>
            <w:r>
              <w:rPr>
                <w:rFonts w:hint="default" w:ascii="Times New Roman" w:hAnsi="Times New Roman" w:eastAsia="宋体" w:cs="Times New Roman"/>
                <w:kern w:val="0"/>
                <w:sz w:val="21"/>
                <w:szCs w:val="21"/>
                <w:lang w:val="en-US" w:eastAsia="zh-CN" w:bidi="ar-SA"/>
              </w:rPr>
              <w:t>完成其环境影响评价</w:t>
            </w:r>
            <w:r>
              <w:rPr>
                <w:rFonts w:hint="eastAsia" w:ascii="Times New Roman" w:hAnsi="Times New Roman" w:eastAsia="宋体" w:cs="Times New Roman"/>
                <w:kern w:val="0"/>
                <w:sz w:val="21"/>
                <w:szCs w:val="21"/>
                <w:lang w:val="en-US" w:eastAsia="zh-CN" w:bidi="ar-SA"/>
              </w:rPr>
              <w:t>报告表，安化县环境保护局</w:t>
            </w:r>
            <w:r>
              <w:rPr>
                <w:rFonts w:hint="default" w:ascii="Times New Roman" w:hAnsi="Times New Roman" w:eastAsia="宋体" w:cs="Times New Roman"/>
                <w:kern w:val="0"/>
                <w:sz w:val="21"/>
                <w:szCs w:val="21"/>
                <w:lang w:val="en-US" w:eastAsia="zh-CN" w:bidi="ar-SA"/>
              </w:rPr>
              <w:t>于</w:t>
            </w:r>
            <w:r>
              <w:rPr>
                <w:rFonts w:hint="eastAsia" w:ascii="Times New Roman" w:hAnsi="Times New Roman" w:eastAsia="宋体" w:cs="Times New Roman"/>
                <w:kern w:val="0"/>
                <w:sz w:val="21"/>
                <w:szCs w:val="21"/>
                <w:lang w:val="en-US" w:eastAsia="zh-CN" w:bidi="ar-SA"/>
              </w:rPr>
              <w:t>2018年9月20</w:t>
            </w:r>
            <w:r>
              <w:rPr>
                <w:rFonts w:hint="default" w:ascii="Times New Roman" w:hAnsi="Times New Roman" w:eastAsia="宋体" w:cs="Times New Roman"/>
                <w:kern w:val="0"/>
                <w:sz w:val="21"/>
                <w:szCs w:val="21"/>
                <w:lang w:val="en-US" w:eastAsia="zh-CN" w:bidi="ar-SA"/>
              </w:rPr>
              <w:t>日</w:t>
            </w:r>
            <w:r>
              <w:rPr>
                <w:rFonts w:hint="eastAsia" w:ascii="Times New Roman" w:hAnsi="Times New Roman" w:eastAsia="宋体" w:cs="Times New Roman"/>
                <w:kern w:val="0"/>
                <w:sz w:val="21"/>
                <w:szCs w:val="21"/>
                <w:lang w:val="en-US" w:eastAsia="zh-CN" w:bidi="ar-SA"/>
              </w:rPr>
              <w:t>以安环审（表）[2018]040号</w:t>
            </w:r>
            <w:r>
              <w:rPr>
                <w:rFonts w:hint="default" w:ascii="Times New Roman" w:hAnsi="Times New Roman" w:eastAsia="宋体" w:cs="Times New Roman"/>
                <w:kern w:val="0"/>
                <w:sz w:val="21"/>
                <w:szCs w:val="21"/>
                <w:lang w:val="en-US" w:eastAsia="zh-CN" w:bidi="ar-SA"/>
              </w:rPr>
              <w:t>文予以批复并通过评审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劳动定员及</w:t>
            </w:r>
          </w:p>
          <w:p>
            <w:pPr>
              <w:spacing w:line="320" w:lineRule="exact"/>
              <w:ind w:firstLine="420" w:firstLineChars="2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生产制度</w:t>
            </w:r>
          </w:p>
        </w:tc>
        <w:tc>
          <w:tcPr>
            <w:tcW w:w="7123" w:type="dxa"/>
            <w:vAlign w:val="center"/>
          </w:tcPr>
          <w:p>
            <w:pPr>
              <w:spacing w:line="32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厂区劳动员工共</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人，实行</w:t>
            </w:r>
            <w:r>
              <w:rPr>
                <w:rFonts w:hint="eastAsia" w:ascii="Times New Roman" w:hAnsi="Times New Roman" w:eastAsia="宋体" w:cs="Times New Roman"/>
                <w:sz w:val="21"/>
                <w:szCs w:val="21"/>
                <w:lang w:val="en-US" w:eastAsia="zh-CN"/>
              </w:rPr>
              <w:t>一</w:t>
            </w:r>
            <w:r>
              <w:rPr>
                <w:rFonts w:hint="default" w:ascii="Times New Roman" w:hAnsi="Times New Roman" w:eastAsia="宋体" w:cs="Times New Roman"/>
                <w:sz w:val="21"/>
                <w:szCs w:val="21"/>
              </w:rPr>
              <w:t>班制，</w:t>
            </w:r>
            <w:r>
              <w:rPr>
                <w:rFonts w:hint="eastAsia" w:ascii="Times New Roman" w:hAnsi="Times New Roman" w:eastAsia="宋体" w:cs="Times New Roman"/>
                <w:sz w:val="21"/>
                <w:szCs w:val="21"/>
                <w:lang w:val="en-US" w:eastAsia="zh-CN"/>
              </w:rPr>
              <w:t>每班</w:t>
            </w:r>
            <w:r>
              <w:rPr>
                <w:rFonts w:hint="default" w:ascii="Times New Roman" w:hAnsi="Times New Roman" w:eastAsia="宋体" w:cs="Times New Roman"/>
                <w:sz w:val="21"/>
                <w:szCs w:val="21"/>
              </w:rPr>
              <w:t>工作八小时，一年工作</w:t>
            </w:r>
            <w:r>
              <w:rPr>
                <w:rFonts w:hint="eastAsia" w:ascii="Times New Roman" w:hAnsi="Times New Roman" w:eastAsia="宋体" w:cs="Times New Roman"/>
                <w:sz w:val="21"/>
                <w:szCs w:val="21"/>
                <w:lang w:val="en-US" w:eastAsia="zh-CN"/>
              </w:rPr>
              <w:t>300</w:t>
            </w:r>
            <w:r>
              <w:rPr>
                <w:rFonts w:hint="default" w:ascii="Times New Roman" w:hAnsi="Times New Roman" w:eastAsia="宋体" w:cs="Times New Roman"/>
                <w:sz w:val="21"/>
                <w:szCs w:val="21"/>
              </w:rPr>
              <w:t>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建设日期</w:t>
            </w:r>
          </w:p>
        </w:tc>
        <w:tc>
          <w:tcPr>
            <w:tcW w:w="7123"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r>
              <w:rPr>
                <w:rFonts w:hint="eastAsia" w:ascii="Times New Roman" w:hAnsi="Times New Roman" w:eastAsia="宋体" w:cs="Times New Roman"/>
                <w:sz w:val="21"/>
                <w:szCs w:val="21"/>
                <w:lang w:val="en-US" w:eastAsia="zh-CN"/>
              </w:rPr>
              <w:t>18</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试</w:t>
            </w:r>
            <w:r>
              <w:rPr>
                <w:rFonts w:hint="default" w:ascii="Times New Roman" w:hAnsi="Times New Roman" w:eastAsia="宋体" w:cs="Times New Roman"/>
                <w:sz w:val="21"/>
                <w:szCs w:val="21"/>
              </w:rPr>
              <w:t>投产日期</w:t>
            </w:r>
          </w:p>
        </w:tc>
        <w:tc>
          <w:tcPr>
            <w:tcW w:w="7123"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rPr>
              <w:t>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现场踏勘日期</w:t>
            </w:r>
          </w:p>
        </w:tc>
        <w:tc>
          <w:tcPr>
            <w:tcW w:w="7123"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2018年</w:t>
            </w: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rPr>
              <w:t>月</w:t>
            </w:r>
            <w:r>
              <w:rPr>
                <w:rFonts w:hint="eastAsia" w:ascii="Times New Roman" w:hAnsi="Times New Roman" w:eastAsia="宋体" w:cs="Times New Roman"/>
                <w:sz w:val="21"/>
                <w:szCs w:val="21"/>
                <w:lang w:val="en-US" w:eastAsia="zh-CN"/>
              </w:rPr>
              <w:t>16</w:t>
            </w:r>
            <w:r>
              <w:rPr>
                <w:rFonts w:hint="default" w:ascii="Times New Roman" w:hAnsi="Times New Roman" w:eastAsia="宋体" w:cs="Times New Roman"/>
                <w:sz w:val="21"/>
                <w:szCs w:val="21"/>
              </w:rPr>
              <w:t>日</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852"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现场采样日期</w:t>
            </w:r>
          </w:p>
        </w:tc>
        <w:tc>
          <w:tcPr>
            <w:tcW w:w="7123" w:type="dxa"/>
            <w:vAlign w:val="center"/>
          </w:tcPr>
          <w:p>
            <w:pPr>
              <w:spacing w:line="32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2018年</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rPr>
              <w:t>日~2018年</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日</w:t>
            </w:r>
          </w:p>
        </w:tc>
      </w:tr>
    </w:tbl>
    <w:p>
      <w:pPr>
        <w:rPr>
          <w:rFonts w:hint="default"/>
        </w:rPr>
      </w:pP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本项目主要</w:t>
      </w:r>
      <w:r>
        <w:rPr>
          <w:rFonts w:hint="eastAsia" w:ascii="Times New Roman" w:hAnsi="Times New Roman" w:eastAsia="宋体" w:cs="Times New Roman"/>
          <w:sz w:val="24"/>
          <w:szCs w:val="24"/>
          <w:lang w:val="en-US" w:eastAsia="zh-CN"/>
        </w:rPr>
        <w:t>工程建筑内容如下</w:t>
      </w:r>
      <w:r>
        <w:rPr>
          <w:rFonts w:hint="default" w:ascii="Times New Roman" w:hAnsi="Times New Roman" w:eastAsia="宋体" w:cs="Times New Roman"/>
          <w:sz w:val="24"/>
          <w:szCs w:val="24"/>
        </w:rPr>
        <w:t>表</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rPr>
        <w:t>表</w:t>
      </w:r>
      <w:r>
        <w:rPr>
          <w:rFonts w:hint="default" w:ascii="Times New Roman" w:hAnsi="Times New Roman" w:eastAsia="宋体" w:cs="Times New Roman"/>
          <w:b/>
          <w:bCs/>
          <w:kern w:val="0"/>
          <w:sz w:val="24"/>
          <w:szCs w:val="24"/>
          <w:lang w:val="en-US" w:eastAsia="zh-CN"/>
        </w:rPr>
        <w:t>3-</w:t>
      </w:r>
      <w:r>
        <w:rPr>
          <w:rFonts w:hint="eastAsia" w:ascii="Times New Roman" w:hAnsi="Times New Roman" w:eastAsia="宋体" w:cs="Times New Roman"/>
          <w:b/>
          <w:bCs/>
          <w:kern w:val="0"/>
          <w:sz w:val="24"/>
          <w:szCs w:val="24"/>
          <w:lang w:val="en-US" w:eastAsia="zh-CN"/>
        </w:rPr>
        <w:t>2</w:t>
      </w:r>
      <w:r>
        <w:rPr>
          <w:rFonts w:hint="default"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lang w:val="en-US" w:eastAsia="zh-CN"/>
        </w:rPr>
        <w:t>工程建筑内容一览表</w:t>
      </w:r>
    </w:p>
    <w:tbl>
      <w:tblPr>
        <w:tblStyle w:val="17"/>
        <w:tblW w:w="8367" w:type="dxa"/>
        <w:jc w:val="center"/>
        <w:tblInd w:w="17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095"/>
        <w:gridCol w:w="61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83" w:type="dxa"/>
            <w:tcBorders>
              <w:tl2br w:val="nil"/>
              <w:tr2bl w:val="nil"/>
            </w:tcBorders>
            <w:vAlign w:val="center"/>
          </w:tcPr>
          <w:p>
            <w:pPr>
              <w:pStyle w:val="20"/>
              <w:widowControl w:val="0"/>
              <w:adjustRightInd/>
              <w:snapToGrid/>
              <w:spacing w:after="0" w:afterLines="-2147483648"/>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工程类别</w:t>
            </w:r>
          </w:p>
        </w:tc>
        <w:tc>
          <w:tcPr>
            <w:tcW w:w="1095" w:type="dxa"/>
            <w:tcBorders>
              <w:tl2br w:val="nil"/>
              <w:tr2bl w:val="nil"/>
            </w:tcBorders>
            <w:vAlign w:val="center"/>
          </w:tcPr>
          <w:p>
            <w:pPr>
              <w:pStyle w:val="20"/>
              <w:widowControl w:val="0"/>
              <w:adjustRightInd/>
              <w:snapToGrid/>
              <w:spacing w:after="0" w:afterLines="-2147483648"/>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618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20" w:lineRule="exact"/>
              <w:jc w:val="center"/>
              <w:textAlignment w:val="auto"/>
              <w:outlineLvl w:val="9"/>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65" w:hRule="atLeast"/>
          <w:jc w:val="center"/>
        </w:trPr>
        <w:tc>
          <w:tcPr>
            <w:tcW w:w="2178" w:type="dxa"/>
            <w:gridSpan w:val="2"/>
            <w:tcBorders>
              <w:tl2br w:val="nil"/>
              <w:tr2bl w:val="nil"/>
            </w:tcBorders>
            <w:vAlign w:val="center"/>
          </w:tcPr>
          <w:p>
            <w:pPr>
              <w:spacing w:line="3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主体工程</w:t>
            </w:r>
          </w:p>
        </w:tc>
        <w:tc>
          <w:tcPr>
            <w:tcW w:w="6189" w:type="dxa"/>
            <w:vMerge w:val="restart"/>
            <w:tcBorders>
              <w:tl2br w:val="nil"/>
              <w:tr2bl w:val="nil"/>
            </w:tcBorders>
            <w:vAlign w:val="center"/>
          </w:tcPr>
          <w:p>
            <w:pPr>
              <w:spacing w:line="3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本项目设置7条生产线，生产车间150m</w:t>
            </w:r>
            <w:r>
              <w:rPr>
                <w:rFonts w:hint="eastAsia"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，原材料区412m</w:t>
            </w:r>
            <w:r>
              <w:rPr>
                <w:rFonts w:hint="eastAsia"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，1#成品区95m</w:t>
            </w:r>
            <w:r>
              <w:rPr>
                <w:rFonts w:hint="eastAsia"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,2#成品区约352m</w:t>
            </w:r>
            <w:r>
              <w:rPr>
                <w:rFonts w:hint="eastAsia"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，包装区为72m</w:t>
            </w:r>
            <w:r>
              <w:rPr>
                <w:rFonts w:hint="eastAsia"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，成品检验区为68m</w:t>
            </w:r>
            <w:r>
              <w:rPr>
                <w:rFonts w:hint="eastAsia" w:ascii="Times New Roman" w:hAnsi="Times New Roman" w:eastAsia="宋体" w:cs="Times New Roman"/>
                <w:kern w:val="2"/>
                <w:sz w:val="21"/>
                <w:szCs w:val="21"/>
                <w:vertAlign w:val="superscript"/>
                <w:lang w:val="en-US" w:eastAsia="zh-CN" w:bidi="ar-SA"/>
              </w:rPr>
              <w:t>2</w:t>
            </w:r>
            <w:r>
              <w:rPr>
                <w:rFonts w:hint="eastAsia" w:ascii="Times New Roman" w:hAnsi="Times New Roman" w:eastAsia="宋体" w:cs="Times New Roman"/>
                <w:kern w:val="2"/>
                <w:sz w:val="21"/>
                <w:szCs w:val="21"/>
                <w:lang w:val="en-US" w:eastAsia="zh-CN" w:bidi="ar-SA"/>
              </w:rPr>
              <w:t>。生产过程均为物料过程，无化学过程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178" w:type="dxa"/>
            <w:gridSpan w:val="2"/>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textAlignment w:val="auto"/>
              <w:outlineLvl w:val="9"/>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配套工程</w:t>
            </w:r>
          </w:p>
        </w:tc>
        <w:tc>
          <w:tcPr>
            <w:tcW w:w="6189"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品管室约为68m</w:t>
            </w:r>
            <w:r>
              <w:rPr>
                <w:rFonts w:hint="eastAsia" w:ascii="Times New Roman" w:hAnsi="Times New Roman" w:eastAsia="宋体" w:cs="Times New Roman"/>
                <w:sz w:val="21"/>
                <w:szCs w:val="21"/>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83"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环保工程</w:t>
            </w:r>
          </w:p>
        </w:tc>
        <w:tc>
          <w:tcPr>
            <w:tcW w:w="109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废气治理</w:t>
            </w:r>
          </w:p>
        </w:tc>
        <w:tc>
          <w:tcPr>
            <w:tcW w:w="6189"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厂房设置排气装置，粉尘和有机物废气设置集气罩+喷淋塔+UV光解催化净化设备+20m排气筒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09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噪声治理</w:t>
            </w:r>
          </w:p>
        </w:tc>
        <w:tc>
          <w:tcPr>
            <w:tcW w:w="6189"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合理布局、采取减振、消声、距离衰减等措施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095"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废水治理</w:t>
            </w:r>
          </w:p>
        </w:tc>
        <w:tc>
          <w:tcPr>
            <w:tcW w:w="6189"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生产用水为喷淋塔用水，循环利用，项目不包食宿，厕所等为园区公共设施，无生活废水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pPr>
          </w:p>
        </w:tc>
        <w:tc>
          <w:tcPr>
            <w:tcW w:w="109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固废处置</w:t>
            </w:r>
          </w:p>
        </w:tc>
        <w:tc>
          <w:tcPr>
            <w:tcW w:w="6189"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生活垃圾、包装袋委托环卫部门定期清运，沉淀池沉渣设置一般固废暂存场所，统一收集，作为原料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83" w:type="dxa"/>
            <w:vMerge w:val="restart"/>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公用工程</w:t>
            </w:r>
          </w:p>
        </w:tc>
        <w:tc>
          <w:tcPr>
            <w:tcW w:w="109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ind w:firstLine="210" w:firstLineChars="100"/>
              <w:jc w:val="both"/>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供水</w:t>
            </w:r>
          </w:p>
        </w:tc>
        <w:tc>
          <w:tcPr>
            <w:tcW w:w="6189"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由镇区水厂供给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8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20" w:lineRule="exact"/>
              <w:jc w:val="center"/>
              <w:textAlignment w:val="auto"/>
              <w:outlineLvl w:val="9"/>
            </w:pPr>
          </w:p>
        </w:tc>
        <w:tc>
          <w:tcPr>
            <w:tcW w:w="109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供电</w:t>
            </w:r>
          </w:p>
        </w:tc>
        <w:tc>
          <w:tcPr>
            <w:tcW w:w="6189"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由梅城变电站供给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083" w:type="dxa"/>
            <w:vMerge w:val="continue"/>
            <w:tcBorders>
              <w:tl2br w:val="nil"/>
              <w:tr2bl w:val="nil"/>
            </w:tcBorders>
            <w:vAlign w:val="center"/>
          </w:tcPr>
          <w:p>
            <w:pPr>
              <w:spacing w:line="320" w:lineRule="exact"/>
              <w:jc w:val="center"/>
            </w:pPr>
          </w:p>
        </w:tc>
        <w:tc>
          <w:tcPr>
            <w:tcW w:w="109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20" w:lineRule="exact"/>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排水</w:t>
            </w:r>
          </w:p>
        </w:tc>
        <w:tc>
          <w:tcPr>
            <w:tcW w:w="6189"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排水采用雨污分流制，雨水经雨水管网收集后外排。生活污水需经化粪池处理后排至梅城镇污水处理厂深度处理，出水水质标准</w:t>
            </w:r>
          </w:p>
        </w:tc>
      </w:tr>
    </w:tbl>
    <w:p>
      <w:pPr>
        <w:rPr>
          <w:rFonts w:hint="default"/>
        </w:rPr>
      </w:pP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本项目主要</w:t>
      </w:r>
      <w:r>
        <w:rPr>
          <w:rFonts w:hint="eastAsia" w:ascii="Times New Roman" w:hAnsi="Times New Roman" w:eastAsia="宋体" w:cs="Times New Roman"/>
          <w:sz w:val="24"/>
          <w:szCs w:val="24"/>
          <w:lang w:val="en-US" w:eastAsia="zh-CN"/>
        </w:rPr>
        <w:t>生产</w:t>
      </w:r>
      <w:r>
        <w:rPr>
          <w:rFonts w:hint="default" w:ascii="Times New Roman" w:hAnsi="Times New Roman" w:eastAsia="宋体" w:cs="Times New Roman"/>
          <w:sz w:val="24"/>
          <w:szCs w:val="24"/>
        </w:rPr>
        <w:t>设备详见表</w:t>
      </w:r>
      <w:r>
        <w:rPr>
          <w:rFonts w:hint="eastAsia" w:ascii="Times New Roman" w:hAnsi="Times New Roman" w:eastAsia="宋体" w:cs="Times New Roman"/>
          <w:sz w:val="24"/>
          <w:szCs w:val="24"/>
          <w:lang w:val="en-US" w:eastAsia="zh-CN"/>
        </w:rPr>
        <w:t>3-3。</w:t>
      </w:r>
    </w:p>
    <w:p>
      <w:pPr>
        <w:pStyle w:val="2"/>
        <w:jc w:val="center"/>
        <w:rPr>
          <w:rFonts w:hint="default"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表3-3主要生产设备一览</w:t>
      </w:r>
      <w:r>
        <w:rPr>
          <w:rFonts w:hint="default" w:ascii="Times New Roman" w:hAnsi="Times New Roman" w:eastAsia="宋体" w:cs="Times New Roman"/>
          <w:b/>
          <w:bCs/>
          <w:kern w:val="0"/>
          <w:sz w:val="24"/>
          <w:szCs w:val="24"/>
        </w:rPr>
        <w:t>表</w:t>
      </w:r>
    </w:p>
    <w:tbl>
      <w:tblPr>
        <w:tblStyle w:val="18"/>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976"/>
        <w:gridCol w:w="2010"/>
        <w:gridCol w:w="720"/>
        <w:gridCol w:w="675"/>
        <w:gridCol w:w="25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1976"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设备名称</w:t>
            </w:r>
          </w:p>
        </w:tc>
        <w:tc>
          <w:tcPr>
            <w:tcW w:w="2010"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规格（型号）</w:t>
            </w:r>
          </w:p>
        </w:tc>
        <w:tc>
          <w:tcPr>
            <w:tcW w:w="720"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单位</w:t>
            </w:r>
          </w:p>
        </w:tc>
        <w:tc>
          <w:tcPr>
            <w:tcW w:w="675"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数量</w:t>
            </w:r>
          </w:p>
        </w:tc>
        <w:tc>
          <w:tcPr>
            <w:tcW w:w="2502"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97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带加热装置搅拌桶</w:t>
            </w:r>
          </w:p>
        </w:tc>
        <w:tc>
          <w:tcPr>
            <w:tcW w:w="201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700公斤</w:t>
            </w:r>
          </w:p>
        </w:tc>
        <w:tc>
          <w:tcPr>
            <w:tcW w:w="7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67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250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加热搅拌均匀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97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带加热装置搅拌桶</w:t>
            </w:r>
          </w:p>
        </w:tc>
        <w:tc>
          <w:tcPr>
            <w:tcW w:w="201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300公斤</w:t>
            </w:r>
          </w:p>
        </w:tc>
        <w:tc>
          <w:tcPr>
            <w:tcW w:w="7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67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250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经料检验检测时使用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97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震动筛网机</w:t>
            </w:r>
          </w:p>
        </w:tc>
        <w:tc>
          <w:tcPr>
            <w:tcW w:w="201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直径50cm，宽度58cm,高度90cm</w:t>
            </w:r>
          </w:p>
        </w:tc>
        <w:tc>
          <w:tcPr>
            <w:tcW w:w="7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67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套</w:t>
            </w:r>
          </w:p>
        </w:tc>
        <w:tc>
          <w:tcPr>
            <w:tcW w:w="250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进料检验粗细用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197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射蜡成型检测机</w:t>
            </w:r>
          </w:p>
        </w:tc>
        <w:tc>
          <w:tcPr>
            <w:tcW w:w="201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MYY6.3-2-8T</w:t>
            </w:r>
          </w:p>
        </w:tc>
        <w:tc>
          <w:tcPr>
            <w:tcW w:w="7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67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250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检验产品成型性能使用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97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胶袋封口机</w:t>
            </w:r>
          </w:p>
        </w:tc>
        <w:tc>
          <w:tcPr>
            <w:tcW w:w="201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FR-A型</w:t>
            </w:r>
          </w:p>
        </w:tc>
        <w:tc>
          <w:tcPr>
            <w:tcW w:w="7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67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套</w:t>
            </w:r>
          </w:p>
        </w:tc>
        <w:tc>
          <w:tcPr>
            <w:tcW w:w="250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胶袋封口防潮使用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97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打包机</w:t>
            </w:r>
          </w:p>
        </w:tc>
        <w:tc>
          <w:tcPr>
            <w:tcW w:w="201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永利机械（长90cm，宽57cm，高74cm）</w:t>
            </w:r>
          </w:p>
        </w:tc>
        <w:tc>
          <w:tcPr>
            <w:tcW w:w="7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67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套</w:t>
            </w:r>
          </w:p>
        </w:tc>
        <w:tc>
          <w:tcPr>
            <w:tcW w:w="250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打包使用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197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手动叉车</w:t>
            </w:r>
          </w:p>
        </w:tc>
        <w:tc>
          <w:tcPr>
            <w:tcW w:w="201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国产手动</w:t>
            </w:r>
          </w:p>
        </w:tc>
        <w:tc>
          <w:tcPr>
            <w:tcW w:w="7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67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台</w:t>
            </w:r>
          </w:p>
        </w:tc>
        <w:tc>
          <w:tcPr>
            <w:tcW w:w="250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车间搬运使用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9"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1976"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模具</w:t>
            </w:r>
          </w:p>
        </w:tc>
        <w:tc>
          <w:tcPr>
            <w:tcW w:w="201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钢制</w:t>
            </w:r>
          </w:p>
        </w:tc>
        <w:tc>
          <w:tcPr>
            <w:tcW w:w="7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1500</w:t>
            </w:r>
          </w:p>
        </w:tc>
        <w:tc>
          <w:tcPr>
            <w:tcW w:w="67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个</w:t>
            </w:r>
          </w:p>
        </w:tc>
        <w:tc>
          <w:tcPr>
            <w:tcW w:w="2502"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成型</w:t>
            </w:r>
          </w:p>
        </w:tc>
      </w:tr>
    </w:tbl>
    <w:p>
      <w:pPr>
        <w:keepNext w:val="0"/>
        <w:keepLines w:val="0"/>
        <w:pageBreakBefore w:val="0"/>
        <w:widowControl/>
        <w:kinsoku/>
        <w:wordWrap/>
        <w:overflowPunct/>
        <w:topLinePunct w:val="0"/>
        <w:autoSpaceDE/>
        <w:autoSpaceDN/>
        <w:bidi w:val="0"/>
        <w:adjustRightInd w:val="0"/>
        <w:snapToGrid w:val="0"/>
        <w:spacing w:before="157" w:beforeLines="50" w:beforeAutospacing="0" w:after="0" w:afterLines="0" w:afterAutospacing="0" w:line="360" w:lineRule="auto"/>
        <w:ind w:firstLine="480" w:firstLineChars="200"/>
        <w:textAlignment w:val="auto"/>
        <w:outlineLvl w:val="9"/>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本项目主要</w:t>
      </w:r>
      <w:r>
        <w:rPr>
          <w:rFonts w:hint="eastAsia" w:ascii="Times New Roman" w:hAnsi="Times New Roman" w:eastAsia="宋体" w:cs="Times New Roman"/>
          <w:sz w:val="24"/>
          <w:szCs w:val="24"/>
          <w:lang w:val="en-US" w:eastAsia="zh-CN"/>
        </w:rPr>
        <w:t>原辅材料年用量</w:t>
      </w:r>
      <w:r>
        <w:rPr>
          <w:rFonts w:hint="default" w:ascii="Times New Roman" w:hAnsi="Times New Roman" w:eastAsia="宋体" w:cs="Times New Roman"/>
          <w:sz w:val="24"/>
          <w:szCs w:val="24"/>
        </w:rPr>
        <w:t>详见表</w:t>
      </w:r>
      <w:r>
        <w:rPr>
          <w:rFonts w:hint="eastAsia" w:ascii="Times New Roman" w:hAnsi="Times New Roman" w:eastAsia="宋体" w:cs="Times New Roman"/>
          <w:sz w:val="24"/>
          <w:szCs w:val="24"/>
          <w:lang w:val="en-US" w:eastAsia="zh-CN"/>
        </w:rPr>
        <w:t>3-4。</w:t>
      </w:r>
    </w:p>
    <w:p>
      <w:pPr>
        <w:pStyle w:val="2"/>
        <w:jc w:val="center"/>
        <w:rPr>
          <w:rFonts w:hint="default"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lang w:val="en-US" w:eastAsia="zh-CN"/>
        </w:rPr>
        <w:t>表3-4主要原辅材料年用量一览</w:t>
      </w:r>
      <w:r>
        <w:rPr>
          <w:rFonts w:hint="default" w:ascii="Times New Roman" w:hAnsi="Times New Roman" w:eastAsia="宋体" w:cs="Times New Roman"/>
          <w:b/>
          <w:bCs/>
          <w:kern w:val="0"/>
          <w:sz w:val="24"/>
          <w:szCs w:val="24"/>
        </w:rPr>
        <w:t>表</w:t>
      </w:r>
    </w:p>
    <w:tbl>
      <w:tblPr>
        <w:tblStyle w:val="18"/>
        <w:tblW w:w="852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680"/>
        <w:gridCol w:w="855"/>
        <w:gridCol w:w="645"/>
        <w:gridCol w:w="660"/>
        <w:gridCol w:w="1590"/>
        <w:gridCol w:w="24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c>
          <w:tcPr>
            <w:tcW w:w="695"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序号</w:t>
            </w:r>
          </w:p>
        </w:tc>
        <w:tc>
          <w:tcPr>
            <w:tcW w:w="1680"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名称</w:t>
            </w:r>
          </w:p>
        </w:tc>
        <w:tc>
          <w:tcPr>
            <w:tcW w:w="855"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年用量</w:t>
            </w:r>
          </w:p>
        </w:tc>
        <w:tc>
          <w:tcPr>
            <w:tcW w:w="645"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单位</w:t>
            </w:r>
          </w:p>
        </w:tc>
        <w:tc>
          <w:tcPr>
            <w:tcW w:w="660"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状态</w:t>
            </w:r>
          </w:p>
        </w:tc>
        <w:tc>
          <w:tcPr>
            <w:tcW w:w="1590"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包装方式</w:t>
            </w:r>
          </w:p>
        </w:tc>
        <w:tc>
          <w:tcPr>
            <w:tcW w:w="2404" w:type="dxa"/>
            <w:vAlign w:val="center"/>
          </w:tcPr>
          <w:p>
            <w:pPr>
              <w:pStyle w:val="20"/>
              <w:widowControl w:val="0"/>
              <w:adjustRightInd/>
              <w:snapToGrid/>
              <w:spacing w:after="0" w:afterLines="-2147483648"/>
              <w:jc w:val="center"/>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68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聚乙二醇4000</w:t>
            </w:r>
          </w:p>
        </w:tc>
        <w:tc>
          <w:tcPr>
            <w:tcW w:w="85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500</w:t>
            </w:r>
          </w:p>
        </w:tc>
        <w:tc>
          <w:tcPr>
            <w:tcW w:w="64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t/a</w:t>
            </w:r>
          </w:p>
        </w:tc>
        <w:tc>
          <w:tcPr>
            <w:tcW w:w="66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固态</w:t>
            </w:r>
          </w:p>
        </w:tc>
        <w:tc>
          <w:tcPr>
            <w:tcW w:w="159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袋装，20kg/袋</w:t>
            </w:r>
          </w:p>
        </w:tc>
        <w:tc>
          <w:tcPr>
            <w:tcW w:w="2404" w:type="dxa"/>
            <w:vMerge w:val="restart"/>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国内采购/存放于本公司原料区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168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碳酸氢钠</w:t>
            </w:r>
          </w:p>
        </w:tc>
        <w:tc>
          <w:tcPr>
            <w:tcW w:w="85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c>
          <w:tcPr>
            <w:tcW w:w="64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t/a</w:t>
            </w:r>
          </w:p>
        </w:tc>
        <w:tc>
          <w:tcPr>
            <w:tcW w:w="66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固态</w:t>
            </w:r>
          </w:p>
        </w:tc>
        <w:tc>
          <w:tcPr>
            <w:tcW w:w="159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袋装，25kg/袋</w:t>
            </w:r>
          </w:p>
        </w:tc>
        <w:tc>
          <w:tcPr>
            <w:tcW w:w="2404" w:type="dxa"/>
            <w:vMerge w:val="continue"/>
            <w:vAlign w:val="center"/>
          </w:tcPr>
          <w:p>
            <w:pPr>
              <w:spacing w:line="320" w:lineRule="exact"/>
              <w:jc w:val="center"/>
              <w:rPr>
                <w:rFonts w:hint="eastAsia" w:ascii="Times New Roman" w:hAnsi="Times New Roman" w:eastAsia="宋体" w:cs="Times New Roman"/>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69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168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a-烯基磺酸盐</w:t>
            </w:r>
          </w:p>
        </w:tc>
        <w:tc>
          <w:tcPr>
            <w:tcW w:w="85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c>
          <w:tcPr>
            <w:tcW w:w="64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t/a</w:t>
            </w:r>
          </w:p>
        </w:tc>
        <w:tc>
          <w:tcPr>
            <w:tcW w:w="66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固态</w:t>
            </w:r>
          </w:p>
        </w:tc>
        <w:tc>
          <w:tcPr>
            <w:tcW w:w="159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袋装，15kg/袋</w:t>
            </w:r>
          </w:p>
        </w:tc>
        <w:tc>
          <w:tcPr>
            <w:tcW w:w="2404" w:type="dxa"/>
            <w:vMerge w:val="continue"/>
            <w:vAlign w:val="center"/>
          </w:tcPr>
          <w:p>
            <w:pPr>
              <w:spacing w:line="320" w:lineRule="exact"/>
              <w:jc w:val="center"/>
              <w:rPr>
                <w:rFonts w:hint="eastAsia" w:ascii="Times New Roman" w:hAnsi="Times New Roman" w:eastAsia="宋体" w:cs="Times New Roman"/>
                <w:sz w:val="21"/>
                <w:szCs w:val="21"/>
                <w:lang w:val="en-US" w:eastAsia="zh-CN"/>
              </w:rPr>
            </w:pPr>
          </w:p>
        </w:tc>
      </w:tr>
    </w:tbl>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8" w:name="_Toc5631"/>
      <w:r>
        <w:rPr>
          <w:rFonts w:hint="default" w:ascii="Times New Roman" w:hAnsi="Times New Roman" w:eastAsia="宋体" w:cs="Times New Roman"/>
          <w:b/>
          <w:sz w:val="30"/>
          <w:szCs w:val="30"/>
        </w:rPr>
        <w:t>3.</w:t>
      </w:r>
      <w:r>
        <w:rPr>
          <w:rFonts w:hint="eastAsia"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rPr>
        <w:t xml:space="preserve"> 水源及水平衡</w:t>
      </w:r>
      <w:bookmarkEnd w:id="1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本项目所有员工均不在厂内食宿，卫生用水为园区公共用水，本项目无生活用水。生产用水为喷淋塔降尘用水，循环利用不外排。本项目用水量极小，无外排废水。</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19" w:name="_Toc10332"/>
      <w:r>
        <w:rPr>
          <w:rFonts w:hint="default" w:ascii="Times New Roman" w:hAnsi="Times New Roman" w:eastAsia="宋体" w:cs="Times New Roman"/>
          <w:b/>
          <w:sz w:val="30"/>
          <w:szCs w:val="30"/>
        </w:rPr>
        <w:t>3.</w:t>
      </w:r>
      <w:r>
        <w:rPr>
          <w:rFonts w:hint="eastAsia" w:ascii="Times New Roman" w:hAnsi="Times New Roman" w:cs="Times New Roman"/>
          <w:b/>
          <w:sz w:val="30"/>
          <w:szCs w:val="30"/>
          <w:lang w:val="en-US" w:eastAsia="zh-CN"/>
        </w:rPr>
        <w:t>4</w:t>
      </w:r>
      <w:r>
        <w:rPr>
          <w:rFonts w:hint="default" w:ascii="Times New Roman" w:hAnsi="Times New Roman" w:eastAsia="宋体" w:cs="Times New Roman"/>
          <w:b/>
          <w:sz w:val="30"/>
          <w:szCs w:val="30"/>
        </w:rPr>
        <w:t xml:space="preserve"> 生产工艺</w:t>
      </w:r>
      <w:bookmarkEnd w:id="1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rPr>
        <w:t>本项目</w:t>
      </w:r>
      <w:r>
        <w:rPr>
          <w:rFonts w:hint="eastAsia" w:ascii="Times New Roman" w:hAnsi="Times New Roman" w:cs="Times New Roman"/>
          <w:sz w:val="24"/>
          <w:szCs w:val="24"/>
          <w:lang w:val="en-US" w:eastAsia="zh-CN"/>
        </w:rPr>
        <w:t>工艺流程及产污环节如下：</w:t>
      </w:r>
    </w:p>
    <w:p>
      <w:pPr>
        <w:pStyle w:val="2"/>
        <w:ind w:left="0" w:leftChars="0" w:firstLine="0" w:firstLineChars="0"/>
        <w:jc w:val="both"/>
        <w:rPr>
          <w:rFonts w:hint="eastAsia"/>
          <w:lang w:val="en-US" w:eastAsia="zh-CN"/>
        </w:rPr>
      </w:pPr>
      <w:r>
        <w:rPr>
          <w:rFonts w:hint="eastAsia"/>
          <w:lang w:val="en-US" w:eastAsia="zh-CN"/>
        </w:rPr>
        <w:drawing>
          <wp:inline distT="0" distB="0" distL="114300" distR="114300">
            <wp:extent cx="5269230" cy="2184400"/>
            <wp:effectExtent l="9525" t="9525" r="17145" b="15875"/>
            <wp:docPr id="46" name="图片 46" descr="1545976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545976411(1)"/>
                    <pic:cNvPicPr>
                      <a:picLocks noChangeAspect="1"/>
                    </pic:cNvPicPr>
                  </pic:nvPicPr>
                  <pic:blipFill>
                    <a:blip r:embed="rId6"/>
                    <a:stretch>
                      <a:fillRect/>
                    </a:stretch>
                  </pic:blipFill>
                  <pic:spPr>
                    <a:xfrm>
                      <a:off x="0" y="0"/>
                      <a:ext cx="5269230" cy="2184400"/>
                    </a:xfrm>
                    <a:prstGeom prst="rect">
                      <a:avLst/>
                    </a:prstGeom>
                    <a:ln>
                      <a:solidFill>
                        <a:schemeClr val="tx1"/>
                      </a:solidFill>
                    </a:ln>
                  </pic:spPr>
                </pic:pic>
              </a:graphicData>
            </a:graphic>
          </wp:inline>
        </w:drawing>
      </w:r>
    </w:p>
    <w:p>
      <w:pPr>
        <w:pStyle w:val="2"/>
        <w:jc w:val="center"/>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图3-2 运营期工艺流程及产污节点图</w:t>
      </w:r>
    </w:p>
    <w:p>
      <w:pPr>
        <w:pStyle w:val="2"/>
        <w:jc w:val="left"/>
        <w:rPr>
          <w:rFonts w:hint="eastAsia"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工艺说明：</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（1）配料</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按照一定的比例将原材料（聚乙二醇4000、碳酸氢钠、a-烯基磺酸盐），按照一定的比例混合搅拌均匀，配料过程中在搅拌桶中进行，会产生少量粉尘。</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（2）加热搅拌</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将原材料混合均匀，原材料混合无化学反应发生，此过程使用电能</w:t>
      </w:r>
      <w:r>
        <w:rPr>
          <w:rFonts w:hint="default" w:ascii="Times New Roman" w:hAnsi="Times New Roman" w:cs="Times New Roman" w:eastAsiaTheme="minorEastAsia"/>
          <w:kern w:val="2"/>
          <w:sz w:val="24"/>
          <w:szCs w:val="24"/>
          <w:lang w:val="en-US" w:eastAsia="zh-CN" w:bidi="ar-SA"/>
        </w:rPr>
        <w:t>。</w:t>
      </w:r>
      <w:r>
        <w:rPr>
          <w:rFonts w:hint="eastAsia" w:ascii="Times New Roman" w:hAnsi="Times New Roman" w:cs="Times New Roman" w:eastAsiaTheme="minorEastAsia"/>
          <w:kern w:val="2"/>
          <w:sz w:val="24"/>
          <w:szCs w:val="24"/>
          <w:lang w:val="en-US" w:eastAsia="zh-CN" w:bidi="ar-SA"/>
        </w:rPr>
        <w:t>加热搅拌温度60℃，搅拌速率35r/min，搅拌24h。该工序会产生有机废气，有机废气非甲烷烃收集处理排放。</w:t>
      </w:r>
      <w:r>
        <w:rPr>
          <w:rFonts w:hint="default" w:ascii="Times New Roman" w:hAnsi="Times New Roman" w:cs="Times New Roman" w:eastAsiaTheme="minorEastAsia"/>
          <w:kern w:val="2"/>
          <w:sz w:val="24"/>
          <w:szCs w:val="24"/>
          <w:lang w:val="en-US" w:eastAsia="zh-CN" w:bidi="ar-SA"/>
        </w:rPr>
        <w:t xml:space="preserve"> </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（3）检验</w:t>
      </w:r>
    </w:p>
    <w:p>
      <w:pPr>
        <w:pStyle w:val="2"/>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检验原料混合是否充分</w:t>
      </w:r>
      <w:r>
        <w:rPr>
          <w:rFonts w:hint="default" w:ascii="Times New Roman" w:hAnsi="Times New Roman" w:cs="Times New Roman" w:eastAsiaTheme="minorEastAsia"/>
          <w:kern w:val="2"/>
          <w:sz w:val="24"/>
          <w:szCs w:val="24"/>
          <w:lang w:val="en-US" w:eastAsia="zh-CN" w:bidi="ar-SA"/>
        </w:rPr>
        <w:t>。</w:t>
      </w:r>
      <w:r>
        <w:rPr>
          <w:rFonts w:hint="eastAsia" w:ascii="Times New Roman" w:hAnsi="Times New Roman" w:cs="Times New Roman" w:eastAsiaTheme="minorEastAsia"/>
          <w:kern w:val="2"/>
          <w:sz w:val="24"/>
          <w:szCs w:val="24"/>
          <w:lang w:val="en-US" w:eastAsia="zh-CN" w:bidi="ar-SA"/>
        </w:rPr>
        <w:t>若合格，直接进入下一道工序，若不合格重新加热搅拌，直至合格为止。</w:t>
      </w:r>
      <w:r>
        <w:rPr>
          <w:rFonts w:hint="default" w:ascii="Times New Roman" w:hAnsi="Times New Roman" w:cs="Times New Roman" w:eastAsiaTheme="minorEastAsia"/>
          <w:kern w:val="2"/>
          <w:sz w:val="24"/>
          <w:szCs w:val="24"/>
          <w:lang w:val="en-US" w:eastAsia="zh-CN" w:bidi="ar-SA"/>
        </w:rPr>
        <w:t xml:space="preserve"> </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（4）成型</w:t>
      </w:r>
    </w:p>
    <w:p>
      <w:pPr>
        <w:pStyle w:val="2"/>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模具放置到加热搅拌桶下端的阀门，待装满模具后关闭阀门，装满混合糊状的模具放置在模具架上，等待自然成型，再进行下一道工序</w:t>
      </w:r>
      <w:r>
        <w:rPr>
          <w:rFonts w:hint="default" w:ascii="Times New Roman" w:hAnsi="Times New Roman" w:cs="Times New Roman" w:eastAsiaTheme="minorEastAsia"/>
          <w:kern w:val="2"/>
          <w:sz w:val="24"/>
          <w:szCs w:val="24"/>
          <w:lang w:val="en-US" w:eastAsia="zh-CN" w:bidi="ar-SA"/>
        </w:rPr>
        <w:t>。</w:t>
      </w:r>
      <w:r>
        <w:rPr>
          <w:rFonts w:hint="eastAsia" w:ascii="Times New Roman" w:hAnsi="Times New Roman" w:cs="Times New Roman" w:eastAsiaTheme="minorEastAsia"/>
          <w:kern w:val="2"/>
          <w:sz w:val="24"/>
          <w:szCs w:val="24"/>
          <w:lang w:val="en-US" w:eastAsia="zh-CN" w:bidi="ar-SA"/>
        </w:rPr>
        <w:t>该工序会产生有机废气，有机废气收集处理排放。</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（5）包装</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在模具中的产品输送物料进入包装袋中，再由缝包机对物料进行包装</w:t>
      </w:r>
      <w:r>
        <w:rPr>
          <w:rFonts w:hint="default" w:ascii="Times New Roman" w:hAnsi="Times New Roman" w:cs="Times New Roman" w:eastAsiaTheme="minorEastAsia"/>
          <w:kern w:val="2"/>
          <w:sz w:val="24"/>
          <w:szCs w:val="24"/>
          <w:lang w:val="en-US" w:eastAsia="zh-CN" w:bidi="ar-SA"/>
        </w:rPr>
        <w:t>。</w:t>
      </w:r>
      <w:r>
        <w:rPr>
          <w:rFonts w:hint="eastAsia" w:ascii="Times New Roman" w:hAnsi="Times New Roman" w:cs="Times New Roman" w:eastAsiaTheme="minorEastAsia"/>
          <w:kern w:val="2"/>
          <w:sz w:val="24"/>
          <w:szCs w:val="24"/>
          <w:lang w:val="en-US" w:eastAsia="zh-CN" w:bidi="ar-SA"/>
        </w:rPr>
        <w:t>该工序会产生有机废气、噪声和固废（废包装袋）。</w:t>
      </w:r>
    </w:p>
    <w:p>
      <w:pPr>
        <w:pStyle w:val="2"/>
        <w:numPr>
          <w:ilvl w:val="0"/>
          <w:numId w:val="0"/>
        </w:numPr>
        <w:ind w:firstLine="480" w:firstLineChars="200"/>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（6）出货</w:t>
      </w:r>
    </w:p>
    <w:p>
      <w:pPr>
        <w:pStyle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 xml:space="preserve">包装好的货品外运出厂。 </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20" w:name="_Toc19417"/>
      <w:r>
        <w:rPr>
          <w:rFonts w:hint="default" w:ascii="Times New Roman" w:hAnsi="Times New Roman" w:eastAsia="宋体" w:cs="Times New Roman"/>
          <w:b/>
          <w:sz w:val="30"/>
          <w:szCs w:val="30"/>
        </w:rPr>
        <w:t>3.</w:t>
      </w:r>
      <w:r>
        <w:rPr>
          <w:rFonts w:hint="eastAsia" w:ascii="Times New Roman" w:hAnsi="Times New Roman" w:cs="Times New Roman"/>
          <w:b/>
          <w:sz w:val="30"/>
          <w:szCs w:val="30"/>
          <w:lang w:val="en-US" w:eastAsia="zh-CN"/>
        </w:rPr>
        <w:t>5</w:t>
      </w:r>
      <w:r>
        <w:rPr>
          <w:rFonts w:hint="default" w:ascii="Times New Roman" w:hAnsi="Times New Roman" w:eastAsia="宋体" w:cs="Times New Roman"/>
          <w:b/>
          <w:sz w:val="30"/>
          <w:szCs w:val="30"/>
        </w:rPr>
        <w:t xml:space="preserve"> 项目变动情况</w:t>
      </w:r>
      <w:bookmarkEnd w:id="2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eastAsia="宋体" w:cs="Times New Roman"/>
          <w:color w:val="000000"/>
          <w:sz w:val="24"/>
          <w:szCs w:val="24"/>
          <w:lang w:val="en-US" w:eastAsia="zh-CN"/>
        </w:rPr>
        <w:t>该项目建设情况与环评基本一致，无明显变动情况</w:t>
      </w:r>
      <w:r>
        <w:rPr>
          <w:rFonts w:hint="default" w:ascii="Times New Roman" w:hAnsi="Times New Roman" w:cs="Times New Roman"/>
          <w:sz w:val="24"/>
          <w:szCs w:val="24"/>
        </w:rPr>
        <w:t>。</w:t>
      </w: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21" w:name="_Toc26648"/>
      <w:r>
        <w:rPr>
          <w:rFonts w:hint="default" w:ascii="Times New Roman" w:hAnsi="Times New Roman" w:eastAsia="宋体" w:cs="Times New Roman"/>
          <w:b/>
        </w:rPr>
        <w:t>4 环境保护设施</w:t>
      </w:r>
      <w:bookmarkEnd w:id="21"/>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rPr>
      </w:pPr>
      <w:bookmarkStart w:id="22" w:name="_Toc31717"/>
      <w:r>
        <w:rPr>
          <w:rFonts w:hint="default" w:ascii="Times New Roman" w:hAnsi="Times New Roman" w:eastAsia="宋体" w:cs="Times New Roman"/>
          <w:b/>
          <w:sz w:val="30"/>
          <w:szCs w:val="30"/>
        </w:rPr>
        <w:t xml:space="preserve">4 </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rPr>
        <w:t>1 污染物治理</w:t>
      </w:r>
      <w:r>
        <w:rPr>
          <w:rFonts w:hint="eastAsia" w:ascii="Times New Roman" w:hAnsi="Times New Roman" w:eastAsia="宋体" w:cs="Times New Roman"/>
          <w:b/>
          <w:sz w:val="30"/>
          <w:szCs w:val="30"/>
          <w:lang w:eastAsia="zh-CN"/>
        </w:rPr>
        <w:t>、</w:t>
      </w:r>
      <w:r>
        <w:rPr>
          <w:rFonts w:hint="default" w:ascii="Times New Roman" w:hAnsi="Times New Roman" w:eastAsia="宋体" w:cs="Times New Roman"/>
          <w:b/>
          <w:sz w:val="30"/>
          <w:szCs w:val="30"/>
        </w:rPr>
        <w:t>处置设施</w:t>
      </w:r>
      <w:bookmarkEnd w:id="22"/>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3" w:name="_Toc20688"/>
      <w:r>
        <w:rPr>
          <w:rFonts w:hint="default" w:ascii="Times New Roman" w:hAnsi="Times New Roman" w:cs="Times New Roman"/>
        </w:rPr>
        <w:t>4.1</w:t>
      </w:r>
      <w:r>
        <w:rPr>
          <w:rFonts w:hint="default" w:ascii="Times New Roman" w:hAnsi="Times New Roman" w:cs="Times New Roman"/>
          <w:lang w:val="en-US" w:eastAsia="zh-CN"/>
        </w:rPr>
        <w:t>.</w:t>
      </w:r>
      <w:r>
        <w:rPr>
          <w:rFonts w:hint="default" w:ascii="Times New Roman" w:hAnsi="Times New Roman" w:cs="Times New Roman"/>
        </w:rPr>
        <w:t>1 废水</w:t>
      </w:r>
      <w:bookmarkEnd w:id="23"/>
    </w:p>
    <w:p>
      <w:pPr>
        <w:pStyle w:val="2"/>
        <w:jc w:val="both"/>
        <w:rPr>
          <w:rFonts w:hint="default" w:ascii="宋体" w:hAnsi="宋体" w:eastAsia="宋体" w:cs="宋体"/>
          <w:b w:val="0"/>
          <w:i w:val="0"/>
          <w:color w:val="000000"/>
          <w:kern w:val="2"/>
          <w:sz w:val="24"/>
          <w:szCs w:val="24"/>
          <w:lang w:val="en-US" w:eastAsia="zh-CN" w:bidi="ar-SA"/>
        </w:rPr>
      </w:pPr>
      <w:bookmarkStart w:id="24" w:name="_Toc18009"/>
      <w:bookmarkStart w:id="25" w:name="_Toc11106"/>
      <w:r>
        <w:rPr>
          <w:rFonts w:hint="eastAsia" w:ascii="宋体" w:hAnsi="宋体" w:eastAsia="宋体" w:cs="宋体"/>
          <w:b w:val="0"/>
          <w:i w:val="0"/>
          <w:color w:val="000000"/>
          <w:kern w:val="2"/>
          <w:sz w:val="24"/>
          <w:szCs w:val="24"/>
          <w:lang w:val="en-US" w:eastAsia="zh-CN" w:bidi="ar-SA"/>
        </w:rPr>
        <w:t>本项目</w:t>
      </w:r>
      <w:bookmarkEnd w:id="24"/>
      <w:bookmarkEnd w:id="25"/>
      <w:r>
        <w:rPr>
          <w:rFonts w:hint="eastAsia" w:ascii="宋体" w:hAnsi="宋体" w:eastAsia="宋体" w:cs="宋体"/>
          <w:b w:val="0"/>
          <w:i w:val="0"/>
          <w:color w:val="000000"/>
          <w:kern w:val="2"/>
          <w:sz w:val="24"/>
          <w:szCs w:val="24"/>
          <w:lang w:val="en-US" w:eastAsia="zh-CN" w:bidi="ar-SA"/>
        </w:rPr>
        <w:t>工作人员均不在厂内食宿，卫生用水为园区公共用水，本项目无生活用水。生产用水为喷淋塔降尘用水，循环利用不外排。本次验收监测不对废水样进行采样监测。</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6" w:name="_Toc840"/>
      <w:r>
        <w:rPr>
          <w:rFonts w:hint="default" w:ascii="Times New Roman" w:hAnsi="Times New Roman" w:cs="Times New Roman"/>
        </w:rPr>
        <w:t>4.1.2 废气</w:t>
      </w:r>
      <w:bookmarkEnd w:id="26"/>
    </w:p>
    <w:p>
      <w:pPr>
        <w:pStyle w:val="2"/>
        <w:jc w:val="both"/>
        <w:rPr>
          <w:rFonts w:hint="eastAsia" w:ascii="宋体" w:hAnsi="宋体" w:eastAsia="宋体" w:cs="宋体"/>
          <w:b w:val="0"/>
          <w:i w:val="0"/>
          <w:color w:val="000000"/>
          <w:kern w:val="2"/>
          <w:sz w:val="24"/>
          <w:szCs w:val="24"/>
          <w:lang w:val="en-US" w:eastAsia="zh-CN" w:bidi="ar-SA"/>
        </w:rPr>
      </w:pPr>
      <w:r>
        <w:rPr>
          <w:rFonts w:hint="eastAsia" w:ascii="宋体" w:hAnsi="宋体" w:eastAsia="宋体" w:cs="宋体"/>
          <w:b w:val="0"/>
          <w:i w:val="0"/>
          <w:color w:val="000000"/>
          <w:kern w:val="2"/>
          <w:sz w:val="24"/>
          <w:szCs w:val="24"/>
          <w:lang w:val="en-US" w:eastAsia="zh-CN" w:bidi="ar-SA"/>
        </w:rPr>
        <w:t>本项目废气主要为粉尘、有机废气。</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粉尘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i w:val="0"/>
          <w:color w:val="000000"/>
          <w:sz w:val="24"/>
          <w:szCs w:val="24"/>
          <w:lang w:val="en-US" w:eastAsia="zh-CN"/>
        </w:rPr>
      </w:pPr>
      <w:r>
        <w:rPr>
          <w:rFonts w:hint="default" w:ascii="Times New Roman" w:hAnsi="Times New Roman" w:eastAsia="宋体" w:cs="Times New Roman"/>
          <w:b w:val="0"/>
          <w:i w:val="0"/>
          <w:color w:val="000000"/>
          <w:sz w:val="24"/>
          <w:szCs w:val="24"/>
          <w:lang w:val="en-US" w:eastAsia="zh-CN"/>
        </w:rPr>
        <w:t>项目通过加热搅拌时原材料进行配料，配料的过程中会产生少量颗粒物，项目搅拌时搅拌机处于密闭状态</w:t>
      </w:r>
      <w:r>
        <w:rPr>
          <w:rFonts w:hint="default" w:ascii="Times New Roman" w:hAnsi="Times New Roman" w:eastAsia="宋体" w:cs="Times New Roman"/>
          <w:b w:val="0"/>
          <w:i w:val="0"/>
          <w:color w:val="000000"/>
          <w:sz w:val="24"/>
          <w:szCs w:val="24"/>
        </w:rPr>
        <w:t>。</w:t>
      </w:r>
      <w:r>
        <w:rPr>
          <w:rFonts w:hint="default" w:ascii="Times New Roman" w:hAnsi="Times New Roman" w:eastAsia="宋体" w:cs="Times New Roman"/>
          <w:b w:val="0"/>
          <w:i w:val="0"/>
          <w:color w:val="000000"/>
          <w:sz w:val="24"/>
          <w:szCs w:val="24"/>
          <w:lang w:val="en-US" w:eastAsia="zh-CN"/>
        </w:rPr>
        <w:t>项目粉尘通过集气罩收集后经喷淋塔处理，再排入UV光解催化净化设备。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（2）非甲烷总烃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i w:val="0"/>
          <w:color w:val="000000"/>
          <w:sz w:val="24"/>
          <w:szCs w:val="24"/>
          <w:lang w:val="en-US" w:eastAsia="zh-CN"/>
        </w:rPr>
      </w:pPr>
      <w:r>
        <w:rPr>
          <w:rFonts w:hint="default" w:ascii="Times New Roman" w:hAnsi="Times New Roman" w:eastAsia="宋体" w:cs="Times New Roman"/>
          <w:b w:val="0"/>
          <w:i w:val="0"/>
          <w:color w:val="000000"/>
          <w:sz w:val="24"/>
          <w:szCs w:val="24"/>
          <w:lang w:val="en-US" w:eastAsia="zh-CN"/>
        </w:rPr>
        <w:t>项目在加热搅拌、成型工序过程中会有少量有机废气产生，其主要成分为非甲烷总烃。项目加热搅拌、成型工序产生的废气经过集气罩收集喷淋塔处理，再经过UV光解催化净化设备处理后高空排放。</w:t>
      </w:r>
      <w:r>
        <w:rPr>
          <w:rFonts w:hint="eastAsia" w:ascii="宋体" w:hAnsi="宋体" w:eastAsia="宋体" w:cs="宋体"/>
          <w:b w:val="0"/>
          <w:i w:val="0"/>
          <w:color w:val="000000"/>
          <w:sz w:val="24"/>
          <w:szCs w:val="24"/>
          <w:lang w:val="en-US" w:eastAsia="zh-CN"/>
        </w:rPr>
        <w:tab/>
      </w:r>
    </w:p>
    <w:p>
      <w:pPr>
        <w:pStyle w:val="2"/>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本项目员工均为附近居民，不在项目内食宿，本项目不设食堂，故无油烟废气产生。</w:t>
      </w:r>
      <w:r>
        <w:rPr>
          <w:rFonts w:hint="default" w:ascii="Times New Roman" w:hAnsi="Times New Roman" w:cs="Times New Roman" w:eastAsiaTheme="minorEastAsia"/>
          <w:kern w:val="2"/>
          <w:sz w:val="24"/>
          <w:szCs w:val="24"/>
          <w:lang w:val="fr-FR" w:eastAsia="zh-CN" w:bidi="ar-SA"/>
        </w:rPr>
        <w:t>项目废</w:t>
      </w:r>
      <w:r>
        <w:rPr>
          <w:rFonts w:hint="eastAsia" w:ascii="Times New Roman" w:hAnsi="Times New Roman" w:cs="Times New Roman" w:eastAsiaTheme="minorEastAsia"/>
          <w:kern w:val="2"/>
          <w:sz w:val="24"/>
          <w:szCs w:val="24"/>
          <w:lang w:val="en-US" w:eastAsia="zh-CN" w:bidi="ar-SA"/>
        </w:rPr>
        <w:t>气处理情况</w:t>
      </w:r>
      <w:r>
        <w:rPr>
          <w:rFonts w:hint="default" w:ascii="Times New Roman" w:hAnsi="Times New Roman" w:cs="Times New Roman" w:eastAsiaTheme="minorEastAsia"/>
          <w:kern w:val="2"/>
          <w:sz w:val="24"/>
          <w:szCs w:val="24"/>
          <w:lang w:val="fr-FR" w:eastAsia="zh-CN" w:bidi="ar-SA"/>
        </w:rPr>
        <w:t>一览表见表</w:t>
      </w:r>
      <w:r>
        <w:rPr>
          <w:rFonts w:hint="default" w:ascii="Times New Roman" w:hAnsi="Times New Roman" w:cs="Times New Roman" w:eastAsiaTheme="minorEastAsia"/>
          <w:kern w:val="2"/>
          <w:sz w:val="24"/>
          <w:szCs w:val="24"/>
          <w:lang w:val="en-US" w:eastAsia="zh-CN" w:bidi="ar-SA"/>
        </w:rPr>
        <w:t>4-</w:t>
      </w:r>
      <w:r>
        <w:rPr>
          <w:rFonts w:hint="eastAsia" w:ascii="Times New Roman" w:hAnsi="Times New Roman" w:cs="Times New Roman" w:eastAsiaTheme="minorEastAsia"/>
          <w:kern w:val="2"/>
          <w:sz w:val="24"/>
          <w:szCs w:val="24"/>
          <w:lang w:val="en-US" w:eastAsia="zh-CN" w:bidi="ar-SA"/>
        </w:rPr>
        <w:t>1</w:t>
      </w:r>
      <w:r>
        <w:rPr>
          <w:rFonts w:hint="default" w:ascii="Times New Roman" w:hAnsi="Times New Roman" w:cs="Times New Roman" w:eastAsiaTheme="minorEastAsia"/>
          <w:kern w:val="2"/>
          <w:sz w:val="24"/>
          <w:szCs w:val="24"/>
          <w:lang w:val="en-US" w:eastAsia="zh-CN" w:bidi="ar-SA"/>
        </w:rPr>
        <w:t>：</w:t>
      </w:r>
    </w:p>
    <w:p>
      <w:pPr>
        <w:pStyle w:val="2"/>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项目废</w:t>
      </w:r>
      <w:r>
        <w:rPr>
          <w:rFonts w:hint="eastAsia" w:ascii="Times New Roman" w:hAnsi="Times New Roman" w:eastAsia="宋体" w:cs="Times New Roman"/>
          <w:b/>
          <w:bCs/>
          <w:kern w:val="0"/>
          <w:sz w:val="24"/>
          <w:szCs w:val="24"/>
          <w:lang w:val="en-US" w:eastAsia="zh-CN"/>
        </w:rPr>
        <w:t>气处理情况</w:t>
      </w:r>
      <w:r>
        <w:rPr>
          <w:rFonts w:hint="default" w:ascii="Times New Roman" w:hAnsi="Times New Roman" w:eastAsia="宋体" w:cs="Times New Roman"/>
          <w:b/>
          <w:bCs/>
          <w:kern w:val="0"/>
          <w:sz w:val="24"/>
          <w:szCs w:val="24"/>
          <w:lang w:val="en-US" w:eastAsia="zh-CN"/>
        </w:rPr>
        <w:t>一览表</w:t>
      </w:r>
    </w:p>
    <w:tbl>
      <w:tblPr>
        <w:tblStyle w:val="18"/>
        <w:tblW w:w="880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740"/>
        <w:gridCol w:w="1665"/>
        <w:gridCol w:w="2291"/>
        <w:gridCol w:w="20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PrEx>
        <w:trPr>
          <w:trHeight w:val="510" w:hRule="exact"/>
          <w:jc w:val="center"/>
        </w:trPr>
        <w:tc>
          <w:tcPr>
            <w:tcW w:w="1096"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w:t>
            </w:r>
            <w:r>
              <w:rPr>
                <w:rFonts w:hint="default" w:ascii="Times New Roman" w:hAnsi="Times New Roman" w:eastAsia="宋体" w:cs="Times New Roman"/>
                <w:b/>
                <w:bCs/>
                <w:sz w:val="21"/>
                <w:szCs w:val="21"/>
                <w:lang w:val="en-US" w:eastAsia="zh-CN"/>
              </w:rPr>
              <w:t>类型</w:t>
            </w:r>
          </w:p>
        </w:tc>
        <w:tc>
          <w:tcPr>
            <w:tcW w:w="1740"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污染来源</w:t>
            </w:r>
          </w:p>
        </w:tc>
        <w:tc>
          <w:tcPr>
            <w:tcW w:w="1665"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污染因子</w:t>
            </w:r>
          </w:p>
        </w:tc>
        <w:tc>
          <w:tcPr>
            <w:tcW w:w="2291"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处理措施</w:t>
            </w:r>
          </w:p>
        </w:tc>
        <w:tc>
          <w:tcPr>
            <w:tcW w:w="2013" w:type="dxa"/>
            <w:tcBorders>
              <w:tl2br w:val="nil"/>
              <w:tr2bl w:val="nil"/>
            </w:tcBorders>
            <w:vAlign w:val="center"/>
          </w:tcPr>
          <w:p>
            <w:pPr>
              <w:spacing w:line="320" w:lineRule="exact"/>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排放方式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6" w:type="dxa"/>
            <w:vMerge w:val="restart"/>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有组织废气</w:t>
            </w:r>
          </w:p>
        </w:tc>
        <w:tc>
          <w:tcPr>
            <w:tcW w:w="1740"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配料</w:t>
            </w:r>
          </w:p>
        </w:tc>
        <w:tc>
          <w:tcPr>
            <w:tcW w:w="1665"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291"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集气罩收集、喷淋塔</w:t>
            </w:r>
          </w:p>
        </w:tc>
        <w:tc>
          <w:tcPr>
            <w:tcW w:w="2013" w:type="dxa"/>
            <w:tcBorders>
              <w:tl2br w:val="nil"/>
              <w:tr2bl w:val="nil"/>
            </w:tcBorders>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后接UV光解催化净化设备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096" w:type="dxa"/>
            <w:vMerge w:val="continue"/>
            <w:tcBorders>
              <w:tl2br w:val="nil"/>
              <w:tr2bl w:val="nil"/>
            </w:tcBorders>
            <w:vAlign w:val="center"/>
          </w:tcPr>
          <w:p>
            <w:pPr>
              <w:spacing w:line="320" w:lineRule="exact"/>
              <w:jc w:val="center"/>
            </w:pPr>
          </w:p>
        </w:tc>
        <w:tc>
          <w:tcPr>
            <w:tcW w:w="1740"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加热搅拌、成型</w:t>
            </w:r>
          </w:p>
        </w:tc>
        <w:tc>
          <w:tcPr>
            <w:tcW w:w="1665"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91"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UV光解催化净化设备</w:t>
            </w:r>
          </w:p>
        </w:tc>
        <w:tc>
          <w:tcPr>
            <w:tcW w:w="2013" w:type="dxa"/>
            <w:tcBorders>
              <w:tl2br w:val="nil"/>
              <w:tr2bl w:val="nil"/>
            </w:tcBorders>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20m高空排放</w:t>
            </w:r>
          </w:p>
        </w:tc>
      </w:tr>
    </w:tbl>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7" w:name="_Toc29096"/>
      <w:r>
        <w:rPr>
          <w:rFonts w:hint="default" w:ascii="Times New Roman" w:hAnsi="Times New Roman" w:cs="Times New Roman"/>
        </w:rPr>
        <w:t>4</w:t>
      </w:r>
      <w:r>
        <w:rPr>
          <w:rFonts w:hint="eastAsia" w:ascii="Times New Roman" w:hAnsi="Times New Roman" w:cs="Times New Roman"/>
          <w:lang w:val="en-US" w:eastAsia="zh-CN"/>
        </w:rPr>
        <w:t>.1.</w:t>
      </w:r>
      <w:r>
        <w:rPr>
          <w:rFonts w:hint="default" w:ascii="Times New Roman" w:hAnsi="Times New Roman" w:cs="Times New Roman"/>
        </w:rPr>
        <w:t>3</w:t>
      </w:r>
      <w:r>
        <w:rPr>
          <w:rFonts w:hint="eastAsia" w:ascii="Times New Roman" w:hAnsi="Times New Roman" w:cs="Times New Roman"/>
          <w:lang w:val="en-US" w:eastAsia="zh-CN"/>
        </w:rPr>
        <w:t xml:space="preserve"> </w:t>
      </w:r>
      <w:r>
        <w:rPr>
          <w:rFonts w:hint="default" w:ascii="Times New Roman" w:hAnsi="Times New Roman" w:cs="Times New Roman"/>
        </w:rPr>
        <w:t>噪声</w:t>
      </w:r>
      <w:bookmarkEnd w:id="2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项目运营期噪声源主要</w:t>
      </w:r>
      <w:r>
        <w:rPr>
          <w:rFonts w:hint="eastAsia" w:ascii="Times New Roman" w:hAnsi="Times New Roman" w:cs="Times New Roman"/>
          <w:sz w:val="24"/>
          <w:szCs w:val="24"/>
          <w:lang w:val="en-US" w:eastAsia="zh-CN"/>
        </w:rPr>
        <w:t>为汽车运输产生的噪声和带加热装置的搅拌机、振动筛网、打包机、排风扇等产生的机械噪声</w:t>
      </w:r>
      <w:r>
        <w:rPr>
          <w:rFonts w:hint="default" w:ascii="Times New Roman" w:hAnsi="Times New Roman" w:cs="Times New Roman"/>
          <w:sz w:val="24"/>
          <w:szCs w:val="24"/>
        </w:rPr>
        <w:t>。</w:t>
      </w:r>
    </w:p>
    <w:p>
      <w:pPr>
        <w:pStyle w:val="2"/>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fr-FR" w:eastAsia="zh-CN" w:bidi="ar-SA"/>
        </w:rPr>
        <w:t>项目</w:t>
      </w:r>
      <w:r>
        <w:rPr>
          <w:rFonts w:hint="eastAsia" w:ascii="Times New Roman" w:hAnsi="Times New Roman" w:cs="Times New Roman" w:eastAsiaTheme="minorEastAsia"/>
          <w:kern w:val="2"/>
          <w:sz w:val="24"/>
          <w:szCs w:val="24"/>
          <w:lang w:val="en-US" w:eastAsia="zh-CN" w:bidi="ar-SA"/>
        </w:rPr>
        <w:t>噪声处理情况</w:t>
      </w:r>
      <w:r>
        <w:rPr>
          <w:rFonts w:hint="default" w:ascii="Times New Roman" w:hAnsi="Times New Roman" w:cs="Times New Roman" w:eastAsiaTheme="minorEastAsia"/>
          <w:kern w:val="2"/>
          <w:sz w:val="24"/>
          <w:szCs w:val="24"/>
          <w:lang w:val="fr-FR" w:eastAsia="zh-CN" w:bidi="ar-SA"/>
        </w:rPr>
        <w:t>一览表见表</w:t>
      </w:r>
      <w:r>
        <w:rPr>
          <w:rFonts w:hint="default" w:ascii="Times New Roman" w:hAnsi="Times New Roman" w:cs="Times New Roman" w:eastAsiaTheme="minorEastAsia"/>
          <w:kern w:val="2"/>
          <w:sz w:val="24"/>
          <w:szCs w:val="24"/>
          <w:lang w:val="en-US" w:eastAsia="zh-CN" w:bidi="ar-SA"/>
        </w:rPr>
        <w:t>4-</w:t>
      </w:r>
      <w:r>
        <w:rPr>
          <w:rFonts w:hint="eastAsia" w:ascii="Times New Roman" w:hAnsi="Times New Roman" w:cs="Times New Roman" w:eastAsiaTheme="minorEastAsia"/>
          <w:kern w:val="2"/>
          <w:sz w:val="24"/>
          <w:szCs w:val="24"/>
          <w:lang w:val="en-US" w:eastAsia="zh-CN" w:bidi="ar-SA"/>
        </w:rPr>
        <w:t>2</w:t>
      </w:r>
      <w:r>
        <w:rPr>
          <w:rFonts w:hint="default" w:ascii="Times New Roman" w:hAnsi="Times New Roman" w:cs="Times New Roman" w:eastAsiaTheme="minorEastAsia"/>
          <w:kern w:val="2"/>
          <w:sz w:val="24"/>
          <w:szCs w:val="24"/>
          <w:lang w:val="en-US" w:eastAsia="zh-CN" w:bidi="ar-SA"/>
        </w:rPr>
        <w:t>：</w:t>
      </w:r>
    </w:p>
    <w:p>
      <w:pPr>
        <w:pStyle w:val="2"/>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w:t>
      </w:r>
      <w:r>
        <w:rPr>
          <w:rFonts w:hint="eastAsia" w:ascii="Times New Roman" w:hAnsi="Times New Roman" w:eastAsia="宋体" w:cs="Times New Roman"/>
          <w:b/>
          <w:bCs/>
          <w:kern w:val="0"/>
          <w:sz w:val="24"/>
          <w:szCs w:val="24"/>
          <w:lang w:val="en-US" w:eastAsia="zh-CN"/>
        </w:rPr>
        <w:t>2</w:t>
      </w:r>
      <w:r>
        <w:rPr>
          <w:rFonts w:hint="default" w:ascii="Times New Roman" w:hAnsi="Times New Roman" w:eastAsia="宋体" w:cs="Times New Roman"/>
          <w:b/>
          <w:bCs/>
          <w:kern w:val="0"/>
          <w:sz w:val="24"/>
          <w:szCs w:val="24"/>
          <w:lang w:val="en-US" w:eastAsia="zh-CN"/>
        </w:rPr>
        <w:t xml:space="preserve"> 项目</w:t>
      </w:r>
      <w:r>
        <w:rPr>
          <w:rFonts w:hint="eastAsia" w:ascii="Times New Roman" w:hAnsi="Times New Roman" w:eastAsia="宋体" w:cs="Times New Roman"/>
          <w:b/>
          <w:bCs/>
          <w:kern w:val="0"/>
          <w:sz w:val="24"/>
          <w:szCs w:val="24"/>
          <w:lang w:val="en-US" w:eastAsia="zh-CN"/>
        </w:rPr>
        <w:t>噪声处理情况</w:t>
      </w:r>
      <w:r>
        <w:rPr>
          <w:rFonts w:hint="default" w:ascii="Times New Roman" w:hAnsi="Times New Roman" w:eastAsia="宋体" w:cs="Times New Roman"/>
          <w:b/>
          <w:bCs/>
          <w:kern w:val="0"/>
          <w:sz w:val="24"/>
          <w:szCs w:val="24"/>
          <w:lang w:val="en-US" w:eastAsia="zh-CN"/>
        </w:rPr>
        <w:t>一览表</w:t>
      </w:r>
    </w:p>
    <w:tbl>
      <w:tblPr>
        <w:tblStyle w:val="17"/>
        <w:tblW w:w="7885"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305"/>
        <w:gridCol w:w="2227"/>
        <w:gridCol w:w="22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Align w:val="center"/>
          </w:tcPr>
          <w:p>
            <w:pPr>
              <w:spacing w:line="320" w:lineRule="exact"/>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噪声源</w:t>
            </w:r>
          </w:p>
        </w:tc>
        <w:tc>
          <w:tcPr>
            <w:tcW w:w="1305" w:type="dxa"/>
            <w:vAlign w:val="center"/>
          </w:tcPr>
          <w:p>
            <w:pPr>
              <w:spacing w:line="320" w:lineRule="exact"/>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位置</w:t>
            </w:r>
          </w:p>
        </w:tc>
        <w:tc>
          <w:tcPr>
            <w:tcW w:w="2227" w:type="dxa"/>
            <w:vAlign w:val="center"/>
          </w:tcPr>
          <w:p>
            <w:pPr>
              <w:spacing w:line="320" w:lineRule="exact"/>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源强最大声级dB（A）</w:t>
            </w:r>
          </w:p>
        </w:tc>
        <w:tc>
          <w:tcPr>
            <w:tcW w:w="2220" w:type="dxa"/>
            <w:vAlign w:val="center"/>
          </w:tcPr>
          <w:p>
            <w:pPr>
              <w:spacing w:line="320" w:lineRule="exact"/>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zh-CN" w:eastAsia="zh-CN"/>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Align w:val="center"/>
          </w:tcPr>
          <w:p>
            <w:pPr>
              <w:spacing w:line="320" w:lineRule="exact"/>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大型车</w:t>
            </w:r>
          </w:p>
        </w:tc>
        <w:tc>
          <w:tcPr>
            <w:tcW w:w="1305"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道路</w:t>
            </w:r>
          </w:p>
        </w:tc>
        <w:tc>
          <w:tcPr>
            <w:tcW w:w="2227"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65~85</w:t>
            </w:r>
          </w:p>
        </w:tc>
        <w:tc>
          <w:tcPr>
            <w:tcW w:w="222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减速、禁止鸣笛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带加热装置的搅拌桶</w:t>
            </w:r>
          </w:p>
        </w:tc>
        <w:tc>
          <w:tcPr>
            <w:tcW w:w="130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生产车间</w:t>
            </w:r>
          </w:p>
        </w:tc>
        <w:tc>
          <w:tcPr>
            <w:tcW w:w="2227"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c>
          <w:tcPr>
            <w:tcW w:w="222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封闭车间、隔振、减震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振动筛网</w:t>
            </w:r>
          </w:p>
        </w:tc>
        <w:tc>
          <w:tcPr>
            <w:tcW w:w="130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生产车间</w:t>
            </w:r>
          </w:p>
        </w:tc>
        <w:tc>
          <w:tcPr>
            <w:tcW w:w="2227"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2220" w:type="dxa"/>
            <w:vAlign w:val="center"/>
          </w:tcPr>
          <w:p>
            <w:pPr>
              <w:spacing w:line="3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封闭车间、隔振、减震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胶带封口机</w:t>
            </w:r>
          </w:p>
        </w:tc>
        <w:tc>
          <w:tcPr>
            <w:tcW w:w="130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包装区</w:t>
            </w:r>
          </w:p>
        </w:tc>
        <w:tc>
          <w:tcPr>
            <w:tcW w:w="2227"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22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封闭车间、隔振、减震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打包机</w:t>
            </w:r>
          </w:p>
        </w:tc>
        <w:tc>
          <w:tcPr>
            <w:tcW w:w="130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包装区</w:t>
            </w:r>
          </w:p>
        </w:tc>
        <w:tc>
          <w:tcPr>
            <w:tcW w:w="2227"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22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封闭车间、隔振、减震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133"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射蜡成型检测机</w:t>
            </w:r>
          </w:p>
        </w:tc>
        <w:tc>
          <w:tcPr>
            <w:tcW w:w="1305"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成品检验区</w:t>
            </w:r>
          </w:p>
        </w:tc>
        <w:tc>
          <w:tcPr>
            <w:tcW w:w="2227"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2220" w:type="dxa"/>
            <w:vAlign w:val="center"/>
          </w:tcPr>
          <w:p>
            <w:pPr>
              <w:spacing w:line="3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封闭车间、隔振、减震</w:t>
            </w:r>
          </w:p>
        </w:tc>
      </w:tr>
    </w:tbl>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rPr>
      </w:pPr>
      <w:bookmarkStart w:id="28" w:name="_Toc2270"/>
      <w:r>
        <w:rPr>
          <w:rFonts w:hint="default" w:ascii="Times New Roman" w:hAnsi="Times New Roman" w:cs="Times New Roman"/>
        </w:rPr>
        <w:t>4</w:t>
      </w:r>
      <w:r>
        <w:rPr>
          <w:rFonts w:hint="eastAsia" w:ascii="Times New Roman" w:hAnsi="Times New Roman" w:cs="Times New Roman"/>
          <w:lang w:val="en-US" w:eastAsia="zh-CN"/>
        </w:rPr>
        <w:t>.1.</w:t>
      </w:r>
      <w:r>
        <w:rPr>
          <w:rFonts w:hint="default" w:ascii="Times New Roman" w:hAnsi="Times New Roman" w:cs="Times New Roman"/>
        </w:rPr>
        <w:t>4 固体废物</w:t>
      </w:r>
      <w:bookmarkEnd w:id="2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本项目产生的固废主要为生活垃圾、沉淀池沉渣、废过滤棉、废包装袋等</w:t>
      </w:r>
      <w:r>
        <w:rPr>
          <w:rFonts w:hint="default" w:ascii="Times New Roman" w:hAnsi="Times New Roman" w:cs="Times New Roman"/>
          <w:sz w:val="24"/>
          <w:szCs w:val="24"/>
        </w:rPr>
        <w:t>。</w:t>
      </w:r>
    </w:p>
    <w:p>
      <w:pPr>
        <w:pStyle w:val="2"/>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宋体" w:cs="Times New Roman"/>
          <w:b w:val="0"/>
          <w:i w:val="0"/>
          <w:color w:val="000000"/>
          <w:sz w:val="24"/>
          <w:szCs w:val="24"/>
          <w:lang w:val="en-US" w:eastAsia="zh-CN"/>
        </w:rPr>
        <w:t>本项目劳动定员9人，均不在厂内食宿，生活垃圾极少，收集后委托环卫部门统一处置</w:t>
      </w:r>
      <w:r>
        <w:rPr>
          <w:rFonts w:hint="default" w:ascii="Times New Roman" w:hAnsi="Times New Roman" w:eastAsia="宋体" w:cs="Times New Roman"/>
          <w:b w:val="0"/>
          <w:i w:val="0"/>
          <w:color w:val="000000"/>
          <w:sz w:val="24"/>
          <w:szCs w:val="24"/>
          <w:lang w:eastAsia="zh-CN"/>
        </w:rPr>
        <w:t>；</w:t>
      </w:r>
      <w:r>
        <w:rPr>
          <w:rFonts w:hint="default" w:ascii="Times New Roman" w:hAnsi="Times New Roman" w:eastAsia="宋体" w:cs="Times New Roman"/>
          <w:b w:val="0"/>
          <w:i w:val="0"/>
          <w:color w:val="000000"/>
          <w:sz w:val="24"/>
          <w:szCs w:val="24"/>
          <w:lang w:val="en-US" w:eastAsia="zh-CN"/>
        </w:rPr>
        <w:t>喷淋塔降尘收集的沉淀池沉渣晒干后回用作为原料；本项目原料不属于《国家危险废物名录》（2017），不是危险废物，原料包装产生的废包装袋集中收集后外售；UV光解</w:t>
      </w:r>
      <w:r>
        <w:rPr>
          <w:rFonts w:hint="eastAsia" w:ascii="Times New Roman" w:hAnsi="Times New Roman" w:eastAsia="宋体" w:cs="Times New Roman"/>
          <w:b w:val="0"/>
          <w:i w:val="0"/>
          <w:color w:val="000000"/>
          <w:sz w:val="24"/>
          <w:szCs w:val="24"/>
          <w:lang w:val="en-US" w:eastAsia="zh-CN"/>
        </w:rPr>
        <w:t>催化净化设备跟换的废石棉网由商家更换时带回，不在厂内暂存。</w:t>
      </w:r>
      <w:r>
        <w:rPr>
          <w:rFonts w:hint="default" w:ascii="Times New Roman" w:hAnsi="Times New Roman" w:eastAsia="宋体" w:cs="Times New Roman"/>
          <w:b w:val="0"/>
          <w:i w:val="0"/>
          <w:color w:val="000000"/>
          <w:sz w:val="24"/>
          <w:szCs w:val="24"/>
        </w:rPr>
        <w:t>项目所有固体废物妥善处置，零排放</w:t>
      </w:r>
      <w:r>
        <w:rPr>
          <w:rFonts w:hint="default" w:ascii="Times New Roman" w:hAnsi="Times New Roman" w:cs="Times New Roman" w:eastAsiaTheme="minorEastAsia"/>
          <w:kern w:val="2"/>
          <w:sz w:val="24"/>
          <w:szCs w:val="24"/>
          <w:lang w:val="en-US" w:eastAsia="zh-CN" w:bidi="ar-SA"/>
        </w:rPr>
        <w:t>。</w:t>
      </w:r>
    </w:p>
    <w:p>
      <w:pPr>
        <w:pStyle w:val="2"/>
        <w:rPr>
          <w:rFonts w:hint="default" w:ascii="Times New Roman" w:hAnsi="Times New Roman" w:cs="Times New Roman" w:eastAsiaTheme="minorEastAsia"/>
          <w:kern w:val="2"/>
          <w:sz w:val="24"/>
          <w:szCs w:val="24"/>
          <w:lang w:val="en-US" w:eastAsia="zh-CN" w:bidi="ar-SA"/>
        </w:rPr>
      </w:pPr>
      <w:bookmarkStart w:id="29" w:name="_Toc28861"/>
      <w:bookmarkStart w:id="30" w:name="_Toc29051"/>
      <w:r>
        <w:rPr>
          <w:rFonts w:hint="default" w:ascii="Times New Roman" w:hAnsi="Times New Roman" w:cs="Times New Roman" w:eastAsiaTheme="minorEastAsia"/>
          <w:kern w:val="2"/>
          <w:sz w:val="24"/>
          <w:szCs w:val="24"/>
          <w:lang w:val="en-US" w:eastAsia="zh-CN" w:bidi="ar-SA"/>
        </w:rPr>
        <w:t>项目固体废物一览表见表4-</w:t>
      </w:r>
      <w:r>
        <w:rPr>
          <w:rFonts w:hint="eastAsia" w:ascii="Times New Roman" w:hAnsi="Times New Roman" w:cs="Times New Roman" w:eastAsiaTheme="minorEastAsia"/>
          <w:kern w:val="2"/>
          <w:sz w:val="24"/>
          <w:szCs w:val="24"/>
          <w:lang w:val="en-US" w:eastAsia="zh-CN" w:bidi="ar-SA"/>
        </w:rPr>
        <w:t>3</w:t>
      </w:r>
      <w:r>
        <w:rPr>
          <w:rFonts w:hint="default" w:ascii="Times New Roman" w:hAnsi="Times New Roman" w:cs="Times New Roman" w:eastAsiaTheme="minorEastAsia"/>
          <w:kern w:val="2"/>
          <w:sz w:val="24"/>
          <w:szCs w:val="24"/>
          <w:lang w:val="en-US" w:eastAsia="zh-CN" w:bidi="ar-SA"/>
        </w:rPr>
        <w:t>：</w:t>
      </w:r>
      <w:bookmarkEnd w:id="29"/>
      <w:bookmarkEnd w:id="30"/>
    </w:p>
    <w:p>
      <w:pPr>
        <w:pStyle w:val="2"/>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w:t>
      </w:r>
      <w:r>
        <w:rPr>
          <w:rFonts w:hint="eastAsia" w:ascii="Times New Roman" w:hAnsi="Times New Roman" w:eastAsia="宋体" w:cs="Times New Roman"/>
          <w:b/>
          <w:bCs/>
          <w:kern w:val="0"/>
          <w:sz w:val="24"/>
          <w:szCs w:val="24"/>
          <w:lang w:val="en-US" w:eastAsia="zh-CN"/>
        </w:rPr>
        <w:t>3</w:t>
      </w:r>
      <w:r>
        <w:rPr>
          <w:rFonts w:hint="default" w:ascii="Times New Roman" w:hAnsi="Times New Roman" w:eastAsia="宋体" w:cs="Times New Roman"/>
          <w:b/>
          <w:bCs/>
          <w:kern w:val="0"/>
          <w:sz w:val="24"/>
          <w:szCs w:val="24"/>
          <w:lang w:val="en-US" w:eastAsia="zh-CN"/>
        </w:rPr>
        <w:t xml:space="preserve"> 固体废物一览表</w:t>
      </w:r>
    </w:p>
    <w:tbl>
      <w:tblPr>
        <w:tblStyle w:val="17"/>
        <w:tblW w:w="7843" w:type="dxa"/>
        <w:jc w:val="center"/>
        <w:tblInd w:w="-88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338"/>
        <w:gridCol w:w="1080"/>
        <w:gridCol w:w="4125"/>
        <w:gridCol w:w="13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369" w:hRule="atLeast"/>
          <w:jc w:val="center"/>
        </w:trPr>
        <w:tc>
          <w:tcPr>
            <w:tcW w:w="133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主要污染物</w:t>
            </w:r>
          </w:p>
        </w:tc>
        <w:tc>
          <w:tcPr>
            <w:tcW w:w="108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污染来源</w:t>
            </w:r>
          </w:p>
        </w:tc>
        <w:tc>
          <w:tcPr>
            <w:tcW w:w="412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控制措施</w:t>
            </w:r>
          </w:p>
        </w:tc>
        <w:tc>
          <w:tcPr>
            <w:tcW w:w="130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排放方式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369" w:hRule="atLeast"/>
          <w:jc w:val="center"/>
        </w:trPr>
        <w:tc>
          <w:tcPr>
            <w:tcW w:w="133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zh-CN" w:eastAsia="zh-CN"/>
              </w:rPr>
              <w:t>生活垃圾</w:t>
            </w:r>
          </w:p>
        </w:tc>
        <w:tc>
          <w:tcPr>
            <w:tcW w:w="108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r>
              <w:rPr>
                <w:rFonts w:hint="default" w:ascii="Times New Roman" w:hAnsi="Times New Roman" w:eastAsia="宋体" w:cs="Times New Roman"/>
                <w:sz w:val="21"/>
                <w:szCs w:val="21"/>
                <w:vertAlign w:val="baseline"/>
                <w:lang w:val="zh-CN" w:eastAsia="zh-CN"/>
              </w:rPr>
              <w:t>员工生活</w:t>
            </w:r>
          </w:p>
        </w:tc>
        <w:tc>
          <w:tcPr>
            <w:tcW w:w="412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jc w:val="center"/>
              <w:textAlignment w:val="auto"/>
              <w:outlineLvl w:val="9"/>
              <w:rPr>
                <w:rFonts w:hint="default" w:ascii="Times New Roman" w:hAnsi="Times New Roman" w:eastAsia="宋体" w:cs="Times New Roman"/>
                <w:sz w:val="21"/>
                <w:szCs w:val="21"/>
                <w:vertAlign w:val="baseline"/>
                <w:lang w:val="zh-CN" w:eastAsia="zh-CN"/>
              </w:rPr>
            </w:pPr>
            <w:r>
              <w:rPr>
                <w:rFonts w:hint="default" w:ascii="Times New Roman" w:hAnsi="Times New Roman" w:eastAsia="宋体" w:cs="Times New Roman"/>
                <w:sz w:val="21"/>
                <w:szCs w:val="21"/>
                <w:vertAlign w:val="baseline"/>
                <w:lang w:val="zh-CN" w:eastAsia="zh-CN"/>
              </w:rPr>
              <w:t>垃圾桶，环卫部门清运</w:t>
            </w:r>
          </w:p>
        </w:tc>
        <w:tc>
          <w:tcPr>
            <w:tcW w:w="130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369" w:hRule="atLeast"/>
          <w:jc w:val="center"/>
        </w:trPr>
        <w:tc>
          <w:tcPr>
            <w:tcW w:w="133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沉淀池沉渣</w:t>
            </w:r>
          </w:p>
        </w:tc>
        <w:tc>
          <w:tcPr>
            <w:tcW w:w="108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喷淋塔</w:t>
            </w:r>
          </w:p>
        </w:tc>
        <w:tc>
          <w:tcPr>
            <w:tcW w:w="412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ind w:firstLine="210" w:firstLineChars="10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回用作为原料</w:t>
            </w:r>
          </w:p>
        </w:tc>
        <w:tc>
          <w:tcPr>
            <w:tcW w:w="130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369" w:hRule="atLeast"/>
          <w:jc w:val="center"/>
        </w:trPr>
        <w:tc>
          <w:tcPr>
            <w:tcW w:w="133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废包装袋</w:t>
            </w:r>
          </w:p>
        </w:tc>
        <w:tc>
          <w:tcPr>
            <w:tcW w:w="108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原料包装</w:t>
            </w:r>
          </w:p>
        </w:tc>
        <w:tc>
          <w:tcPr>
            <w:tcW w:w="412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ind w:firstLine="210" w:firstLineChars="10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外售</w:t>
            </w:r>
          </w:p>
        </w:tc>
        <w:tc>
          <w:tcPr>
            <w:tcW w:w="130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无排放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Ex>
        <w:trPr>
          <w:trHeight w:val="369" w:hRule="atLeast"/>
          <w:jc w:val="center"/>
        </w:trPr>
        <w:tc>
          <w:tcPr>
            <w:tcW w:w="1338"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废石棉网</w:t>
            </w:r>
          </w:p>
        </w:tc>
        <w:tc>
          <w:tcPr>
            <w:tcW w:w="108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净化设备</w:t>
            </w:r>
          </w:p>
        </w:tc>
        <w:tc>
          <w:tcPr>
            <w:tcW w:w="412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ind w:firstLine="210" w:firstLineChars="100"/>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商家带回处理</w:t>
            </w:r>
          </w:p>
        </w:tc>
        <w:tc>
          <w:tcPr>
            <w:tcW w:w="1300"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无排放</w:t>
            </w:r>
          </w:p>
        </w:tc>
      </w:tr>
    </w:tbl>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1" w:name="_Toc300"/>
      <w:r>
        <w:rPr>
          <w:rFonts w:hint="default" w:ascii="Times New Roman" w:hAnsi="Times New Roman" w:eastAsia="宋体" w:cs="Times New Roman"/>
          <w:b/>
          <w:sz w:val="30"/>
          <w:szCs w:val="30"/>
          <w:lang w:val="en-US" w:eastAsia="zh-CN"/>
        </w:rPr>
        <w:t>4</w:t>
      </w:r>
      <w:r>
        <w:rPr>
          <w:rFonts w:hint="eastAsia"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val="en-US" w:eastAsia="zh-CN"/>
        </w:rPr>
        <w:t xml:space="preserve"> 环保设施投资</w:t>
      </w:r>
      <w:bookmarkEnd w:id="31"/>
    </w:p>
    <w:p>
      <w:pPr>
        <w:pStyle w:val="2"/>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项目总投资</w:t>
      </w:r>
      <w:r>
        <w:rPr>
          <w:rFonts w:hint="eastAsia" w:ascii="Times New Roman" w:hAnsi="Times New Roman" w:cs="Times New Roman" w:eastAsiaTheme="minorEastAsia"/>
          <w:kern w:val="2"/>
          <w:sz w:val="24"/>
          <w:szCs w:val="24"/>
          <w:lang w:val="en-US" w:eastAsia="zh-CN" w:bidi="ar-SA"/>
        </w:rPr>
        <w:t>1200</w:t>
      </w:r>
      <w:r>
        <w:rPr>
          <w:rFonts w:hint="default" w:ascii="Times New Roman" w:hAnsi="Times New Roman" w:cs="Times New Roman" w:eastAsiaTheme="minorEastAsia"/>
          <w:kern w:val="2"/>
          <w:sz w:val="24"/>
          <w:szCs w:val="24"/>
          <w:lang w:val="en-US" w:eastAsia="zh-CN" w:bidi="ar-SA"/>
        </w:rPr>
        <w:t>万元，其中环保投资</w:t>
      </w:r>
      <w:r>
        <w:rPr>
          <w:rFonts w:hint="eastAsia" w:ascii="Times New Roman" w:hAnsi="Times New Roman" w:cs="Times New Roman" w:eastAsiaTheme="minorEastAsia"/>
          <w:kern w:val="2"/>
          <w:sz w:val="24"/>
          <w:szCs w:val="24"/>
          <w:lang w:val="en-US" w:eastAsia="zh-CN" w:bidi="ar-SA"/>
        </w:rPr>
        <w:t>21</w:t>
      </w:r>
      <w:r>
        <w:rPr>
          <w:rFonts w:hint="default" w:ascii="Times New Roman" w:hAnsi="Times New Roman" w:cs="Times New Roman" w:eastAsiaTheme="minorEastAsia"/>
          <w:kern w:val="2"/>
          <w:sz w:val="24"/>
          <w:szCs w:val="24"/>
          <w:lang w:val="en-US" w:eastAsia="zh-CN" w:bidi="ar-SA"/>
        </w:rPr>
        <w:t>万元，占总投资比例的</w:t>
      </w:r>
      <w:r>
        <w:rPr>
          <w:rFonts w:hint="eastAsia" w:ascii="Times New Roman" w:hAnsi="Times New Roman" w:cs="Times New Roman" w:eastAsiaTheme="minorEastAsia"/>
          <w:kern w:val="2"/>
          <w:sz w:val="24"/>
          <w:szCs w:val="24"/>
          <w:lang w:val="en-US" w:eastAsia="zh-CN" w:bidi="ar-SA"/>
        </w:rPr>
        <w:t>1.75</w:t>
      </w:r>
      <w:r>
        <w:rPr>
          <w:rFonts w:hint="default" w:ascii="Times New Roman" w:hAnsi="Times New Roman" w:cs="Times New Roman" w:eastAsiaTheme="minorEastAsia"/>
          <w:kern w:val="2"/>
          <w:sz w:val="24"/>
          <w:szCs w:val="24"/>
          <w:lang w:val="en-US" w:eastAsia="zh-CN" w:bidi="ar-SA"/>
        </w:rPr>
        <w:t>% ，环保投资一览表见表4-</w:t>
      </w:r>
      <w:r>
        <w:rPr>
          <w:rFonts w:hint="eastAsia" w:ascii="Times New Roman" w:hAnsi="Times New Roman" w:cs="Times New Roman" w:eastAsiaTheme="minorEastAsia"/>
          <w:kern w:val="2"/>
          <w:sz w:val="24"/>
          <w:szCs w:val="24"/>
          <w:lang w:val="en-US" w:eastAsia="zh-CN" w:bidi="ar-SA"/>
        </w:rPr>
        <w:t>4</w:t>
      </w:r>
      <w:r>
        <w:rPr>
          <w:rFonts w:hint="default" w:ascii="Times New Roman" w:hAnsi="Times New Roman" w:cs="Times New Roman" w:eastAsiaTheme="minorEastAsia"/>
          <w:kern w:val="2"/>
          <w:sz w:val="24"/>
          <w:szCs w:val="24"/>
          <w:lang w:val="en-US" w:eastAsia="zh-CN" w:bidi="ar-SA"/>
        </w:rPr>
        <w:t>：</w:t>
      </w:r>
    </w:p>
    <w:p>
      <w:pPr>
        <w:pStyle w:val="2"/>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表:4-</w:t>
      </w:r>
      <w:r>
        <w:rPr>
          <w:rFonts w:hint="eastAsia" w:ascii="Times New Roman" w:hAnsi="Times New Roman" w:eastAsia="宋体" w:cs="Times New Roman"/>
          <w:b/>
          <w:bCs/>
          <w:kern w:val="0"/>
          <w:sz w:val="24"/>
          <w:szCs w:val="24"/>
          <w:lang w:val="en-US" w:eastAsia="zh-CN"/>
        </w:rPr>
        <w:t>4</w:t>
      </w:r>
      <w:r>
        <w:rPr>
          <w:rFonts w:hint="default" w:ascii="Times New Roman" w:hAnsi="Times New Roman" w:eastAsia="宋体" w:cs="Times New Roman"/>
          <w:b/>
          <w:bCs/>
          <w:kern w:val="0"/>
          <w:sz w:val="24"/>
          <w:szCs w:val="24"/>
          <w:lang w:val="en-US" w:eastAsia="zh-CN"/>
        </w:rPr>
        <w:t xml:space="preserve"> 环保投资一览表</w:t>
      </w:r>
    </w:p>
    <w:tbl>
      <w:tblPr>
        <w:tblStyle w:val="17"/>
        <w:tblW w:w="780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4238"/>
        <w:gridCol w:w="1110"/>
        <w:gridCol w:w="13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6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default" w:ascii="Times New Roman" w:hAnsi="Times New Roman" w:eastAsia="宋体" w:cs="Times New Roman"/>
                <w:b/>
                <w:bCs/>
                <w:sz w:val="21"/>
                <w:szCs w:val="21"/>
                <w:vertAlign w:val="baseline"/>
                <w:lang w:val="zh-CN" w:eastAsia="zh-CN"/>
              </w:rPr>
              <w:t>项目</w:t>
            </w:r>
          </w:p>
        </w:tc>
        <w:tc>
          <w:tcPr>
            <w:tcW w:w="4238" w:type="dxa"/>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6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环评预设</w:t>
            </w:r>
            <w:r>
              <w:rPr>
                <w:rFonts w:hint="default" w:ascii="Times New Roman" w:hAnsi="Times New Roman" w:eastAsia="宋体" w:cs="Times New Roman"/>
                <w:b/>
                <w:bCs/>
                <w:sz w:val="21"/>
                <w:szCs w:val="21"/>
                <w:vertAlign w:val="baseline"/>
                <w:lang w:val="zh-CN" w:eastAsia="zh-CN"/>
              </w:rPr>
              <w:t>环保设施</w:t>
            </w:r>
          </w:p>
        </w:tc>
        <w:tc>
          <w:tcPr>
            <w:tcW w:w="1110" w:type="dxa"/>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60" w:lineRule="exact"/>
              <w:textAlignment w:val="auto"/>
              <w:outlineLvl w:val="9"/>
              <w:rPr>
                <w:rFonts w:hint="default"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预计</w:t>
            </w:r>
            <w:r>
              <w:rPr>
                <w:rFonts w:hint="default" w:ascii="Times New Roman" w:hAnsi="Times New Roman" w:eastAsia="宋体" w:cs="Times New Roman"/>
                <w:b/>
                <w:bCs/>
                <w:sz w:val="21"/>
                <w:szCs w:val="21"/>
                <w:vertAlign w:val="baseline"/>
                <w:lang w:val="zh-CN" w:eastAsia="zh-CN"/>
              </w:rPr>
              <w:t>费用（万元）</w:t>
            </w:r>
          </w:p>
        </w:tc>
        <w:tc>
          <w:tcPr>
            <w:tcW w:w="1319" w:type="dxa"/>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60" w:lineRule="exact"/>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实际费用</w:t>
            </w:r>
            <w:r>
              <w:rPr>
                <w:rFonts w:hint="default" w:ascii="Times New Roman" w:hAnsi="Times New Roman" w:eastAsia="宋体" w:cs="Times New Roman"/>
                <w:b/>
                <w:bCs/>
                <w:sz w:val="21"/>
                <w:szCs w:val="21"/>
                <w:vertAlign w:val="baseline"/>
                <w:lang w:val="zh-CN" w:eastAsia="zh-CN"/>
              </w:rPr>
              <w:t>（万元）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废气治理</w:t>
            </w:r>
          </w:p>
        </w:tc>
        <w:tc>
          <w:tcPr>
            <w:tcW w:w="4238" w:type="dxa"/>
            <w:vAlign w:val="center"/>
          </w:tcPr>
          <w:p>
            <w:pPr>
              <w:keepNext w:val="0"/>
              <w:keepLines w:val="0"/>
              <w:pageBreakBefore w:val="0"/>
              <w:widowControl w:val="0"/>
              <w:kinsoku/>
              <w:wordWrap/>
              <w:overflowPunct/>
              <w:topLinePunct w:val="0"/>
              <w:autoSpaceDE/>
              <w:autoSpaceDN/>
              <w:bidi w:val="0"/>
              <w:adjustRightInd/>
              <w:snapToGrid/>
              <w:spacing w:after="100" w:afterLines="-2147483648" w:afterAutospacing="1" w:line="260" w:lineRule="exact"/>
              <w:jc w:val="center"/>
              <w:textAlignment w:val="auto"/>
              <w:outlineLvl w:val="9"/>
              <w:rPr>
                <w:rFonts w:hint="eastAsia" w:ascii="Times New Roman" w:hAnsi="Times New Roman" w:eastAsia="宋体" w:cs="Times New Roman"/>
                <w:sz w:val="21"/>
                <w:szCs w:val="21"/>
                <w:vertAlign w:val="baseline"/>
                <w:lang w:val="en-US" w:eastAsia="zh-CN"/>
              </w:rPr>
            </w:pPr>
            <w:r>
              <w:rPr>
                <w:rFonts w:hint="eastAsia" w:eastAsia="宋体"/>
                <w:lang w:val="en-US" w:eastAsia="zh-CN"/>
              </w:rPr>
              <w:t>粉尘、非甲烷总烃采用集气罩+喷淋塔+UV光解催化净化设备，厂房安装通风装置</w:t>
            </w:r>
          </w:p>
        </w:tc>
        <w:tc>
          <w:tcPr>
            <w:tcW w:w="111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15</w:t>
            </w:r>
          </w:p>
        </w:tc>
        <w:tc>
          <w:tcPr>
            <w:tcW w:w="131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eastAsiaTheme="minorEastAsia"/>
                <w:lang w:val="en-US" w:eastAsia="zh-CN"/>
              </w:rPr>
            </w:pPr>
            <w:r>
              <w:rPr>
                <w:rFonts w:hint="eastAsia"/>
                <w:lang w:val="en-US" w:eastAsia="zh-CN"/>
              </w:rPr>
              <w:t>废水治理</w:t>
            </w:r>
          </w:p>
        </w:tc>
        <w:tc>
          <w:tcPr>
            <w:tcW w:w="4238"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化粪池</w:t>
            </w:r>
          </w:p>
        </w:tc>
        <w:tc>
          <w:tcPr>
            <w:tcW w:w="111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31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eastAsiaTheme="minorEastAsia"/>
                <w:lang w:val="en-US" w:eastAsia="zh-CN"/>
              </w:rPr>
            </w:pPr>
            <w:r>
              <w:rPr>
                <w:rFonts w:hint="eastAsia"/>
                <w:lang w:val="en-US" w:eastAsia="zh-CN"/>
              </w:rPr>
              <w:t>固废处置</w:t>
            </w:r>
          </w:p>
        </w:tc>
        <w:tc>
          <w:tcPr>
            <w:tcW w:w="4238"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设置一般固废暂存场所</w:t>
            </w:r>
          </w:p>
        </w:tc>
        <w:tc>
          <w:tcPr>
            <w:tcW w:w="111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p>
        </w:tc>
        <w:tc>
          <w:tcPr>
            <w:tcW w:w="131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lang w:val="en-US" w:eastAsia="zh-CN"/>
              </w:rPr>
            </w:pPr>
            <w:r>
              <w:rPr>
                <w:rFonts w:hint="eastAsia"/>
                <w:lang w:val="en-US" w:eastAsia="zh-CN"/>
              </w:rPr>
              <w:t>噪声治理</w:t>
            </w:r>
          </w:p>
        </w:tc>
        <w:tc>
          <w:tcPr>
            <w:tcW w:w="4238"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设备减振降噪、消声器等</w:t>
            </w:r>
          </w:p>
        </w:tc>
        <w:tc>
          <w:tcPr>
            <w:tcW w:w="111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c>
          <w:tcPr>
            <w:tcW w:w="131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13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r>
              <w:rPr>
                <w:rFonts w:hint="default" w:ascii="Times New Roman" w:hAnsi="Times New Roman" w:eastAsia="宋体" w:cs="Times New Roman"/>
                <w:sz w:val="21"/>
                <w:szCs w:val="21"/>
                <w:vertAlign w:val="baseline"/>
                <w:lang w:val="zh-CN" w:eastAsia="zh-CN"/>
              </w:rPr>
              <w:t>合计</w:t>
            </w:r>
          </w:p>
        </w:tc>
        <w:tc>
          <w:tcPr>
            <w:tcW w:w="4238"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r>
              <w:rPr>
                <w:rFonts w:hint="default" w:ascii="Times New Roman" w:hAnsi="Times New Roman" w:eastAsia="宋体" w:cs="Times New Roman"/>
                <w:sz w:val="21"/>
                <w:szCs w:val="21"/>
                <w:vertAlign w:val="baseline"/>
                <w:lang w:val="zh-CN" w:eastAsia="zh-CN"/>
              </w:rPr>
              <w:t>/</w:t>
            </w:r>
          </w:p>
        </w:tc>
        <w:tc>
          <w:tcPr>
            <w:tcW w:w="111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20</w:t>
            </w:r>
          </w:p>
        </w:tc>
        <w:tc>
          <w:tcPr>
            <w:tcW w:w="1319"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21</w:t>
            </w:r>
          </w:p>
        </w:tc>
      </w:tr>
    </w:tbl>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32" w:name="_Toc28571"/>
      <w:r>
        <w:rPr>
          <w:rFonts w:hint="default" w:ascii="Times New Roman" w:hAnsi="Times New Roman" w:eastAsia="宋体" w:cs="Times New Roman"/>
          <w:b/>
        </w:rPr>
        <w:t>5 建设项目环评报告表的主要结论与建议及审批部门审批决定</w:t>
      </w:r>
      <w:bookmarkEnd w:id="32"/>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3" w:name="_Toc10934"/>
      <w:r>
        <w:rPr>
          <w:rFonts w:hint="default" w:ascii="Times New Roman" w:hAnsi="Times New Roman" w:eastAsia="宋体" w:cs="Times New Roman"/>
          <w:b/>
          <w:sz w:val="30"/>
          <w:szCs w:val="30"/>
          <w:lang w:val="en-US" w:eastAsia="zh-CN"/>
        </w:rPr>
        <w:t>5</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lang w:val="en-US" w:eastAsia="zh-CN"/>
        </w:rPr>
        <w:t>1 建设项目环评报告表的主要结论与建议</w:t>
      </w:r>
      <w:bookmarkEnd w:id="33"/>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lang w:val="en-US" w:eastAsia="zh-CN"/>
        </w:rPr>
      </w:pPr>
      <w:bookmarkStart w:id="34" w:name="_Toc225"/>
      <w:r>
        <w:rPr>
          <w:rFonts w:hint="eastAsia" w:ascii="Times New Roman" w:hAnsi="Times New Roman" w:cs="Times New Roman"/>
          <w:lang w:val="en-US" w:eastAsia="zh-CN"/>
        </w:rPr>
        <w:t>5.1.1结论</w:t>
      </w:r>
      <w:bookmarkEnd w:id="3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湖南湘芝新材料有限公司年产1000吨水溶性蜡生产线建设项目符合国家产业政策，总平面布局合理，选址可行</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在认真落实本环评报告提出的各项环保措施的前提下，废气、废水、噪声可实现达标排放，固废可得到有效处理和处置，环境风险小，项目建设及营运对于环境保护目标及周围环境影响较小。从环境保护角度分析，本项目的建设是可行的。</w:t>
      </w:r>
      <w:r>
        <w:rPr>
          <w:rFonts w:hint="default" w:ascii="Times New Roman" w:hAnsi="Times New Roman" w:cs="Times New Roman"/>
          <w:sz w:val="24"/>
          <w:szCs w:val="24"/>
        </w:rPr>
        <w:t xml:space="preserve"> </w:t>
      </w:r>
    </w:p>
    <w:p>
      <w:pPr>
        <w:pStyle w:val="5"/>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lang w:val="en-US" w:eastAsia="zh-CN"/>
        </w:rPr>
      </w:pPr>
      <w:bookmarkStart w:id="35" w:name="_Toc22495"/>
      <w:r>
        <w:rPr>
          <w:rFonts w:hint="eastAsia" w:ascii="Times New Roman" w:hAnsi="Times New Roman" w:cs="Times New Roman"/>
          <w:lang w:val="en-US" w:eastAsia="zh-CN"/>
        </w:rPr>
        <w:t>5.1.2建议</w:t>
      </w:r>
      <w:bookmarkEnd w:id="35"/>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项目竣工后，建设单位应及时组织开展项目竣工环境保护验收</w:t>
      </w:r>
      <w:r>
        <w:rPr>
          <w:rFonts w:hint="default" w:ascii="Times New Roman" w:hAnsi="Times New Roman" w:cs="Times New Roman"/>
          <w:sz w:val="24"/>
          <w:szCs w:val="24"/>
        </w:rPr>
        <w:t>。</w:t>
      </w:r>
      <w:r>
        <w:rPr>
          <w:rFonts w:hint="default"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2、 </w:t>
      </w:r>
      <w:r>
        <w:rPr>
          <w:rFonts w:hint="eastAsia" w:ascii="Times New Roman" w:hAnsi="Times New Roman" w:cs="Times New Roman"/>
          <w:sz w:val="24"/>
          <w:szCs w:val="24"/>
          <w:lang w:val="en-US" w:eastAsia="zh-CN"/>
        </w:rPr>
        <w:t>本项目基础资料由建设单位提供，并对其准确性负责。建设单位以后若增加本报告所涉及之外的污染源或对其功能进行改变，则因按要求向有关环保部门进行申报，并按污染控制目标采取相应的污染治理措施。</w:t>
      </w:r>
      <w:r>
        <w:rPr>
          <w:rFonts w:hint="default" w:ascii="Times New Roman" w:hAnsi="Times New Roman" w:cs="Times New Roman"/>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rPr>
        <w:t>《</w:t>
      </w:r>
      <w:r>
        <w:rPr>
          <w:rFonts w:hint="eastAsia" w:ascii="Times New Roman" w:hAnsi="Times New Roman" w:eastAsia="宋体" w:cs="Times New Roman"/>
          <w:sz w:val="24"/>
          <w:szCs w:val="24"/>
          <w:lang w:val="en-US" w:eastAsia="zh-CN"/>
        </w:rPr>
        <w:t>年产1000吨水溶性蜡生产线建设项目环境影响报告表</w:t>
      </w:r>
      <w:r>
        <w:rPr>
          <w:rFonts w:hint="default" w:ascii="Times New Roman" w:hAnsi="Times New Roman" w:cs="Times New Roman"/>
          <w:sz w:val="24"/>
          <w:szCs w:val="24"/>
        </w:rPr>
        <w:t>》</w:t>
      </w:r>
      <w:r>
        <w:rPr>
          <w:rFonts w:hint="default" w:ascii="Times New Roman" w:hAnsi="Times New Roman" w:cs="Times New Roman"/>
          <w:sz w:val="24"/>
          <w:szCs w:val="24"/>
          <w:lang w:eastAsia="zh-CN"/>
        </w:rPr>
        <w:t>中对废水、废气、固废和声噪污染防治设施效果的要求见表</w:t>
      </w:r>
      <w:r>
        <w:rPr>
          <w:rFonts w:hint="default" w:ascii="Times New Roman" w:hAnsi="Times New Roman" w:cs="Times New Roman"/>
          <w:sz w:val="24"/>
          <w:szCs w:val="24"/>
          <w:lang w:val="en-US" w:eastAsia="zh-CN"/>
        </w:rPr>
        <w:t>5-1：</w:t>
      </w:r>
    </w:p>
    <w:p>
      <w:pPr>
        <w:pStyle w:val="2"/>
        <w:jc w:val="center"/>
        <w:rPr>
          <w:rFonts w:hint="default" w:ascii="Times New Roman" w:hAnsi="Times New Roman" w:eastAsia="宋体" w:cs="Times New Roman"/>
          <w:b/>
          <w:bCs/>
          <w:kern w:val="0"/>
          <w:sz w:val="24"/>
          <w:szCs w:val="24"/>
          <w:lang w:val="en-US" w:eastAsia="zh-CN"/>
        </w:rPr>
      </w:pPr>
      <w:r>
        <w:rPr>
          <w:rFonts w:hint="default" w:ascii="Times New Roman" w:hAnsi="Times New Roman" w:eastAsia="宋体" w:cs="Times New Roman"/>
          <w:b/>
          <w:bCs/>
          <w:kern w:val="0"/>
          <w:sz w:val="24"/>
          <w:szCs w:val="24"/>
          <w:lang w:val="en-US" w:eastAsia="zh-CN"/>
        </w:rPr>
        <w:t>表5-1 项目环评防治措施及要求</w:t>
      </w:r>
    </w:p>
    <w:tbl>
      <w:tblPr>
        <w:tblStyle w:val="17"/>
        <w:tblW w:w="907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445"/>
        <w:gridCol w:w="3570"/>
        <w:gridCol w:w="30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65" w:type="dxa"/>
            <w:tcBorders>
              <w:tl2br w:val="single" w:color="auto" w:sz="4" w:space="0"/>
            </w:tcBorders>
            <w:vAlign w:val="top"/>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zh-CN" w:eastAsia="zh-CN"/>
              </w:rPr>
              <w:t>内容</w:t>
            </w:r>
            <w:r>
              <w:rPr>
                <w:rFonts w:hint="eastAsia" w:ascii="Times New Roman" w:hAnsi="Times New Roman" w:eastAsia="宋体" w:cs="Times New Roman"/>
                <w:b/>
                <w:bCs/>
                <w:sz w:val="21"/>
                <w:szCs w:val="21"/>
                <w:vertAlign w:val="baseline"/>
                <w:lang w:val="en-US" w:eastAsia="zh-CN"/>
              </w:rPr>
              <w:t xml:space="preserve">   </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类型</w:t>
            </w:r>
          </w:p>
        </w:tc>
        <w:tc>
          <w:tcPr>
            <w:tcW w:w="144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jc w:val="center"/>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污染物名称</w:t>
            </w:r>
          </w:p>
        </w:tc>
        <w:tc>
          <w:tcPr>
            <w:tcW w:w="357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zh-CN" w:eastAsia="zh-CN"/>
              </w:rPr>
            </w:pPr>
            <w:r>
              <w:rPr>
                <w:rFonts w:hint="eastAsia" w:ascii="Times New Roman" w:hAnsi="Times New Roman" w:eastAsia="宋体" w:cs="Times New Roman"/>
                <w:b/>
                <w:bCs/>
                <w:sz w:val="21"/>
                <w:szCs w:val="21"/>
                <w:vertAlign w:val="baseline"/>
                <w:lang w:val="zh-CN" w:eastAsia="zh-CN"/>
              </w:rPr>
              <w:t>防治措施</w:t>
            </w:r>
          </w:p>
        </w:tc>
        <w:tc>
          <w:tcPr>
            <w:tcW w:w="309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排放要求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965"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废气</w:t>
            </w:r>
          </w:p>
        </w:tc>
        <w:tc>
          <w:tcPr>
            <w:tcW w:w="144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颗粒物</w:t>
            </w:r>
          </w:p>
        </w:tc>
        <w:tc>
          <w:tcPr>
            <w:tcW w:w="357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集气罩+喷淋塔+UV光催化净化设备</w:t>
            </w:r>
          </w:p>
        </w:tc>
        <w:tc>
          <w:tcPr>
            <w:tcW w:w="3092" w:type="dxa"/>
            <w:vMerge w:val="restart"/>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达到《合成树脂工业污染物排放标准》（GB31572-2015）表4大气污染物排放限值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965"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default" w:ascii="Times New Roman" w:hAnsi="Times New Roman" w:eastAsia="宋体" w:cs="Times New Roman"/>
                <w:sz w:val="21"/>
                <w:szCs w:val="21"/>
                <w:vertAlign w:val="baseline"/>
                <w:lang w:val="zh-CN" w:eastAsia="zh-CN"/>
              </w:rPr>
            </w:pPr>
          </w:p>
        </w:tc>
        <w:tc>
          <w:tcPr>
            <w:tcW w:w="144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非甲烷总烃</w:t>
            </w:r>
          </w:p>
        </w:tc>
        <w:tc>
          <w:tcPr>
            <w:tcW w:w="357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集气罩+喷淋塔+UV光催化净化设备</w:t>
            </w:r>
          </w:p>
        </w:tc>
        <w:tc>
          <w:tcPr>
            <w:tcW w:w="3092" w:type="dxa"/>
            <w:vMerge w:val="continue"/>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6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废水</w:t>
            </w:r>
          </w:p>
        </w:tc>
        <w:tc>
          <w:tcPr>
            <w:tcW w:w="1445" w:type="dxa"/>
            <w:tcBorders>
              <w:bottom w:val="single" w:color="auto" w:sz="4"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en-US" w:eastAsia="zh-CN"/>
              </w:rPr>
              <w:t>SS、</w:t>
            </w:r>
            <w:r>
              <w:rPr>
                <w:rFonts w:hint="eastAsia" w:ascii="Times New Roman" w:hAnsi="Times New Roman" w:eastAsia="宋体" w:cs="Times New Roman"/>
                <w:sz w:val="21"/>
                <w:szCs w:val="21"/>
                <w:vertAlign w:val="baseline"/>
                <w:lang w:val="zh-CN" w:eastAsia="zh-CN"/>
              </w:rPr>
              <w:t>CODCr 、BOD5、氨氮</w:t>
            </w:r>
          </w:p>
        </w:tc>
        <w:tc>
          <w:tcPr>
            <w:tcW w:w="3570" w:type="dxa"/>
            <w:tcBorders>
              <w:bottom w:val="single" w:color="auto" w:sz="8"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生活污水需经化粪池处理后排至梅城污水处理厂深度处理，出水水质标准《城镇污水处理厂污染物排放标准》（GB18918-2002）及其修改单中一级B标准，最终排至洢水。</w:t>
            </w:r>
          </w:p>
        </w:tc>
        <w:tc>
          <w:tcPr>
            <w:tcW w:w="309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《污水综合排放标准》（GB8978-1996）中三级标准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96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固体</w:t>
            </w:r>
          </w:p>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废物</w:t>
            </w:r>
          </w:p>
        </w:tc>
        <w:tc>
          <w:tcPr>
            <w:tcW w:w="1445" w:type="dxa"/>
            <w:tcBorders>
              <w:bottom w:val="single" w:color="auto" w:sz="8"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3570" w:type="dxa"/>
            <w:tcBorders>
              <w:bottom w:val="single" w:color="auto" w:sz="4" w:space="0"/>
            </w:tcBorders>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生活垃圾、包装袋委托环卫部门定期清运；沉淀池沉渣设置一般固废暂存场所，统一收集，作为原料。</w:t>
            </w:r>
          </w:p>
        </w:tc>
        <w:tc>
          <w:tcPr>
            <w:tcW w:w="309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合理处置100%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96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zh-CN" w:eastAsia="zh-CN"/>
              </w:rPr>
            </w:pPr>
            <w:r>
              <w:rPr>
                <w:rFonts w:hint="eastAsia" w:ascii="Times New Roman" w:hAnsi="Times New Roman" w:eastAsia="宋体" w:cs="Times New Roman"/>
                <w:sz w:val="21"/>
                <w:szCs w:val="21"/>
                <w:vertAlign w:val="baseline"/>
                <w:lang w:val="zh-CN" w:eastAsia="zh-CN"/>
              </w:rPr>
              <w:t>噪声</w:t>
            </w:r>
          </w:p>
        </w:tc>
        <w:tc>
          <w:tcPr>
            <w:tcW w:w="1445"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L</w:t>
            </w:r>
            <w:r>
              <w:rPr>
                <w:rFonts w:hint="eastAsia" w:ascii="Times New Roman" w:hAnsi="Times New Roman" w:eastAsia="宋体" w:cs="Times New Roman"/>
                <w:sz w:val="21"/>
                <w:szCs w:val="21"/>
                <w:vertAlign w:val="subscript"/>
                <w:lang w:val="en-US" w:eastAsia="zh-CN"/>
              </w:rPr>
              <w:t>Aeq</w:t>
            </w:r>
          </w:p>
        </w:tc>
        <w:tc>
          <w:tcPr>
            <w:tcW w:w="3570"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设备减振降噪、消声器，加强运输车辆管理</w:t>
            </w:r>
          </w:p>
        </w:tc>
        <w:tc>
          <w:tcPr>
            <w:tcW w:w="3092" w:type="dxa"/>
            <w:vAlign w:val="center"/>
          </w:tcPr>
          <w:p>
            <w:pPr>
              <w:pStyle w:val="20"/>
              <w:keepNext w:val="0"/>
              <w:keepLines w:val="0"/>
              <w:pageBreakBefore w:val="0"/>
              <w:widowControl w:val="0"/>
              <w:kinsoku/>
              <w:wordWrap/>
              <w:overflowPunct/>
              <w:topLinePunct w:val="0"/>
              <w:autoSpaceDE/>
              <w:autoSpaceDN/>
              <w:bidi w:val="0"/>
              <w:adjustRightInd/>
              <w:snapToGrid/>
              <w:spacing w:after="0" w:afterLines="-2147483648" w:line="340" w:lineRule="exact"/>
              <w:textAlignment w:val="auto"/>
              <w:outlineLvl w:val="9"/>
              <w:rPr>
                <w:rFonts w:hint="eastAsia"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达《工业企业厂界环境噪声排放标准》（GB12348-2008）中3类标准</w:t>
            </w:r>
          </w:p>
        </w:tc>
      </w:tr>
    </w:tbl>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6" w:name="_Toc13978"/>
      <w:r>
        <w:rPr>
          <w:rFonts w:hint="default" w:ascii="Times New Roman" w:hAnsi="Times New Roman" w:eastAsia="宋体" w:cs="Times New Roman"/>
          <w:b/>
          <w:sz w:val="30"/>
          <w:szCs w:val="30"/>
          <w:lang w:val="en-US" w:eastAsia="zh-CN"/>
        </w:rPr>
        <w:t>5</w:t>
      </w:r>
      <w:r>
        <w:rPr>
          <w:rFonts w:hint="eastAsia" w:ascii="Times New Roman" w:hAnsi="Times New Roman" w:eastAsia="宋体" w:cs="Times New Roman"/>
          <w:b/>
          <w:sz w:val="30"/>
          <w:szCs w:val="30"/>
          <w:lang w:val="en-US" w:eastAsia="zh-CN"/>
        </w:rPr>
        <w:t>.</w:t>
      </w:r>
      <w:r>
        <w:rPr>
          <w:rFonts w:hint="default" w:ascii="Times New Roman" w:hAnsi="Times New Roman" w:eastAsia="宋体" w:cs="Times New Roman"/>
          <w:b/>
          <w:sz w:val="30"/>
          <w:szCs w:val="30"/>
          <w:lang w:val="en-US" w:eastAsia="zh-CN"/>
        </w:rPr>
        <w:t>2 审批部门审批决定</w:t>
      </w:r>
      <w:bookmarkEnd w:id="3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201</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年</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lang w:val="en-US" w:eastAsia="zh-CN"/>
        </w:rPr>
        <w:t>日</w:t>
      </w:r>
      <w:r>
        <w:rPr>
          <w:rFonts w:hint="eastAsia" w:ascii="Times New Roman" w:hAnsi="Times New Roman" w:cs="Times New Roman"/>
          <w:sz w:val="24"/>
          <w:szCs w:val="24"/>
          <w:lang w:val="en-US" w:eastAsia="zh-CN"/>
        </w:rPr>
        <w:t>安化县环境保护局安环审（表）〔2018〕040号文件《关于年产1000吨水溶性蜡生产线项目环境影响报告表的批复》批复要求如下：</w:t>
      </w:r>
    </w:p>
    <w:p>
      <w:pPr>
        <w:pStyle w:val="2"/>
        <w:numPr>
          <w:ilvl w:val="0"/>
          <w:numId w:val="3"/>
        </w:numPr>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加强环境管理，完善环境管理制度，制订切实可行的环境风险应急预案。定期对“废气、废水、废渣”处理设施进行维护和检查，禁止“三废”不经处理直接排放或超标排放。</w:t>
      </w:r>
    </w:p>
    <w:p>
      <w:pPr>
        <w:pStyle w:val="2"/>
        <w:numPr>
          <w:ilvl w:val="0"/>
          <w:numId w:val="3"/>
        </w:numP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施工过程中项目选用低噪声源，合理安排施工时间，禁止夜间22：00至凌晨6:00进行大型设备的安装与调试。</w:t>
      </w:r>
    </w:p>
    <w:p>
      <w:pPr>
        <w:pStyle w:val="2"/>
        <w:numPr>
          <w:ilvl w:val="0"/>
          <w:numId w:val="3"/>
        </w:numP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营运期内，产生粉尘和有机废气经净化设备处理后，最终经排气筒高空排放。生活废水经化粪池处理后排至梅城镇污水处理厂深度处理，最终达标排放。</w:t>
      </w:r>
    </w:p>
    <w:p>
      <w:pPr>
        <w:pStyle w:val="2"/>
        <w:numPr>
          <w:ilvl w:val="0"/>
          <w:numId w:val="3"/>
        </w:numP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营运期内，废包装袋连同生活垃圾集中收集后委托环卫部门统一处置。沉淀池沉渣晒干之后作为原料回收利用。废石棉网委托有相关资质的单位处置，危险废物暂存间必须密闭建设，地面应做好硬化和“三防”措施。</w:t>
      </w:r>
    </w:p>
    <w:p>
      <w:pPr>
        <w:pStyle w:val="2"/>
        <w:numPr>
          <w:ilvl w:val="0"/>
          <w:numId w:val="3"/>
        </w:numPr>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厂房内均设有通风装置，控制、降低空气中的粉尘浓度，严禁明火作业。</w:t>
      </w: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2"/>
        <w:numPr>
          <w:ilvl w:val="0"/>
          <w:numId w:val="0"/>
        </w:numPr>
        <w:rPr>
          <w:rFonts w:hint="default" w:ascii="Times New Roman" w:hAnsi="Times New Roman" w:cs="Times New Roman"/>
          <w:sz w:val="24"/>
          <w:szCs w:val="24"/>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37" w:name="_Toc24248"/>
      <w:r>
        <w:rPr>
          <w:rFonts w:hint="default" w:ascii="Times New Roman" w:hAnsi="Times New Roman" w:eastAsia="宋体" w:cs="Times New Roman"/>
          <w:b/>
        </w:rPr>
        <w:t>6 验收执行标准</w:t>
      </w:r>
      <w:bookmarkEnd w:id="3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依据《年产1000吨水溶性蜡生产线建设项目环境影响报告表》及其环评批复（安环审（表）[2018]040号），监测评价执行以下标准：</w:t>
      </w:r>
    </w:p>
    <w:p>
      <w:pPr>
        <w:keepNext w:val="0"/>
        <w:keepLines w:val="0"/>
        <w:pageBreakBefore w:val="0"/>
        <w:widowControl/>
        <w:kinsoku/>
        <w:wordWrap/>
        <w:overflowPunct/>
        <w:topLinePunct w:val="0"/>
        <w:autoSpaceDE/>
        <w:autoSpaceDN/>
        <w:bidi w:val="0"/>
        <w:adjustRightInd w:val="0"/>
        <w:snapToGrid w:val="0"/>
        <w:spacing w:before="150" w:beforeLines="50" w:beforeAutospacing="0" w:after="0" w:afterLines="0" w:afterAutospacing="0" w:line="360" w:lineRule="auto"/>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项目废气评价标准见表6-1。</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表6-1  废气评价标准</w:t>
      </w:r>
    </w:p>
    <w:tbl>
      <w:tblPr>
        <w:tblStyle w:val="17"/>
        <w:tblW w:w="8432"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394"/>
        <w:gridCol w:w="2205"/>
        <w:gridCol w:w="35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2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类别</w:t>
            </w:r>
          </w:p>
        </w:tc>
        <w:tc>
          <w:tcPr>
            <w:tcW w:w="1394"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监测项目</w:t>
            </w:r>
          </w:p>
        </w:tc>
        <w:tc>
          <w:tcPr>
            <w:tcW w:w="22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排放浓度（mg/m</w:t>
            </w:r>
            <w:r>
              <w:rPr>
                <w:rFonts w:hint="default" w:ascii="Times New Roman" w:hAnsi="Times New Roman" w:eastAsia="宋体" w:cs="Times New Roman"/>
                <w:b/>
                <w:bCs/>
                <w:color w:val="000000" w:themeColor="text1"/>
                <w:kern w:val="2"/>
                <w:sz w:val="21"/>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w:t>
            </w:r>
          </w:p>
        </w:tc>
        <w:tc>
          <w:tcPr>
            <w:tcW w:w="354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93"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有组织废气</w:t>
            </w:r>
          </w:p>
        </w:tc>
        <w:tc>
          <w:tcPr>
            <w:tcW w:w="1394"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颗粒物</w:t>
            </w:r>
          </w:p>
        </w:tc>
        <w:tc>
          <w:tcPr>
            <w:tcW w:w="22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30</w:t>
            </w:r>
          </w:p>
        </w:tc>
        <w:tc>
          <w:tcPr>
            <w:tcW w:w="3540" w:type="dxa"/>
            <w:vMerge w:val="restart"/>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《合成树脂工业污染物排放标准》</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（GB31572—2015）表4标准及表9企业边界大气污染物限值标准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93"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394"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非甲烷总烃</w:t>
            </w:r>
          </w:p>
        </w:tc>
        <w:tc>
          <w:tcPr>
            <w:tcW w:w="22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100</w:t>
            </w:r>
          </w:p>
        </w:tc>
        <w:tc>
          <w:tcPr>
            <w:tcW w:w="354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293"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无组织废气</w:t>
            </w:r>
          </w:p>
        </w:tc>
        <w:tc>
          <w:tcPr>
            <w:tcW w:w="1394"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颗粒物</w:t>
            </w:r>
          </w:p>
        </w:tc>
        <w:tc>
          <w:tcPr>
            <w:tcW w:w="220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FF0000"/>
                <w:kern w:val="2"/>
                <w:sz w:val="21"/>
                <w:szCs w:val="24"/>
                <w:highlight w:val="none"/>
                <w:lang w:val="en-US" w:eastAsia="zh-CN"/>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w:t>
            </w:r>
          </w:p>
        </w:tc>
        <w:tc>
          <w:tcPr>
            <w:tcW w:w="354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val="0"/>
        <w:snapToGrid w:val="0"/>
        <w:spacing w:before="150" w:beforeLines="50" w:beforeAutospacing="0" w:after="0" w:afterLines="0" w:afterAutospacing="0" w:line="360" w:lineRule="auto"/>
        <w:textAlignment w:val="auto"/>
        <w:outlineLvl w:val="9"/>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color w:val="000000"/>
          <w:sz w:val="24"/>
          <w:szCs w:val="24"/>
          <w:lang w:val="en-US" w:eastAsia="zh-CN" w:bidi="ar-SA"/>
        </w:rPr>
        <w:t>项目噪声评价标准见表6-2。</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表6-2  噪声评价标准</w:t>
      </w:r>
    </w:p>
    <w:tbl>
      <w:tblPr>
        <w:tblStyle w:val="17"/>
        <w:tblW w:w="8241" w:type="dxa"/>
        <w:jc w:val="center"/>
        <w:tblInd w:w="-219"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1159"/>
        <w:gridCol w:w="920"/>
        <w:gridCol w:w="921"/>
        <w:gridCol w:w="37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455" w:type="dxa"/>
            <w:vMerge w:val="restart"/>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类别</w:t>
            </w:r>
          </w:p>
        </w:tc>
        <w:tc>
          <w:tcPr>
            <w:tcW w:w="1159" w:type="dxa"/>
            <w:vMerge w:val="restart"/>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监测项目</w:t>
            </w:r>
          </w:p>
        </w:tc>
        <w:tc>
          <w:tcPr>
            <w:tcW w:w="1841" w:type="dxa"/>
            <w:gridSpan w:val="2"/>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标准值（dB（A））</w:t>
            </w:r>
          </w:p>
        </w:tc>
        <w:tc>
          <w:tcPr>
            <w:tcW w:w="3786" w:type="dxa"/>
            <w:vMerge w:val="restart"/>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55" w:type="dxa"/>
            <w:vMerge w:val="continue"/>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1159" w:type="dxa"/>
            <w:vMerge w:val="continue"/>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920" w:type="dxa"/>
            <w:vMerge w:val="restart"/>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昼间</w:t>
            </w:r>
          </w:p>
        </w:tc>
        <w:tc>
          <w:tcPr>
            <w:tcW w:w="921" w:type="dxa"/>
            <w:vMerge w:val="restart"/>
            <w:vAlign w:val="center"/>
          </w:tcPr>
          <w:p>
            <w:pPr>
              <w:pStyle w:val="24"/>
              <w:widowControl w:val="0"/>
              <w:adjustRightInd/>
              <w:snapToGrid/>
              <w:spacing w:after="0" w:afterLines="-2147483648" w:line="240" w:lineRule="auto"/>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t>夜间</w:t>
            </w:r>
          </w:p>
        </w:tc>
        <w:tc>
          <w:tcPr>
            <w:tcW w:w="3786" w:type="dxa"/>
            <w:vMerge w:val="continue"/>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55" w:type="dxa"/>
            <w:vMerge w:val="continue"/>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1159" w:type="dxa"/>
            <w:vMerge w:val="continue"/>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920" w:type="dxa"/>
            <w:vMerge w:val="continue"/>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921" w:type="dxa"/>
            <w:vMerge w:val="continue"/>
            <w:vAlign w:val="center"/>
          </w:tcPr>
          <w:p>
            <w:pPr>
              <w:pStyle w:val="24"/>
              <w:widowControl w:val="0"/>
              <w:adjustRightInd/>
              <w:snapToGrid/>
              <w:spacing w:after="0" w:afterLines="-2147483648"/>
              <w:rPr>
                <w:rFonts w:hint="default" w:ascii="Times New Roman" w:hAnsi="Times New Roman" w:eastAsia="宋体" w:cs="Times New Roman"/>
                <w:b/>
                <w:bCs/>
                <w:color w:val="000000" w:themeColor="text1"/>
                <w:kern w:val="2"/>
                <w:sz w:val="21"/>
                <w:szCs w:val="24"/>
                <w:highlight w:val="none"/>
                <w:lang w:val="en-US" w:eastAsia="zh-CN"/>
                <w14:textFill>
                  <w14:solidFill>
                    <w14:schemeClr w14:val="tx1"/>
                  </w14:solidFill>
                </w14:textFill>
              </w:rPr>
            </w:pPr>
          </w:p>
        </w:tc>
        <w:tc>
          <w:tcPr>
            <w:tcW w:w="3786" w:type="dxa"/>
            <w:vMerge w:val="continue"/>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455"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厂界噪声</w:t>
            </w:r>
          </w:p>
        </w:tc>
        <w:tc>
          <w:tcPr>
            <w:tcW w:w="1159"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Leq</w:t>
            </w:r>
          </w:p>
        </w:tc>
        <w:tc>
          <w:tcPr>
            <w:tcW w:w="920"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w:t>
            </w:r>
          </w:p>
        </w:tc>
        <w:tc>
          <w:tcPr>
            <w:tcW w:w="921"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w:t>
            </w:r>
          </w:p>
        </w:tc>
        <w:tc>
          <w:tcPr>
            <w:tcW w:w="3786" w:type="dxa"/>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工业企业厂界环境噪声排放标准</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》（GB</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12348</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-200</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类标准要求</w:t>
            </w:r>
          </w:p>
        </w:tc>
      </w:tr>
    </w:tbl>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38" w:name="_Toc2845"/>
      <w:r>
        <w:rPr>
          <w:rFonts w:hint="default" w:ascii="Times New Roman" w:hAnsi="Times New Roman" w:eastAsia="宋体" w:cs="Times New Roman"/>
          <w:b/>
        </w:rPr>
        <w:t>7 验收监测内容</w:t>
      </w:r>
      <w:bookmarkEnd w:id="38"/>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39" w:name="_Toc676"/>
      <w:r>
        <w:rPr>
          <w:rFonts w:hint="default" w:ascii="Times New Roman" w:hAnsi="Times New Roman" w:eastAsia="宋体" w:cs="Times New Roman"/>
          <w:b/>
          <w:sz w:val="30"/>
          <w:szCs w:val="30"/>
          <w:lang w:val="en-US" w:eastAsia="zh-CN"/>
        </w:rPr>
        <w:t>7.</w:t>
      </w:r>
      <w:r>
        <w:rPr>
          <w:rFonts w:hint="eastAsia" w:ascii="Times New Roman" w:hAnsi="Times New Roman" w:cs="Times New Roman"/>
          <w:b/>
          <w:sz w:val="30"/>
          <w:szCs w:val="30"/>
          <w:lang w:val="en-US" w:eastAsia="zh-CN"/>
        </w:rPr>
        <w:t>1</w:t>
      </w:r>
      <w:r>
        <w:rPr>
          <w:rFonts w:hint="default" w:ascii="Times New Roman" w:hAnsi="Times New Roman" w:eastAsia="宋体" w:cs="Times New Roman"/>
          <w:b/>
          <w:sz w:val="30"/>
          <w:szCs w:val="30"/>
          <w:lang w:val="en-US" w:eastAsia="zh-CN"/>
        </w:rPr>
        <w:t xml:space="preserve"> 废气</w:t>
      </w:r>
      <w:bookmarkEnd w:id="3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zh-CN"/>
        </w:rPr>
      </w:pPr>
      <w:r>
        <w:rPr>
          <w:rFonts w:hint="eastAsia" w:ascii="Times New Roman" w:hAnsi="Times New Roman" w:cs="Times New Roman"/>
          <w:sz w:val="24"/>
          <w:szCs w:val="24"/>
          <w:lang w:val="zh-CN"/>
        </w:rPr>
        <w:t>废气监测项目、点位及频率见表7-1。</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r>
        <w:rPr>
          <w:rFonts w:hint="eastAsia" w:ascii="Times New Roman" w:hAnsi="Times New Roman" w:eastAsia="宋体" w:cs="Times New Roman"/>
          <w:b/>
          <w:color w:val="000000"/>
          <w:sz w:val="24"/>
          <w:szCs w:val="24"/>
          <w:lang w:val="zh-CN" w:eastAsia="zh-CN"/>
        </w:rPr>
        <w:t>表7-1 废气监测内容</w:t>
      </w:r>
    </w:p>
    <w:tbl>
      <w:tblPr>
        <w:tblStyle w:val="17"/>
        <w:tblW w:w="908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16"/>
        <w:gridCol w:w="2025"/>
        <w:gridCol w:w="1654"/>
        <w:gridCol w:w="1140"/>
        <w:gridCol w:w="33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916"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类别</w:t>
            </w:r>
          </w:p>
        </w:tc>
        <w:tc>
          <w:tcPr>
            <w:tcW w:w="2025"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监测点位</w:t>
            </w:r>
          </w:p>
        </w:tc>
        <w:tc>
          <w:tcPr>
            <w:tcW w:w="1654"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监测项目</w:t>
            </w:r>
          </w:p>
        </w:tc>
        <w:tc>
          <w:tcPr>
            <w:tcW w:w="1140"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监测频次</w:t>
            </w:r>
          </w:p>
        </w:tc>
        <w:tc>
          <w:tcPr>
            <w:tcW w:w="3349" w:type="dxa"/>
            <w:vAlign w:val="center"/>
          </w:tcPr>
          <w:p>
            <w:pPr>
              <w:snapToGrid w:val="0"/>
              <w:jc w:val="center"/>
              <w:rPr>
                <w:rFonts w:hint="eastAsia" w:ascii="宋体" w:hAnsi="宋体" w:eastAsia="宋体" w:cs="宋体"/>
                <w:b/>
                <w:szCs w:val="21"/>
              </w:rPr>
            </w:pPr>
            <w:r>
              <w:rPr>
                <w:rFonts w:hint="eastAsia" w:ascii="宋体" w:hAnsi="宋体" w:eastAsia="宋体" w:cs="宋体"/>
                <w:b/>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42" w:hRule="atLeast"/>
        </w:trPr>
        <w:tc>
          <w:tcPr>
            <w:tcW w:w="916" w:type="dxa"/>
            <w:vAlign w:val="center"/>
          </w:tcPr>
          <w:p>
            <w:pPr>
              <w:snapToGrid w:val="0"/>
              <w:jc w:val="center"/>
              <w:rPr>
                <w:rFonts w:ascii="Times New Roman" w:hAnsi="Times New Roman"/>
                <w:szCs w:val="21"/>
              </w:rPr>
            </w:pPr>
            <w:r>
              <w:rPr>
                <w:rFonts w:hint="eastAsia" w:ascii="Times New Roman" w:hAnsi="Times New Roman"/>
                <w:szCs w:val="21"/>
              </w:rPr>
              <w:t>有组织废气</w:t>
            </w:r>
          </w:p>
        </w:tc>
        <w:tc>
          <w:tcPr>
            <w:tcW w:w="2025" w:type="dxa"/>
            <w:vAlign w:val="center"/>
          </w:tcPr>
          <w:p>
            <w:pPr>
              <w:snapToGrid w:val="0"/>
              <w:spacing w:line="300" w:lineRule="exact"/>
              <w:jc w:val="center"/>
              <w:rPr>
                <w:rFonts w:ascii="Times New Roman" w:hAnsi="Times New Roman"/>
                <w:szCs w:val="21"/>
              </w:rPr>
            </w:pPr>
            <w:r>
              <w:rPr>
                <w:rFonts w:hint="eastAsia" w:ascii="Times New Roman" w:hAnsi="Times New Roman"/>
                <w:szCs w:val="21"/>
                <w:lang w:val="en-US" w:eastAsia="zh-CN"/>
              </w:rPr>
              <w:t>处理后废气排口A</w:t>
            </w:r>
            <w:r>
              <w:rPr>
                <w:rFonts w:hint="eastAsia" w:ascii="Times New Roman" w:hAnsi="Times New Roman"/>
                <w:szCs w:val="21"/>
              </w:rPr>
              <w:t>1</w:t>
            </w:r>
          </w:p>
        </w:tc>
        <w:tc>
          <w:tcPr>
            <w:tcW w:w="1654" w:type="dxa"/>
            <w:vAlign w:val="center"/>
          </w:tcPr>
          <w:p>
            <w:pPr>
              <w:snapToGrid w:val="0"/>
              <w:jc w:val="center"/>
              <w:rPr>
                <w:rFonts w:hint="eastAsia" w:ascii="Times New Roman" w:hAnsi="Times New Roman" w:eastAsiaTheme="minorEastAsia"/>
                <w:szCs w:val="21"/>
                <w:lang w:val="en-US" w:eastAsia="zh-CN"/>
              </w:rPr>
            </w:pPr>
            <w:r>
              <w:rPr>
                <w:rFonts w:hint="eastAsia" w:ascii="Times New Roman" w:hAnsi="Times New Roman"/>
                <w:szCs w:val="21"/>
              </w:rPr>
              <w:t>颗粒物、</w:t>
            </w:r>
            <w:r>
              <w:rPr>
                <w:rFonts w:hint="eastAsia" w:ascii="Times New Roman" w:hAnsi="Times New Roman"/>
                <w:szCs w:val="21"/>
                <w:lang w:val="en-US" w:eastAsia="zh-CN"/>
              </w:rPr>
              <w:t>非甲烷总烃</w:t>
            </w:r>
          </w:p>
        </w:tc>
        <w:tc>
          <w:tcPr>
            <w:tcW w:w="1140" w:type="dxa"/>
            <w:vAlign w:val="center"/>
          </w:tcPr>
          <w:p>
            <w:pPr>
              <w:snapToGrid w:val="0"/>
              <w:jc w:val="center"/>
              <w:rPr>
                <w:rFonts w:ascii="Times New Roman" w:hAnsi="Times New Roman"/>
                <w:szCs w:val="21"/>
              </w:rPr>
            </w:pPr>
            <w:r>
              <w:rPr>
                <w:rFonts w:ascii="Times New Roman" w:hAnsi="Times New Roman"/>
                <w:szCs w:val="21"/>
              </w:rPr>
              <w:t>3次/天，</w:t>
            </w:r>
          </w:p>
          <w:p>
            <w:pPr>
              <w:snapToGrid w:val="0"/>
              <w:jc w:val="center"/>
              <w:rPr>
                <w:rFonts w:ascii="Times New Roman" w:hAnsi="Times New Roman"/>
                <w:szCs w:val="21"/>
              </w:rPr>
            </w:pPr>
            <w:r>
              <w:rPr>
                <w:rFonts w:ascii="Times New Roman" w:hAnsi="Times New Roman"/>
                <w:szCs w:val="21"/>
              </w:rPr>
              <w:t>连续2天</w:t>
            </w:r>
          </w:p>
        </w:tc>
        <w:tc>
          <w:tcPr>
            <w:tcW w:w="3349" w:type="dxa"/>
            <w:vMerge w:val="restart"/>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《合成树脂工业污染物排放标准》</w:t>
            </w:r>
          </w:p>
          <w:p>
            <w:pPr>
              <w:snapToGrid w:val="0"/>
              <w:jc w:val="center"/>
              <w:rPr>
                <w:rFonts w:hint="eastAsia" w:ascii="Times New Roman" w:hAnsi="Times New Roman" w:eastAsiaTheme="minorEastAsia"/>
                <w:szCs w:val="21"/>
                <w:lang w:val="en-US" w:eastAsia="zh-CN"/>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（GB31572—2015）表4标准及表9企业边界大气污染物限值标准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16" w:type="dxa"/>
            <w:vMerge w:val="restart"/>
            <w:vAlign w:val="center"/>
          </w:tcPr>
          <w:p>
            <w:pPr>
              <w:snapToGrid w:val="0"/>
              <w:jc w:val="center"/>
              <w:rPr>
                <w:rFonts w:ascii="Times New Roman" w:hAnsi="Times New Roman"/>
                <w:szCs w:val="21"/>
              </w:rPr>
            </w:pPr>
            <w:r>
              <w:rPr>
                <w:rFonts w:hint="eastAsia" w:ascii="Times New Roman" w:hAnsi="Times New Roman"/>
                <w:szCs w:val="21"/>
              </w:rPr>
              <w:t>无</w:t>
            </w:r>
            <w:r>
              <w:rPr>
                <w:rFonts w:ascii="Times New Roman" w:hAnsi="Times New Roman"/>
                <w:szCs w:val="21"/>
              </w:rPr>
              <w:t>组织废气</w:t>
            </w:r>
          </w:p>
        </w:tc>
        <w:tc>
          <w:tcPr>
            <w:tcW w:w="2025" w:type="dxa"/>
            <w:vAlign w:val="center"/>
          </w:tcPr>
          <w:p>
            <w:pPr>
              <w:snapToGrid w:val="0"/>
              <w:spacing w:line="300" w:lineRule="exact"/>
              <w:jc w:val="center"/>
              <w:rPr>
                <w:rFonts w:ascii="Times New Roman" w:hAnsi="Times New Roman"/>
                <w:szCs w:val="21"/>
              </w:rPr>
            </w:pPr>
            <w:r>
              <w:rPr>
                <w:rFonts w:hint="eastAsia" w:ascii="Times New Roman" w:hAnsi="Times New Roman"/>
                <w:szCs w:val="21"/>
              </w:rPr>
              <w:t>厂界上风向</w:t>
            </w:r>
            <w:r>
              <w:rPr>
                <w:rFonts w:hint="eastAsia" w:ascii="Times New Roman" w:hAnsi="Times New Roman"/>
                <w:bCs/>
                <w:szCs w:val="21"/>
                <w:lang w:val="en-US" w:eastAsia="zh-CN"/>
              </w:rPr>
              <w:t>G</w:t>
            </w:r>
            <w:r>
              <w:rPr>
                <w:rFonts w:ascii="Times New Roman" w:hAnsi="Times New Roman"/>
                <w:bCs/>
                <w:szCs w:val="21"/>
              </w:rPr>
              <w:t>1</w:t>
            </w:r>
          </w:p>
        </w:tc>
        <w:tc>
          <w:tcPr>
            <w:tcW w:w="1654" w:type="dxa"/>
            <w:vMerge w:val="restart"/>
            <w:vAlign w:val="center"/>
          </w:tcPr>
          <w:p>
            <w:pPr>
              <w:snapToGrid w:val="0"/>
              <w:jc w:val="center"/>
              <w:rPr>
                <w:rFonts w:ascii="Times New Roman" w:hAnsi="Times New Roman"/>
                <w:szCs w:val="21"/>
              </w:rPr>
            </w:pPr>
            <w:r>
              <w:rPr>
                <w:rFonts w:hint="eastAsia" w:ascii="Times New Roman" w:hAnsi="Times New Roman"/>
                <w:szCs w:val="21"/>
              </w:rPr>
              <w:t>颗粒物</w:t>
            </w:r>
          </w:p>
        </w:tc>
        <w:tc>
          <w:tcPr>
            <w:tcW w:w="1140" w:type="dxa"/>
            <w:vMerge w:val="restart"/>
            <w:vAlign w:val="center"/>
          </w:tcPr>
          <w:p>
            <w:pPr>
              <w:snapToGrid w:val="0"/>
              <w:jc w:val="center"/>
              <w:rPr>
                <w:rFonts w:ascii="Times New Roman" w:hAnsi="Times New Roman"/>
                <w:szCs w:val="21"/>
              </w:rPr>
            </w:pPr>
            <w:r>
              <w:rPr>
                <w:rFonts w:ascii="Times New Roman" w:hAnsi="Times New Roman"/>
                <w:szCs w:val="21"/>
              </w:rPr>
              <w:t>3次/天，</w:t>
            </w:r>
          </w:p>
          <w:p>
            <w:pPr>
              <w:snapToGrid w:val="0"/>
              <w:jc w:val="center"/>
              <w:rPr>
                <w:rFonts w:ascii="Times New Roman" w:hAnsi="Times New Roman"/>
                <w:szCs w:val="21"/>
              </w:rPr>
            </w:pPr>
            <w:r>
              <w:rPr>
                <w:rFonts w:ascii="Times New Roman" w:hAnsi="Times New Roman"/>
                <w:szCs w:val="21"/>
              </w:rPr>
              <w:t>连续2天</w:t>
            </w:r>
          </w:p>
        </w:tc>
        <w:tc>
          <w:tcPr>
            <w:tcW w:w="3349" w:type="dxa"/>
            <w:vMerge w:val="continue"/>
            <w:vAlign w:val="center"/>
          </w:tcPr>
          <w:p>
            <w:pPr>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16" w:type="dxa"/>
            <w:vMerge w:val="continue"/>
            <w:vAlign w:val="center"/>
          </w:tcPr>
          <w:p>
            <w:pPr>
              <w:snapToGrid w:val="0"/>
              <w:jc w:val="center"/>
              <w:rPr>
                <w:rFonts w:ascii="Times New Roman" w:hAnsi="Times New Roman"/>
                <w:szCs w:val="21"/>
              </w:rPr>
            </w:pPr>
          </w:p>
        </w:tc>
        <w:tc>
          <w:tcPr>
            <w:tcW w:w="2025" w:type="dxa"/>
            <w:vAlign w:val="center"/>
          </w:tcPr>
          <w:p>
            <w:pPr>
              <w:snapToGrid w:val="0"/>
              <w:spacing w:line="300" w:lineRule="exact"/>
              <w:jc w:val="center"/>
              <w:rPr>
                <w:rFonts w:ascii="Times New Roman" w:hAnsi="Times New Roman"/>
                <w:szCs w:val="21"/>
              </w:rPr>
            </w:pPr>
            <w:r>
              <w:rPr>
                <w:rFonts w:hint="eastAsia" w:ascii="Times New Roman" w:hAnsi="Times New Roman"/>
                <w:szCs w:val="21"/>
              </w:rPr>
              <w:t>厂界下风向</w:t>
            </w:r>
            <w:r>
              <w:rPr>
                <w:rFonts w:hint="eastAsia" w:ascii="Times New Roman" w:hAnsi="Times New Roman"/>
                <w:bCs/>
                <w:sz w:val="24"/>
                <w:lang w:val="en-US" w:eastAsia="zh-CN"/>
              </w:rPr>
              <w:t>G</w:t>
            </w:r>
            <w:r>
              <w:rPr>
                <w:rFonts w:ascii="Times New Roman" w:hAnsi="Times New Roman"/>
                <w:szCs w:val="21"/>
              </w:rPr>
              <w:t>2</w:t>
            </w:r>
          </w:p>
        </w:tc>
        <w:tc>
          <w:tcPr>
            <w:tcW w:w="1654" w:type="dxa"/>
            <w:vMerge w:val="continue"/>
            <w:vAlign w:val="center"/>
          </w:tcPr>
          <w:p>
            <w:pPr>
              <w:snapToGrid w:val="0"/>
              <w:jc w:val="center"/>
              <w:rPr>
                <w:rFonts w:ascii="Times New Roman" w:hAnsi="Times New Roman"/>
                <w:szCs w:val="21"/>
              </w:rPr>
            </w:pPr>
          </w:p>
        </w:tc>
        <w:tc>
          <w:tcPr>
            <w:tcW w:w="1140" w:type="dxa"/>
            <w:vMerge w:val="continue"/>
            <w:vAlign w:val="center"/>
          </w:tcPr>
          <w:p>
            <w:pPr>
              <w:snapToGrid w:val="0"/>
              <w:jc w:val="center"/>
              <w:rPr>
                <w:rFonts w:ascii="Times New Roman" w:hAnsi="Times New Roman"/>
                <w:szCs w:val="21"/>
              </w:rPr>
            </w:pPr>
          </w:p>
        </w:tc>
        <w:tc>
          <w:tcPr>
            <w:tcW w:w="3349" w:type="dxa"/>
            <w:vMerge w:val="continue"/>
            <w:vAlign w:val="center"/>
          </w:tcPr>
          <w:p>
            <w:pPr>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16" w:type="dxa"/>
            <w:vMerge w:val="continue"/>
            <w:vAlign w:val="center"/>
          </w:tcPr>
          <w:p>
            <w:pPr>
              <w:snapToGrid w:val="0"/>
              <w:jc w:val="center"/>
              <w:rPr>
                <w:rFonts w:ascii="Times New Roman" w:hAnsi="Times New Roman"/>
                <w:szCs w:val="21"/>
              </w:rPr>
            </w:pPr>
          </w:p>
        </w:tc>
        <w:tc>
          <w:tcPr>
            <w:tcW w:w="2025" w:type="dxa"/>
            <w:vAlign w:val="center"/>
          </w:tcPr>
          <w:p>
            <w:pPr>
              <w:snapToGrid w:val="0"/>
              <w:spacing w:line="300" w:lineRule="exact"/>
              <w:jc w:val="center"/>
              <w:rPr>
                <w:rFonts w:ascii="Times New Roman" w:hAnsi="Times New Roman"/>
                <w:szCs w:val="21"/>
              </w:rPr>
            </w:pPr>
            <w:r>
              <w:rPr>
                <w:rFonts w:hint="eastAsia" w:ascii="Times New Roman" w:hAnsi="Times New Roman"/>
                <w:szCs w:val="21"/>
              </w:rPr>
              <w:t>厂界下风向</w:t>
            </w:r>
            <w:r>
              <w:rPr>
                <w:rFonts w:hint="eastAsia" w:ascii="Times New Roman" w:hAnsi="Times New Roman"/>
                <w:bCs/>
                <w:sz w:val="24"/>
                <w:lang w:val="en-US" w:eastAsia="zh-CN"/>
              </w:rPr>
              <w:t>G</w:t>
            </w:r>
            <w:r>
              <w:rPr>
                <w:rFonts w:hint="eastAsia" w:ascii="Times New Roman" w:hAnsi="Times New Roman"/>
                <w:bCs/>
                <w:szCs w:val="21"/>
              </w:rPr>
              <w:t>3</w:t>
            </w:r>
          </w:p>
        </w:tc>
        <w:tc>
          <w:tcPr>
            <w:tcW w:w="1654" w:type="dxa"/>
            <w:vMerge w:val="continue"/>
            <w:vAlign w:val="center"/>
          </w:tcPr>
          <w:p>
            <w:pPr>
              <w:snapToGrid w:val="0"/>
              <w:jc w:val="center"/>
              <w:rPr>
                <w:rFonts w:ascii="Times New Roman" w:hAnsi="Times New Roman"/>
                <w:szCs w:val="21"/>
              </w:rPr>
            </w:pPr>
          </w:p>
        </w:tc>
        <w:tc>
          <w:tcPr>
            <w:tcW w:w="1140" w:type="dxa"/>
            <w:vMerge w:val="continue"/>
            <w:vAlign w:val="center"/>
          </w:tcPr>
          <w:p>
            <w:pPr>
              <w:snapToGrid w:val="0"/>
              <w:jc w:val="center"/>
              <w:rPr>
                <w:rFonts w:ascii="Times New Roman" w:hAnsi="Times New Roman"/>
                <w:szCs w:val="21"/>
              </w:rPr>
            </w:pPr>
          </w:p>
        </w:tc>
        <w:tc>
          <w:tcPr>
            <w:tcW w:w="3349" w:type="dxa"/>
            <w:vMerge w:val="continue"/>
            <w:vAlign w:val="center"/>
          </w:tcPr>
          <w:p>
            <w:pPr>
              <w:snapToGrid w:val="0"/>
              <w:jc w:val="center"/>
              <w:rPr>
                <w:rFonts w:ascii="Times New Roman" w:hAnsi="Times New Roman"/>
                <w:szCs w:val="21"/>
              </w:rPr>
            </w:pPr>
          </w:p>
        </w:tc>
      </w:tr>
    </w:tbl>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40" w:name="_Toc9499"/>
      <w:r>
        <w:rPr>
          <w:rFonts w:hint="default" w:ascii="Times New Roman" w:hAnsi="Times New Roman" w:eastAsia="宋体" w:cs="Times New Roman"/>
          <w:b/>
          <w:sz w:val="30"/>
          <w:szCs w:val="30"/>
          <w:lang w:val="en-US" w:eastAsia="zh-CN"/>
        </w:rPr>
        <w:t>7.</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val="en-US" w:eastAsia="zh-CN"/>
        </w:rPr>
        <w:t xml:space="preserve"> 厂界噪声监测</w:t>
      </w:r>
      <w:bookmarkEnd w:id="4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zh-CN"/>
        </w:rPr>
      </w:pPr>
      <w:r>
        <w:rPr>
          <w:rFonts w:hint="eastAsia" w:ascii="Times New Roman" w:hAnsi="Times New Roman" w:cs="Times New Roman"/>
          <w:sz w:val="24"/>
          <w:szCs w:val="24"/>
          <w:lang w:val="zh-CN"/>
        </w:rPr>
        <w:t>噪声监测项目、点位及频率见表7-</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val="zh-CN"/>
        </w:rPr>
        <w:t>。</w:t>
      </w:r>
    </w:p>
    <w:p>
      <w:pPr>
        <w:pStyle w:val="2"/>
        <w:rPr>
          <w:rFonts w:hint="eastAsia" w:ascii="Times New Roman" w:hAnsi="Times New Roman" w:cs="Times New Roman"/>
          <w:sz w:val="24"/>
          <w:szCs w:val="24"/>
          <w:lang w:val="zh-CN"/>
        </w:rPr>
      </w:pPr>
    </w:p>
    <w:p>
      <w:pPr>
        <w:pStyle w:val="2"/>
        <w:rPr>
          <w:rFonts w:hint="eastAsia" w:ascii="Times New Roman" w:hAnsi="Times New Roman" w:cs="Times New Roman"/>
          <w:sz w:val="24"/>
          <w:szCs w:val="24"/>
          <w:lang w:val="zh-CN"/>
        </w:rPr>
      </w:pP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bookmarkStart w:id="41" w:name="_Toc211096939"/>
      <w:r>
        <w:rPr>
          <w:rFonts w:hint="eastAsia" w:ascii="Times New Roman" w:hAnsi="Times New Roman" w:eastAsia="宋体" w:cs="Times New Roman"/>
          <w:b/>
          <w:color w:val="000000"/>
          <w:sz w:val="24"/>
          <w:szCs w:val="24"/>
          <w:lang w:val="zh-CN" w:eastAsia="zh-CN"/>
        </w:rPr>
        <w:t>表7-</w:t>
      </w:r>
      <w:r>
        <w:rPr>
          <w:rFonts w:hint="eastAsia" w:ascii="Times New Roman" w:hAnsi="Times New Roman" w:eastAsia="宋体" w:cs="Times New Roman"/>
          <w:b/>
          <w:color w:val="000000"/>
          <w:sz w:val="24"/>
          <w:szCs w:val="24"/>
          <w:lang w:val="en-US" w:eastAsia="zh-CN"/>
        </w:rPr>
        <w:t>2</w:t>
      </w:r>
      <w:r>
        <w:rPr>
          <w:rFonts w:hint="eastAsia" w:ascii="Times New Roman" w:hAnsi="Times New Roman" w:eastAsia="宋体" w:cs="Times New Roman"/>
          <w:b/>
          <w:color w:val="000000"/>
          <w:sz w:val="24"/>
          <w:szCs w:val="24"/>
          <w:lang w:val="zh-CN" w:eastAsia="zh-CN"/>
        </w:rPr>
        <w:t xml:space="preserve"> 噪声监测内容</w:t>
      </w:r>
    </w:p>
    <w:tbl>
      <w:tblPr>
        <w:tblStyle w:val="17"/>
        <w:tblW w:w="906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0"/>
        <w:gridCol w:w="1725"/>
        <w:gridCol w:w="2711"/>
        <w:gridCol w:w="1810"/>
        <w:gridCol w:w="20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blHeader/>
        </w:trPr>
        <w:tc>
          <w:tcPr>
            <w:tcW w:w="740" w:type="dxa"/>
            <w:vAlign w:val="center"/>
          </w:tcPr>
          <w:p>
            <w:pPr>
              <w:snapToGrid w:val="0"/>
              <w:jc w:val="center"/>
              <w:rPr>
                <w:rFonts w:ascii="Times New Roman" w:hAnsi="Times New Roman"/>
                <w:b/>
                <w:szCs w:val="21"/>
              </w:rPr>
            </w:pPr>
            <w:r>
              <w:rPr>
                <w:rFonts w:ascii="Times New Roman" w:hAnsi="Times New Roman"/>
                <w:b/>
                <w:szCs w:val="21"/>
              </w:rPr>
              <w:t>类别</w:t>
            </w:r>
          </w:p>
        </w:tc>
        <w:tc>
          <w:tcPr>
            <w:tcW w:w="1725" w:type="dxa"/>
            <w:vAlign w:val="center"/>
          </w:tcPr>
          <w:p>
            <w:pPr>
              <w:snapToGrid w:val="0"/>
              <w:jc w:val="center"/>
              <w:rPr>
                <w:rFonts w:ascii="Times New Roman" w:hAnsi="Times New Roman"/>
                <w:b/>
                <w:szCs w:val="21"/>
              </w:rPr>
            </w:pPr>
            <w:r>
              <w:rPr>
                <w:rFonts w:ascii="Times New Roman" w:hAnsi="Times New Roman"/>
                <w:b/>
                <w:szCs w:val="21"/>
              </w:rPr>
              <w:t>监测点位</w:t>
            </w:r>
          </w:p>
        </w:tc>
        <w:tc>
          <w:tcPr>
            <w:tcW w:w="2711" w:type="dxa"/>
            <w:vAlign w:val="center"/>
          </w:tcPr>
          <w:p>
            <w:pPr>
              <w:snapToGrid w:val="0"/>
              <w:jc w:val="center"/>
              <w:rPr>
                <w:rFonts w:ascii="Times New Roman" w:hAnsi="Times New Roman"/>
                <w:b/>
                <w:szCs w:val="21"/>
              </w:rPr>
            </w:pPr>
            <w:r>
              <w:rPr>
                <w:rFonts w:ascii="Times New Roman" w:hAnsi="Times New Roman"/>
                <w:b/>
                <w:szCs w:val="21"/>
              </w:rPr>
              <w:t>监测项目</w:t>
            </w:r>
          </w:p>
        </w:tc>
        <w:tc>
          <w:tcPr>
            <w:tcW w:w="1810" w:type="dxa"/>
            <w:vAlign w:val="center"/>
          </w:tcPr>
          <w:p>
            <w:pPr>
              <w:snapToGrid w:val="0"/>
              <w:jc w:val="center"/>
              <w:rPr>
                <w:rFonts w:ascii="Times New Roman" w:hAnsi="Times New Roman"/>
                <w:b/>
                <w:szCs w:val="21"/>
              </w:rPr>
            </w:pPr>
            <w:r>
              <w:rPr>
                <w:rFonts w:ascii="Times New Roman" w:hAnsi="Times New Roman"/>
                <w:b/>
                <w:szCs w:val="21"/>
              </w:rPr>
              <w:t>监测频次</w:t>
            </w:r>
          </w:p>
        </w:tc>
        <w:tc>
          <w:tcPr>
            <w:tcW w:w="2083" w:type="dxa"/>
            <w:vAlign w:val="center"/>
          </w:tcPr>
          <w:p>
            <w:pPr>
              <w:snapToGrid w:val="0"/>
              <w:jc w:val="center"/>
              <w:rPr>
                <w:rFonts w:ascii="Times New Roman" w:hAnsi="Times New Roman"/>
                <w:b/>
                <w:szCs w:val="21"/>
              </w:rPr>
            </w:pPr>
            <w:r>
              <w:rPr>
                <w:rFonts w:hint="eastAsia" w:ascii="Times New Roman" w:hAnsi="Times New Roman"/>
                <w:b/>
                <w:szCs w:val="21"/>
              </w:rPr>
              <w:t>执行标准</w:t>
            </w:r>
          </w:p>
        </w:tc>
      </w:tr>
      <w:bookmarkEnd w:id="41"/>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0" w:type="dxa"/>
            <w:vMerge w:val="restart"/>
            <w:vAlign w:val="center"/>
          </w:tcPr>
          <w:p>
            <w:pPr>
              <w:snapToGrid w:val="0"/>
              <w:spacing w:beforeLines="20" w:afterLines="20"/>
              <w:jc w:val="center"/>
              <w:rPr>
                <w:rFonts w:ascii="Times New Roman" w:hAnsi="Times New Roman"/>
                <w:spacing w:val="-4"/>
                <w:szCs w:val="21"/>
              </w:rPr>
            </w:pPr>
            <w:r>
              <w:rPr>
                <w:rFonts w:ascii="Times New Roman" w:hAnsi="Times New Roman"/>
                <w:spacing w:val="-4"/>
                <w:szCs w:val="21"/>
              </w:rPr>
              <w:t>噪声</w:t>
            </w:r>
          </w:p>
        </w:tc>
        <w:tc>
          <w:tcPr>
            <w:tcW w:w="1725" w:type="dxa"/>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东侧</w:t>
            </w:r>
            <w:r>
              <w:rPr>
                <w:rFonts w:hint="eastAsia" w:ascii="Times New Roman" w:hAnsi="Times New Roman"/>
                <w:spacing w:val="-4"/>
                <w:szCs w:val="21"/>
                <w:lang w:val="en-US" w:eastAsia="zh-CN"/>
              </w:rPr>
              <w:t>N</w:t>
            </w:r>
            <w:r>
              <w:rPr>
                <w:rFonts w:hint="eastAsia" w:ascii="Times New Roman" w:hAnsi="Times New Roman"/>
                <w:spacing w:val="-4"/>
                <w:szCs w:val="21"/>
              </w:rPr>
              <w:t>1</w:t>
            </w:r>
          </w:p>
        </w:tc>
        <w:tc>
          <w:tcPr>
            <w:tcW w:w="2711" w:type="dxa"/>
            <w:vMerge w:val="restart"/>
            <w:vAlign w:val="center"/>
          </w:tcPr>
          <w:p>
            <w:pPr>
              <w:snapToGrid w:val="0"/>
              <w:jc w:val="center"/>
              <w:rPr>
                <w:rFonts w:ascii="Times New Roman" w:hAnsi="Times New Roman"/>
                <w:spacing w:val="-4"/>
                <w:szCs w:val="21"/>
              </w:rPr>
            </w:pPr>
            <w:r>
              <w:rPr>
                <w:rFonts w:ascii="Times New Roman" w:hAnsi="Times New Roman"/>
                <w:spacing w:val="-4"/>
                <w:szCs w:val="21"/>
              </w:rPr>
              <w:t>厂界环境噪声</w:t>
            </w:r>
          </w:p>
        </w:tc>
        <w:tc>
          <w:tcPr>
            <w:tcW w:w="1810" w:type="dxa"/>
            <w:vMerge w:val="restart"/>
            <w:vAlign w:val="center"/>
          </w:tcPr>
          <w:p>
            <w:pPr>
              <w:snapToGrid w:val="0"/>
              <w:jc w:val="center"/>
              <w:rPr>
                <w:rFonts w:ascii="Times New Roman" w:hAnsi="Times New Roman"/>
                <w:spacing w:val="-4"/>
                <w:szCs w:val="21"/>
              </w:rPr>
            </w:pPr>
            <w:r>
              <w:rPr>
                <w:rFonts w:ascii="Times New Roman" w:hAnsi="Times New Roman"/>
                <w:spacing w:val="-4"/>
                <w:szCs w:val="21"/>
              </w:rPr>
              <w:t xml:space="preserve">2次（昼、夜）/天， </w:t>
            </w:r>
          </w:p>
          <w:p>
            <w:pPr>
              <w:snapToGrid w:val="0"/>
              <w:jc w:val="center"/>
              <w:rPr>
                <w:rFonts w:ascii="Times New Roman" w:hAnsi="Times New Roman"/>
                <w:spacing w:val="-4"/>
                <w:szCs w:val="21"/>
              </w:rPr>
            </w:pPr>
            <w:r>
              <w:rPr>
                <w:rFonts w:ascii="Times New Roman" w:hAnsi="Times New Roman"/>
                <w:spacing w:val="-4"/>
                <w:szCs w:val="21"/>
              </w:rPr>
              <w:t>连续2天</w:t>
            </w:r>
          </w:p>
        </w:tc>
        <w:tc>
          <w:tcPr>
            <w:tcW w:w="2083" w:type="dxa"/>
            <w:vMerge w:val="restart"/>
            <w:vAlign w:val="center"/>
          </w:tcPr>
          <w:p>
            <w:pPr>
              <w:snapToGrid w:val="0"/>
              <w:jc w:val="center"/>
              <w:rPr>
                <w:rFonts w:ascii="Times New Roman" w:hAnsi="Times New Roman"/>
                <w:spacing w:val="-4"/>
                <w:szCs w:val="21"/>
              </w:rPr>
            </w:pPr>
            <w:r>
              <w:rPr>
                <w:rFonts w:ascii="Times New Roman" w:hAnsi="Times New Roman"/>
                <w:spacing w:val="-6"/>
                <w:szCs w:val="21"/>
              </w:rPr>
              <w:t>《工业企业厂界环境噪声排放标准》</w:t>
            </w:r>
            <w:r>
              <w:rPr>
                <w:rFonts w:ascii="Times New Roman" w:hAnsi="Times New Roman"/>
                <w:szCs w:val="21"/>
              </w:rPr>
              <w:t>（GB12348-2008）</w:t>
            </w:r>
            <w:r>
              <w:rPr>
                <w:rFonts w:hint="eastAsia" w:ascii="Times New Roman" w:hAnsi="Times New Roman"/>
                <w:szCs w:val="21"/>
                <w:lang w:val="en-US" w:eastAsia="zh-CN"/>
              </w:rPr>
              <w:t>3</w:t>
            </w:r>
            <w:r>
              <w:rPr>
                <w:rFonts w:hint="eastAsia" w:ascii="Times New Roman" w:hAnsi="Times New Roman"/>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0" w:type="dxa"/>
            <w:vMerge w:val="continue"/>
            <w:vAlign w:val="center"/>
          </w:tcPr>
          <w:p>
            <w:pPr>
              <w:snapToGrid w:val="0"/>
              <w:spacing w:beforeLines="20" w:afterLines="20"/>
              <w:jc w:val="center"/>
              <w:rPr>
                <w:rFonts w:ascii="Times New Roman" w:hAnsi="Times New Roman"/>
                <w:spacing w:val="-4"/>
                <w:szCs w:val="21"/>
              </w:rPr>
            </w:pPr>
          </w:p>
        </w:tc>
        <w:tc>
          <w:tcPr>
            <w:tcW w:w="1725" w:type="dxa"/>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南侧</w:t>
            </w:r>
            <w:r>
              <w:rPr>
                <w:rFonts w:hint="eastAsia" w:ascii="Times New Roman" w:hAnsi="Times New Roman"/>
                <w:spacing w:val="-4"/>
                <w:szCs w:val="21"/>
                <w:lang w:val="en-US" w:eastAsia="zh-CN"/>
              </w:rPr>
              <w:t>N</w:t>
            </w:r>
            <w:r>
              <w:rPr>
                <w:rFonts w:hint="eastAsia" w:ascii="Times New Roman" w:hAnsi="Times New Roman"/>
                <w:spacing w:val="-4"/>
                <w:szCs w:val="21"/>
              </w:rPr>
              <w:t>2</w:t>
            </w:r>
          </w:p>
        </w:tc>
        <w:tc>
          <w:tcPr>
            <w:tcW w:w="2711" w:type="dxa"/>
            <w:vMerge w:val="continue"/>
            <w:vAlign w:val="center"/>
          </w:tcPr>
          <w:p>
            <w:pPr>
              <w:snapToGrid w:val="0"/>
              <w:jc w:val="center"/>
              <w:rPr>
                <w:rFonts w:ascii="Times New Roman" w:hAnsi="Times New Roman"/>
                <w:spacing w:val="-4"/>
                <w:szCs w:val="21"/>
              </w:rPr>
            </w:pPr>
          </w:p>
        </w:tc>
        <w:tc>
          <w:tcPr>
            <w:tcW w:w="1810" w:type="dxa"/>
            <w:vMerge w:val="continue"/>
            <w:vAlign w:val="center"/>
          </w:tcPr>
          <w:p>
            <w:pPr>
              <w:snapToGrid w:val="0"/>
              <w:jc w:val="center"/>
              <w:rPr>
                <w:rFonts w:ascii="Times New Roman" w:hAnsi="Times New Roman"/>
                <w:spacing w:val="-4"/>
                <w:szCs w:val="21"/>
              </w:rPr>
            </w:pPr>
          </w:p>
        </w:tc>
        <w:tc>
          <w:tcPr>
            <w:tcW w:w="2083" w:type="dxa"/>
            <w:vMerge w:val="continue"/>
            <w:vAlign w:val="center"/>
          </w:tcPr>
          <w:p>
            <w:pPr>
              <w:snapToGrid w:val="0"/>
              <w:jc w:val="center"/>
              <w:rPr>
                <w:rFonts w:ascii="Times New Roman" w:hAnsi="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0" w:type="dxa"/>
            <w:vMerge w:val="continue"/>
            <w:vAlign w:val="center"/>
          </w:tcPr>
          <w:p>
            <w:pPr>
              <w:snapToGrid w:val="0"/>
              <w:spacing w:beforeLines="20" w:afterLines="20"/>
              <w:jc w:val="center"/>
              <w:rPr>
                <w:rFonts w:ascii="Times New Roman" w:hAnsi="Times New Roman"/>
                <w:spacing w:val="-4"/>
                <w:szCs w:val="21"/>
              </w:rPr>
            </w:pPr>
          </w:p>
        </w:tc>
        <w:tc>
          <w:tcPr>
            <w:tcW w:w="1725" w:type="dxa"/>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西侧</w:t>
            </w:r>
            <w:r>
              <w:rPr>
                <w:rFonts w:hint="eastAsia" w:ascii="Times New Roman" w:hAnsi="Times New Roman"/>
                <w:spacing w:val="-4"/>
                <w:szCs w:val="21"/>
                <w:lang w:val="en-US" w:eastAsia="zh-CN"/>
              </w:rPr>
              <w:t>N</w:t>
            </w:r>
            <w:r>
              <w:rPr>
                <w:rFonts w:hint="eastAsia" w:ascii="Times New Roman" w:hAnsi="Times New Roman"/>
                <w:spacing w:val="-4"/>
                <w:szCs w:val="21"/>
              </w:rPr>
              <w:t>3</w:t>
            </w:r>
          </w:p>
        </w:tc>
        <w:tc>
          <w:tcPr>
            <w:tcW w:w="2711" w:type="dxa"/>
            <w:vMerge w:val="continue"/>
            <w:vAlign w:val="center"/>
          </w:tcPr>
          <w:p>
            <w:pPr>
              <w:snapToGrid w:val="0"/>
              <w:jc w:val="center"/>
              <w:rPr>
                <w:rFonts w:ascii="Times New Roman" w:hAnsi="Times New Roman"/>
                <w:spacing w:val="-4"/>
                <w:szCs w:val="21"/>
              </w:rPr>
            </w:pPr>
          </w:p>
        </w:tc>
        <w:tc>
          <w:tcPr>
            <w:tcW w:w="1810" w:type="dxa"/>
            <w:vMerge w:val="continue"/>
            <w:vAlign w:val="center"/>
          </w:tcPr>
          <w:p>
            <w:pPr>
              <w:snapToGrid w:val="0"/>
              <w:jc w:val="center"/>
              <w:rPr>
                <w:rFonts w:ascii="Times New Roman" w:hAnsi="Times New Roman"/>
                <w:spacing w:val="-4"/>
                <w:szCs w:val="21"/>
              </w:rPr>
            </w:pPr>
          </w:p>
        </w:tc>
        <w:tc>
          <w:tcPr>
            <w:tcW w:w="2083" w:type="dxa"/>
            <w:vMerge w:val="continue"/>
            <w:vAlign w:val="center"/>
          </w:tcPr>
          <w:p>
            <w:pPr>
              <w:snapToGrid w:val="0"/>
              <w:jc w:val="center"/>
              <w:rPr>
                <w:rFonts w:ascii="Times New Roman" w:hAnsi="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740" w:type="dxa"/>
            <w:vMerge w:val="continue"/>
            <w:vAlign w:val="center"/>
          </w:tcPr>
          <w:p>
            <w:pPr>
              <w:snapToGrid w:val="0"/>
              <w:spacing w:beforeLines="20" w:afterLines="20"/>
              <w:jc w:val="center"/>
              <w:rPr>
                <w:rFonts w:ascii="Times New Roman" w:hAnsi="Times New Roman"/>
                <w:spacing w:val="-4"/>
                <w:szCs w:val="21"/>
              </w:rPr>
            </w:pPr>
          </w:p>
        </w:tc>
        <w:tc>
          <w:tcPr>
            <w:tcW w:w="1725" w:type="dxa"/>
            <w:vAlign w:val="center"/>
          </w:tcPr>
          <w:p>
            <w:pPr>
              <w:snapToGrid w:val="0"/>
              <w:jc w:val="center"/>
              <w:rPr>
                <w:rFonts w:ascii="Times New Roman" w:hAnsi="Times New Roman"/>
                <w:spacing w:val="-4"/>
                <w:szCs w:val="21"/>
              </w:rPr>
            </w:pPr>
            <w:r>
              <w:rPr>
                <w:rFonts w:ascii="Times New Roman" w:hAnsi="Times New Roman"/>
                <w:spacing w:val="-4"/>
                <w:szCs w:val="21"/>
              </w:rPr>
              <w:t>厂界</w:t>
            </w:r>
            <w:r>
              <w:rPr>
                <w:rFonts w:hint="eastAsia" w:ascii="Times New Roman" w:hAnsi="Times New Roman"/>
                <w:spacing w:val="-4"/>
                <w:szCs w:val="21"/>
              </w:rPr>
              <w:t>北侧</w:t>
            </w:r>
            <w:r>
              <w:rPr>
                <w:rFonts w:hint="eastAsia" w:ascii="Times New Roman" w:hAnsi="Times New Roman"/>
                <w:spacing w:val="-4"/>
                <w:szCs w:val="21"/>
                <w:lang w:val="en-US" w:eastAsia="zh-CN"/>
              </w:rPr>
              <w:t>N</w:t>
            </w:r>
            <w:r>
              <w:rPr>
                <w:rFonts w:hint="eastAsia" w:ascii="Times New Roman" w:hAnsi="Times New Roman"/>
                <w:spacing w:val="-4"/>
                <w:szCs w:val="21"/>
              </w:rPr>
              <w:t>4</w:t>
            </w:r>
          </w:p>
        </w:tc>
        <w:tc>
          <w:tcPr>
            <w:tcW w:w="2711" w:type="dxa"/>
            <w:vMerge w:val="continue"/>
            <w:vAlign w:val="center"/>
          </w:tcPr>
          <w:p>
            <w:pPr>
              <w:snapToGrid w:val="0"/>
              <w:jc w:val="center"/>
              <w:rPr>
                <w:rFonts w:ascii="Times New Roman" w:hAnsi="Times New Roman"/>
                <w:spacing w:val="-4"/>
                <w:szCs w:val="21"/>
              </w:rPr>
            </w:pPr>
          </w:p>
        </w:tc>
        <w:tc>
          <w:tcPr>
            <w:tcW w:w="1810" w:type="dxa"/>
            <w:vMerge w:val="continue"/>
            <w:vAlign w:val="center"/>
          </w:tcPr>
          <w:p>
            <w:pPr>
              <w:snapToGrid w:val="0"/>
              <w:jc w:val="center"/>
              <w:rPr>
                <w:rFonts w:ascii="Times New Roman" w:hAnsi="Times New Roman"/>
                <w:spacing w:val="-4"/>
                <w:szCs w:val="21"/>
              </w:rPr>
            </w:pPr>
          </w:p>
        </w:tc>
        <w:tc>
          <w:tcPr>
            <w:tcW w:w="2083" w:type="dxa"/>
            <w:vMerge w:val="continue"/>
            <w:vAlign w:val="center"/>
          </w:tcPr>
          <w:p>
            <w:pPr>
              <w:snapToGrid w:val="0"/>
              <w:jc w:val="center"/>
              <w:rPr>
                <w:rFonts w:ascii="Times New Roman" w:hAnsi="Times New Roman"/>
                <w:spacing w:val="-4"/>
                <w:szCs w:val="21"/>
              </w:rPr>
            </w:pPr>
          </w:p>
        </w:tc>
      </w:tr>
    </w:tbl>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rPr>
      </w:pPr>
      <w:bookmarkStart w:id="42" w:name="_Toc25854"/>
      <w:r>
        <w:rPr>
          <w:rFonts w:hint="default" w:ascii="Times New Roman" w:hAnsi="Times New Roman" w:eastAsia="宋体" w:cs="Times New Roman"/>
          <w:b/>
        </w:rPr>
        <w:t>8 质量保证及质量控制</w:t>
      </w:r>
      <w:bookmarkEnd w:id="42"/>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43" w:name="_Toc10289"/>
      <w:r>
        <w:rPr>
          <w:rFonts w:hint="default" w:ascii="Times New Roman" w:hAnsi="Times New Roman" w:eastAsia="宋体" w:cs="Times New Roman"/>
          <w:b/>
          <w:sz w:val="30"/>
          <w:szCs w:val="30"/>
          <w:lang w:val="en-US" w:eastAsia="zh-CN"/>
        </w:rPr>
        <w:t>8.1 监测分析方法</w:t>
      </w:r>
      <w:r>
        <w:rPr>
          <w:rFonts w:hint="eastAsia" w:ascii="Times New Roman" w:hAnsi="Times New Roman" w:cs="Times New Roman"/>
          <w:b/>
          <w:sz w:val="30"/>
          <w:szCs w:val="30"/>
          <w:lang w:val="en-US" w:eastAsia="zh-CN"/>
        </w:rPr>
        <w:t>及监测仪器</w:t>
      </w:r>
      <w:bookmarkEnd w:id="43"/>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r>
        <w:rPr>
          <w:rFonts w:hint="eastAsia" w:ascii="Times New Roman" w:hAnsi="Times New Roman" w:eastAsia="宋体" w:cs="Times New Roman"/>
          <w:b/>
          <w:color w:val="000000"/>
          <w:sz w:val="24"/>
          <w:szCs w:val="24"/>
          <w:lang w:val="zh-CN" w:eastAsia="zh-CN"/>
        </w:rPr>
        <w:t>表8-1 监测分析方法一览表</w:t>
      </w:r>
    </w:p>
    <w:tbl>
      <w:tblPr>
        <w:tblStyle w:val="17"/>
        <w:tblW w:w="9051"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05"/>
        <w:gridCol w:w="1103"/>
        <w:gridCol w:w="3064"/>
        <w:gridCol w:w="2625"/>
        <w:gridCol w:w="13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类别</w:t>
            </w:r>
          </w:p>
        </w:tc>
        <w:tc>
          <w:tcPr>
            <w:tcW w:w="1103"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监测项目</w:t>
            </w:r>
          </w:p>
        </w:tc>
        <w:tc>
          <w:tcPr>
            <w:tcW w:w="3064"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监测标准及编号</w:t>
            </w:r>
          </w:p>
        </w:tc>
        <w:tc>
          <w:tcPr>
            <w:tcW w:w="2625"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仪器名称及编号</w:t>
            </w:r>
          </w:p>
        </w:tc>
        <w:tc>
          <w:tcPr>
            <w:tcW w:w="1354" w:type="dxa"/>
            <w:noWrap w:val="0"/>
            <w:vAlign w:val="center"/>
          </w:tcPr>
          <w:p>
            <w:pPr>
              <w:spacing w:line="260" w:lineRule="exact"/>
              <w:jc w:val="center"/>
              <w:rPr>
                <w:rFonts w:hint="eastAsia" w:ascii="宋体" w:hAnsi="宋体" w:eastAsia="宋体" w:cs="宋体"/>
                <w:b/>
                <w:szCs w:val="21"/>
              </w:rPr>
            </w:pPr>
            <w:r>
              <w:rPr>
                <w:rFonts w:hint="eastAsia" w:ascii="宋体" w:hAnsi="宋体" w:eastAsia="宋体" w:cs="宋体"/>
                <w:b/>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无组织废气</w:t>
            </w:r>
          </w:p>
        </w:tc>
        <w:tc>
          <w:tcPr>
            <w:tcW w:w="1103" w:type="dxa"/>
            <w:tcBorders>
              <w:bottom w:val="single" w:color="auto" w:sz="4" w:space="0"/>
            </w:tcBorders>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颗粒物</w:t>
            </w:r>
          </w:p>
        </w:tc>
        <w:tc>
          <w:tcPr>
            <w:tcW w:w="306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rPr>
              <w:t>颗粒物的测定 重量法(GB/T15432-1995)</w:t>
            </w:r>
          </w:p>
        </w:tc>
        <w:tc>
          <w:tcPr>
            <w:tcW w:w="2625" w:type="dxa"/>
            <w:noWrap w:val="0"/>
            <w:vAlign w:val="center"/>
          </w:tcPr>
          <w:p>
            <w:pPr>
              <w:spacing w:line="260" w:lineRule="exact"/>
              <w:ind w:firstLine="420" w:firstLineChars="200"/>
              <w:jc w:val="both"/>
              <w:rPr>
                <w:rFonts w:hint="default" w:ascii="Times New Roman" w:hAnsi="Times New Roman" w:cs="Times New Roman"/>
                <w:szCs w:val="21"/>
              </w:rPr>
            </w:pPr>
            <w:r>
              <w:rPr>
                <w:rFonts w:hint="default" w:ascii="Times New Roman" w:hAnsi="Times New Roman" w:cs="Times New Roman"/>
                <w:szCs w:val="21"/>
              </w:rPr>
              <w:t>LE204E电子天平</w:t>
            </w:r>
          </w:p>
          <w:p>
            <w:pPr>
              <w:spacing w:line="260" w:lineRule="exact"/>
              <w:ind w:firstLine="840" w:firstLineChars="400"/>
              <w:jc w:val="both"/>
              <w:rPr>
                <w:rFonts w:hint="default" w:ascii="Times New Roman" w:hAnsi="Times New Roman" w:cs="Times New Roman"/>
                <w:szCs w:val="21"/>
              </w:rPr>
            </w:pPr>
            <w:r>
              <w:rPr>
                <w:rFonts w:hint="default" w:ascii="Times New Roman" w:hAnsi="Times New Roman" w:cs="Times New Roman"/>
                <w:szCs w:val="21"/>
              </w:rPr>
              <w:t>JKJC-009</w:t>
            </w:r>
          </w:p>
        </w:tc>
        <w:tc>
          <w:tcPr>
            <w:tcW w:w="135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rPr>
              <w:t>0.001mg/m</w:t>
            </w:r>
            <w:r>
              <w:rPr>
                <w:rFonts w:hint="default" w:ascii="Times New Roman" w:hAnsi="Times New Roman" w:cs="Times New Roman"/>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restart"/>
            <w:tcBorders>
              <w:top w:val="single" w:color="auto" w:sz="4" w:space="0"/>
            </w:tcBorders>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有组织废气</w:t>
            </w:r>
          </w:p>
        </w:tc>
        <w:tc>
          <w:tcPr>
            <w:tcW w:w="1103" w:type="dxa"/>
            <w:tcBorders>
              <w:top w:val="single" w:color="auto" w:sz="4" w:space="0"/>
            </w:tcBorders>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颗粒物</w:t>
            </w:r>
          </w:p>
        </w:tc>
        <w:tc>
          <w:tcPr>
            <w:tcW w:w="3064" w:type="dxa"/>
            <w:noWrap w:val="0"/>
            <w:vAlign w:val="center"/>
          </w:tcPr>
          <w:p>
            <w:pPr>
              <w:spacing w:line="260" w:lineRule="exact"/>
              <w:jc w:val="center"/>
              <w:rPr>
                <w:rFonts w:hint="default" w:ascii="Times New Roman" w:hAnsi="Times New Roman" w:cs="Times New Roman"/>
              </w:rPr>
            </w:pPr>
            <w:r>
              <w:rPr>
                <w:rFonts w:hint="default" w:ascii="Times New Roman" w:hAnsi="Times New Roman" w:cs="Times New Roman"/>
              </w:rPr>
              <w:t>固定污染源排气中颗粒物的测定与气态污染物采样方法（GB/T16157-1996）</w:t>
            </w:r>
          </w:p>
        </w:tc>
        <w:tc>
          <w:tcPr>
            <w:tcW w:w="2625" w:type="dxa"/>
            <w:noWrap w:val="0"/>
            <w:vAlign w:val="center"/>
          </w:tcPr>
          <w:p>
            <w:pPr>
              <w:spacing w:line="260" w:lineRule="exact"/>
              <w:ind w:firstLine="420" w:firstLineChars="200"/>
              <w:jc w:val="both"/>
              <w:rPr>
                <w:rFonts w:hint="default" w:ascii="Times New Roman" w:hAnsi="Times New Roman" w:cs="Times New Roman"/>
                <w:szCs w:val="21"/>
              </w:rPr>
            </w:pPr>
            <w:r>
              <w:rPr>
                <w:rFonts w:hint="default" w:ascii="Times New Roman" w:hAnsi="Times New Roman" w:cs="Times New Roman"/>
                <w:szCs w:val="21"/>
              </w:rPr>
              <w:t>LE204E电子天平</w:t>
            </w:r>
          </w:p>
          <w:p>
            <w:pPr>
              <w:spacing w:line="260" w:lineRule="exact"/>
              <w:ind w:firstLine="840" w:firstLineChars="400"/>
              <w:jc w:val="both"/>
              <w:rPr>
                <w:rFonts w:hint="default" w:ascii="Times New Roman" w:hAnsi="Times New Roman" w:cs="Times New Roman"/>
              </w:rPr>
            </w:pPr>
            <w:r>
              <w:rPr>
                <w:rFonts w:hint="default" w:ascii="Times New Roman" w:hAnsi="Times New Roman" w:cs="Times New Roman"/>
                <w:szCs w:val="21"/>
              </w:rPr>
              <w:t>JKJC-009</w:t>
            </w:r>
          </w:p>
        </w:tc>
        <w:tc>
          <w:tcPr>
            <w:tcW w:w="1354" w:type="dxa"/>
            <w:noWrap w:val="0"/>
            <w:vAlign w:val="center"/>
          </w:tcPr>
          <w:p>
            <w:pPr>
              <w:spacing w:line="260" w:lineRule="exact"/>
              <w:jc w:val="center"/>
              <w:rPr>
                <w:rFonts w:hint="default" w:ascii="Times New Roman" w:hAnsi="Times New Roman" w:cs="Times New Roman"/>
              </w:rPr>
            </w:pPr>
            <w:r>
              <w:rPr>
                <w:rFonts w:hint="default" w:ascii="Times New Roman" w:hAnsi="Times New Roman" w:cs="Times New Roman"/>
              </w:rPr>
              <w:t>0.001mg/m</w:t>
            </w:r>
            <w:r>
              <w:rPr>
                <w:rFonts w:hint="default" w:ascii="Times New Roman" w:hAnsi="Times New Roman" w:cs="Times New Roman"/>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vMerge w:val="continue"/>
            <w:noWrap w:val="0"/>
            <w:vAlign w:val="center"/>
          </w:tcPr>
          <w:p>
            <w:pPr>
              <w:spacing w:line="260" w:lineRule="exact"/>
              <w:jc w:val="center"/>
              <w:rPr>
                <w:rFonts w:hint="default" w:ascii="Times New Roman" w:hAnsi="Times New Roman" w:cs="Times New Roman"/>
                <w:szCs w:val="21"/>
              </w:rPr>
            </w:pPr>
          </w:p>
        </w:tc>
        <w:tc>
          <w:tcPr>
            <w:tcW w:w="1103" w:type="dxa"/>
            <w:noWrap w:val="0"/>
            <w:vAlign w:val="center"/>
          </w:tcPr>
          <w:p>
            <w:pPr>
              <w:spacing w:line="260" w:lineRule="exac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非甲烷总烃</w:t>
            </w:r>
          </w:p>
        </w:tc>
        <w:tc>
          <w:tcPr>
            <w:tcW w:w="306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固定污染源废气 总烃，甲烷和非甲烷总烃的测定 气相色谱法 HJ 38-2017</w:t>
            </w:r>
          </w:p>
        </w:tc>
        <w:tc>
          <w:tcPr>
            <w:tcW w:w="262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G5气相色谱仪</w:t>
            </w:r>
          </w:p>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JKJC-005</w:t>
            </w:r>
          </w:p>
        </w:tc>
        <w:tc>
          <w:tcPr>
            <w:tcW w:w="135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0.07mg/m³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67" w:hRule="atLeast"/>
          <w:tblHeader/>
        </w:trPr>
        <w:tc>
          <w:tcPr>
            <w:tcW w:w="90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噪声</w:t>
            </w:r>
          </w:p>
        </w:tc>
        <w:tc>
          <w:tcPr>
            <w:tcW w:w="1103"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厂界环境噪声</w:t>
            </w:r>
          </w:p>
        </w:tc>
        <w:tc>
          <w:tcPr>
            <w:tcW w:w="306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pacing w:val="-6"/>
                <w:szCs w:val="21"/>
              </w:rPr>
              <w:t>工业企业厂界环境噪声排放标准</w:t>
            </w:r>
            <w:r>
              <w:rPr>
                <w:rFonts w:hint="default" w:ascii="Times New Roman" w:hAnsi="Times New Roman" w:cs="Times New Roman"/>
                <w:szCs w:val="21"/>
              </w:rPr>
              <w:t>（GB12348-2008）</w:t>
            </w:r>
          </w:p>
        </w:tc>
        <w:tc>
          <w:tcPr>
            <w:tcW w:w="2625"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AWA5688多功能声级计JKJC-107</w:t>
            </w:r>
          </w:p>
        </w:tc>
        <w:tc>
          <w:tcPr>
            <w:tcW w:w="1354" w:type="dxa"/>
            <w:noWrap w:val="0"/>
            <w:vAlign w:val="center"/>
          </w:tcPr>
          <w:p>
            <w:pPr>
              <w:spacing w:line="260" w:lineRule="exact"/>
              <w:jc w:val="center"/>
              <w:rPr>
                <w:rFonts w:hint="default" w:ascii="Times New Roman" w:hAnsi="Times New Roman" w:cs="Times New Roman"/>
                <w:szCs w:val="21"/>
              </w:rPr>
            </w:pPr>
            <w:r>
              <w:rPr>
                <w:rFonts w:hint="default" w:ascii="Times New Roman" w:hAnsi="Times New Roman" w:cs="Times New Roman"/>
                <w:szCs w:val="21"/>
              </w:rPr>
              <w:t>/</w:t>
            </w:r>
          </w:p>
        </w:tc>
      </w:tr>
    </w:tbl>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2"/>
          <w:szCs w:val="32"/>
          <w:lang w:val="en-US" w:eastAsia="zh-CN"/>
        </w:rPr>
      </w:pPr>
      <w:bookmarkStart w:id="44" w:name="_Toc10504"/>
      <w:bookmarkStart w:id="45" w:name="_Toc165031101"/>
      <w:bookmarkStart w:id="46" w:name="_Toc11250"/>
      <w:r>
        <w:rPr>
          <w:rFonts w:hint="default" w:ascii="Times New Roman" w:hAnsi="Times New Roman" w:eastAsia="宋体" w:cs="Times New Roman"/>
          <w:b/>
          <w:sz w:val="32"/>
          <w:szCs w:val="32"/>
          <w:lang w:val="en-US" w:eastAsia="zh-CN"/>
        </w:rPr>
        <w:t>8.</w:t>
      </w:r>
      <w:r>
        <w:rPr>
          <w:rFonts w:hint="eastAsia" w:ascii="Times New Roman" w:hAnsi="Times New Roman" w:eastAsia="宋体" w:cs="Times New Roman"/>
          <w:b/>
          <w:sz w:val="32"/>
          <w:szCs w:val="32"/>
          <w:lang w:val="en-US" w:eastAsia="zh-CN"/>
        </w:rPr>
        <w:t>2</w:t>
      </w:r>
      <w:r>
        <w:rPr>
          <w:rFonts w:hint="default" w:ascii="Times New Roman" w:hAnsi="Times New Roman" w:eastAsia="宋体" w:cs="Times New Roman"/>
          <w:b/>
          <w:sz w:val="32"/>
          <w:szCs w:val="32"/>
          <w:lang w:val="en-US" w:eastAsia="zh-CN"/>
        </w:rPr>
        <w:t xml:space="preserve"> </w:t>
      </w:r>
      <w:bookmarkEnd w:id="44"/>
      <w:r>
        <w:rPr>
          <w:rFonts w:hint="eastAsia" w:ascii="Times New Roman" w:hAnsi="Times New Roman" w:eastAsia="宋体" w:cs="Times New Roman"/>
          <w:b/>
          <w:sz w:val="32"/>
          <w:szCs w:val="32"/>
          <w:lang w:val="en-US" w:eastAsia="zh-CN"/>
        </w:rPr>
        <w:t>气体监测分析过程中的质量保证和质量控制</w:t>
      </w:r>
      <w:bookmarkEnd w:id="45"/>
      <w:bookmarkEnd w:id="4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（1）尽量避免被测排放物中共存污染物对分析的交叉干扰。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（2）被测排放物的浓度在仪器量程的有效范围（即30%～70%之间）。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rPr>
      </w:pPr>
      <w:r>
        <w:rPr>
          <w:rFonts w:hint="default" w:ascii="Times New Roman" w:hAnsi="Times New Roman" w:cs="Times New Roman"/>
          <w:sz w:val="24"/>
          <w:szCs w:val="24"/>
        </w:rPr>
        <w:t>（3）烟尘采样器在进入现场前应对采样器流量计、流速计等进行校核。烟气监测（分析）仪器</w:t>
      </w:r>
      <w:r>
        <w:rPr>
          <w:rFonts w:hint="eastAsia" w:ascii="Times New Roman" w:hAnsi="Times New Roman" w:cs="Times New Roman"/>
          <w:sz w:val="24"/>
          <w:szCs w:val="24"/>
        </w:rPr>
        <w:t>在测试前按监测因子分别用标准气体和流量计对其进行校核（标定），在测试时应保证其采样流量的准确。附烟气监测校核质控表。现场监测保证2名监测人员参加，监测人员均持证上岗。</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47" w:name="_Toc1276326230"/>
      <w:bookmarkStart w:id="48" w:name="_Toc30419"/>
      <w:r>
        <w:rPr>
          <w:rFonts w:hint="default" w:ascii="Times New Roman" w:hAnsi="Times New Roman" w:eastAsia="宋体" w:cs="Times New Roman"/>
          <w:b/>
          <w:sz w:val="30"/>
          <w:szCs w:val="30"/>
          <w:lang w:val="en-US" w:eastAsia="zh-CN"/>
        </w:rPr>
        <w:t>8.</w:t>
      </w:r>
      <w:r>
        <w:rPr>
          <w:rFonts w:hint="eastAsia"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val="en-US" w:eastAsia="zh-CN"/>
        </w:rPr>
        <w:t xml:space="preserve"> </w:t>
      </w:r>
      <w:r>
        <w:rPr>
          <w:rFonts w:hint="eastAsia" w:ascii="Times New Roman" w:hAnsi="Times New Roman" w:eastAsia="宋体" w:cs="Times New Roman"/>
          <w:b/>
          <w:sz w:val="30"/>
          <w:szCs w:val="30"/>
          <w:lang w:val="en-US" w:eastAsia="zh-CN"/>
        </w:rPr>
        <w:t>噪声监测分析过程中的质量保证和质量控制</w:t>
      </w:r>
      <w:bookmarkEnd w:id="47"/>
      <w:bookmarkEnd w:id="4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声级计在测试前后用标准发生源进行校准，灵敏度相差不大0.5dB(A)。监测时测量仪器配置防风罩，风速＞5m/s停止测试，现场监测保证2名监测人员参加，监测人员均持证上岗。</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b/>
          <w:color w:val="000000"/>
          <w:sz w:val="24"/>
          <w:szCs w:val="24"/>
          <w:lang w:val="zh-CN" w:eastAsia="zh-CN"/>
        </w:rPr>
      </w:pPr>
      <w:r>
        <w:rPr>
          <w:rFonts w:hint="default" w:ascii="Times New Roman" w:hAnsi="Times New Roman" w:eastAsia="宋体" w:cs="Times New Roman"/>
          <w:b/>
          <w:color w:val="000000"/>
          <w:sz w:val="24"/>
          <w:szCs w:val="24"/>
          <w:lang w:val="zh-CN" w:eastAsia="zh-CN"/>
        </w:rPr>
        <w:t>表</w:t>
      </w:r>
      <w:r>
        <w:rPr>
          <w:rFonts w:hint="eastAsia" w:ascii="Times New Roman" w:hAnsi="Times New Roman" w:eastAsia="宋体" w:cs="Times New Roman"/>
          <w:b/>
          <w:color w:val="000000"/>
          <w:sz w:val="24"/>
          <w:szCs w:val="24"/>
          <w:lang w:val="en-US" w:eastAsia="zh-CN"/>
        </w:rPr>
        <w:t>8</w:t>
      </w:r>
      <w:r>
        <w:rPr>
          <w:rFonts w:hint="default" w:ascii="Times New Roman" w:hAnsi="Times New Roman" w:eastAsia="宋体" w:cs="Times New Roman"/>
          <w:b/>
          <w:color w:val="000000"/>
          <w:sz w:val="24"/>
          <w:szCs w:val="24"/>
          <w:lang w:val="zh-CN" w:eastAsia="zh-CN"/>
        </w:rPr>
        <w:t>-</w:t>
      </w:r>
      <w:r>
        <w:rPr>
          <w:rFonts w:hint="eastAsia" w:ascii="Times New Roman" w:hAnsi="Times New Roman" w:eastAsia="宋体" w:cs="Times New Roman"/>
          <w:b/>
          <w:color w:val="000000"/>
          <w:sz w:val="24"/>
          <w:szCs w:val="24"/>
          <w:lang w:val="en-US" w:eastAsia="zh-CN"/>
        </w:rPr>
        <w:t>2</w:t>
      </w:r>
      <w:r>
        <w:rPr>
          <w:rFonts w:hint="default" w:ascii="Times New Roman" w:hAnsi="Times New Roman" w:eastAsia="宋体" w:cs="Times New Roman"/>
          <w:b/>
          <w:color w:val="000000"/>
          <w:sz w:val="24"/>
          <w:szCs w:val="24"/>
          <w:lang w:val="zh-CN" w:eastAsia="zh-CN"/>
        </w:rPr>
        <w:t xml:space="preserve">  噪声测量前、后仪器校准结果</w:t>
      </w:r>
    </w:p>
    <w:tbl>
      <w:tblPr>
        <w:tblStyle w:val="17"/>
        <w:tblW w:w="8290" w:type="dxa"/>
        <w:jc w:val="center"/>
        <w:tblInd w:w="1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1197"/>
        <w:gridCol w:w="1187"/>
        <w:gridCol w:w="1128"/>
        <w:gridCol w:w="23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29"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测量日期</w:t>
            </w:r>
          </w:p>
        </w:tc>
        <w:tc>
          <w:tcPr>
            <w:tcW w:w="3512" w:type="dxa"/>
            <w:gridSpan w:val="3"/>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校准声级（dB）A</w:t>
            </w:r>
          </w:p>
        </w:tc>
        <w:tc>
          <w:tcPr>
            <w:tcW w:w="2349"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备 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29"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19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测量前</w:t>
            </w:r>
          </w:p>
        </w:tc>
        <w:tc>
          <w:tcPr>
            <w:tcW w:w="118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测量后</w:t>
            </w:r>
          </w:p>
        </w:tc>
        <w:tc>
          <w:tcPr>
            <w:tcW w:w="1128"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差值</w:t>
            </w:r>
          </w:p>
        </w:tc>
        <w:tc>
          <w:tcPr>
            <w:tcW w:w="2349"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29"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昼夜</w:t>
            </w:r>
          </w:p>
        </w:tc>
        <w:tc>
          <w:tcPr>
            <w:tcW w:w="119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p>
        </w:tc>
        <w:tc>
          <w:tcPr>
            <w:tcW w:w="118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94.0</w:t>
            </w:r>
          </w:p>
        </w:tc>
        <w:tc>
          <w:tcPr>
            <w:tcW w:w="1128"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p>
        </w:tc>
        <w:tc>
          <w:tcPr>
            <w:tcW w:w="2349"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测量前、后校准声级差值小于0.5 dB（A），测量数据有效。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429"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昼夜</w:t>
            </w:r>
          </w:p>
        </w:tc>
        <w:tc>
          <w:tcPr>
            <w:tcW w:w="119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93.</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w:t>
            </w:r>
          </w:p>
        </w:tc>
        <w:tc>
          <w:tcPr>
            <w:tcW w:w="1187"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4.0</w:t>
            </w:r>
          </w:p>
        </w:tc>
        <w:tc>
          <w:tcPr>
            <w:tcW w:w="1128"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w:t>
            </w:r>
          </w:p>
        </w:tc>
        <w:tc>
          <w:tcPr>
            <w:tcW w:w="234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sz w:val="21"/>
                <w:szCs w:val="21"/>
              </w:rPr>
            </w:pPr>
          </w:p>
        </w:tc>
      </w:tr>
    </w:tbl>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lang w:val="en-US" w:eastAsia="zh-CN"/>
        </w:rPr>
      </w:pPr>
      <w:bookmarkStart w:id="49" w:name="_Toc6456"/>
      <w:r>
        <w:rPr>
          <w:rFonts w:hint="default" w:ascii="Times New Roman" w:hAnsi="Times New Roman" w:eastAsia="宋体" w:cs="Times New Roman"/>
          <w:b/>
          <w:lang w:val="en-US" w:eastAsia="zh-CN"/>
        </w:rPr>
        <w:t>9 验收监测结果</w:t>
      </w:r>
      <w:bookmarkEnd w:id="49"/>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50" w:name="_Toc22687"/>
      <w:r>
        <w:rPr>
          <w:rFonts w:hint="default" w:ascii="Times New Roman" w:hAnsi="Times New Roman" w:eastAsia="宋体" w:cs="Times New Roman"/>
          <w:b/>
          <w:sz w:val="30"/>
          <w:szCs w:val="30"/>
          <w:lang w:val="en-US" w:eastAsia="zh-CN"/>
        </w:rPr>
        <w:t>9.1 生产工况</w:t>
      </w:r>
      <w:bookmarkEnd w:id="50"/>
    </w:p>
    <w:p>
      <w:pPr>
        <w:widowControl/>
        <w:spacing w:line="360" w:lineRule="auto"/>
        <w:ind w:firstLine="480" w:firstLineChars="200"/>
        <w:jc w:val="left"/>
        <w:rPr>
          <w:sz w:val="24"/>
        </w:rPr>
      </w:pPr>
      <w:r>
        <w:rPr>
          <w:rFonts w:hint="eastAsia"/>
          <w:sz w:val="24"/>
          <w:lang w:val="zh-CN"/>
        </w:rPr>
        <w:t>验收监测期间</w:t>
      </w:r>
      <w:r>
        <w:rPr>
          <w:sz w:val="24"/>
          <w:lang w:val="zh-CN"/>
        </w:rPr>
        <w:t>，我公司对该项目进行了现场监测，监测期间全厂设备、环保设施运行正常</w:t>
      </w:r>
      <w:r>
        <w:rPr>
          <w:rFonts w:hint="eastAsia"/>
          <w:sz w:val="24"/>
          <w:lang w:val="zh-CN"/>
        </w:rPr>
        <w:t>，符合环保验收的要求。验收期间</w:t>
      </w:r>
      <w:r>
        <w:rPr>
          <w:sz w:val="24"/>
          <w:lang w:val="zh-CN"/>
        </w:rPr>
        <w:t>生</w:t>
      </w:r>
      <w:r>
        <w:rPr>
          <w:rFonts w:hint="default" w:ascii="Times New Roman" w:hAnsi="Times New Roman" w:cs="Times New Roman"/>
          <w:sz w:val="24"/>
          <w:lang w:val="zh-CN"/>
        </w:rPr>
        <w:t>产工况详见表</w:t>
      </w:r>
      <w:r>
        <w:rPr>
          <w:rFonts w:hint="default" w:ascii="Times New Roman" w:hAnsi="Times New Roman" w:cs="Times New Roman"/>
          <w:sz w:val="24"/>
        </w:rPr>
        <w:t>9-1</w:t>
      </w:r>
      <w:r>
        <w:rPr>
          <w:rFonts w:hint="default" w:ascii="Times New Roman" w:hAnsi="Times New Roman" w:cs="Times New Roman"/>
          <w:sz w:val="24"/>
          <w:lang w:val="zh-CN"/>
        </w:rPr>
        <w:t>。</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r>
        <w:rPr>
          <w:rFonts w:hint="eastAsia" w:ascii="Times New Roman" w:hAnsi="Times New Roman" w:eastAsia="宋体" w:cs="Times New Roman"/>
          <w:b/>
          <w:color w:val="000000"/>
          <w:sz w:val="24"/>
          <w:szCs w:val="24"/>
          <w:lang w:val="zh-CN" w:eastAsia="zh-CN"/>
        </w:rPr>
        <w:t>表9-1验收监测期间生产负荷表</w:t>
      </w:r>
    </w:p>
    <w:tbl>
      <w:tblPr>
        <w:tblStyle w:val="17"/>
        <w:tblW w:w="8220" w:type="dxa"/>
        <w:tblInd w:w="76"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19"/>
        <w:gridCol w:w="1186"/>
        <w:gridCol w:w="1995"/>
        <w:gridCol w:w="1950"/>
        <w:gridCol w:w="17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blHeader/>
        </w:trPr>
        <w:tc>
          <w:tcPr>
            <w:tcW w:w="1319" w:type="dxa"/>
            <w:noWrap w:val="0"/>
            <w:vAlign w:val="center"/>
          </w:tcPr>
          <w:p>
            <w:pPr>
              <w:spacing w:line="240" w:lineRule="exact"/>
              <w:jc w:val="center"/>
              <w:rPr>
                <w:rFonts w:hint="default" w:ascii="Times New Roman" w:hAnsi="Times New Roman" w:cs="Times New Roman"/>
                <w:b/>
                <w:szCs w:val="21"/>
              </w:rPr>
            </w:pPr>
            <w:r>
              <w:rPr>
                <w:rFonts w:hint="default" w:ascii="Times New Roman" w:hAnsi="Times New Roman" w:cs="Times New Roman"/>
                <w:b/>
                <w:szCs w:val="21"/>
              </w:rPr>
              <w:t>监测时间</w:t>
            </w:r>
          </w:p>
        </w:tc>
        <w:tc>
          <w:tcPr>
            <w:tcW w:w="1186" w:type="dxa"/>
            <w:noWrap w:val="0"/>
            <w:vAlign w:val="center"/>
          </w:tcPr>
          <w:p>
            <w:pPr>
              <w:spacing w:line="240" w:lineRule="exact"/>
              <w:jc w:val="center"/>
              <w:rPr>
                <w:rFonts w:hint="default" w:ascii="Times New Roman" w:hAnsi="Times New Roman" w:cs="Times New Roman"/>
                <w:b/>
                <w:szCs w:val="21"/>
              </w:rPr>
            </w:pPr>
            <w:r>
              <w:rPr>
                <w:rFonts w:hint="default" w:ascii="Times New Roman" w:hAnsi="Times New Roman" w:cs="Times New Roman"/>
                <w:b/>
                <w:szCs w:val="21"/>
              </w:rPr>
              <w:t>产品名称</w:t>
            </w:r>
          </w:p>
        </w:tc>
        <w:tc>
          <w:tcPr>
            <w:tcW w:w="1995" w:type="dxa"/>
            <w:noWrap w:val="0"/>
            <w:vAlign w:val="center"/>
          </w:tcPr>
          <w:p>
            <w:pPr>
              <w:spacing w:line="240" w:lineRule="exact"/>
              <w:jc w:val="center"/>
              <w:rPr>
                <w:rFonts w:hint="default" w:ascii="Times New Roman" w:hAnsi="Times New Roman" w:cs="Times New Roman"/>
                <w:b/>
                <w:szCs w:val="21"/>
              </w:rPr>
            </w:pPr>
            <w:r>
              <w:rPr>
                <w:rFonts w:hint="default" w:ascii="Times New Roman" w:hAnsi="Times New Roman" w:cs="Times New Roman"/>
                <w:b/>
                <w:szCs w:val="21"/>
              </w:rPr>
              <w:t>设计生产量（</w:t>
            </w:r>
            <w:r>
              <w:rPr>
                <w:rFonts w:hint="eastAsia" w:ascii="Times New Roman" w:hAnsi="Times New Roman" w:cs="Times New Roman"/>
                <w:b/>
                <w:szCs w:val="21"/>
                <w:lang w:val="en-US" w:eastAsia="zh-CN"/>
              </w:rPr>
              <w:t>吨</w:t>
            </w:r>
            <w:r>
              <w:rPr>
                <w:rFonts w:hint="default" w:ascii="Times New Roman" w:hAnsi="Times New Roman" w:cs="Times New Roman"/>
                <w:b/>
                <w:szCs w:val="21"/>
              </w:rPr>
              <w:t>）</w:t>
            </w:r>
          </w:p>
        </w:tc>
        <w:tc>
          <w:tcPr>
            <w:tcW w:w="1950" w:type="dxa"/>
            <w:noWrap w:val="0"/>
            <w:vAlign w:val="center"/>
          </w:tcPr>
          <w:p>
            <w:pPr>
              <w:spacing w:line="240" w:lineRule="exact"/>
              <w:jc w:val="center"/>
              <w:rPr>
                <w:rFonts w:hint="default" w:ascii="Times New Roman" w:hAnsi="Times New Roman" w:cs="Times New Roman"/>
                <w:b/>
                <w:szCs w:val="21"/>
              </w:rPr>
            </w:pPr>
            <w:r>
              <w:rPr>
                <w:rFonts w:hint="default" w:ascii="Times New Roman" w:hAnsi="Times New Roman" w:cs="Times New Roman"/>
                <w:b/>
                <w:szCs w:val="21"/>
              </w:rPr>
              <w:t>实际生产量（</w:t>
            </w:r>
            <w:r>
              <w:rPr>
                <w:rFonts w:hint="eastAsia" w:ascii="Times New Roman" w:hAnsi="Times New Roman" w:cs="Times New Roman"/>
                <w:b/>
                <w:szCs w:val="21"/>
                <w:lang w:val="en-US" w:eastAsia="zh-CN"/>
              </w:rPr>
              <w:t>吨</w:t>
            </w:r>
            <w:r>
              <w:rPr>
                <w:rFonts w:hint="default" w:ascii="Times New Roman" w:hAnsi="Times New Roman" w:cs="Times New Roman"/>
                <w:b/>
                <w:szCs w:val="21"/>
              </w:rPr>
              <w:t>）</w:t>
            </w:r>
          </w:p>
        </w:tc>
        <w:tc>
          <w:tcPr>
            <w:tcW w:w="1770" w:type="dxa"/>
            <w:noWrap w:val="0"/>
            <w:vAlign w:val="center"/>
          </w:tcPr>
          <w:p>
            <w:pPr>
              <w:spacing w:line="240" w:lineRule="exact"/>
              <w:jc w:val="center"/>
              <w:rPr>
                <w:rFonts w:hint="default" w:ascii="Times New Roman" w:hAnsi="Times New Roman" w:cs="Times New Roman"/>
                <w:b/>
                <w:szCs w:val="21"/>
              </w:rPr>
            </w:pPr>
            <w:r>
              <w:rPr>
                <w:rFonts w:hint="default" w:ascii="Times New Roman" w:hAnsi="Times New Roman" w:cs="Times New Roman"/>
                <w:b/>
                <w:szCs w:val="21"/>
              </w:rPr>
              <w:t>生产负荷（%）</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319" w:type="dxa"/>
            <w:noWrap w:val="0"/>
            <w:vAlign w:val="center"/>
          </w:tcPr>
          <w:p>
            <w:pPr>
              <w:widowControl/>
              <w:spacing w:line="240" w:lineRule="exact"/>
              <w:jc w:val="center"/>
              <w:rPr>
                <w:rFonts w:hint="eastAsia" w:ascii="Times New Roman" w:hAnsi="Times New Roman" w:cs="Times New Roman" w:eastAsiaTheme="minorEastAsia"/>
                <w:szCs w:val="21"/>
                <w:lang w:val="en-US" w:eastAsia="zh-CN"/>
              </w:rPr>
            </w:pPr>
            <w:r>
              <w:rPr>
                <w:rFonts w:hint="default" w:ascii="Times New Roman" w:hAnsi="Times New Roman" w:cs="Times New Roman"/>
                <w:color w:val="000000"/>
                <w:kern w:val="0"/>
                <w:szCs w:val="21"/>
              </w:rPr>
              <w:t>2018.</w:t>
            </w:r>
            <w:r>
              <w:rPr>
                <w:rFonts w:hint="eastAsia" w:ascii="Times New Roman" w:hAnsi="Times New Roman" w:cs="Times New Roman"/>
                <w:color w:val="000000"/>
                <w:kern w:val="0"/>
                <w:szCs w:val="21"/>
                <w:lang w:val="en-US" w:eastAsia="zh-CN"/>
              </w:rPr>
              <w:t>12</w:t>
            </w:r>
            <w:r>
              <w:rPr>
                <w:rFonts w:hint="default" w:ascii="Times New Roman" w:hAnsi="Times New Roman" w:cs="Times New Roman"/>
                <w:color w:val="000000"/>
                <w:kern w:val="0"/>
                <w:szCs w:val="21"/>
              </w:rPr>
              <w:t>.</w:t>
            </w:r>
            <w:r>
              <w:rPr>
                <w:rFonts w:hint="eastAsia" w:ascii="Times New Roman" w:hAnsi="Times New Roman" w:cs="Times New Roman"/>
                <w:color w:val="000000"/>
                <w:kern w:val="0"/>
                <w:szCs w:val="21"/>
                <w:lang w:val="en-US" w:eastAsia="zh-CN"/>
              </w:rPr>
              <w:t>21</w:t>
            </w:r>
          </w:p>
        </w:tc>
        <w:tc>
          <w:tcPr>
            <w:tcW w:w="1186" w:type="dxa"/>
            <w:noWrap w:val="0"/>
            <w:vAlign w:val="center"/>
          </w:tcPr>
          <w:p>
            <w:pPr>
              <w:spacing w:line="24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水溶性蜡</w:t>
            </w:r>
          </w:p>
        </w:tc>
        <w:tc>
          <w:tcPr>
            <w:tcW w:w="1995" w:type="dxa"/>
            <w:noWrap w:val="0"/>
            <w:vAlign w:val="center"/>
          </w:tcPr>
          <w:p>
            <w:pPr>
              <w:spacing w:line="24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3.3</w:t>
            </w:r>
          </w:p>
        </w:tc>
        <w:tc>
          <w:tcPr>
            <w:tcW w:w="1950" w:type="dxa"/>
            <w:noWrap w:val="0"/>
            <w:vAlign w:val="center"/>
          </w:tcPr>
          <w:p>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val="en-US" w:eastAsia="zh-CN"/>
              </w:rPr>
              <w:t>3</w:t>
            </w:r>
          </w:p>
        </w:tc>
        <w:tc>
          <w:tcPr>
            <w:tcW w:w="1770" w:type="dxa"/>
            <w:noWrap w:val="0"/>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90.9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54" w:hRule="atLeast"/>
        </w:trPr>
        <w:tc>
          <w:tcPr>
            <w:tcW w:w="1319" w:type="dxa"/>
            <w:noWrap w:val="0"/>
            <w:vAlign w:val="center"/>
          </w:tcPr>
          <w:p>
            <w:pPr>
              <w:widowControl/>
              <w:spacing w:line="240" w:lineRule="exact"/>
              <w:jc w:val="center"/>
              <w:rPr>
                <w:rFonts w:hint="eastAsia" w:ascii="Times New Roman" w:hAnsi="Times New Roman" w:cs="Times New Roman" w:eastAsiaTheme="minorEastAsia"/>
                <w:szCs w:val="21"/>
                <w:lang w:val="en-US" w:eastAsia="zh-CN"/>
              </w:rPr>
            </w:pPr>
            <w:r>
              <w:rPr>
                <w:rFonts w:hint="default" w:ascii="Times New Roman" w:hAnsi="Times New Roman" w:cs="Times New Roman"/>
                <w:color w:val="000000"/>
                <w:kern w:val="0"/>
                <w:szCs w:val="21"/>
              </w:rPr>
              <w:t>2018.</w:t>
            </w:r>
            <w:r>
              <w:rPr>
                <w:rFonts w:hint="eastAsia" w:ascii="Times New Roman" w:hAnsi="Times New Roman" w:cs="Times New Roman"/>
                <w:color w:val="000000"/>
                <w:kern w:val="0"/>
                <w:szCs w:val="21"/>
                <w:lang w:val="en-US" w:eastAsia="zh-CN"/>
              </w:rPr>
              <w:t>12</w:t>
            </w:r>
            <w:r>
              <w:rPr>
                <w:rFonts w:hint="default" w:ascii="Times New Roman" w:hAnsi="Times New Roman" w:cs="Times New Roman"/>
                <w:color w:val="000000"/>
                <w:kern w:val="0"/>
                <w:szCs w:val="21"/>
              </w:rPr>
              <w:t>.</w:t>
            </w:r>
            <w:r>
              <w:rPr>
                <w:rFonts w:hint="eastAsia" w:ascii="Times New Roman" w:hAnsi="Times New Roman" w:cs="Times New Roman"/>
                <w:color w:val="000000"/>
                <w:kern w:val="0"/>
                <w:szCs w:val="21"/>
                <w:lang w:val="en-US" w:eastAsia="zh-CN"/>
              </w:rPr>
              <w:t>22</w:t>
            </w:r>
          </w:p>
        </w:tc>
        <w:tc>
          <w:tcPr>
            <w:tcW w:w="1186" w:type="dxa"/>
            <w:noWrap w:val="0"/>
            <w:vAlign w:val="center"/>
          </w:tcPr>
          <w:p>
            <w:pPr>
              <w:spacing w:line="240" w:lineRule="exact"/>
              <w:jc w:val="center"/>
              <w:rPr>
                <w:rFonts w:hint="default" w:ascii="Times New Roman" w:hAnsi="Times New Roman" w:cs="Times New Roman"/>
                <w:szCs w:val="21"/>
              </w:rPr>
            </w:pPr>
            <w:r>
              <w:rPr>
                <w:rFonts w:hint="eastAsia" w:ascii="Times New Roman" w:hAnsi="Times New Roman" w:cs="Times New Roman"/>
                <w:szCs w:val="21"/>
                <w:lang w:val="en-US" w:eastAsia="zh-CN"/>
              </w:rPr>
              <w:t>水溶性蜡</w:t>
            </w:r>
          </w:p>
        </w:tc>
        <w:tc>
          <w:tcPr>
            <w:tcW w:w="1995" w:type="dxa"/>
            <w:noWrap w:val="0"/>
            <w:vAlign w:val="center"/>
          </w:tcPr>
          <w:p>
            <w:pPr>
              <w:spacing w:line="240" w:lineRule="exact"/>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3.3</w:t>
            </w:r>
          </w:p>
        </w:tc>
        <w:tc>
          <w:tcPr>
            <w:tcW w:w="1950" w:type="dxa"/>
            <w:noWrap w:val="0"/>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3</w:t>
            </w:r>
          </w:p>
        </w:tc>
        <w:tc>
          <w:tcPr>
            <w:tcW w:w="1770" w:type="dxa"/>
            <w:noWrap w:val="0"/>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90.9</w:t>
            </w:r>
          </w:p>
        </w:tc>
      </w:tr>
    </w:tbl>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51" w:name="_Toc22419"/>
      <w:r>
        <w:rPr>
          <w:rFonts w:hint="default" w:ascii="Times New Roman" w:hAnsi="Times New Roman" w:eastAsia="宋体" w:cs="Times New Roman"/>
          <w:b/>
          <w:sz w:val="30"/>
          <w:szCs w:val="30"/>
          <w:lang w:val="en-US" w:eastAsia="zh-CN"/>
        </w:rPr>
        <w:t>9.2废气</w:t>
      </w:r>
      <w:bookmarkEnd w:id="5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1）有组织排放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sz w:val="24"/>
          <w:szCs w:val="24"/>
          <w:lang w:val="en-US" w:eastAsia="zh-CN"/>
        </w:rPr>
      </w:pPr>
      <w:r>
        <w:rPr>
          <w:rFonts w:hint="eastAsia" w:ascii="Times New Roman" w:hAnsi="Times New Roman" w:cs="Times New Roman"/>
          <w:sz w:val="24"/>
          <w:szCs w:val="24"/>
          <w:lang w:val="en-US" w:eastAsia="zh-CN"/>
        </w:rPr>
        <w:t>该项目有组织废气监测结果</w:t>
      </w:r>
      <w:r>
        <w:rPr>
          <w:rFonts w:hint="eastAsia" w:ascii="宋体" w:hAnsi="宋体" w:eastAsia="宋体" w:cs="宋体"/>
          <w:b w:val="0"/>
          <w:i w:val="0"/>
          <w:color w:val="000000"/>
          <w:sz w:val="24"/>
          <w:szCs w:val="24"/>
          <w:lang w:val="en-US" w:eastAsia="zh-CN"/>
        </w:rPr>
        <w:t>如下：</w:t>
      </w:r>
      <w:r>
        <w:rPr>
          <w:rFonts w:hint="eastAsia" w:ascii="宋体" w:hAnsi="宋体" w:eastAsia="宋体" w:cs="宋体"/>
          <w:sz w:val="24"/>
          <w:szCs w:val="24"/>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eastAsia" w:ascii="Times New Roman" w:hAnsi="Times New Roman" w:eastAsia="宋体" w:cs="Times New Roman"/>
          <w:b/>
          <w:color w:val="000000"/>
          <w:sz w:val="24"/>
          <w:szCs w:val="24"/>
          <w:lang w:val="zh-CN" w:eastAsia="zh-CN"/>
        </w:rPr>
      </w:pPr>
      <w:r>
        <w:rPr>
          <w:rFonts w:hint="default" w:ascii="Times New Roman" w:hAnsi="Times New Roman" w:eastAsia="宋体" w:cs="Times New Roman"/>
          <w:b/>
          <w:color w:val="000000"/>
          <w:sz w:val="24"/>
          <w:szCs w:val="24"/>
          <w:lang w:val="zh-CN" w:eastAsia="zh-CN"/>
        </w:rPr>
        <w:t>表</w:t>
      </w:r>
      <w:r>
        <w:rPr>
          <w:rFonts w:hint="eastAsia" w:ascii="Times New Roman" w:hAnsi="Times New Roman" w:eastAsia="宋体" w:cs="Times New Roman"/>
          <w:b/>
          <w:color w:val="000000"/>
          <w:sz w:val="24"/>
          <w:szCs w:val="24"/>
          <w:lang w:val="zh-CN" w:eastAsia="zh-CN"/>
        </w:rPr>
        <w:t>9-</w:t>
      </w:r>
      <w:r>
        <w:rPr>
          <w:rFonts w:hint="eastAsia" w:ascii="Times New Roman" w:hAnsi="Times New Roman" w:eastAsia="宋体" w:cs="Times New Roman"/>
          <w:b/>
          <w:color w:val="000000"/>
          <w:sz w:val="24"/>
          <w:szCs w:val="24"/>
          <w:lang w:val="en-US" w:eastAsia="zh-CN"/>
        </w:rPr>
        <w:t>2</w:t>
      </w:r>
      <w:r>
        <w:rPr>
          <w:rFonts w:hint="eastAsia" w:ascii="Times New Roman" w:hAnsi="Times New Roman" w:eastAsia="宋体" w:cs="Times New Roman"/>
          <w:b/>
          <w:color w:val="000000"/>
          <w:sz w:val="24"/>
          <w:szCs w:val="24"/>
          <w:lang w:val="zh-CN" w:eastAsia="zh-CN"/>
        </w:rPr>
        <w:t xml:space="preserve"> 有组织废气检</w:t>
      </w:r>
      <w:r>
        <w:rPr>
          <w:rFonts w:hint="default" w:ascii="Times New Roman" w:hAnsi="Times New Roman" w:eastAsia="宋体" w:cs="Times New Roman"/>
          <w:b/>
          <w:color w:val="000000"/>
          <w:sz w:val="24"/>
          <w:szCs w:val="24"/>
          <w:lang w:val="zh-CN" w:eastAsia="zh-CN"/>
        </w:rPr>
        <w:t>测结果</w:t>
      </w:r>
      <w:r>
        <w:rPr>
          <w:rFonts w:hint="eastAsia" w:ascii="Times New Roman" w:hAnsi="Times New Roman" w:eastAsia="宋体" w:cs="Times New Roman"/>
          <w:b/>
          <w:color w:val="000000"/>
          <w:sz w:val="24"/>
          <w:szCs w:val="24"/>
          <w:lang w:val="zh-CN" w:eastAsia="zh-CN"/>
        </w:rPr>
        <w:t>一览表</w:t>
      </w:r>
    </w:p>
    <w:tbl>
      <w:tblPr>
        <w:tblStyle w:val="17"/>
        <w:tblW w:w="9225" w:type="dxa"/>
        <w:tblInd w:w="113"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7"/>
        <w:gridCol w:w="773"/>
        <w:gridCol w:w="1020"/>
        <w:gridCol w:w="1681"/>
        <w:gridCol w:w="967"/>
        <w:gridCol w:w="967"/>
        <w:gridCol w:w="969"/>
        <w:gridCol w:w="726"/>
        <w:gridCol w:w="765"/>
        <w:gridCol w:w="7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410" w:type="dxa"/>
            <w:gridSpan w:val="2"/>
            <w:vMerge w:val="restart"/>
            <w:tcBorders>
              <w:right w:val="single" w:color="auto" w:sz="4" w:space="0"/>
            </w:tcBorders>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rPr>
              <w:t>监测点位</w:t>
            </w:r>
          </w:p>
        </w:tc>
        <w:tc>
          <w:tcPr>
            <w:tcW w:w="2701" w:type="dxa"/>
            <w:gridSpan w:val="2"/>
            <w:vMerge w:val="restart"/>
            <w:tcBorders>
              <w:left w:val="single" w:color="auto" w:sz="4" w:space="0"/>
            </w:tcBorders>
            <w:noWrap w:val="0"/>
            <w:vAlign w:val="center"/>
          </w:tcPr>
          <w:p>
            <w:pPr>
              <w:widowControl/>
              <w:jc w:val="center"/>
              <w:rPr>
                <w:rFonts w:hint="default" w:ascii="Times New Roman" w:hAnsi="Times New Roman" w:cs="Times New Roman"/>
                <w:b/>
                <w:bCs/>
                <w:kern w:val="0"/>
              </w:rPr>
            </w:pPr>
            <w:r>
              <w:rPr>
                <w:rFonts w:hint="default" w:ascii="Times New Roman" w:hAnsi="Times New Roman" w:cs="Times New Roman"/>
                <w:b/>
                <w:bCs/>
                <w:kern w:val="0"/>
              </w:rPr>
              <w:t>监测项目</w:t>
            </w:r>
          </w:p>
        </w:tc>
        <w:tc>
          <w:tcPr>
            <w:tcW w:w="2903" w:type="dxa"/>
            <w:gridSpan w:val="3"/>
            <w:tcBorders>
              <w:right w:val="single" w:color="000000" w:sz="6" w:space="0"/>
            </w:tcBorders>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rPr>
              <w:t>监测结果</w:t>
            </w:r>
          </w:p>
        </w:tc>
        <w:tc>
          <w:tcPr>
            <w:tcW w:w="726" w:type="dxa"/>
            <w:vMerge w:val="restart"/>
            <w:tcBorders>
              <w:right w:val="single" w:color="000000" w:sz="6" w:space="0"/>
            </w:tcBorders>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rPr>
              <w:t>最大值</w:t>
            </w:r>
          </w:p>
        </w:tc>
        <w:tc>
          <w:tcPr>
            <w:tcW w:w="765" w:type="dxa"/>
            <w:vMerge w:val="restart"/>
            <w:tcBorders>
              <w:left w:val="single" w:color="000000" w:sz="6" w:space="0"/>
            </w:tcBorders>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rPr>
              <w:t>标准限值</w:t>
            </w:r>
          </w:p>
        </w:tc>
        <w:tc>
          <w:tcPr>
            <w:tcW w:w="720" w:type="dxa"/>
            <w:vMerge w:val="restart"/>
            <w:noWrap w:val="0"/>
            <w:vAlign w:val="center"/>
          </w:tcPr>
          <w:p>
            <w:pPr>
              <w:widowControl/>
              <w:jc w:val="center"/>
              <w:rPr>
                <w:rFonts w:hint="default" w:ascii="Times New Roman" w:hAnsi="Times New Roman" w:cs="Times New Roman"/>
                <w:b/>
                <w:bCs/>
                <w:kern w:val="0"/>
              </w:rPr>
            </w:pPr>
            <w:r>
              <w:rPr>
                <w:rFonts w:hint="default" w:ascii="Times New Roman" w:hAnsi="Times New Roman" w:cs="Times New Roman"/>
                <w:b/>
                <w:bCs/>
                <w:kern w:val="0"/>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410" w:type="dxa"/>
            <w:gridSpan w:val="2"/>
            <w:vMerge w:val="continue"/>
            <w:tcBorders>
              <w:right w:val="single" w:color="auto" w:sz="4" w:space="0"/>
            </w:tcBorders>
            <w:noWrap w:val="0"/>
            <w:vAlign w:val="center"/>
          </w:tcPr>
          <w:p>
            <w:pPr>
              <w:widowControl/>
              <w:jc w:val="left"/>
              <w:rPr>
                <w:rFonts w:hint="default" w:ascii="Times New Roman" w:hAnsi="Times New Roman" w:cs="Times New Roman"/>
                <w:b/>
                <w:bCs/>
                <w:kern w:val="0"/>
                <w:szCs w:val="21"/>
              </w:rPr>
            </w:pPr>
          </w:p>
        </w:tc>
        <w:tc>
          <w:tcPr>
            <w:tcW w:w="2701" w:type="dxa"/>
            <w:gridSpan w:val="2"/>
            <w:vMerge w:val="continue"/>
            <w:tcBorders>
              <w:left w:val="single" w:color="auto" w:sz="4" w:space="0"/>
            </w:tcBorders>
            <w:noWrap w:val="0"/>
            <w:vAlign w:val="center"/>
          </w:tcPr>
          <w:p>
            <w:pPr>
              <w:widowControl/>
              <w:jc w:val="left"/>
              <w:rPr>
                <w:rFonts w:hint="default" w:ascii="Times New Roman" w:hAnsi="Times New Roman" w:cs="Times New Roman"/>
                <w:b/>
                <w:bCs/>
                <w:kern w:val="0"/>
                <w:szCs w:val="21"/>
              </w:rPr>
            </w:pPr>
          </w:p>
        </w:tc>
        <w:tc>
          <w:tcPr>
            <w:tcW w:w="967" w:type="dxa"/>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rPr>
              <w:t>第1次</w:t>
            </w:r>
          </w:p>
        </w:tc>
        <w:tc>
          <w:tcPr>
            <w:tcW w:w="967" w:type="dxa"/>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rPr>
              <w:t>第2次</w:t>
            </w:r>
          </w:p>
        </w:tc>
        <w:tc>
          <w:tcPr>
            <w:tcW w:w="969" w:type="dxa"/>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rPr>
              <w:t>第3次</w:t>
            </w:r>
          </w:p>
        </w:tc>
        <w:tc>
          <w:tcPr>
            <w:tcW w:w="726" w:type="dxa"/>
            <w:vMerge w:val="continue"/>
            <w:tcBorders>
              <w:right w:val="single" w:color="000000" w:sz="6" w:space="0"/>
            </w:tcBorders>
            <w:noWrap w:val="0"/>
            <w:vAlign w:val="center"/>
          </w:tcPr>
          <w:p>
            <w:pPr>
              <w:widowControl/>
              <w:jc w:val="left"/>
              <w:rPr>
                <w:rFonts w:hint="default" w:ascii="Times New Roman" w:hAnsi="Times New Roman" w:cs="Times New Roman"/>
                <w:b/>
                <w:bCs/>
                <w:kern w:val="0"/>
                <w:szCs w:val="21"/>
              </w:rPr>
            </w:pPr>
          </w:p>
        </w:tc>
        <w:tc>
          <w:tcPr>
            <w:tcW w:w="765" w:type="dxa"/>
            <w:vMerge w:val="continue"/>
            <w:tcBorders>
              <w:left w:val="single" w:color="000000" w:sz="6" w:space="0"/>
            </w:tcBorders>
            <w:noWrap w:val="0"/>
            <w:vAlign w:val="center"/>
          </w:tcPr>
          <w:p>
            <w:pPr>
              <w:widowControl/>
              <w:jc w:val="left"/>
              <w:rPr>
                <w:rFonts w:hint="default" w:ascii="Times New Roman" w:hAnsi="Times New Roman" w:cs="Times New Roman"/>
                <w:b/>
                <w:bCs/>
                <w:kern w:val="0"/>
                <w:szCs w:val="21"/>
              </w:rPr>
            </w:pPr>
          </w:p>
        </w:tc>
        <w:tc>
          <w:tcPr>
            <w:tcW w:w="720" w:type="dxa"/>
            <w:vMerge w:val="continue"/>
            <w:noWrap w:val="0"/>
            <w:vAlign w:val="center"/>
          </w:tcPr>
          <w:p>
            <w:pPr>
              <w:widowControl/>
              <w:jc w:val="left"/>
              <w:rPr>
                <w:rFonts w:hint="default" w:ascii="Times New Roman" w:hAnsi="Times New Roman" w:cs="Times New Roman"/>
                <w:b/>
                <w:bCs/>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restart"/>
            <w:tcBorders>
              <w:right w:val="single" w:color="auto" w:sz="4" w:space="0"/>
            </w:tcBorders>
            <w:noWrap w:val="0"/>
            <w:vAlign w:val="center"/>
          </w:tcPr>
          <w:p>
            <w:pPr>
              <w:widowControl/>
              <w:jc w:val="center"/>
              <w:rPr>
                <w:rFonts w:hint="default" w:ascii="Times New Roman" w:hAnsi="Times New Roman" w:cs="Times New Roman"/>
                <w:spacing w:val="-4"/>
                <w:szCs w:val="21"/>
              </w:rPr>
            </w:pPr>
          </w:p>
          <w:p>
            <w:pPr>
              <w:widowControl/>
              <w:jc w:val="center"/>
              <w:rPr>
                <w:rFonts w:hint="default" w:ascii="Times New Roman" w:hAnsi="Times New Roman" w:cs="Times New Roman"/>
                <w:kern w:val="0"/>
                <w:szCs w:val="21"/>
              </w:rPr>
            </w:pPr>
            <w:r>
              <w:rPr>
                <w:rFonts w:hint="eastAsia" w:ascii="Times New Roman" w:hAnsi="Times New Roman"/>
                <w:szCs w:val="21"/>
                <w:lang w:val="en-US" w:eastAsia="zh-CN"/>
              </w:rPr>
              <w:t>处理后</w:t>
            </w:r>
            <w:r>
              <w:rPr>
                <w:rFonts w:hint="eastAsia" w:ascii="Times New Roman" w:hAnsi="Times New Roman"/>
                <w:szCs w:val="21"/>
              </w:rPr>
              <w:t>排气筒</w:t>
            </w:r>
            <w:r>
              <w:rPr>
                <w:rFonts w:hint="eastAsia" w:ascii="Times New Roman" w:hAnsi="Times New Roman"/>
                <w:szCs w:val="21"/>
                <w:lang w:val="en-US" w:eastAsia="zh-CN"/>
              </w:rPr>
              <w:t>A</w:t>
            </w:r>
            <w:r>
              <w:rPr>
                <w:rFonts w:hint="eastAsia" w:ascii="Times New Roman" w:hAnsi="Times New Roman"/>
                <w:szCs w:val="21"/>
              </w:rPr>
              <w:t>1</w:t>
            </w:r>
          </w:p>
        </w:tc>
        <w:tc>
          <w:tcPr>
            <w:tcW w:w="773" w:type="dxa"/>
            <w:vMerge w:val="restart"/>
            <w:tcBorders>
              <w:right w:val="single" w:color="auto" w:sz="4" w:space="0"/>
            </w:tcBorders>
            <w:noWrap w:val="0"/>
            <w:vAlign w:val="center"/>
          </w:tcPr>
          <w:p>
            <w:pPr>
              <w:widowControl/>
              <w:jc w:val="center"/>
              <w:rPr>
                <w:rFonts w:hint="eastAsia" w:ascii="Times New Roman" w:hAnsi="Times New Roman"/>
                <w:szCs w:val="21"/>
              </w:rPr>
            </w:pPr>
            <w:r>
              <w:rPr>
                <w:rFonts w:hint="default" w:ascii="Times New Roman" w:hAnsi="Times New Roman" w:cs="Times New Roman"/>
                <w:b/>
                <w:bCs/>
                <w:szCs w:val="21"/>
              </w:rPr>
              <w:t>2018.</w:t>
            </w:r>
            <w:r>
              <w:rPr>
                <w:rFonts w:hint="eastAsia" w:ascii="Times New Roman" w:hAnsi="Times New Roman" w:cs="Times New Roman"/>
                <w:b/>
                <w:bCs/>
                <w:szCs w:val="21"/>
                <w:lang w:val="en-US" w:eastAsia="zh-CN"/>
              </w:rPr>
              <w:t>12</w:t>
            </w:r>
            <w:r>
              <w:rPr>
                <w:rFonts w:hint="default" w:ascii="Times New Roman" w:hAnsi="Times New Roman" w:cs="Times New Roman"/>
                <w:b/>
                <w:bCs/>
                <w:szCs w:val="21"/>
              </w:rPr>
              <w:t>.</w:t>
            </w:r>
            <w:r>
              <w:rPr>
                <w:rFonts w:hint="eastAsia" w:ascii="Times New Roman" w:hAnsi="Times New Roman" w:cs="Times New Roman"/>
                <w:b/>
                <w:bCs/>
                <w:szCs w:val="21"/>
                <w:lang w:val="en-US" w:eastAsia="zh-CN"/>
              </w:rPr>
              <w:t>21</w:t>
            </w:r>
          </w:p>
        </w:tc>
        <w:tc>
          <w:tcPr>
            <w:tcW w:w="2701" w:type="dxa"/>
            <w:gridSpan w:val="2"/>
            <w:tcBorders>
              <w:left w:val="single" w:color="auto" w:sz="4" w:space="0"/>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废气量（m</w:t>
            </w:r>
            <w:r>
              <w:rPr>
                <w:rFonts w:hint="default" w:ascii="Times New Roman" w:hAnsi="Times New Roman" w:cs="Times New Roman"/>
                <w:kern w:val="0"/>
                <w:vertAlign w:val="superscript"/>
              </w:rPr>
              <w:t>3</w:t>
            </w:r>
            <w:r>
              <w:rPr>
                <w:rFonts w:hint="default" w:ascii="Times New Roman" w:hAnsi="Times New Roman" w:cs="Times New Roman"/>
                <w:kern w:val="0"/>
              </w:rPr>
              <w:t>/h）</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9559</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9718</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9325</w:t>
            </w:r>
          </w:p>
        </w:tc>
        <w:tc>
          <w:tcPr>
            <w:tcW w:w="726" w:type="dxa"/>
            <w:noWrap w:val="0"/>
            <w:vAlign w:val="center"/>
          </w:tcPr>
          <w:p>
            <w:pPr>
              <w:keepNext w:val="0"/>
              <w:keepLines w:val="0"/>
              <w:widowControl/>
              <w:suppressLineNumbers w:val="0"/>
              <w:jc w:val="center"/>
              <w:textAlignment w:val="center"/>
              <w:rPr>
                <w:rFonts w:hint="default" w:ascii="Times New Roman" w:hAnsi="Times New Roman" w:cs="Times New Roman"/>
                <w:kern w:val="0"/>
              </w:rPr>
            </w:pPr>
            <w:r>
              <w:rPr>
                <w:rFonts w:hint="default" w:ascii="Times New Roman" w:hAnsi="Times New Roman" w:cs="Times New Roman"/>
                <w:szCs w:val="21"/>
              </w:rPr>
              <w:t>/</w:t>
            </w:r>
          </w:p>
        </w:tc>
        <w:tc>
          <w:tcPr>
            <w:tcW w:w="765"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720"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widowControl/>
              <w:jc w:val="center"/>
              <w:rPr>
                <w:rFonts w:hint="default" w:ascii="Times New Roman" w:hAnsi="Times New Roman" w:cs="Times New Roman"/>
                <w:kern w:val="0"/>
                <w:szCs w:val="21"/>
              </w:rPr>
            </w:pPr>
          </w:p>
        </w:tc>
        <w:tc>
          <w:tcPr>
            <w:tcW w:w="773" w:type="dxa"/>
            <w:vMerge w:val="continue"/>
            <w:tcBorders>
              <w:right w:val="single" w:color="auto" w:sz="4" w:space="0"/>
            </w:tcBorders>
            <w:noWrap w:val="0"/>
            <w:vAlign w:val="center"/>
          </w:tcPr>
          <w:p>
            <w:pPr>
              <w:widowControl/>
              <w:jc w:val="center"/>
              <w:rPr>
                <w:rFonts w:hint="default" w:ascii="Times New Roman" w:hAnsi="Times New Roman" w:cs="Times New Roman"/>
                <w:kern w:val="0"/>
                <w:szCs w:val="21"/>
              </w:rPr>
            </w:pPr>
          </w:p>
        </w:tc>
        <w:tc>
          <w:tcPr>
            <w:tcW w:w="1020" w:type="dxa"/>
            <w:vMerge w:val="restart"/>
            <w:tcBorders>
              <w:left w:val="single" w:color="auto" w:sz="4" w:space="0"/>
            </w:tcBorders>
            <w:noWrap w:val="0"/>
            <w:vAlign w:val="center"/>
          </w:tcPr>
          <w:p>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eastAsia="zh-CN"/>
              </w:rPr>
              <w:t>颗粒物</w:t>
            </w:r>
          </w:p>
        </w:tc>
        <w:tc>
          <w:tcPr>
            <w:tcW w:w="168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kern w:val="0"/>
              </w:rPr>
            </w:pPr>
            <w:r>
              <w:rPr>
                <w:rFonts w:hint="default" w:ascii="Times New Roman" w:hAnsi="Times New Roman" w:cs="Times New Roman"/>
                <w:kern w:val="0"/>
              </w:rPr>
              <w:t>排放浓（mg/m</w:t>
            </w:r>
            <w:r>
              <w:rPr>
                <w:rFonts w:hint="default" w:ascii="Times New Roman" w:hAnsi="Times New Roman" w:cs="Times New Roman"/>
                <w:kern w:val="0"/>
                <w:vertAlign w:val="superscript"/>
              </w:rPr>
              <w:t>3</w:t>
            </w:r>
            <w:r>
              <w:rPr>
                <w:rFonts w:hint="default" w:ascii="Times New Roman" w:hAnsi="Times New Roman" w:cs="Times New Roman"/>
                <w:kern w:val="0"/>
              </w:rPr>
              <w:t>）</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4.7 </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5.3 </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4.1 </w:t>
            </w:r>
          </w:p>
        </w:tc>
        <w:tc>
          <w:tcPr>
            <w:tcW w:w="726" w:type="dxa"/>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0"/>
                <w:lang w:val="en-US" w:eastAsia="zh-CN"/>
              </w:rPr>
            </w:pPr>
            <w:r>
              <w:rPr>
                <w:rFonts w:hint="eastAsia" w:ascii="Times New Roman" w:hAnsi="Times New Roman" w:cs="Times New Roman"/>
                <w:kern w:val="0"/>
                <w:lang w:val="en-US" w:eastAsia="zh-CN"/>
              </w:rPr>
              <w:t>5.3</w:t>
            </w:r>
          </w:p>
        </w:tc>
        <w:tc>
          <w:tcPr>
            <w:tcW w:w="765" w:type="dxa"/>
            <w:noWrap w:val="0"/>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Cs w:val="21"/>
                <w:lang w:val="en-US" w:eastAsia="zh-CN" w:bidi="ar"/>
              </w:rPr>
              <w:t>30</w:t>
            </w:r>
          </w:p>
        </w:tc>
        <w:tc>
          <w:tcPr>
            <w:tcW w:w="720" w:type="dxa"/>
            <w:noWrap w:val="0"/>
            <w:vAlign w:val="center"/>
          </w:tcPr>
          <w:p>
            <w:pPr>
              <w:spacing w:line="300" w:lineRule="exact"/>
              <w:ind w:right="42" w:rightChars="20"/>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773"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1020" w:type="dxa"/>
            <w:vMerge w:val="continue"/>
            <w:tcBorders>
              <w:left w:val="single" w:color="auto" w:sz="4" w:space="0"/>
            </w:tcBorders>
            <w:noWrap w:val="0"/>
            <w:vAlign w:val="center"/>
          </w:tcPr>
          <w:p>
            <w:pPr>
              <w:widowControl/>
              <w:jc w:val="left"/>
              <w:rPr>
                <w:rFonts w:hint="default" w:ascii="Times New Roman" w:hAnsi="Times New Roman" w:cs="Times New Roman"/>
                <w:kern w:val="0"/>
                <w:szCs w:val="21"/>
              </w:rPr>
            </w:pPr>
          </w:p>
        </w:tc>
        <w:tc>
          <w:tcPr>
            <w:tcW w:w="168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kern w:val="0"/>
              </w:rPr>
            </w:pPr>
            <w:r>
              <w:rPr>
                <w:rFonts w:hint="default" w:ascii="Times New Roman" w:hAnsi="Times New Roman" w:cs="Times New Roman"/>
                <w:kern w:val="0"/>
              </w:rPr>
              <w:t>排放速率（kg/h）</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0.045 </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0.052 </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0.038 </w:t>
            </w:r>
          </w:p>
        </w:tc>
        <w:tc>
          <w:tcPr>
            <w:tcW w:w="726" w:type="dxa"/>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0"/>
                <w:lang w:val="en-US" w:eastAsia="zh-CN"/>
              </w:rPr>
            </w:pPr>
            <w:r>
              <w:rPr>
                <w:rFonts w:hint="eastAsia" w:ascii="Times New Roman" w:hAnsi="Times New Roman" w:cs="Times New Roman"/>
                <w:kern w:val="0"/>
                <w:lang w:val="en-US" w:eastAsia="zh-CN"/>
              </w:rPr>
              <w:t>0.052</w:t>
            </w:r>
          </w:p>
        </w:tc>
        <w:tc>
          <w:tcPr>
            <w:tcW w:w="765"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720"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widowControl/>
              <w:jc w:val="center"/>
              <w:rPr>
                <w:rFonts w:hint="default" w:ascii="Times New Roman" w:hAnsi="Times New Roman" w:cs="Times New Roman"/>
                <w:kern w:val="0"/>
                <w:szCs w:val="21"/>
              </w:rPr>
            </w:pPr>
          </w:p>
        </w:tc>
        <w:tc>
          <w:tcPr>
            <w:tcW w:w="773" w:type="dxa"/>
            <w:vMerge w:val="continue"/>
            <w:tcBorders>
              <w:right w:val="single" w:color="auto" w:sz="4" w:space="0"/>
            </w:tcBorders>
            <w:noWrap w:val="0"/>
            <w:vAlign w:val="center"/>
          </w:tcPr>
          <w:p>
            <w:pPr>
              <w:widowControl/>
              <w:jc w:val="center"/>
              <w:rPr>
                <w:rFonts w:hint="default" w:ascii="Times New Roman" w:hAnsi="Times New Roman" w:cs="Times New Roman"/>
                <w:kern w:val="0"/>
                <w:szCs w:val="21"/>
              </w:rPr>
            </w:pPr>
          </w:p>
        </w:tc>
        <w:tc>
          <w:tcPr>
            <w:tcW w:w="1020" w:type="dxa"/>
            <w:vMerge w:val="restart"/>
            <w:tcBorders>
              <w:left w:val="single" w:color="auto" w:sz="4" w:space="0"/>
            </w:tcBorders>
            <w:noWrap w:val="0"/>
            <w:vAlign w:val="center"/>
          </w:tcPr>
          <w:p>
            <w:pPr>
              <w:widowControl/>
              <w:jc w:val="center"/>
              <w:rPr>
                <w:rFonts w:hint="eastAsia" w:ascii="Times New Roman" w:hAnsi="Times New Roman" w:cs="Times New Roman" w:eastAsiaTheme="minorEastAsia"/>
                <w:kern w:val="0"/>
                <w:szCs w:val="21"/>
                <w:lang w:val="en-US" w:eastAsia="zh-CN"/>
              </w:rPr>
            </w:pPr>
            <w:r>
              <w:rPr>
                <w:rFonts w:hint="eastAsia" w:ascii="Times New Roman" w:hAnsi="Times New Roman" w:cs="Times New Roman"/>
                <w:kern w:val="0"/>
                <w:szCs w:val="21"/>
                <w:lang w:val="en-US" w:eastAsia="zh-CN"/>
              </w:rPr>
              <w:t>非甲烷总烃</w:t>
            </w:r>
          </w:p>
        </w:tc>
        <w:tc>
          <w:tcPr>
            <w:tcW w:w="168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kern w:val="0"/>
              </w:rPr>
            </w:pPr>
            <w:r>
              <w:rPr>
                <w:rFonts w:hint="default" w:ascii="Times New Roman" w:hAnsi="Times New Roman" w:cs="Times New Roman"/>
                <w:kern w:val="0"/>
              </w:rPr>
              <w:t>排放浓（mg/m</w:t>
            </w:r>
            <w:r>
              <w:rPr>
                <w:rFonts w:hint="default" w:ascii="Times New Roman" w:hAnsi="Times New Roman" w:cs="Times New Roman"/>
                <w:kern w:val="0"/>
                <w:vertAlign w:val="superscript"/>
              </w:rPr>
              <w:t>3</w:t>
            </w:r>
            <w:r>
              <w:rPr>
                <w:rFonts w:hint="default" w:ascii="Times New Roman" w:hAnsi="Times New Roman" w:cs="Times New Roman"/>
                <w:kern w:val="0"/>
              </w:rPr>
              <w:t>）</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1.26 </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1.08 </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0.94 </w:t>
            </w:r>
          </w:p>
        </w:tc>
        <w:tc>
          <w:tcPr>
            <w:tcW w:w="726" w:type="dxa"/>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0"/>
                <w:lang w:val="en-US" w:eastAsia="zh-CN"/>
              </w:rPr>
            </w:pPr>
            <w:r>
              <w:rPr>
                <w:rFonts w:hint="eastAsia" w:ascii="Times New Roman" w:hAnsi="Times New Roman" w:cs="Times New Roman"/>
                <w:kern w:val="0"/>
                <w:lang w:val="en-US" w:eastAsia="zh-CN"/>
              </w:rPr>
              <w:t>1.26</w:t>
            </w:r>
          </w:p>
        </w:tc>
        <w:tc>
          <w:tcPr>
            <w:tcW w:w="765" w:type="dxa"/>
            <w:noWrap w:val="0"/>
            <w:vAlign w:val="center"/>
          </w:tcPr>
          <w:p>
            <w:pPr>
              <w:widowControl/>
              <w:jc w:val="center"/>
              <w:textAlignment w:val="center"/>
              <w:rPr>
                <w:rFonts w:hint="default" w:ascii="Times New Roman" w:hAnsi="Times New Roman" w:cs="Times New Roman"/>
                <w:szCs w:val="21"/>
              </w:rPr>
            </w:pPr>
            <w:r>
              <w:rPr>
                <w:rFonts w:hint="eastAsia" w:ascii="Times New Roman" w:hAnsi="Times New Roman" w:cs="Times New Roman"/>
                <w:color w:val="000000"/>
                <w:kern w:val="0"/>
                <w:szCs w:val="21"/>
                <w:lang w:val="en-US" w:eastAsia="zh-CN" w:bidi="ar"/>
              </w:rPr>
              <w:t>1</w:t>
            </w:r>
            <w:r>
              <w:rPr>
                <w:rFonts w:hint="default" w:ascii="Times New Roman" w:hAnsi="Times New Roman" w:cs="Times New Roman"/>
                <w:color w:val="000000"/>
                <w:kern w:val="0"/>
                <w:szCs w:val="21"/>
                <w:lang w:bidi="ar"/>
              </w:rPr>
              <w:t>00</w:t>
            </w:r>
          </w:p>
        </w:tc>
        <w:tc>
          <w:tcPr>
            <w:tcW w:w="720" w:type="dxa"/>
            <w:noWrap w:val="0"/>
            <w:vAlign w:val="center"/>
          </w:tcPr>
          <w:p>
            <w:pPr>
              <w:spacing w:line="300" w:lineRule="exact"/>
              <w:ind w:right="42" w:rightChars="20"/>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773"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1020" w:type="dxa"/>
            <w:vMerge w:val="continue"/>
            <w:tcBorders>
              <w:left w:val="single" w:color="auto" w:sz="4" w:space="0"/>
            </w:tcBorders>
            <w:noWrap w:val="0"/>
            <w:vAlign w:val="center"/>
          </w:tcPr>
          <w:p>
            <w:pPr>
              <w:widowControl/>
              <w:jc w:val="center"/>
              <w:rPr>
                <w:rFonts w:hint="default" w:ascii="Times New Roman" w:hAnsi="Times New Roman" w:cs="Times New Roman"/>
                <w:kern w:val="0"/>
                <w:szCs w:val="21"/>
              </w:rPr>
            </w:pPr>
          </w:p>
        </w:tc>
        <w:tc>
          <w:tcPr>
            <w:tcW w:w="168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kern w:val="0"/>
              </w:rPr>
            </w:pPr>
            <w:r>
              <w:rPr>
                <w:rFonts w:hint="default" w:ascii="Times New Roman" w:hAnsi="Times New Roman" w:cs="Times New Roman"/>
                <w:kern w:val="0"/>
              </w:rPr>
              <w:t>排放速率（kg/h）</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0.012 </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0.010 </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0.0088 </w:t>
            </w:r>
          </w:p>
        </w:tc>
        <w:tc>
          <w:tcPr>
            <w:tcW w:w="726" w:type="dxa"/>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0"/>
                <w:lang w:val="en-US" w:eastAsia="zh-CN"/>
              </w:rPr>
            </w:pPr>
            <w:r>
              <w:rPr>
                <w:rFonts w:hint="eastAsia" w:ascii="Times New Roman" w:hAnsi="Times New Roman" w:cs="Times New Roman"/>
                <w:kern w:val="0"/>
                <w:lang w:val="en-US" w:eastAsia="zh-CN"/>
              </w:rPr>
              <w:t>0.012</w:t>
            </w:r>
          </w:p>
        </w:tc>
        <w:tc>
          <w:tcPr>
            <w:tcW w:w="765"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720"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773" w:type="dxa"/>
            <w:vMerge w:val="restart"/>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lang w:val="en-US"/>
              </w:rPr>
            </w:pPr>
            <w:r>
              <w:rPr>
                <w:rFonts w:hint="default" w:ascii="Times New Roman" w:hAnsi="Times New Roman" w:cs="Times New Roman"/>
                <w:b/>
                <w:bCs/>
                <w:szCs w:val="21"/>
              </w:rPr>
              <w:t>2018.</w:t>
            </w:r>
            <w:r>
              <w:rPr>
                <w:rFonts w:hint="eastAsia" w:ascii="Times New Roman" w:hAnsi="Times New Roman" w:cs="Times New Roman"/>
                <w:b/>
                <w:bCs/>
                <w:szCs w:val="21"/>
                <w:lang w:val="en-US" w:eastAsia="zh-CN"/>
              </w:rPr>
              <w:t>12</w:t>
            </w:r>
            <w:r>
              <w:rPr>
                <w:rFonts w:hint="default" w:ascii="Times New Roman" w:hAnsi="Times New Roman" w:cs="Times New Roman"/>
                <w:b/>
                <w:bCs/>
                <w:szCs w:val="21"/>
              </w:rPr>
              <w:t>.</w:t>
            </w:r>
            <w:r>
              <w:rPr>
                <w:rFonts w:hint="eastAsia" w:ascii="Times New Roman" w:hAnsi="Times New Roman" w:cs="Times New Roman"/>
                <w:b/>
                <w:bCs/>
                <w:szCs w:val="21"/>
                <w:lang w:val="en-US" w:eastAsia="zh-CN"/>
              </w:rPr>
              <w:t>22</w:t>
            </w:r>
          </w:p>
        </w:tc>
        <w:tc>
          <w:tcPr>
            <w:tcW w:w="2701" w:type="dxa"/>
            <w:gridSpan w:val="2"/>
            <w:tcBorders>
              <w:left w:val="single" w:color="auto" w:sz="4" w:space="0"/>
            </w:tcBorders>
            <w:noWrap w:val="0"/>
            <w:vAlign w:val="center"/>
          </w:tcPr>
          <w:p>
            <w:pPr>
              <w:widowControl/>
              <w:jc w:val="center"/>
              <w:rPr>
                <w:rFonts w:hint="default" w:ascii="Times New Roman" w:hAnsi="Times New Roman" w:cs="Times New Roman"/>
                <w:kern w:val="0"/>
              </w:rPr>
            </w:pPr>
            <w:r>
              <w:rPr>
                <w:rFonts w:hint="default" w:ascii="Times New Roman" w:hAnsi="Times New Roman" w:cs="Times New Roman"/>
                <w:kern w:val="0"/>
              </w:rPr>
              <w:t>废气量（m</w:t>
            </w:r>
            <w:r>
              <w:rPr>
                <w:rFonts w:hint="default" w:ascii="Times New Roman" w:hAnsi="Times New Roman" w:cs="Times New Roman"/>
                <w:kern w:val="0"/>
                <w:vertAlign w:val="superscript"/>
              </w:rPr>
              <w:t>3</w:t>
            </w:r>
            <w:r>
              <w:rPr>
                <w:rFonts w:hint="default" w:ascii="Times New Roman" w:hAnsi="Times New Roman" w:cs="Times New Roman"/>
                <w:kern w:val="0"/>
              </w:rPr>
              <w:t>/h）</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9559</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9718</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9325</w:t>
            </w:r>
          </w:p>
        </w:tc>
        <w:tc>
          <w:tcPr>
            <w:tcW w:w="726" w:type="dxa"/>
            <w:noWrap w:val="0"/>
            <w:vAlign w:val="center"/>
          </w:tcPr>
          <w:p>
            <w:pPr>
              <w:keepNext w:val="0"/>
              <w:keepLines w:val="0"/>
              <w:widowControl/>
              <w:suppressLineNumbers w:val="0"/>
              <w:jc w:val="center"/>
              <w:textAlignment w:val="center"/>
              <w:rPr>
                <w:rFonts w:hint="default" w:ascii="Times New Roman" w:hAnsi="Times New Roman" w:cs="Times New Roman"/>
                <w:kern w:val="0"/>
              </w:rPr>
            </w:pPr>
            <w:r>
              <w:rPr>
                <w:rFonts w:hint="default" w:ascii="Times New Roman" w:hAnsi="Times New Roman" w:cs="Times New Roman"/>
                <w:szCs w:val="21"/>
              </w:rPr>
              <w:t>/</w:t>
            </w:r>
          </w:p>
        </w:tc>
        <w:tc>
          <w:tcPr>
            <w:tcW w:w="765"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720"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773"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1020" w:type="dxa"/>
            <w:vMerge w:val="restart"/>
            <w:tcBorders>
              <w:left w:val="single" w:color="auto" w:sz="4" w:space="0"/>
            </w:tcBorders>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lang w:eastAsia="zh-CN"/>
              </w:rPr>
              <w:t>颗粒物</w:t>
            </w:r>
          </w:p>
        </w:tc>
        <w:tc>
          <w:tcPr>
            <w:tcW w:w="168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kern w:val="0"/>
              </w:rPr>
            </w:pPr>
            <w:r>
              <w:rPr>
                <w:rFonts w:hint="default" w:ascii="Times New Roman" w:hAnsi="Times New Roman" w:cs="Times New Roman"/>
                <w:kern w:val="0"/>
              </w:rPr>
              <w:t>排放浓（mg/m</w:t>
            </w:r>
            <w:r>
              <w:rPr>
                <w:rFonts w:hint="default" w:ascii="Times New Roman" w:hAnsi="Times New Roman" w:cs="Times New Roman"/>
                <w:kern w:val="0"/>
                <w:vertAlign w:val="superscript"/>
              </w:rPr>
              <w:t>3</w:t>
            </w:r>
            <w:r>
              <w:rPr>
                <w:rFonts w:hint="default" w:ascii="Times New Roman" w:hAnsi="Times New Roman" w:cs="Times New Roman"/>
                <w:kern w:val="0"/>
              </w:rPr>
              <w:t>）</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3.8 </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4.2 </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4.5 </w:t>
            </w:r>
          </w:p>
        </w:tc>
        <w:tc>
          <w:tcPr>
            <w:tcW w:w="726" w:type="dxa"/>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0"/>
                <w:lang w:val="en-US" w:eastAsia="zh-CN"/>
              </w:rPr>
            </w:pPr>
            <w:r>
              <w:rPr>
                <w:rFonts w:hint="eastAsia" w:ascii="Times New Roman" w:hAnsi="Times New Roman" w:cs="Times New Roman"/>
                <w:kern w:val="0"/>
                <w:lang w:val="en-US" w:eastAsia="zh-CN"/>
              </w:rPr>
              <w:t>4.5</w:t>
            </w:r>
          </w:p>
        </w:tc>
        <w:tc>
          <w:tcPr>
            <w:tcW w:w="765" w:type="dxa"/>
            <w:noWrap w:val="0"/>
            <w:vAlign w:val="center"/>
          </w:tcPr>
          <w:p>
            <w:pPr>
              <w:widowControl/>
              <w:jc w:val="center"/>
              <w:textAlignment w:val="center"/>
              <w:rPr>
                <w:rFonts w:hint="default" w:ascii="Times New Roman" w:hAnsi="Times New Roman" w:cs="Times New Roman"/>
                <w:szCs w:val="21"/>
              </w:rPr>
            </w:pPr>
            <w:r>
              <w:rPr>
                <w:rFonts w:hint="default" w:ascii="Times New Roman" w:hAnsi="Times New Roman" w:cs="Times New Roman"/>
                <w:color w:val="000000"/>
                <w:kern w:val="0"/>
                <w:szCs w:val="21"/>
                <w:lang w:val="en-US" w:eastAsia="zh-CN" w:bidi="ar"/>
              </w:rPr>
              <w:t>30</w:t>
            </w:r>
          </w:p>
        </w:tc>
        <w:tc>
          <w:tcPr>
            <w:tcW w:w="720" w:type="dxa"/>
            <w:noWrap w:val="0"/>
            <w:vAlign w:val="center"/>
          </w:tcPr>
          <w:p>
            <w:pPr>
              <w:spacing w:line="300" w:lineRule="exact"/>
              <w:ind w:right="42" w:rightChars="20"/>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773"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1020" w:type="dxa"/>
            <w:vMerge w:val="continue"/>
            <w:tcBorders>
              <w:left w:val="single" w:color="auto" w:sz="4" w:space="0"/>
            </w:tcBorders>
            <w:noWrap w:val="0"/>
            <w:vAlign w:val="center"/>
          </w:tcPr>
          <w:p>
            <w:pPr>
              <w:widowControl/>
              <w:jc w:val="left"/>
              <w:rPr>
                <w:rFonts w:hint="default" w:ascii="Times New Roman" w:hAnsi="Times New Roman" w:cs="Times New Roman"/>
                <w:kern w:val="0"/>
                <w:szCs w:val="21"/>
              </w:rPr>
            </w:pPr>
          </w:p>
        </w:tc>
        <w:tc>
          <w:tcPr>
            <w:tcW w:w="168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kern w:val="0"/>
              </w:rPr>
            </w:pPr>
            <w:r>
              <w:rPr>
                <w:rFonts w:hint="default" w:ascii="Times New Roman" w:hAnsi="Times New Roman" w:cs="Times New Roman"/>
                <w:kern w:val="0"/>
              </w:rPr>
              <w:t>排放速率（kg/h）</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0.036 </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0.041 </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0.042 </w:t>
            </w:r>
          </w:p>
        </w:tc>
        <w:tc>
          <w:tcPr>
            <w:tcW w:w="726" w:type="dxa"/>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0"/>
                <w:lang w:val="en-US" w:eastAsia="zh-CN"/>
              </w:rPr>
            </w:pPr>
            <w:r>
              <w:rPr>
                <w:rFonts w:hint="eastAsia" w:ascii="Times New Roman" w:hAnsi="Times New Roman" w:cs="Times New Roman"/>
                <w:kern w:val="0"/>
                <w:lang w:val="en-US" w:eastAsia="zh-CN"/>
              </w:rPr>
              <w:t>0.042</w:t>
            </w:r>
          </w:p>
        </w:tc>
        <w:tc>
          <w:tcPr>
            <w:tcW w:w="765"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720"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773"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1020" w:type="dxa"/>
            <w:vMerge w:val="restart"/>
            <w:tcBorders>
              <w:left w:val="single" w:color="auto" w:sz="4" w:space="0"/>
            </w:tcBorders>
            <w:noWrap w:val="0"/>
            <w:vAlign w:val="center"/>
          </w:tcPr>
          <w:p>
            <w:pPr>
              <w:widowControl/>
              <w:jc w:val="center"/>
              <w:rPr>
                <w:rFonts w:hint="default" w:ascii="Times New Roman" w:hAnsi="Times New Roman" w:cs="Times New Roman"/>
                <w:kern w:val="0"/>
                <w:szCs w:val="21"/>
              </w:rPr>
            </w:pPr>
            <w:r>
              <w:rPr>
                <w:rFonts w:hint="eastAsia" w:ascii="Times New Roman" w:hAnsi="Times New Roman" w:cs="Times New Roman"/>
                <w:kern w:val="0"/>
                <w:szCs w:val="21"/>
                <w:lang w:val="en-US" w:eastAsia="zh-CN"/>
              </w:rPr>
              <w:t>非甲烷总烃</w:t>
            </w:r>
          </w:p>
        </w:tc>
        <w:tc>
          <w:tcPr>
            <w:tcW w:w="168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kern w:val="0"/>
              </w:rPr>
            </w:pPr>
            <w:r>
              <w:rPr>
                <w:rFonts w:hint="default" w:ascii="Times New Roman" w:hAnsi="Times New Roman" w:cs="Times New Roman"/>
                <w:kern w:val="0"/>
              </w:rPr>
              <w:t>排放浓（mg/m</w:t>
            </w:r>
            <w:r>
              <w:rPr>
                <w:rFonts w:hint="default" w:ascii="Times New Roman" w:hAnsi="Times New Roman" w:cs="Times New Roman"/>
                <w:kern w:val="0"/>
                <w:vertAlign w:val="superscript"/>
              </w:rPr>
              <w:t>3</w:t>
            </w:r>
            <w:r>
              <w:rPr>
                <w:rFonts w:hint="default" w:ascii="Times New Roman" w:hAnsi="Times New Roman" w:cs="Times New Roman"/>
                <w:kern w:val="0"/>
              </w:rPr>
              <w:t>）</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1.17 </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1.23 </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1.05 </w:t>
            </w:r>
          </w:p>
        </w:tc>
        <w:tc>
          <w:tcPr>
            <w:tcW w:w="726" w:type="dxa"/>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0"/>
                <w:lang w:val="en-US" w:eastAsia="zh-CN"/>
              </w:rPr>
            </w:pPr>
            <w:r>
              <w:rPr>
                <w:rFonts w:hint="eastAsia" w:ascii="Times New Roman" w:hAnsi="Times New Roman" w:cs="Times New Roman"/>
                <w:kern w:val="0"/>
                <w:lang w:val="en-US" w:eastAsia="zh-CN"/>
              </w:rPr>
              <w:t>1.23</w:t>
            </w:r>
          </w:p>
        </w:tc>
        <w:tc>
          <w:tcPr>
            <w:tcW w:w="765" w:type="dxa"/>
            <w:noWrap w:val="0"/>
            <w:vAlign w:val="center"/>
          </w:tcPr>
          <w:p>
            <w:pPr>
              <w:widowControl/>
              <w:jc w:val="center"/>
              <w:textAlignment w:val="center"/>
              <w:rPr>
                <w:rFonts w:hint="default" w:ascii="Times New Roman" w:hAnsi="Times New Roman" w:cs="Times New Roman"/>
                <w:szCs w:val="21"/>
              </w:rPr>
            </w:pPr>
            <w:r>
              <w:rPr>
                <w:rFonts w:hint="eastAsia" w:ascii="Times New Roman" w:hAnsi="Times New Roman" w:cs="Times New Roman"/>
                <w:color w:val="000000"/>
                <w:kern w:val="0"/>
                <w:szCs w:val="21"/>
                <w:lang w:val="en-US" w:eastAsia="zh-CN" w:bidi="ar"/>
              </w:rPr>
              <w:t>1</w:t>
            </w:r>
            <w:r>
              <w:rPr>
                <w:rFonts w:hint="default" w:ascii="Times New Roman" w:hAnsi="Times New Roman" w:cs="Times New Roman"/>
                <w:color w:val="000000"/>
                <w:kern w:val="0"/>
                <w:szCs w:val="21"/>
                <w:lang w:bidi="ar"/>
              </w:rPr>
              <w:t>00</w:t>
            </w:r>
          </w:p>
        </w:tc>
        <w:tc>
          <w:tcPr>
            <w:tcW w:w="720" w:type="dxa"/>
            <w:noWrap w:val="0"/>
            <w:vAlign w:val="center"/>
          </w:tcPr>
          <w:p>
            <w:pPr>
              <w:spacing w:line="300" w:lineRule="exact"/>
              <w:ind w:right="42" w:rightChars="20"/>
              <w:jc w:val="center"/>
              <w:rPr>
                <w:rFonts w:hint="default" w:ascii="Times New Roman" w:hAnsi="Times New Roman" w:cs="Times New Roman"/>
                <w:szCs w:val="21"/>
              </w:rPr>
            </w:pPr>
            <w:r>
              <w:rPr>
                <w:rFonts w:hint="default" w:ascii="Times New Roman" w:hAnsi="Times New Roman"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trPr>
        <w:tc>
          <w:tcPr>
            <w:tcW w:w="637"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773" w:type="dxa"/>
            <w:vMerge w:val="continue"/>
            <w:tcBorders>
              <w:right w:val="single" w:color="auto" w:sz="4" w:space="0"/>
            </w:tcBorders>
            <w:noWrap w:val="0"/>
            <w:vAlign w:val="center"/>
          </w:tcPr>
          <w:p>
            <w:pPr>
              <w:spacing w:line="300" w:lineRule="exact"/>
              <w:ind w:right="42" w:rightChars="20"/>
              <w:jc w:val="center"/>
              <w:rPr>
                <w:rFonts w:hint="default" w:ascii="Times New Roman" w:hAnsi="Times New Roman" w:cs="Times New Roman"/>
                <w:szCs w:val="21"/>
              </w:rPr>
            </w:pPr>
          </w:p>
        </w:tc>
        <w:tc>
          <w:tcPr>
            <w:tcW w:w="1020" w:type="dxa"/>
            <w:vMerge w:val="continue"/>
            <w:tcBorders>
              <w:left w:val="single" w:color="auto" w:sz="4" w:space="0"/>
            </w:tcBorders>
            <w:noWrap w:val="0"/>
            <w:vAlign w:val="center"/>
          </w:tcPr>
          <w:p>
            <w:pPr>
              <w:widowControl/>
              <w:jc w:val="center"/>
              <w:rPr>
                <w:rFonts w:hint="default" w:ascii="Times New Roman" w:hAnsi="Times New Roman" w:cs="Times New Roman"/>
                <w:kern w:val="0"/>
                <w:szCs w:val="21"/>
              </w:rPr>
            </w:pPr>
          </w:p>
        </w:tc>
        <w:tc>
          <w:tcPr>
            <w:tcW w:w="1681"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kern w:val="0"/>
              </w:rPr>
            </w:pPr>
            <w:r>
              <w:rPr>
                <w:rFonts w:hint="default" w:ascii="Times New Roman" w:hAnsi="Times New Roman" w:cs="Times New Roman"/>
                <w:kern w:val="0"/>
              </w:rPr>
              <w:t>排放速率（kg/h）</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0.011 </w:t>
            </w:r>
          </w:p>
        </w:tc>
        <w:tc>
          <w:tcPr>
            <w:tcW w:w="967"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0.012 </w:t>
            </w:r>
          </w:p>
        </w:tc>
        <w:tc>
          <w:tcPr>
            <w:tcW w:w="969" w:type="dxa"/>
            <w:noWrap w:val="0"/>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color w:val="000000"/>
                <w:kern w:val="0"/>
                <w:sz w:val="21"/>
                <w:szCs w:val="21"/>
                <w:u w:val="none"/>
                <w:lang w:val="en-US" w:eastAsia="zh-CN" w:bidi="ar"/>
              </w:rPr>
              <w:t xml:space="preserve">0.0098 </w:t>
            </w:r>
          </w:p>
        </w:tc>
        <w:tc>
          <w:tcPr>
            <w:tcW w:w="726" w:type="dxa"/>
            <w:noWrap w:val="0"/>
            <w:vAlign w:val="center"/>
          </w:tcPr>
          <w:p>
            <w:pPr>
              <w:keepNext w:val="0"/>
              <w:keepLines w:val="0"/>
              <w:widowControl/>
              <w:suppressLineNumbers w:val="0"/>
              <w:jc w:val="center"/>
              <w:textAlignment w:val="center"/>
              <w:rPr>
                <w:rFonts w:hint="eastAsia" w:ascii="Times New Roman" w:hAnsi="Times New Roman" w:cs="Times New Roman" w:eastAsiaTheme="minorEastAsia"/>
                <w:kern w:val="0"/>
                <w:lang w:val="en-US" w:eastAsia="zh-CN"/>
              </w:rPr>
            </w:pPr>
            <w:r>
              <w:rPr>
                <w:rFonts w:hint="eastAsia" w:ascii="Times New Roman" w:hAnsi="Times New Roman" w:cs="Times New Roman"/>
                <w:kern w:val="0"/>
                <w:lang w:val="en-US" w:eastAsia="zh-CN"/>
              </w:rPr>
              <w:t>0.012</w:t>
            </w:r>
          </w:p>
        </w:tc>
        <w:tc>
          <w:tcPr>
            <w:tcW w:w="765"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720" w:type="dxa"/>
            <w:noWrap w:val="0"/>
            <w:vAlign w:val="bottom"/>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9225" w:type="dxa"/>
            <w:gridSpan w:val="10"/>
            <w:noWrap w:val="0"/>
            <w:vAlign w:val="center"/>
          </w:tcPr>
          <w:p>
            <w:pPr>
              <w:pStyle w:val="24"/>
              <w:widowControl w:val="0"/>
              <w:adjustRightInd/>
              <w:snapToGrid/>
              <w:spacing w:after="0" w:afterLines="-2147483648"/>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备注：</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《合成树脂工业污染物排放标准》（GB31572—2015）表4标准</w:t>
            </w:r>
          </w:p>
        </w:tc>
      </w:tr>
    </w:tbl>
    <w:p>
      <w:pPr>
        <w:pStyle w:val="2"/>
        <w:rPr>
          <w:rFonts w:hint="eastAsia" w:ascii="宋体" w:hAnsi="宋体" w:eastAsia="宋体" w:cs="宋体"/>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由监测结果可知，该项目废气经</w:t>
      </w:r>
      <w:r>
        <w:rPr>
          <w:rFonts w:hint="default" w:ascii="Times New Roman" w:hAnsi="Times New Roman" w:cs="Times New Roman"/>
          <w:sz w:val="24"/>
          <w:szCs w:val="24"/>
          <w:lang w:val="en-US" w:eastAsia="zh-CN"/>
        </w:rPr>
        <w:t>喷淋</w:t>
      </w:r>
      <w:r>
        <w:rPr>
          <w:rFonts w:hint="eastAsia" w:ascii="Times New Roman" w:hAnsi="Times New Roman" w:cs="Times New Roman"/>
          <w:sz w:val="24"/>
          <w:szCs w:val="24"/>
          <w:lang w:val="en-US" w:eastAsia="zh-CN"/>
        </w:rPr>
        <w:t>塔和UV光解催化净化处理后，</w:t>
      </w:r>
      <w:r>
        <w:rPr>
          <w:rFonts w:hint="default" w:ascii="Times New Roman" w:hAnsi="Times New Roman" w:cs="Times New Roman"/>
          <w:sz w:val="24"/>
          <w:szCs w:val="24"/>
          <w:lang w:val="en-US" w:eastAsia="zh-CN"/>
        </w:rPr>
        <w:t>颗粒物</w:t>
      </w:r>
      <w:r>
        <w:rPr>
          <w:rFonts w:hint="eastAsia" w:ascii="Times New Roman" w:hAnsi="Times New Roman" w:cs="Times New Roman"/>
          <w:sz w:val="24"/>
          <w:szCs w:val="24"/>
          <w:lang w:val="en-US" w:eastAsia="zh-CN"/>
        </w:rPr>
        <w:t>最大浓度</w:t>
      </w:r>
      <w:r>
        <w:rPr>
          <w:rFonts w:hint="eastAsia" w:ascii="Times New Roman" w:hAnsi="Times New Roman" w:cs="Times New Roman"/>
          <w:color w:val="000000" w:themeColor="text1"/>
          <w:sz w:val="24"/>
          <w:szCs w:val="24"/>
          <w:lang w:val="en-US" w:eastAsia="zh-CN"/>
          <w14:textFill>
            <w14:solidFill>
              <w14:schemeClr w14:val="tx1"/>
            </w14:solidFill>
          </w14:textFill>
        </w:rPr>
        <w:t>为5.3mg/m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、非甲烷总烃最大浓度为1.26m</w:t>
      </w:r>
      <w:r>
        <w:rPr>
          <w:rFonts w:hint="eastAsia" w:ascii="Times New Roman" w:hAnsi="Times New Roman" w:cs="Times New Roman"/>
          <w:sz w:val="24"/>
          <w:szCs w:val="24"/>
          <w:lang w:val="en-US" w:eastAsia="zh-CN"/>
        </w:rPr>
        <w:t>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 xml:space="preserve">， </w:t>
      </w:r>
      <w:r>
        <w:rPr>
          <w:rFonts w:hint="eastAsia" w:ascii="Times New Roman" w:hAnsi="Times New Roman" w:cs="Times New Roman"/>
          <w:sz w:val="24"/>
          <w:szCs w:val="24"/>
          <w:lang w:val="en-US" w:eastAsia="zh-CN"/>
        </w:rPr>
        <w:t>检测结果均符合《合成树脂工业污染物排放标准》（GB31572—2015）表4标准标准</w:t>
      </w:r>
      <w:r>
        <w:rPr>
          <w:rFonts w:hint="default" w:ascii="Times New Roman" w:hAnsi="Times New Roman" w:cs="Times New Roman"/>
          <w:sz w:val="24"/>
          <w:szCs w:val="24"/>
          <w:lang w:val="en-US" w:eastAsia="zh-CN"/>
        </w:rPr>
        <w:t>限值</w:t>
      </w:r>
      <w:r>
        <w:rPr>
          <w:rFonts w:hint="eastAsia" w:ascii="Times New Roman" w:hAnsi="Times New Roman" w:cs="Times New Roman"/>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无组织排</w:t>
      </w:r>
      <w:r>
        <w:rPr>
          <w:rFonts w:hint="eastAsia" w:ascii="Times New Roman" w:hAnsi="Times New Roman" w:cs="Times New Roman"/>
          <w:sz w:val="24"/>
          <w:szCs w:val="24"/>
          <w:lang w:val="en-US" w:eastAsia="zh-CN"/>
        </w:rPr>
        <w:t>放</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0" w:firstLineChars="200"/>
        <w:textAlignment w:val="auto"/>
        <w:outlineLvl w:val="9"/>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sz w:val="24"/>
          <w:szCs w:val="24"/>
          <w:lang w:eastAsia="zh-CN"/>
        </w:rPr>
        <w:t>项目无组织废气监测时间为</w:t>
      </w:r>
      <w:r>
        <w:rPr>
          <w:rFonts w:hint="default" w:ascii="Times New Roman" w:hAnsi="Times New Roman" w:eastAsia="宋体" w:cs="Times New Roman"/>
          <w:color w:val="000000"/>
          <w:sz w:val="24"/>
          <w:szCs w:val="24"/>
          <w:lang w:val="en-US" w:eastAsia="zh-CN" w:bidi="ar-SA"/>
        </w:rPr>
        <w:t>2018年</w:t>
      </w:r>
      <w:r>
        <w:rPr>
          <w:rFonts w:hint="eastAsia" w:ascii="Times New Roman" w:hAnsi="Times New Roman" w:eastAsia="宋体" w:cs="Times New Roman"/>
          <w:color w:val="000000"/>
          <w:sz w:val="24"/>
          <w:szCs w:val="24"/>
          <w:lang w:val="en-US" w:eastAsia="zh-CN" w:bidi="ar-SA"/>
        </w:rPr>
        <w:t>12</w:t>
      </w:r>
      <w:r>
        <w:rPr>
          <w:rFonts w:hint="default" w:ascii="Times New Roman" w:hAnsi="Times New Roman" w:eastAsia="宋体" w:cs="Times New Roman"/>
          <w:color w:val="000000"/>
          <w:sz w:val="24"/>
          <w:szCs w:val="24"/>
          <w:lang w:val="en-US" w:eastAsia="zh-CN" w:bidi="ar-SA"/>
        </w:rPr>
        <w:t>月</w:t>
      </w:r>
      <w:r>
        <w:rPr>
          <w:rFonts w:hint="eastAsia" w:ascii="Times New Roman" w:hAnsi="Times New Roman" w:eastAsia="宋体" w:cs="Times New Roman"/>
          <w:color w:val="000000"/>
          <w:sz w:val="24"/>
          <w:szCs w:val="24"/>
          <w:lang w:val="en-US" w:eastAsia="zh-CN" w:bidi="ar-SA"/>
        </w:rPr>
        <w:t>21</w:t>
      </w:r>
      <w:r>
        <w:rPr>
          <w:rFonts w:hint="default" w:ascii="Times New Roman" w:hAnsi="Times New Roman" w:eastAsia="宋体" w:cs="Times New Roman"/>
          <w:color w:val="000000"/>
          <w:sz w:val="24"/>
          <w:szCs w:val="24"/>
          <w:lang w:val="en-US" w:eastAsia="zh-CN" w:bidi="ar-SA"/>
        </w:rPr>
        <w:t>日至2018年</w:t>
      </w:r>
      <w:r>
        <w:rPr>
          <w:rFonts w:hint="eastAsia" w:ascii="Times New Roman" w:hAnsi="Times New Roman" w:eastAsia="宋体" w:cs="Times New Roman"/>
          <w:color w:val="000000"/>
          <w:sz w:val="24"/>
          <w:szCs w:val="24"/>
          <w:lang w:val="en-US" w:eastAsia="zh-CN" w:bidi="ar-SA"/>
        </w:rPr>
        <w:t>12</w:t>
      </w:r>
      <w:r>
        <w:rPr>
          <w:rFonts w:hint="default" w:ascii="Times New Roman" w:hAnsi="Times New Roman" w:eastAsia="宋体" w:cs="Times New Roman"/>
          <w:color w:val="000000"/>
          <w:sz w:val="24"/>
          <w:szCs w:val="24"/>
          <w:lang w:val="en-US" w:eastAsia="zh-CN" w:bidi="ar-SA"/>
        </w:rPr>
        <w:t>月</w:t>
      </w:r>
      <w:r>
        <w:rPr>
          <w:rFonts w:hint="eastAsia" w:ascii="Times New Roman" w:hAnsi="Times New Roman" w:eastAsia="宋体" w:cs="Times New Roman"/>
          <w:color w:val="000000"/>
          <w:sz w:val="24"/>
          <w:szCs w:val="24"/>
          <w:lang w:val="en-US" w:eastAsia="zh-CN" w:bidi="ar-SA"/>
        </w:rPr>
        <w:t>22</w:t>
      </w:r>
      <w:r>
        <w:rPr>
          <w:rFonts w:hint="default" w:ascii="Times New Roman" w:hAnsi="Times New Roman" w:eastAsia="宋体" w:cs="Times New Roman"/>
          <w:color w:val="000000"/>
          <w:sz w:val="24"/>
          <w:szCs w:val="24"/>
          <w:lang w:val="en-US" w:eastAsia="zh-CN" w:bidi="ar-SA"/>
        </w:rPr>
        <w:t>日</w:t>
      </w:r>
      <w:r>
        <w:rPr>
          <w:rFonts w:hint="eastAsia" w:ascii="Times New Roman" w:hAnsi="Times New Roman" w:eastAsia="宋体" w:cs="Times New Roman"/>
          <w:color w:val="000000"/>
          <w:sz w:val="24"/>
          <w:szCs w:val="24"/>
          <w:lang w:val="en-US" w:eastAsia="zh-CN" w:bidi="ar-SA"/>
        </w:rPr>
        <w:t>，监测期间气象参数一览表见表9-3：</w:t>
      </w:r>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rPr>
          <w:rFonts w:hint="eastAsia" w:ascii="Times New Roman" w:hAnsi="Times New Roman" w:eastAsia="宋体" w:cs="Times New Roman"/>
          <w:b/>
          <w:color w:val="000000"/>
          <w:sz w:val="24"/>
          <w:szCs w:val="24"/>
          <w:lang w:val="en-US" w:eastAsia="zh-CN"/>
        </w:rPr>
      </w:pPr>
      <w:bookmarkStart w:id="52" w:name="_Toc18542"/>
      <w:bookmarkStart w:id="53" w:name="_Toc20216"/>
      <w:r>
        <w:rPr>
          <w:rFonts w:hint="eastAsia" w:ascii="Times New Roman" w:hAnsi="Times New Roman" w:eastAsia="宋体" w:cs="Times New Roman"/>
          <w:b/>
          <w:color w:val="000000"/>
          <w:sz w:val="24"/>
          <w:szCs w:val="24"/>
          <w:lang w:val="en-US" w:eastAsia="zh-CN"/>
        </w:rPr>
        <w:t>表9-3 监测期间气象参数一览表</w:t>
      </w:r>
      <w:bookmarkEnd w:id="52"/>
      <w:bookmarkEnd w:id="53"/>
    </w:p>
    <w:tbl>
      <w:tblPr>
        <w:tblStyle w:val="17"/>
        <w:tblW w:w="828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357"/>
        <w:gridCol w:w="1357"/>
        <w:gridCol w:w="1526"/>
        <w:gridCol w:w="1258"/>
        <w:gridCol w:w="142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356"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时间</w:t>
            </w: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点位</w:t>
            </w: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气温℃</w:t>
            </w:r>
          </w:p>
        </w:tc>
        <w:tc>
          <w:tcPr>
            <w:tcW w:w="1526"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气压（kpa）</w:t>
            </w:r>
          </w:p>
        </w:tc>
        <w:tc>
          <w:tcPr>
            <w:tcW w:w="1258"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风向</w:t>
            </w:r>
          </w:p>
        </w:tc>
        <w:tc>
          <w:tcPr>
            <w:tcW w:w="1426"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风速（m/s）</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restart"/>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2018.12.21</w:t>
            </w: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G1</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12.5</w:t>
            </w:r>
          </w:p>
        </w:tc>
        <w:tc>
          <w:tcPr>
            <w:tcW w:w="15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100.6</w:t>
            </w:r>
          </w:p>
        </w:tc>
        <w:tc>
          <w:tcPr>
            <w:tcW w:w="125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continue"/>
            <w:tcBorders>
              <w:tl2br w:val="nil"/>
              <w:tr2bl w:val="nil"/>
            </w:tcBorders>
            <w:vAlign w:val="center"/>
          </w:tcPr>
          <w:p>
            <w:pPr>
              <w:pStyle w:val="24"/>
              <w:widowControl w:val="0"/>
              <w:adjustRightInd/>
              <w:snapToGrid/>
              <w:spacing w:after="0" w:afterLines="-2147483648"/>
            </w:pP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G2</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12.8</w:t>
            </w:r>
          </w:p>
        </w:tc>
        <w:tc>
          <w:tcPr>
            <w:tcW w:w="15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100.6</w:t>
            </w:r>
          </w:p>
        </w:tc>
        <w:tc>
          <w:tcPr>
            <w:tcW w:w="125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continue"/>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G3</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13.1</w:t>
            </w:r>
          </w:p>
        </w:tc>
        <w:tc>
          <w:tcPr>
            <w:tcW w:w="15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100.6</w:t>
            </w:r>
          </w:p>
        </w:tc>
        <w:tc>
          <w:tcPr>
            <w:tcW w:w="125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restart"/>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2018.12.22</w:t>
            </w: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G1</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10.2</w:t>
            </w:r>
          </w:p>
        </w:tc>
        <w:tc>
          <w:tcPr>
            <w:tcW w:w="15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100.7</w:t>
            </w:r>
          </w:p>
        </w:tc>
        <w:tc>
          <w:tcPr>
            <w:tcW w:w="125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 xml:space="preserve">北风 </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continue"/>
            <w:tcBorders>
              <w:tl2br w:val="nil"/>
              <w:tr2bl w:val="nil"/>
            </w:tcBorders>
            <w:vAlign w:val="center"/>
          </w:tcPr>
          <w:p>
            <w:pPr>
              <w:pStyle w:val="24"/>
              <w:widowControl w:val="0"/>
              <w:adjustRightInd/>
              <w:snapToGrid/>
              <w:spacing w:after="0" w:afterLines="-2147483648"/>
            </w:pP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G2</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10.4</w:t>
            </w:r>
          </w:p>
        </w:tc>
        <w:tc>
          <w:tcPr>
            <w:tcW w:w="15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100.7</w:t>
            </w:r>
          </w:p>
        </w:tc>
        <w:tc>
          <w:tcPr>
            <w:tcW w:w="125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1356" w:type="dxa"/>
            <w:vMerge w:val="continue"/>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357" w:type="dxa"/>
            <w:tcBorders>
              <w:tl2br w:val="nil"/>
              <w:tr2bl w:val="nil"/>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G3</w:t>
            </w:r>
          </w:p>
        </w:tc>
        <w:tc>
          <w:tcPr>
            <w:tcW w:w="135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10.5</w:t>
            </w:r>
          </w:p>
        </w:tc>
        <w:tc>
          <w:tcPr>
            <w:tcW w:w="15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100.7</w:t>
            </w:r>
          </w:p>
        </w:tc>
        <w:tc>
          <w:tcPr>
            <w:tcW w:w="125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i w:val="0"/>
                <w:color w:val="000000"/>
                <w:kern w:val="0"/>
                <w:sz w:val="21"/>
                <w:szCs w:val="21"/>
                <w:u w:val="none"/>
                <w:lang w:val="en-US" w:eastAsia="zh-CN" w:bidi="ar"/>
              </w:rPr>
              <w:t>北风</w:t>
            </w:r>
          </w:p>
        </w:tc>
        <w:tc>
          <w:tcPr>
            <w:tcW w:w="142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i w:val="0"/>
                <w:color w:val="000000"/>
                <w:kern w:val="0"/>
                <w:sz w:val="21"/>
                <w:szCs w:val="21"/>
                <w:u w:val="none"/>
                <w:lang w:val="en-US" w:eastAsia="zh-CN" w:bidi="ar"/>
              </w:rPr>
              <w:t>0.6</w:t>
            </w:r>
          </w:p>
        </w:tc>
      </w:tr>
    </w:tbl>
    <w:p>
      <w:pPr>
        <w:keepNext w:val="0"/>
        <w:keepLines w:val="0"/>
        <w:pageBreakBefore w:val="0"/>
        <w:widowControl/>
        <w:kinsoku/>
        <w:wordWrap/>
        <w:overflowPunct/>
        <w:topLinePunct w:val="0"/>
        <w:autoSpaceDE/>
        <w:autoSpaceDN/>
        <w:bidi w:val="0"/>
        <w:adjustRightInd w:val="0"/>
        <w:snapToGrid w:val="0"/>
        <w:spacing w:before="300" w:beforeLines="100" w:beforeAutospacing="0" w:after="0" w:afterLines="0" w:afterAutospacing="0" w:line="360" w:lineRule="auto"/>
        <w:ind w:firstLine="480" w:firstLineChars="200"/>
        <w:textAlignment w:val="auto"/>
        <w:outlineLvl w:val="9"/>
        <w:rPr>
          <w:rFonts w:hint="eastAsia" w:ascii="Times New Roman" w:hAnsi="Times New Roman" w:eastAsia="宋体" w:cs="Times New Roman"/>
          <w:sz w:val="24"/>
          <w:szCs w:val="24"/>
          <w:lang w:val="en-US" w:eastAsia="zh-CN"/>
        </w:rPr>
      </w:pPr>
      <w:bookmarkStart w:id="54" w:name="_Toc14852"/>
      <w:bookmarkStart w:id="55" w:name="_Toc3859"/>
      <w:r>
        <w:rPr>
          <w:rFonts w:hint="eastAsia" w:ascii="Times New Roman" w:hAnsi="Times New Roman" w:eastAsia="宋体" w:cs="Times New Roman"/>
          <w:sz w:val="24"/>
          <w:szCs w:val="24"/>
          <w:lang w:val="en-US" w:eastAsia="zh-CN"/>
        </w:rPr>
        <w:t>项目无组织废气监测结果一览表见表</w:t>
      </w:r>
      <w:r>
        <w:rPr>
          <w:rFonts w:hint="default" w:ascii="Times New Roman" w:hAnsi="Times New Roman" w:eastAsia="宋体" w:cs="Times New Roman"/>
          <w:sz w:val="24"/>
          <w:szCs w:val="24"/>
          <w:lang w:val="en-US" w:eastAsia="zh-CN"/>
        </w:rPr>
        <w:t>9-</w:t>
      </w:r>
      <w:r>
        <w:rPr>
          <w:rFonts w:hint="eastAsia" w:ascii="Times New Roman" w:hAnsi="Times New Roman" w:eastAsia="宋体" w:cs="Times New Roman"/>
          <w:sz w:val="24"/>
          <w:szCs w:val="24"/>
          <w:lang w:val="en-US" w:eastAsia="zh-CN"/>
        </w:rPr>
        <w:t>4：</w:t>
      </w:r>
      <w:bookmarkEnd w:id="54"/>
      <w:bookmarkEnd w:id="55"/>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ind w:firstLine="482" w:firstLineChars="200"/>
        <w:jc w:val="center"/>
        <w:textAlignment w:val="auto"/>
        <w:rPr>
          <w:rFonts w:hint="default" w:ascii="Times New Roman" w:hAnsi="Times New Roman" w:eastAsia="宋体" w:cs="Times New Roman"/>
          <w:b/>
          <w:bCs/>
          <w:color w:val="auto"/>
          <w:sz w:val="24"/>
          <w:szCs w:val="24"/>
          <w:lang w:val="en-US" w:eastAsia="zh-CN"/>
        </w:rPr>
      </w:pPr>
      <w:bookmarkStart w:id="56" w:name="_Toc3838"/>
      <w:bookmarkStart w:id="57" w:name="_Toc3024"/>
      <w:r>
        <w:rPr>
          <w:rFonts w:hint="default" w:ascii="Times New Roman" w:hAnsi="Times New Roman" w:eastAsia="宋体" w:cs="Times New Roman"/>
          <w:b/>
          <w:bCs/>
          <w:color w:val="auto"/>
          <w:sz w:val="24"/>
          <w:szCs w:val="24"/>
          <w:lang w:val="en-US" w:eastAsia="zh-CN"/>
        </w:rPr>
        <w:t>表9-</w:t>
      </w:r>
      <w:r>
        <w:rPr>
          <w:rFonts w:hint="eastAsia" w:ascii="Times New Roman" w:hAnsi="Times New Roman" w:eastAsia="宋体" w:cs="Times New Roman"/>
          <w:b/>
          <w:bCs/>
          <w:color w:val="auto"/>
          <w:sz w:val="24"/>
          <w:szCs w:val="24"/>
          <w:lang w:val="en-US" w:eastAsia="zh-CN"/>
        </w:rPr>
        <w:t xml:space="preserve">4 </w:t>
      </w:r>
      <w:r>
        <w:rPr>
          <w:rFonts w:hint="default" w:ascii="Times New Roman" w:hAnsi="Times New Roman" w:eastAsia="宋体" w:cs="Times New Roman"/>
          <w:b/>
          <w:bCs/>
          <w:color w:val="auto"/>
          <w:sz w:val="24"/>
          <w:szCs w:val="24"/>
          <w:lang w:eastAsia="zh-CN"/>
        </w:rPr>
        <w:t>无</w:t>
      </w:r>
      <w:r>
        <w:rPr>
          <w:rFonts w:hint="default" w:ascii="Times New Roman" w:hAnsi="Times New Roman" w:eastAsia="宋体" w:cs="Times New Roman"/>
          <w:b/>
          <w:bCs/>
          <w:color w:val="auto"/>
          <w:sz w:val="24"/>
          <w:szCs w:val="24"/>
        </w:rPr>
        <w:t>组织废气监测结果一览表</w:t>
      </w:r>
      <w:bookmarkEnd w:id="56"/>
      <w:bookmarkEnd w:id="57"/>
      <w:r>
        <w:rPr>
          <w:rFonts w:hint="default" w:ascii="Times New Roman" w:hAnsi="Times New Roman" w:eastAsia="宋体" w:cs="Times New Roman"/>
          <w:b/>
          <w:bCs/>
          <w:color w:val="auto"/>
          <w:sz w:val="24"/>
          <w:szCs w:val="24"/>
        </w:rPr>
        <w:t xml:space="preserve">  </w:t>
      </w:r>
    </w:p>
    <w:tbl>
      <w:tblPr>
        <w:tblStyle w:val="17"/>
        <w:tblW w:w="838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0"/>
        <w:gridCol w:w="765"/>
        <w:gridCol w:w="885"/>
        <w:gridCol w:w="1178"/>
        <w:gridCol w:w="1178"/>
        <w:gridCol w:w="1180"/>
        <w:gridCol w:w="945"/>
        <w:gridCol w:w="660"/>
        <w:gridCol w:w="6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2600" w:type="dxa"/>
            <w:gridSpan w:val="3"/>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 xml:space="preserve"> 项目/日期/频次</w:t>
            </w:r>
          </w:p>
        </w:tc>
        <w:tc>
          <w:tcPr>
            <w:tcW w:w="4481" w:type="dxa"/>
            <w:gridSpan w:val="4"/>
            <w:tcBorders>
              <w:tl2br w:val="nil"/>
              <w:tr2bl w:val="nil"/>
            </w:tcBorders>
            <w:vAlign w:val="center"/>
          </w:tcPr>
          <w:p>
            <w:pPr>
              <w:pStyle w:val="24"/>
              <w:widowControl w:val="0"/>
              <w:adjustRightInd/>
              <w:snapToGrid/>
              <w:spacing w:after="0" w:afterLines="-2147483648" w:line="360" w:lineRule="auto"/>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监测结果(</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-342900</wp:posOffset>
                      </wp:positionH>
                      <wp:positionV relativeFrom="paragraph">
                        <wp:posOffset>327660</wp:posOffset>
                      </wp:positionV>
                      <wp:extent cx="635"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pt;margin-top:25.8pt;height:0pt;width:0.05pt;z-index:251810816;mso-width-relative:page;mso-height-relative:page;" filled="f" stroked="t" coordsize="21600,21600" o:gfxdata="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XvJzNgAAAAJAQAADwAAAAAAAAAB&#10;ACAAAAAiAAAAZHJzL2Rvd25yZXYueG1sUEsBAhQAFAAAAAgAh07iQNQeqKXXAQAAkgMAAA4AAAAA&#10;AAAAAQAgAAAAJwEAAGRycy9lMm9Eb2MueG1sUEsFBgAAAAAGAAYAWQEAAHAFAAAAAA==&#10;">
                      <v:fill on="f" focussize="0,0"/>
                      <v:stroke color="#000000" joinstyle="round"/>
                      <v:imagedata o:title=""/>
                      <o:lock v:ext="edit" aspectratio="f"/>
                    </v:line>
                  </w:pict>
                </mc:Fallback>
              </mc:AlternateConten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单位：浓度mg/m</w:t>
            </w:r>
            <w:r>
              <w:rPr>
                <w:rFonts w:hint="default" w:ascii="Times New Roman" w:hAnsi="Times New Roman" w:eastAsia="宋体" w:cs="Times New Roman"/>
                <w:color w:val="000000" w:themeColor="text1"/>
                <w:kern w:val="2"/>
                <w:sz w:val="21"/>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t>)</w:t>
            </w:r>
          </w:p>
        </w:tc>
        <w:tc>
          <w:tcPr>
            <w:tcW w:w="660"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标准限值</w:t>
            </w:r>
          </w:p>
        </w:tc>
        <w:tc>
          <w:tcPr>
            <w:tcW w:w="645"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是否达标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2600" w:type="dxa"/>
            <w:gridSpan w:val="3"/>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1178"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上</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风向G1</w:t>
            </w:r>
          </w:p>
        </w:tc>
        <w:tc>
          <w:tcPr>
            <w:tcW w:w="1178"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下风向</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G2</w:t>
            </w:r>
          </w:p>
        </w:tc>
        <w:tc>
          <w:tcPr>
            <w:tcW w:w="1180"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厂界</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下风向</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G3</w:t>
            </w:r>
          </w:p>
        </w:tc>
        <w:tc>
          <w:tcPr>
            <w:tcW w:w="94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最大排放浓度</w:t>
            </w:r>
          </w:p>
        </w:tc>
        <w:tc>
          <w:tcPr>
            <w:tcW w:w="66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50"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颗粒物（无组织）</w:t>
            </w:r>
          </w:p>
        </w:tc>
        <w:tc>
          <w:tcPr>
            <w:tcW w:w="765"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21</w:t>
            </w: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第一次</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0.176</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0.206</w:t>
            </w:r>
          </w:p>
        </w:tc>
        <w:tc>
          <w:tcPr>
            <w:tcW w:w="1180"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0.218</w:t>
            </w:r>
          </w:p>
        </w:tc>
        <w:tc>
          <w:tcPr>
            <w:tcW w:w="945"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0.218</w:t>
            </w:r>
          </w:p>
        </w:tc>
        <w:tc>
          <w:tcPr>
            <w:tcW w:w="660"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1.0</w:t>
            </w:r>
          </w:p>
        </w:tc>
        <w:tc>
          <w:tcPr>
            <w:tcW w:w="645"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76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第二次</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0.181</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0.215</w:t>
            </w:r>
          </w:p>
        </w:tc>
        <w:tc>
          <w:tcPr>
            <w:tcW w:w="1180"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0.216</w:t>
            </w:r>
          </w:p>
        </w:tc>
        <w:tc>
          <w:tcPr>
            <w:tcW w:w="9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6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p>
        </w:tc>
        <w:tc>
          <w:tcPr>
            <w:tcW w:w="76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第三次</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0.172</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0.203</w:t>
            </w:r>
          </w:p>
        </w:tc>
        <w:tc>
          <w:tcPr>
            <w:tcW w:w="1180"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0.21</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w:t>
            </w:r>
          </w:p>
        </w:tc>
        <w:tc>
          <w:tcPr>
            <w:tcW w:w="9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6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765"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2018-</w:t>
            </w:r>
          </w:p>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22</w:t>
            </w: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第一次</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0.152</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0.181</w:t>
            </w:r>
          </w:p>
        </w:tc>
        <w:tc>
          <w:tcPr>
            <w:tcW w:w="1180"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0.193</w:t>
            </w:r>
          </w:p>
        </w:tc>
        <w:tc>
          <w:tcPr>
            <w:tcW w:w="945"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0.194</w:t>
            </w:r>
          </w:p>
        </w:tc>
        <w:tc>
          <w:tcPr>
            <w:tcW w:w="66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45" w:type="dxa"/>
            <w:vMerge w:val="restart"/>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76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第二次</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0.167</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0.174</w:t>
            </w:r>
          </w:p>
        </w:tc>
        <w:tc>
          <w:tcPr>
            <w:tcW w:w="1180"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0.181</w:t>
            </w:r>
          </w:p>
        </w:tc>
        <w:tc>
          <w:tcPr>
            <w:tcW w:w="9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6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624" w:hRule="atLeast"/>
          <w:jc w:val="center"/>
        </w:trPr>
        <w:tc>
          <w:tcPr>
            <w:tcW w:w="95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76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885" w:type="dxa"/>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第三次</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0.159</w:t>
            </w:r>
          </w:p>
        </w:tc>
        <w:tc>
          <w:tcPr>
            <w:tcW w:w="1178"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0.187</w:t>
            </w:r>
          </w:p>
        </w:tc>
        <w:tc>
          <w:tcPr>
            <w:tcW w:w="1180" w:type="dxa"/>
            <w:tcBorders>
              <w:tl2br w:val="nil"/>
              <w:tr2bl w:val="nil"/>
            </w:tcBorders>
            <w:vAlign w:val="center"/>
          </w:tcPr>
          <w:p>
            <w:pPr>
              <w:pStyle w:val="24"/>
              <w:widowControl w:val="0"/>
              <w:adjustRightInd/>
              <w:snapToGrid/>
              <w:spacing w:after="0" w:afterLines="-2147483648" w:line="240" w:lineRule="auto"/>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0.194</w:t>
            </w:r>
          </w:p>
        </w:tc>
        <w:tc>
          <w:tcPr>
            <w:tcW w:w="9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60"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c>
          <w:tcPr>
            <w:tcW w:w="645" w:type="dxa"/>
            <w:vMerge w:val="continue"/>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atLeast"/>
          <w:jc w:val="center"/>
        </w:trPr>
        <w:tc>
          <w:tcPr>
            <w:tcW w:w="8386" w:type="dxa"/>
            <w:gridSpan w:val="9"/>
            <w:tcBorders>
              <w:tl2br w:val="nil"/>
              <w:tr2bl w:val="nil"/>
            </w:tcBorders>
            <w:vAlign w:val="center"/>
          </w:tcPr>
          <w:p>
            <w:pPr>
              <w:pStyle w:val="24"/>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备注</w:t>
            </w: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：《合成树脂工业污染物排放标准》（GB31572—2015）表9企业边界大气污染物限值标准</w:t>
            </w:r>
            <w: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w:t>
            </w:r>
          </w:p>
        </w:tc>
      </w:tr>
    </w:tbl>
    <w:p>
      <w:pPr>
        <w:keepNext w:val="0"/>
        <w:keepLines w:val="0"/>
        <w:pageBreakBefore w:val="0"/>
        <w:widowControl/>
        <w:kinsoku/>
        <w:wordWrap/>
        <w:overflowPunct/>
        <w:topLinePunct w:val="0"/>
        <w:autoSpaceDE/>
        <w:autoSpaceDN/>
        <w:bidi w:val="0"/>
        <w:adjustRightInd w:val="0"/>
        <w:snapToGrid w:val="0"/>
        <w:spacing w:before="157" w:beforeLines="50" w:beforeAutospacing="0" w:after="0" w:afterLines="0" w:afterAutospacing="0" w:line="360" w:lineRule="auto"/>
        <w:ind w:firstLine="480" w:firstLineChars="200"/>
        <w:textAlignment w:val="auto"/>
        <w:outlineLvl w:val="9"/>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由表9-</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可知：验收监测期间，该项目无组织废气（厂界上风向、厂界下风向）监测点位中：颗粒物最大</w:t>
      </w:r>
      <w:r>
        <w:rPr>
          <w:rFonts w:hint="eastAsia" w:ascii="Times New Roman" w:hAnsi="Times New Roman" w:eastAsia="宋体" w:cs="Times New Roman"/>
          <w:sz w:val="24"/>
          <w:szCs w:val="24"/>
          <w:lang w:val="en-US" w:eastAsia="zh-CN"/>
        </w:rPr>
        <w:t>排放</w:t>
      </w:r>
      <w:r>
        <w:rPr>
          <w:rFonts w:hint="eastAsia" w:ascii="Times New Roman" w:hAnsi="Times New Roman" w:eastAsia="宋体" w:cs="Times New Roman"/>
          <w:sz w:val="24"/>
          <w:szCs w:val="24"/>
          <w:lang w:eastAsia="zh-CN"/>
        </w:rPr>
        <w:t>浓度为</w:t>
      </w:r>
      <w:r>
        <w:rPr>
          <w:rFonts w:hint="eastAsia" w:ascii="Times New Roman" w:hAnsi="Times New Roman" w:eastAsia="宋体" w:cs="Times New Roman"/>
          <w:color w:val="000000" w:themeColor="text1"/>
          <w:sz w:val="24"/>
          <w:szCs w:val="24"/>
          <w:lang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218</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sz w:val="24"/>
          <w:szCs w:val="24"/>
          <w:lang w:eastAsia="zh-CN"/>
        </w:rPr>
        <w:t>g/m</w:t>
      </w:r>
      <w:r>
        <w:rPr>
          <w:rFonts w:hint="eastAsia" w:ascii="Times New Roman" w:hAnsi="Times New Roman" w:eastAsia="宋体" w:cs="Times New Roman"/>
          <w:sz w:val="24"/>
          <w:szCs w:val="24"/>
          <w:vertAlign w:val="superscript"/>
          <w:lang w:eastAsia="zh-CN"/>
        </w:rPr>
        <w:t>3</w:t>
      </w:r>
      <w:r>
        <w:rPr>
          <w:rFonts w:hint="eastAsia" w:ascii="Times New Roman" w:hAnsi="Times New Roman" w:eastAsia="宋体" w:cs="Times New Roman"/>
          <w:sz w:val="24"/>
          <w:szCs w:val="24"/>
          <w:lang w:eastAsia="zh-CN"/>
        </w:rPr>
        <w:t>符合</w:t>
      </w:r>
      <w:r>
        <w:rPr>
          <w:rFonts w:hint="eastAsia" w:ascii="Times New Roman" w:hAnsi="Times New Roman" w:eastAsia="宋体" w:cs="Times New Roman"/>
          <w:sz w:val="24"/>
          <w:szCs w:val="24"/>
          <w:lang w:val="en-US" w:eastAsia="zh-CN"/>
        </w:rPr>
        <w:t>《合成树脂工业污染物排放标准》（GB31572—2015）表9企业边界大气污染物限值标准</w:t>
      </w:r>
      <w:r>
        <w:rPr>
          <w:rFonts w:hint="eastAsia" w:ascii="Times New Roman" w:hAnsi="Times New Roman" w:eastAsia="宋体" w:cs="Times New Roman"/>
          <w:sz w:val="24"/>
          <w:szCs w:val="24"/>
          <w:lang w:eastAsia="zh-CN"/>
        </w:rPr>
        <w:t>。</w:t>
      </w:r>
    </w:p>
    <w:p>
      <w:pPr>
        <w:pStyle w:val="9"/>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58" w:name="_Toc20587"/>
      <w:r>
        <w:rPr>
          <w:rFonts w:hint="default" w:ascii="Times New Roman" w:hAnsi="Times New Roman" w:eastAsia="宋体" w:cs="Times New Roman"/>
          <w:b/>
          <w:sz w:val="30"/>
          <w:szCs w:val="30"/>
          <w:lang w:val="en-US" w:eastAsia="zh-CN"/>
        </w:rPr>
        <w:t>9.3 厂界噪声</w:t>
      </w:r>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bookmarkStart w:id="59" w:name="_Toc15706"/>
      <w:bookmarkStart w:id="60" w:name="_Toc6579"/>
      <w:r>
        <w:rPr>
          <w:rFonts w:hint="eastAsia" w:ascii="Times New Roman" w:hAnsi="Times New Roman" w:cs="Times New Roman"/>
          <w:sz w:val="24"/>
          <w:szCs w:val="24"/>
          <w:lang w:eastAsia="zh-CN"/>
        </w:rPr>
        <w:t>项目噪声监测结果见表</w:t>
      </w:r>
      <w:r>
        <w:rPr>
          <w:rFonts w:hint="default" w:ascii="Times New Roman" w:hAnsi="Times New Roman" w:cs="Times New Roman"/>
          <w:sz w:val="24"/>
          <w:szCs w:val="24"/>
          <w:lang w:val="en-US" w:eastAsia="zh-CN"/>
        </w:rPr>
        <w:t>9-</w:t>
      </w:r>
      <w:r>
        <w:rPr>
          <w:rFonts w:hint="eastAsia" w:ascii="Times New Roman" w:hAnsi="Times New Roman" w:cs="Times New Roman"/>
          <w:sz w:val="24"/>
          <w:szCs w:val="24"/>
          <w:lang w:val="en-US" w:eastAsia="zh-CN"/>
        </w:rPr>
        <w:t>5：</w:t>
      </w:r>
      <w:bookmarkEnd w:id="59"/>
      <w:bookmarkEnd w:id="60"/>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360" w:lineRule="auto"/>
        <w:jc w:val="center"/>
        <w:textAlignment w:val="auto"/>
        <w:outlineLvl w:val="9"/>
        <w:rPr>
          <w:rFonts w:hint="default" w:ascii="Times New Roman" w:hAnsi="Times New Roman" w:eastAsia="宋体" w:cs="Times New Roman"/>
          <w:b/>
          <w:color w:val="000000"/>
          <w:sz w:val="24"/>
          <w:szCs w:val="24"/>
          <w:lang w:val="zh-CN" w:eastAsia="zh-CN"/>
        </w:rPr>
      </w:pPr>
      <w:r>
        <w:rPr>
          <w:rFonts w:hint="default" w:ascii="Times New Roman" w:hAnsi="Times New Roman" w:eastAsia="宋体" w:cs="Times New Roman"/>
          <w:b/>
          <w:color w:val="000000"/>
          <w:sz w:val="24"/>
          <w:szCs w:val="24"/>
          <w:lang w:val="zh-CN" w:eastAsia="zh-CN"/>
        </w:rPr>
        <w:t>表</w:t>
      </w:r>
      <w:r>
        <w:rPr>
          <w:rFonts w:hint="eastAsia" w:ascii="Times New Roman" w:hAnsi="Times New Roman" w:eastAsia="宋体" w:cs="Times New Roman"/>
          <w:b/>
          <w:color w:val="000000"/>
          <w:sz w:val="24"/>
          <w:szCs w:val="24"/>
          <w:lang w:val="en-US" w:eastAsia="zh-CN"/>
        </w:rPr>
        <w:t>9</w:t>
      </w:r>
      <w:r>
        <w:rPr>
          <w:rFonts w:hint="default" w:ascii="Times New Roman" w:hAnsi="Times New Roman" w:eastAsia="宋体" w:cs="Times New Roman"/>
          <w:b/>
          <w:color w:val="000000"/>
          <w:sz w:val="24"/>
          <w:szCs w:val="24"/>
          <w:lang w:val="zh-CN" w:eastAsia="zh-CN"/>
        </w:rPr>
        <w:t>-</w:t>
      </w:r>
      <w:r>
        <w:rPr>
          <w:rFonts w:hint="eastAsia" w:ascii="Times New Roman" w:hAnsi="Times New Roman" w:eastAsia="宋体" w:cs="Times New Roman"/>
          <w:b/>
          <w:color w:val="000000"/>
          <w:sz w:val="24"/>
          <w:szCs w:val="24"/>
          <w:lang w:val="en-US" w:eastAsia="zh-CN"/>
        </w:rPr>
        <w:t>5</w:t>
      </w:r>
      <w:r>
        <w:rPr>
          <w:rFonts w:hint="default" w:ascii="Times New Roman" w:hAnsi="Times New Roman" w:eastAsia="宋体" w:cs="Times New Roman"/>
          <w:b/>
          <w:color w:val="000000"/>
          <w:sz w:val="24"/>
          <w:szCs w:val="24"/>
          <w:lang w:val="zh-CN" w:eastAsia="zh-CN"/>
        </w:rPr>
        <w:t xml:space="preserve"> 噪声监测结果    单位dB(A)</w:t>
      </w:r>
    </w:p>
    <w:tbl>
      <w:tblPr>
        <w:tblStyle w:val="17"/>
        <w:tblW w:w="830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065"/>
        <w:gridCol w:w="1140"/>
        <w:gridCol w:w="825"/>
        <w:gridCol w:w="825"/>
        <w:gridCol w:w="1540"/>
        <w:gridCol w:w="1541"/>
        <w:gridCol w:w="6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测点编号</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测点位置</w:t>
            </w:r>
          </w:p>
        </w:tc>
        <w:tc>
          <w:tcPr>
            <w:tcW w:w="11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监测时间</w:t>
            </w:r>
          </w:p>
        </w:tc>
        <w:tc>
          <w:tcPr>
            <w:tcW w:w="1650"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噪声测量结果Leq（A）</w:t>
            </w:r>
          </w:p>
        </w:tc>
        <w:tc>
          <w:tcPr>
            <w:tcW w:w="3081" w:type="dxa"/>
            <w:gridSpan w:val="2"/>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《工业企业厂界噪声排放标准》（GB12348-200</w:t>
            </w:r>
            <w:r>
              <w:rPr>
                <w:rFonts w:hint="eastAsia" w:ascii="Times New Roman" w:hAnsi="Times New Roman" w:eastAsia="宋体" w:cs="Times New Roman"/>
                <w:bCs/>
                <w:sz w:val="21"/>
                <w:szCs w:val="21"/>
                <w:lang w:val="en-US" w:eastAsia="zh-CN"/>
              </w:rPr>
              <w:t>8</w:t>
            </w:r>
            <w:r>
              <w:rPr>
                <w:rFonts w:hint="default" w:ascii="Times New Roman" w:hAnsi="Times New Roman" w:eastAsia="宋体" w:cs="Times New Roman"/>
                <w:bCs/>
                <w:sz w:val="21"/>
                <w:szCs w:val="21"/>
              </w:rPr>
              <w:t>）</w:t>
            </w:r>
            <w:r>
              <w:rPr>
                <w:rFonts w:hint="eastAsia" w:ascii="Times New Roman" w:hAnsi="Times New Roman" w:eastAsia="宋体" w:cs="Times New Roman"/>
                <w:bCs/>
                <w:sz w:val="21"/>
                <w:szCs w:val="21"/>
                <w:lang w:val="en-US" w:eastAsia="zh-CN"/>
              </w:rPr>
              <w:t>3</w:t>
            </w:r>
            <w:r>
              <w:rPr>
                <w:rFonts w:hint="default" w:ascii="Times New Roman" w:hAnsi="Times New Roman" w:eastAsia="宋体" w:cs="Times New Roman"/>
                <w:bCs/>
                <w:sz w:val="21"/>
                <w:szCs w:val="21"/>
              </w:rPr>
              <w:t>类标准</w:t>
            </w:r>
          </w:p>
        </w:tc>
        <w:tc>
          <w:tcPr>
            <w:tcW w:w="67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p>
        </w:tc>
        <w:tc>
          <w:tcPr>
            <w:tcW w:w="11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8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夜间</w:t>
            </w:r>
          </w:p>
        </w:tc>
        <w:tc>
          <w:tcPr>
            <w:tcW w:w="15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tc>
        <w:tc>
          <w:tcPr>
            <w:tcW w:w="1541"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夜间</w:t>
            </w:r>
          </w:p>
        </w:tc>
        <w:tc>
          <w:tcPr>
            <w:tcW w:w="67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360" w:lineRule="auto"/>
              <w:ind w:left="0"/>
              <w:jc w:val="center"/>
              <w:textAlignment w:val="auto"/>
              <w:outlineLvl w:val="9"/>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N1</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厂界东</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53.2</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43.7</w:t>
            </w:r>
          </w:p>
        </w:tc>
        <w:tc>
          <w:tcPr>
            <w:tcW w:w="1540"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w:t>
            </w:r>
            <w:r>
              <w:rPr>
                <w:rFonts w:hint="eastAsia" w:ascii="Times New Roman" w:hAnsi="Times New Roman" w:eastAsia="宋体" w:cs="Times New Roman"/>
                <w:sz w:val="21"/>
                <w:szCs w:val="21"/>
                <w:lang w:val="en-US" w:eastAsia="zh-CN"/>
              </w:rPr>
              <w:t>5</w:t>
            </w:r>
          </w:p>
        </w:tc>
        <w:tc>
          <w:tcPr>
            <w:tcW w:w="1541"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r>
              <w:rPr>
                <w:rFonts w:hint="eastAsia" w:ascii="Times New Roman" w:hAnsi="Times New Roman" w:eastAsia="宋体" w:cs="Times New Roman"/>
                <w:sz w:val="21"/>
                <w:szCs w:val="21"/>
                <w:lang w:val="en-US" w:eastAsia="zh-CN"/>
              </w:rPr>
              <w:t>5</w:t>
            </w: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52.8</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 xml:space="preserve">44.1 </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N2</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厂界南</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53.5</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43.5</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54.1</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42.8</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N3</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厂界西</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55.4</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45.2</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lang w:val="en-US" w:eastAsia="zh-CN"/>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54.9</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44.6</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N4</w:t>
            </w:r>
          </w:p>
        </w:tc>
        <w:tc>
          <w:tcPr>
            <w:tcW w:w="106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厂界北</w:t>
            </w: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21</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56.7</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46.1</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06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1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leftChars="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12</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lang w:val="en-US" w:eastAsia="zh-CN"/>
              </w:rPr>
              <w:t>日</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57.3</w:t>
            </w:r>
          </w:p>
        </w:tc>
        <w:tc>
          <w:tcPr>
            <w:tcW w:w="82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45.7</w:t>
            </w:r>
          </w:p>
        </w:tc>
        <w:tc>
          <w:tcPr>
            <w:tcW w:w="154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1541"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p>
        </w:tc>
        <w:tc>
          <w:tcPr>
            <w:tcW w:w="679"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beforeAutospacing="0" w:after="0" w:afterLines="0" w:afterAutospacing="0" w:line="240" w:lineRule="auto"/>
              <w:ind w:left="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是</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综上所述，验收期间，项目厂界昼间最大等效噪声值为</w:t>
      </w:r>
      <w:r>
        <w:rPr>
          <w:rFonts w:hint="eastAsia" w:ascii="Times New Roman" w:hAnsi="Times New Roman" w:cs="Times New Roman"/>
          <w:sz w:val="24"/>
          <w:szCs w:val="24"/>
          <w:lang w:val="en-US" w:eastAsia="zh-CN"/>
        </w:rPr>
        <w:t>57.3</w:t>
      </w:r>
      <w:r>
        <w:rPr>
          <w:rFonts w:hint="default" w:ascii="Times New Roman" w:hAnsi="Times New Roman" w:cs="Times New Roman"/>
          <w:sz w:val="24"/>
          <w:szCs w:val="24"/>
          <w:lang w:val="en-US" w:eastAsia="zh-CN"/>
        </w:rPr>
        <w:t>dB（A），夜间最大等效噪声值为</w:t>
      </w:r>
      <w:r>
        <w:rPr>
          <w:rFonts w:hint="eastAsia" w:ascii="Times New Roman" w:hAnsi="Times New Roman" w:cs="Times New Roman"/>
          <w:sz w:val="24"/>
          <w:szCs w:val="24"/>
          <w:lang w:val="en-US" w:eastAsia="zh-CN"/>
        </w:rPr>
        <w:t>46.1</w:t>
      </w:r>
      <w:r>
        <w:rPr>
          <w:rFonts w:hint="default" w:ascii="Times New Roman" w:hAnsi="Times New Roman" w:cs="Times New Roman"/>
          <w:sz w:val="24"/>
          <w:szCs w:val="24"/>
          <w:lang w:val="en-US" w:eastAsia="zh-CN"/>
        </w:rPr>
        <w:t>dB（A）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满足《工业企业厂界噪声排放标准》（GB12348-200</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类标准</w:t>
      </w:r>
      <w:r>
        <w:rPr>
          <w:rFonts w:hint="default" w:ascii="Times New Roman" w:hAnsi="Times New Roman" w:cs="Times New Roman"/>
          <w:sz w:val="24"/>
          <w:szCs w:val="24"/>
        </w:rPr>
        <w:t>。</w:t>
      </w:r>
    </w:p>
    <w:p>
      <w:pPr>
        <w:rPr>
          <w:rFonts w:hint="eastAsia"/>
          <w:lang w:val="en-US" w:eastAsia="zh-CN"/>
        </w:rPr>
      </w:pPr>
      <w:bookmarkStart w:id="61" w:name="_Toc9340"/>
      <w:bookmarkStart w:id="62" w:name="_Toc10741_WPSOffice_Level1"/>
      <w:bookmarkStart w:id="63" w:name="_Toc11805_WPSOffice_Level1"/>
      <w:bookmarkStart w:id="64" w:name="_Toc10340"/>
      <w:bookmarkStart w:id="65" w:name="_Toc4216"/>
      <w:bookmarkStart w:id="66" w:name="_Toc4274_WPSOffice_Level1"/>
      <w:bookmarkStart w:id="67" w:name="_Toc27479"/>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eastAsia="宋体" w:cs="Times New Roman"/>
          <w:b/>
          <w:lang w:val="en-US" w:eastAsia="zh-CN"/>
        </w:rPr>
      </w:pPr>
      <w:bookmarkStart w:id="68" w:name="_Toc15673"/>
      <w:r>
        <w:rPr>
          <w:rFonts w:hint="eastAsia" w:ascii="Times New Roman" w:hAnsi="Times New Roman" w:eastAsia="宋体" w:cs="Times New Roman"/>
          <w:b/>
          <w:lang w:val="en-US" w:eastAsia="zh-CN"/>
        </w:rPr>
        <w:t>10环评批复落实情况检查</w:t>
      </w:r>
      <w:bookmarkEnd w:id="61"/>
      <w:bookmarkEnd w:id="62"/>
      <w:bookmarkEnd w:id="63"/>
      <w:bookmarkEnd w:id="64"/>
      <w:bookmarkEnd w:id="65"/>
      <w:bookmarkEnd w:id="66"/>
      <w:bookmarkEnd w:id="67"/>
      <w:bookmarkEnd w:id="6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《关于年产1000吨水溶性蜡生产线建设项目环境影响报告表的批复》安环审（表）〔2018〕040号文件批复要求如下：</w:t>
      </w:r>
    </w:p>
    <w:p>
      <w:pPr>
        <w:pStyle w:val="28"/>
        <w:keepNext w:val="0"/>
        <w:keepLines w:val="0"/>
        <w:pageBreakBefore w:val="0"/>
        <w:widowControl w:val="0"/>
        <w:kinsoku/>
        <w:wordWrap/>
        <w:overflowPunct/>
        <w:topLinePunct w:val="0"/>
        <w:autoSpaceDE/>
        <w:autoSpaceDN/>
        <w:bidi w:val="0"/>
        <w:adjustRightInd/>
        <w:snapToGrid/>
        <w:spacing w:after="80" w:line="500" w:lineRule="exact"/>
        <w:ind w:left="0" w:leftChars="0" w:right="0" w:rightChars="0"/>
        <w:textAlignment w:val="auto"/>
        <w:outlineLvl w:val="9"/>
        <w:rPr>
          <w:rFonts w:hint="eastAsia" w:ascii="Times New Roman" w:hAnsi="Times New Roman" w:eastAsia="宋体" w:cs="Times New Roman"/>
          <w:b/>
          <w:bCs/>
          <w:highlight w:val="none"/>
        </w:rPr>
      </w:pPr>
      <w:r>
        <w:rPr>
          <w:rFonts w:hint="eastAsia" w:ascii="Times New Roman" w:hAnsi="Times New Roman" w:eastAsia="宋体" w:cs="Times New Roman"/>
          <w:b/>
          <w:bCs/>
          <w:highlight w:val="none"/>
        </w:rPr>
        <w:t>表</w:t>
      </w:r>
      <w:r>
        <w:rPr>
          <w:rFonts w:hint="eastAsia" w:ascii="Times New Roman" w:hAnsi="Times New Roman" w:eastAsia="宋体" w:cs="Times New Roman"/>
          <w:b/>
          <w:bCs/>
          <w:highlight w:val="none"/>
          <w:lang w:val="en-US" w:eastAsia="zh-CN"/>
        </w:rPr>
        <w:t>10</w:t>
      </w:r>
      <w:r>
        <w:rPr>
          <w:rFonts w:hint="eastAsia" w:ascii="Times New Roman" w:hAnsi="Times New Roman" w:eastAsia="宋体" w:cs="Times New Roman"/>
          <w:b/>
          <w:bCs/>
          <w:highlight w:val="none"/>
        </w:rPr>
        <w:t>-1  环评批复现场落实情况表</w:t>
      </w:r>
    </w:p>
    <w:tbl>
      <w:tblPr>
        <w:tblStyle w:val="17"/>
        <w:tblW w:w="92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4214"/>
        <w:gridCol w:w="3825"/>
        <w:gridCol w:w="7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497" w:type="dxa"/>
            <w:tcBorders>
              <w:righ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序号</w:t>
            </w:r>
          </w:p>
        </w:tc>
        <w:tc>
          <w:tcPr>
            <w:tcW w:w="4214" w:type="dxa"/>
            <w:tcBorders>
              <w:lef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环评批复要求</w:t>
            </w:r>
          </w:p>
        </w:tc>
        <w:tc>
          <w:tcPr>
            <w:tcW w:w="3825"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实际执行情况</w:t>
            </w:r>
          </w:p>
        </w:tc>
        <w:tc>
          <w:tcPr>
            <w:tcW w:w="712"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2" w:hRule="atLeast"/>
          <w:jc w:val="center"/>
        </w:trPr>
        <w:tc>
          <w:tcPr>
            <w:tcW w:w="497" w:type="dxa"/>
            <w:tcBorders>
              <w:righ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1</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left"/>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加强环境管理，完善环境管理制度，制订切实可行的环境风险应急预案。定期对“废气、废水、废渣”处理设施进行维护和检查，禁止“三废”不经处理直接排放或超标排放。</w:t>
            </w:r>
          </w:p>
        </w:tc>
        <w:tc>
          <w:tcPr>
            <w:tcW w:w="3825" w:type="dxa"/>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该项目安排有专人负责定期对“废气、废水、废渣”处理设施进行维护和检查，做到了“三废”达标排放。</w:t>
            </w:r>
          </w:p>
        </w:tc>
        <w:tc>
          <w:tcPr>
            <w:tcW w:w="712"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暂未制定应急预案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497" w:type="dxa"/>
            <w:tcBorders>
              <w:righ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2</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left"/>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施工过程中项目选用低噪声源，合理安排施工时间，禁止夜间22：00至凌晨6:00进行大型设备的安装与调试。</w:t>
            </w:r>
          </w:p>
        </w:tc>
        <w:tc>
          <w:tcPr>
            <w:tcW w:w="3825" w:type="dxa"/>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该项目厂房为租用厂房，仅进行设备的安装与调试，均在正常工作时间（早上8:00至下午5:00）内进行。</w:t>
            </w:r>
          </w:p>
        </w:tc>
        <w:tc>
          <w:tcPr>
            <w:tcW w:w="712"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497" w:type="dxa"/>
            <w:tcBorders>
              <w:righ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3</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left"/>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营运期内，产生粉尘和有机废气经净化设备处理后，最终经排气筒高空排放。生活废水经化粪池处理后排至梅城镇污水处理厂深度处理，最终达标排放。</w:t>
            </w:r>
          </w:p>
        </w:tc>
        <w:tc>
          <w:tcPr>
            <w:tcW w:w="3825" w:type="dxa"/>
            <w:vAlign w:val="center"/>
          </w:tcPr>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该项目产生的粉尘和有机废气经喷淋塔和UV光解催化净化设备处理后经排气筒高空排放。</w:t>
            </w:r>
          </w:p>
          <w:p>
            <w:pPr>
              <w:pStyle w:val="24"/>
              <w:widowControl w:val="0"/>
              <w:adjustRightInd/>
              <w:snapToGrid/>
              <w:spacing w:after="0" w:afterLines="-2147483648"/>
              <w:ind w:firstLine="420" w:firstLineChars="200"/>
              <w:jc w:val="both"/>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经检测，经净化处理后，粉尘和有机废气均符合《合成树脂工业污染物排放标准》（GB31572—2015）表4标准。</w:t>
            </w:r>
          </w:p>
        </w:tc>
        <w:tc>
          <w:tcPr>
            <w:tcW w:w="712"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该项目无生产废水产生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497" w:type="dxa"/>
            <w:tcBorders>
              <w:righ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4</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left"/>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营运期内，废包装袋连同生活垃圾集中收集后委托环卫部门统一处置。沉淀池沉渣晒干之后作为原料回收利用。废石棉网委托有相关资质的单位处置，危险废物暂存间必须密闭建设，地面应做好硬化和“三防”措施。</w:t>
            </w:r>
          </w:p>
        </w:tc>
        <w:tc>
          <w:tcPr>
            <w:tcW w:w="3825" w:type="dxa"/>
            <w:vAlign w:val="center"/>
          </w:tcPr>
          <w:p>
            <w:pPr>
              <w:pStyle w:val="24"/>
              <w:widowControl w:val="0"/>
              <w:adjustRightInd/>
              <w:snapToGrid/>
              <w:spacing w:after="0" w:afterLines="-2147483648"/>
              <w:ind w:firstLine="420" w:firstLineChars="200"/>
              <w:jc w:val="left"/>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该项目废包装袋收集后外售。少量生活垃圾收集后委托环卫部门统一处置。沉淀池沉渣晒干后作为原料回收利用。废石棉网由商家跟换时带回处理，不在项目内暂存。</w:t>
            </w:r>
          </w:p>
        </w:tc>
        <w:tc>
          <w:tcPr>
            <w:tcW w:w="712"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危废不在项目内暂存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497" w:type="dxa"/>
            <w:tcBorders>
              <w:right w:val="single" w:color="auto" w:sz="2" w:space="0"/>
            </w:tcBorders>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5</w:t>
            </w:r>
          </w:p>
        </w:tc>
        <w:tc>
          <w:tcPr>
            <w:tcW w:w="4214" w:type="dxa"/>
            <w:tcBorders>
              <w:left w:val="single" w:color="auto" w:sz="2" w:space="0"/>
            </w:tcBorders>
            <w:vAlign w:val="center"/>
          </w:tcPr>
          <w:p>
            <w:pPr>
              <w:pStyle w:val="24"/>
              <w:widowControl w:val="0"/>
              <w:adjustRightInd/>
              <w:snapToGrid/>
              <w:spacing w:after="0" w:afterLines="-2147483648"/>
              <w:ind w:firstLine="420" w:firstLineChars="200"/>
              <w:jc w:val="left"/>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厂房内均设有通风装置，控制、降低空气中的粉尘浓度，严禁明火作业。</w:t>
            </w:r>
          </w:p>
        </w:tc>
        <w:tc>
          <w:tcPr>
            <w:tcW w:w="3825" w:type="dxa"/>
            <w:vAlign w:val="center"/>
          </w:tcPr>
          <w:p>
            <w:pPr>
              <w:pStyle w:val="24"/>
              <w:widowControl w:val="0"/>
              <w:adjustRightInd/>
              <w:snapToGrid/>
              <w:spacing w:after="0" w:afterLines="-2147483648"/>
              <w:ind w:firstLine="420" w:firstLineChars="200"/>
              <w:jc w:val="left"/>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该项目厂房内设有通风装置，能有效控制、降低空气中的粉尘浓度。生产过程无明火作业。</w:t>
            </w:r>
          </w:p>
        </w:tc>
        <w:tc>
          <w:tcPr>
            <w:tcW w:w="712" w:type="dxa"/>
            <w:vAlign w:val="center"/>
          </w:tcPr>
          <w:p>
            <w:pPr>
              <w:pStyle w:val="24"/>
              <w:widowControl w:val="0"/>
              <w:adjustRightInd/>
              <w:snapToGrid/>
              <w:spacing w:after="0" w:afterLines="-2147483648"/>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14:textFill>
                  <w14:solidFill>
                    <w14:schemeClr w14:val="tx1"/>
                  </w14:solidFill>
                </w14:textFill>
              </w:rPr>
              <w:t>已落实</w:t>
            </w:r>
          </w:p>
        </w:tc>
      </w:tr>
    </w:tbl>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lang w:val="en-US" w:eastAsia="zh-CN"/>
        </w:rPr>
      </w:pPr>
      <w:bookmarkStart w:id="69" w:name="_Toc1918"/>
      <w:r>
        <w:rPr>
          <w:rFonts w:hint="default" w:ascii="Times New Roman" w:hAnsi="Times New Roman" w:eastAsia="宋体" w:cs="Times New Roman"/>
          <w:b/>
          <w:lang w:val="en-US" w:eastAsia="zh-CN"/>
        </w:rPr>
        <w:t>1</w:t>
      </w:r>
      <w:r>
        <w:rPr>
          <w:rFonts w:hint="eastAsia" w:ascii="Times New Roman" w:hAnsi="Times New Roman" w:eastAsia="宋体" w:cs="Times New Roman"/>
          <w:b/>
          <w:lang w:val="en-US" w:eastAsia="zh-CN"/>
        </w:rPr>
        <w:t>1</w:t>
      </w:r>
      <w:r>
        <w:rPr>
          <w:rFonts w:hint="default" w:ascii="Times New Roman" w:hAnsi="Times New Roman" w:eastAsia="宋体" w:cs="Times New Roman"/>
          <w:b/>
          <w:lang w:val="en-US" w:eastAsia="zh-CN"/>
        </w:rPr>
        <w:t xml:space="preserve"> 验收监测结论</w:t>
      </w:r>
      <w:bookmarkEnd w:id="69"/>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70" w:name="_Toc31613"/>
      <w:bookmarkStart w:id="71" w:name="_Toc7339"/>
      <w:bookmarkStart w:id="72" w:name="_Toc478028113"/>
      <w:bookmarkStart w:id="73" w:name="_Toc27606_WPSOffice_Level1"/>
      <w:bookmarkStart w:id="74" w:name="_Toc986"/>
      <w:bookmarkStart w:id="75" w:name="_Toc7273"/>
      <w:bookmarkStart w:id="76" w:name="_Toc29330"/>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.1废</w:t>
      </w:r>
      <w:r>
        <w:rPr>
          <w:rFonts w:hint="eastAsia" w:ascii="Times New Roman" w:hAnsi="Times New Roman" w:cs="Times New Roman"/>
          <w:b/>
          <w:sz w:val="30"/>
          <w:szCs w:val="30"/>
          <w:lang w:val="en-US" w:eastAsia="zh-CN"/>
        </w:rPr>
        <w:t>水</w:t>
      </w:r>
      <w:r>
        <w:rPr>
          <w:rFonts w:hint="default" w:ascii="Times New Roman" w:hAnsi="Times New Roman" w:eastAsia="宋体" w:cs="Times New Roman"/>
          <w:b/>
          <w:sz w:val="30"/>
          <w:szCs w:val="30"/>
          <w:lang w:val="en-US" w:eastAsia="zh-CN"/>
        </w:rPr>
        <w:t>监测结论</w:t>
      </w:r>
      <w:bookmarkEnd w:id="70"/>
      <w:bookmarkEnd w:id="71"/>
      <w:bookmarkEnd w:id="72"/>
      <w:bookmarkEnd w:id="73"/>
      <w:bookmarkEnd w:id="74"/>
      <w:bookmarkEnd w:id="75"/>
      <w:bookmarkEnd w:id="76"/>
    </w:p>
    <w:p>
      <w:pPr>
        <w:pStyle w:val="2"/>
        <w:jc w:val="both"/>
        <w:rPr>
          <w:rFonts w:hint="default" w:ascii="宋体" w:hAnsi="宋体" w:eastAsia="宋体" w:cs="宋体"/>
          <w:b w:val="0"/>
          <w:i w:val="0"/>
          <w:color w:val="000000"/>
          <w:kern w:val="2"/>
          <w:sz w:val="24"/>
          <w:szCs w:val="24"/>
          <w:lang w:val="en-US" w:eastAsia="zh-CN" w:bidi="ar-SA"/>
        </w:rPr>
      </w:pPr>
      <w:r>
        <w:rPr>
          <w:rFonts w:hint="eastAsia" w:cstheme="minorBidi"/>
          <w:kern w:val="2"/>
          <w:sz w:val="21"/>
          <w:szCs w:val="24"/>
          <w:lang w:val="en-US" w:eastAsia="zh-CN" w:bidi="ar-SA"/>
        </w:rPr>
        <w:tab/>
      </w:r>
      <w:r>
        <w:rPr>
          <w:rFonts w:hint="eastAsia" w:ascii="宋体" w:hAnsi="宋体" w:eastAsia="宋体" w:cs="宋体"/>
          <w:b w:val="0"/>
          <w:i w:val="0"/>
          <w:color w:val="000000"/>
          <w:kern w:val="2"/>
          <w:sz w:val="24"/>
          <w:szCs w:val="24"/>
          <w:lang w:val="en-US" w:eastAsia="zh-CN" w:bidi="ar-SA"/>
        </w:rPr>
        <w:t>本项目工作人员均不在厂内食宿，卫生用水为园区公共用水，本项目无生活用水。生产用水为喷淋塔降尘用水，循环利用不外排。</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eastAsia="宋体" w:cs="Times New Roman"/>
          <w:b/>
          <w:sz w:val="30"/>
          <w:szCs w:val="30"/>
          <w:lang w:val="en-US" w:eastAsia="zh-CN"/>
        </w:rPr>
      </w:pPr>
      <w:bookmarkStart w:id="77" w:name="_Toc8150"/>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w:t>
      </w:r>
      <w:r>
        <w:rPr>
          <w:rFonts w:hint="eastAsia"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val="en-US" w:eastAsia="zh-CN"/>
        </w:rPr>
        <w:t>废</w:t>
      </w:r>
      <w:r>
        <w:rPr>
          <w:rFonts w:hint="eastAsia" w:ascii="Times New Roman" w:hAnsi="Times New Roman" w:eastAsia="宋体" w:cs="Times New Roman"/>
          <w:b/>
          <w:sz w:val="30"/>
          <w:szCs w:val="30"/>
          <w:lang w:val="en-US" w:eastAsia="zh-CN"/>
        </w:rPr>
        <w:t>气</w:t>
      </w:r>
      <w:r>
        <w:rPr>
          <w:rFonts w:hint="default" w:ascii="Times New Roman" w:hAnsi="Times New Roman" w:eastAsia="宋体" w:cs="Times New Roman"/>
          <w:b/>
          <w:sz w:val="30"/>
          <w:szCs w:val="30"/>
          <w:lang w:val="en-US" w:eastAsia="zh-CN"/>
        </w:rPr>
        <w:t>监测结论</w:t>
      </w:r>
      <w:bookmarkEnd w:id="7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该项目有组织废气经</w:t>
      </w:r>
      <w:r>
        <w:rPr>
          <w:rFonts w:hint="default" w:ascii="Times New Roman" w:hAnsi="Times New Roman" w:cs="Times New Roman"/>
          <w:sz w:val="24"/>
          <w:szCs w:val="24"/>
          <w:lang w:val="en-US" w:eastAsia="zh-CN"/>
        </w:rPr>
        <w:t>喷淋</w:t>
      </w:r>
      <w:r>
        <w:rPr>
          <w:rFonts w:hint="eastAsia" w:ascii="Times New Roman" w:hAnsi="Times New Roman" w:cs="Times New Roman"/>
          <w:sz w:val="24"/>
          <w:szCs w:val="24"/>
          <w:lang w:val="en-US" w:eastAsia="zh-CN"/>
        </w:rPr>
        <w:t>塔和UV光解催化净化处理后，</w:t>
      </w:r>
      <w:r>
        <w:rPr>
          <w:rFonts w:hint="default" w:ascii="Times New Roman" w:hAnsi="Times New Roman" w:cs="Times New Roman"/>
          <w:sz w:val="24"/>
          <w:szCs w:val="24"/>
          <w:lang w:val="en-US" w:eastAsia="zh-CN"/>
        </w:rPr>
        <w:t>颗粒物</w:t>
      </w:r>
      <w:r>
        <w:rPr>
          <w:rFonts w:hint="eastAsia" w:ascii="Times New Roman" w:hAnsi="Times New Roman" w:cs="Times New Roman"/>
          <w:sz w:val="24"/>
          <w:szCs w:val="24"/>
          <w:lang w:val="en-US" w:eastAsia="zh-CN"/>
        </w:rPr>
        <w:t>最大浓度</w:t>
      </w:r>
      <w:r>
        <w:rPr>
          <w:rFonts w:hint="eastAsia" w:ascii="Times New Roman" w:hAnsi="Times New Roman" w:cs="Times New Roman"/>
          <w:color w:val="000000" w:themeColor="text1"/>
          <w:sz w:val="24"/>
          <w:szCs w:val="24"/>
          <w:lang w:val="en-US" w:eastAsia="zh-CN"/>
          <w14:textFill>
            <w14:solidFill>
              <w14:schemeClr w14:val="tx1"/>
            </w14:solidFill>
          </w14:textFill>
        </w:rPr>
        <w:t>为5.3mg/m</w:t>
      </w:r>
      <w:r>
        <w:rPr>
          <w:rFonts w:hint="eastAsia" w:ascii="Times New Roman" w:hAnsi="Times New Roman"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4"/>
          <w:szCs w:val="24"/>
          <w:lang w:val="en-US" w:eastAsia="zh-CN"/>
          <w14:textFill>
            <w14:solidFill>
              <w14:schemeClr w14:val="tx1"/>
            </w14:solidFill>
          </w14:textFill>
        </w:rPr>
        <w:t>、非甲烷总烃最大浓度为1.26m</w:t>
      </w:r>
      <w:r>
        <w:rPr>
          <w:rFonts w:hint="eastAsia" w:ascii="Times New Roman" w:hAnsi="Times New Roman" w:cs="Times New Roman"/>
          <w:sz w:val="24"/>
          <w:szCs w:val="24"/>
          <w:lang w:val="en-US" w:eastAsia="zh-CN"/>
        </w:rPr>
        <w:t>g/m</w:t>
      </w:r>
      <w:r>
        <w:rPr>
          <w:rFonts w:hint="eastAsia" w:ascii="Times New Roman" w:hAnsi="Times New Roman" w:cs="Times New Roman"/>
          <w:sz w:val="24"/>
          <w:szCs w:val="24"/>
          <w:vertAlign w:val="superscript"/>
          <w:lang w:val="en-US" w:eastAsia="zh-CN"/>
        </w:rPr>
        <w:t>3</w:t>
      </w:r>
      <w:r>
        <w:rPr>
          <w:rFonts w:hint="eastAsia" w:ascii="Times New Roman" w:hAnsi="Times New Roman" w:cs="Times New Roman"/>
          <w:sz w:val="24"/>
          <w:szCs w:val="24"/>
          <w:vertAlign w:val="baseline"/>
          <w:lang w:val="en-US" w:eastAsia="zh-CN"/>
        </w:rPr>
        <w:t xml:space="preserve">， </w:t>
      </w:r>
      <w:r>
        <w:rPr>
          <w:rFonts w:hint="eastAsia" w:ascii="Times New Roman" w:hAnsi="Times New Roman" w:cs="Times New Roman"/>
          <w:sz w:val="24"/>
          <w:szCs w:val="24"/>
          <w:lang w:val="en-US" w:eastAsia="zh-CN"/>
        </w:rPr>
        <w:t>检测结果均符合《合成树脂工业污染物排放标准》（GB31572—2015）表4标准标准</w:t>
      </w:r>
      <w:r>
        <w:rPr>
          <w:rFonts w:hint="default" w:ascii="Times New Roman" w:hAnsi="Times New Roman" w:cs="Times New Roman"/>
          <w:sz w:val="24"/>
          <w:szCs w:val="24"/>
          <w:lang w:val="en-US" w:eastAsia="zh-CN"/>
        </w:rPr>
        <w:t>限值</w:t>
      </w:r>
      <w:r>
        <w:rPr>
          <w:rFonts w:hint="eastAsia"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eastAsia="宋体" w:cs="Times New Roman"/>
          <w:sz w:val="24"/>
          <w:szCs w:val="24"/>
          <w:lang w:eastAsia="zh-CN"/>
        </w:rPr>
        <w:t>无组织废气（厂界上风向、厂界下风向）监测点位中，颗粒物均最大浓度为</w:t>
      </w:r>
      <w:r>
        <w:rPr>
          <w:rFonts w:hint="eastAsia" w:ascii="Times New Roman" w:hAnsi="Times New Roman" w:eastAsia="宋体" w:cs="Times New Roman"/>
          <w:color w:val="000000" w:themeColor="text1"/>
          <w:sz w:val="24"/>
          <w:szCs w:val="24"/>
          <w:lang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218</w:t>
      </w:r>
      <w:r>
        <w:rPr>
          <w:rFonts w:hint="eastAsia" w:ascii="Times New Roman" w:hAnsi="Times New Roman" w:eastAsia="宋体" w:cs="Times New Roman"/>
          <w:color w:val="000000" w:themeColor="text1"/>
          <w:sz w:val="24"/>
          <w:szCs w:val="24"/>
          <w:lang w:eastAsia="zh-CN"/>
          <w14:textFill>
            <w14:solidFill>
              <w14:schemeClr w14:val="tx1"/>
            </w14:solidFill>
          </w14:textFill>
        </w:rPr>
        <w:t>m</w:t>
      </w:r>
      <w:r>
        <w:rPr>
          <w:rFonts w:hint="eastAsia" w:ascii="Times New Roman" w:hAnsi="Times New Roman" w:eastAsia="宋体" w:cs="Times New Roman"/>
          <w:sz w:val="24"/>
          <w:szCs w:val="24"/>
          <w:lang w:eastAsia="zh-CN"/>
        </w:rPr>
        <w:t>g/m</w:t>
      </w:r>
      <w:r>
        <w:rPr>
          <w:rFonts w:hint="eastAsia" w:ascii="Times New Roman" w:hAnsi="Times New Roman" w:eastAsia="宋体" w:cs="Times New Roman"/>
          <w:sz w:val="24"/>
          <w:szCs w:val="24"/>
          <w:vertAlign w:val="superscript"/>
          <w:lang w:eastAsia="zh-CN"/>
        </w:rPr>
        <w:t>3</w:t>
      </w:r>
      <w:r>
        <w:rPr>
          <w:rFonts w:hint="eastAsia" w:ascii="Times New Roman" w:hAnsi="Times New Roman" w:eastAsia="宋体" w:cs="Times New Roman"/>
          <w:sz w:val="24"/>
          <w:szCs w:val="24"/>
          <w:lang w:eastAsia="zh-CN"/>
        </w:rPr>
        <w:t>符合</w:t>
      </w:r>
      <w:r>
        <w:rPr>
          <w:rFonts w:hint="eastAsia" w:ascii="Times New Roman" w:hAnsi="Times New Roman" w:eastAsia="宋体" w:cs="Times New Roman"/>
          <w:sz w:val="24"/>
          <w:szCs w:val="24"/>
          <w:lang w:val="en-US" w:eastAsia="zh-CN"/>
        </w:rPr>
        <w:t>《合成树脂工业污染物排放标准》（GB31572—2015）表9企业边界大气污染物限值标准</w:t>
      </w:r>
      <w:r>
        <w:rPr>
          <w:rFonts w:hint="eastAsia" w:ascii="Times New Roman" w:hAnsi="Times New Roman" w:cs="Times New Roman"/>
          <w:sz w:val="24"/>
          <w:szCs w:val="24"/>
          <w:lang w:val="en-US" w:eastAsia="zh-CN"/>
        </w:rPr>
        <w:t>。</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78" w:name="_Toc20960"/>
      <w:bookmarkStart w:id="79" w:name="_Toc24457"/>
      <w:bookmarkStart w:id="80" w:name="_Toc13731_WPSOffice_Level1"/>
      <w:bookmarkStart w:id="81" w:name="_Toc9873"/>
      <w:bookmarkStart w:id="82" w:name="_Toc12297"/>
      <w:bookmarkStart w:id="83" w:name="_Toc10234"/>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.3噪声监测结论</w:t>
      </w:r>
      <w:bookmarkEnd w:id="78"/>
      <w:bookmarkEnd w:id="79"/>
      <w:bookmarkEnd w:id="80"/>
      <w:bookmarkEnd w:id="81"/>
      <w:bookmarkEnd w:id="82"/>
      <w:bookmarkEnd w:id="8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val="en-US" w:eastAsia="zh-CN"/>
        </w:rPr>
        <w:t>项目厂界昼间最大等效噪声值为</w:t>
      </w:r>
      <w:r>
        <w:rPr>
          <w:rFonts w:hint="eastAsia" w:ascii="Times New Roman" w:hAnsi="Times New Roman" w:cs="Times New Roman"/>
          <w:sz w:val="24"/>
          <w:szCs w:val="24"/>
          <w:lang w:val="en-US" w:eastAsia="zh-CN"/>
        </w:rPr>
        <w:t>57.3</w:t>
      </w:r>
      <w:r>
        <w:rPr>
          <w:rFonts w:hint="default" w:ascii="Times New Roman" w:hAnsi="Times New Roman" w:cs="Times New Roman"/>
          <w:sz w:val="24"/>
          <w:szCs w:val="24"/>
          <w:lang w:val="en-US" w:eastAsia="zh-CN"/>
        </w:rPr>
        <w:t>dB（A），夜间最大等效噪声值为</w:t>
      </w:r>
      <w:r>
        <w:rPr>
          <w:rFonts w:hint="eastAsia" w:ascii="Times New Roman" w:hAnsi="Times New Roman" w:cs="Times New Roman"/>
          <w:sz w:val="24"/>
          <w:szCs w:val="24"/>
          <w:lang w:val="en-US" w:eastAsia="zh-CN"/>
        </w:rPr>
        <w:t>46.1</w:t>
      </w:r>
      <w:r>
        <w:rPr>
          <w:rFonts w:hint="default" w:ascii="Times New Roman" w:hAnsi="Times New Roman" w:cs="Times New Roman"/>
          <w:sz w:val="24"/>
          <w:szCs w:val="24"/>
          <w:lang w:val="en-US" w:eastAsia="zh-CN"/>
        </w:rPr>
        <w:t>dB（A）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满足《工业企业厂界噪声排放标准》（GB12348-200</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类标准</w:t>
      </w:r>
      <w:r>
        <w:rPr>
          <w:rFonts w:hint="default" w:ascii="Times New Roman" w:hAnsi="Times New Roman" w:cs="Times New Roman"/>
          <w:sz w:val="24"/>
          <w:szCs w:val="24"/>
        </w:rPr>
        <w:t>。</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84" w:name="_Toc3337_WPSOffice_Level1"/>
      <w:bookmarkStart w:id="85" w:name="_Toc12580"/>
      <w:bookmarkStart w:id="86" w:name="_Toc25468"/>
      <w:bookmarkStart w:id="87" w:name="_Toc14679"/>
      <w:bookmarkStart w:id="88" w:name="_Toc1954"/>
      <w:bookmarkStart w:id="89" w:name="_Toc3440"/>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.4固体废弃物污染控制结论</w:t>
      </w:r>
      <w:bookmarkEnd w:id="84"/>
      <w:bookmarkEnd w:id="85"/>
      <w:bookmarkEnd w:id="86"/>
      <w:bookmarkEnd w:id="87"/>
      <w:bookmarkEnd w:id="88"/>
      <w:bookmarkEnd w:id="89"/>
    </w:p>
    <w:p>
      <w:pPr>
        <w:pStyle w:val="2"/>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宋体" w:cs="Times New Roman"/>
          <w:b w:val="0"/>
          <w:i w:val="0"/>
          <w:color w:val="000000"/>
          <w:sz w:val="24"/>
          <w:szCs w:val="24"/>
          <w:lang w:val="en-US" w:eastAsia="zh-CN"/>
        </w:rPr>
        <w:t>本项目生活垃圾收集后委托环卫部门统一处置</w:t>
      </w:r>
      <w:r>
        <w:rPr>
          <w:rFonts w:hint="default" w:ascii="Times New Roman" w:hAnsi="Times New Roman" w:eastAsia="宋体" w:cs="Times New Roman"/>
          <w:b w:val="0"/>
          <w:i w:val="0"/>
          <w:color w:val="000000"/>
          <w:sz w:val="24"/>
          <w:szCs w:val="24"/>
          <w:lang w:eastAsia="zh-CN"/>
        </w:rPr>
        <w:t>；</w:t>
      </w:r>
      <w:r>
        <w:rPr>
          <w:rFonts w:hint="default" w:ascii="Times New Roman" w:hAnsi="Times New Roman" w:eastAsia="宋体" w:cs="Times New Roman"/>
          <w:b w:val="0"/>
          <w:i w:val="0"/>
          <w:color w:val="000000"/>
          <w:sz w:val="24"/>
          <w:szCs w:val="24"/>
          <w:lang w:val="en-US" w:eastAsia="zh-CN"/>
        </w:rPr>
        <w:t>喷淋塔降尘收集的沉淀池沉渣晒干后回用作为原料；原料包装产生的废包装袋集中收集后外售；UV光解</w:t>
      </w:r>
      <w:r>
        <w:rPr>
          <w:rFonts w:hint="eastAsia" w:ascii="Times New Roman" w:hAnsi="Times New Roman" w:eastAsia="宋体" w:cs="Times New Roman"/>
          <w:b w:val="0"/>
          <w:i w:val="0"/>
          <w:color w:val="000000"/>
          <w:sz w:val="24"/>
          <w:szCs w:val="24"/>
          <w:lang w:val="en-US" w:eastAsia="zh-CN"/>
        </w:rPr>
        <w:t>催化净化设备更换的废石棉网由商家更换时带回，不在厂内暂存。</w:t>
      </w:r>
      <w:r>
        <w:rPr>
          <w:rFonts w:hint="default" w:ascii="Times New Roman" w:hAnsi="Times New Roman" w:eastAsia="宋体" w:cs="Times New Roman"/>
          <w:b w:val="0"/>
          <w:i w:val="0"/>
          <w:color w:val="000000"/>
          <w:sz w:val="24"/>
          <w:szCs w:val="24"/>
        </w:rPr>
        <w:t>项目所有固体废物妥善处置，零排放</w:t>
      </w:r>
      <w:r>
        <w:rPr>
          <w:rFonts w:hint="default" w:ascii="Times New Roman" w:hAnsi="Times New Roman" w:cs="Times New Roman" w:eastAsiaTheme="minorEastAsia"/>
          <w:kern w:val="2"/>
          <w:sz w:val="24"/>
          <w:szCs w:val="24"/>
          <w:lang w:val="en-US" w:eastAsia="zh-CN" w:bidi="ar-SA"/>
        </w:rPr>
        <w:t>。</w:t>
      </w:r>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90" w:name="_Toc26767"/>
      <w:bookmarkStart w:id="91" w:name="_Toc29141_WPSOffice_Level1"/>
      <w:bookmarkStart w:id="92" w:name="_Toc23630"/>
      <w:bookmarkStart w:id="93" w:name="_Toc19406"/>
      <w:bookmarkStart w:id="94" w:name="_Toc6747"/>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w:t>
      </w:r>
      <w:r>
        <w:rPr>
          <w:rFonts w:hint="eastAsia" w:ascii="Times New Roman" w:hAnsi="Times New Roman" w:cs="Times New Roman"/>
          <w:b/>
          <w:sz w:val="30"/>
          <w:szCs w:val="30"/>
          <w:lang w:val="en-US" w:eastAsia="zh-CN"/>
        </w:rPr>
        <w:t>5</w:t>
      </w:r>
      <w:r>
        <w:rPr>
          <w:rFonts w:hint="default" w:ascii="Times New Roman" w:hAnsi="Times New Roman" w:eastAsia="宋体" w:cs="Times New Roman"/>
          <w:b/>
          <w:sz w:val="30"/>
          <w:szCs w:val="30"/>
          <w:lang w:val="en-US" w:eastAsia="zh-CN"/>
        </w:rPr>
        <w:t>总结论</w:t>
      </w:r>
      <w:bookmarkEnd w:id="90"/>
      <w:bookmarkEnd w:id="91"/>
      <w:bookmarkEnd w:id="92"/>
      <w:bookmarkEnd w:id="93"/>
      <w:bookmarkEnd w:id="94"/>
    </w:p>
    <w:p>
      <w:pPr>
        <w:pStyle w:val="2"/>
        <w:rPr>
          <w:rFonts w:hint="default" w:ascii="宋体" w:hAnsi="宋体" w:eastAsia="宋体" w:cs="宋体"/>
          <w:b w:val="0"/>
          <w:i w:val="0"/>
          <w:color w:val="000000"/>
          <w:sz w:val="24"/>
          <w:szCs w:val="24"/>
          <w:lang w:val="en-US" w:eastAsia="zh-CN"/>
        </w:rPr>
      </w:pPr>
      <w:bookmarkStart w:id="95" w:name="_Toc10191"/>
      <w:bookmarkStart w:id="96" w:name="_Toc22675"/>
      <w:r>
        <w:rPr>
          <w:rFonts w:hint="eastAsia" w:ascii="宋体" w:hAnsi="宋体" w:eastAsia="宋体" w:cs="宋体"/>
          <w:b w:val="0"/>
          <w:i w:val="0"/>
          <w:color w:val="000000"/>
          <w:sz w:val="24"/>
          <w:szCs w:val="24"/>
          <w:lang w:val="en-US" w:eastAsia="zh-CN"/>
        </w:rPr>
        <w:t>该</w:t>
      </w:r>
      <w:r>
        <w:rPr>
          <w:rFonts w:hint="default" w:ascii="宋体" w:hAnsi="宋体" w:eastAsia="宋体" w:cs="宋体"/>
          <w:b w:val="0"/>
          <w:i w:val="0"/>
          <w:color w:val="000000"/>
          <w:sz w:val="24"/>
          <w:szCs w:val="24"/>
          <w:lang w:val="en-US" w:eastAsia="zh-CN"/>
        </w:rPr>
        <w:t>项目基本</w:t>
      </w:r>
      <w:r>
        <w:rPr>
          <w:rFonts w:hint="eastAsia" w:ascii="宋体" w:hAnsi="宋体" w:eastAsia="宋体" w:cs="宋体"/>
          <w:b w:val="0"/>
          <w:i w:val="0"/>
          <w:color w:val="000000"/>
          <w:sz w:val="24"/>
          <w:szCs w:val="24"/>
          <w:lang w:val="en-US" w:eastAsia="zh-CN"/>
        </w:rPr>
        <w:t>落实</w:t>
      </w:r>
      <w:r>
        <w:rPr>
          <w:rFonts w:hint="default" w:ascii="宋体" w:hAnsi="宋体" w:eastAsia="宋体" w:cs="宋体"/>
          <w:b w:val="0"/>
          <w:i w:val="0"/>
          <w:color w:val="000000"/>
          <w:sz w:val="24"/>
          <w:szCs w:val="24"/>
          <w:lang w:val="en-US" w:eastAsia="zh-CN"/>
        </w:rPr>
        <w:t>了国家环境管理</w:t>
      </w:r>
      <w:r>
        <w:rPr>
          <w:rFonts w:hint="eastAsia" w:ascii="宋体" w:hAnsi="宋体" w:eastAsia="宋体" w:cs="宋体"/>
          <w:b w:val="0"/>
          <w:i w:val="0"/>
          <w:color w:val="000000"/>
          <w:sz w:val="24"/>
          <w:szCs w:val="24"/>
          <w:lang w:val="en-US" w:eastAsia="zh-CN"/>
        </w:rPr>
        <w:t>的相关</w:t>
      </w:r>
      <w:r>
        <w:rPr>
          <w:rFonts w:hint="default" w:ascii="宋体" w:hAnsi="宋体" w:eastAsia="宋体" w:cs="宋体"/>
          <w:b w:val="0"/>
          <w:i w:val="0"/>
          <w:color w:val="000000"/>
          <w:sz w:val="24"/>
          <w:szCs w:val="24"/>
          <w:lang w:val="en-US" w:eastAsia="zh-CN"/>
        </w:rPr>
        <w:t>制度</w:t>
      </w:r>
      <w:r>
        <w:rPr>
          <w:rFonts w:hint="eastAsia" w:ascii="宋体" w:hAnsi="宋体" w:eastAsia="宋体" w:cs="宋体"/>
          <w:b w:val="0"/>
          <w:i w:val="0"/>
          <w:color w:val="000000"/>
          <w:sz w:val="24"/>
          <w:szCs w:val="24"/>
          <w:lang w:val="en-US" w:eastAsia="zh-CN"/>
        </w:rPr>
        <w:t>和要求</w:t>
      </w:r>
      <w:r>
        <w:rPr>
          <w:rFonts w:hint="default" w:ascii="宋体" w:hAnsi="宋体" w:eastAsia="宋体" w:cs="宋体"/>
          <w:b w:val="0"/>
          <w:i w:val="0"/>
          <w:color w:val="000000"/>
          <w:sz w:val="24"/>
          <w:szCs w:val="24"/>
          <w:lang w:val="en-US" w:eastAsia="zh-CN"/>
        </w:rPr>
        <w:t>，并按建设项目</w:t>
      </w:r>
      <w:r>
        <w:rPr>
          <w:rFonts w:hint="eastAsia" w:ascii="宋体" w:hAnsi="宋体" w:eastAsia="宋体" w:cs="宋体"/>
          <w:b w:val="0"/>
          <w:i w:val="0"/>
          <w:color w:val="000000"/>
          <w:sz w:val="24"/>
          <w:szCs w:val="24"/>
          <w:lang w:val="en-US" w:eastAsia="zh-CN"/>
        </w:rPr>
        <w:t>环评和环评批复要求</w:t>
      </w:r>
      <w:r>
        <w:rPr>
          <w:rFonts w:hint="default" w:ascii="宋体" w:hAnsi="宋体" w:eastAsia="宋体" w:cs="宋体"/>
          <w:b w:val="0"/>
          <w:i w:val="0"/>
          <w:color w:val="000000"/>
          <w:sz w:val="24"/>
          <w:szCs w:val="24"/>
          <w:lang w:val="en-US" w:eastAsia="zh-CN"/>
        </w:rPr>
        <w:t>进行建设;项目正常营运期间废气、废水、噪声等经采取合理有效的治理措施后，均可做到达标排放，对周围环境影响较小，固体废弃物能够</w:t>
      </w:r>
      <w:r>
        <w:rPr>
          <w:rFonts w:hint="eastAsia" w:ascii="宋体" w:hAnsi="宋体" w:eastAsia="宋体" w:cs="宋体"/>
          <w:b w:val="0"/>
          <w:i w:val="0"/>
          <w:color w:val="000000"/>
          <w:sz w:val="24"/>
          <w:szCs w:val="24"/>
          <w:lang w:val="en-US" w:eastAsia="zh-CN"/>
        </w:rPr>
        <w:t>规范</w:t>
      </w:r>
      <w:r>
        <w:rPr>
          <w:rFonts w:hint="default" w:ascii="宋体" w:hAnsi="宋体" w:eastAsia="宋体" w:cs="宋体"/>
          <w:b w:val="0"/>
          <w:i w:val="0"/>
          <w:color w:val="000000"/>
          <w:sz w:val="24"/>
          <w:szCs w:val="24"/>
          <w:lang w:val="en-US" w:eastAsia="zh-CN"/>
        </w:rPr>
        <w:t>处置不</w:t>
      </w:r>
      <w:r>
        <w:rPr>
          <w:rFonts w:hint="eastAsia" w:ascii="宋体" w:hAnsi="宋体" w:eastAsia="宋体" w:cs="宋体"/>
          <w:b w:val="0"/>
          <w:i w:val="0"/>
          <w:color w:val="000000"/>
          <w:sz w:val="24"/>
          <w:szCs w:val="24"/>
          <w:lang w:val="en-US" w:eastAsia="zh-CN"/>
        </w:rPr>
        <w:t>外排</w:t>
      </w:r>
      <w:r>
        <w:rPr>
          <w:rFonts w:hint="default" w:ascii="宋体" w:hAnsi="宋体" w:eastAsia="宋体" w:cs="宋体"/>
          <w:b w:val="0"/>
          <w:i w:val="0"/>
          <w:color w:val="000000"/>
          <w:sz w:val="24"/>
          <w:szCs w:val="24"/>
          <w:lang w:val="en-US" w:eastAsia="zh-CN"/>
        </w:rPr>
        <w:t>。基本落实了环评和环评审批中的要求。</w:t>
      </w:r>
      <w:bookmarkEnd w:id="95"/>
      <w:bookmarkEnd w:id="96"/>
    </w:p>
    <w:p>
      <w:pPr>
        <w:pStyle w:val="4"/>
        <w:keepNext/>
        <w:keepLines/>
        <w:pageBreakBefore w:val="0"/>
        <w:widowControl w:val="0"/>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sz w:val="30"/>
          <w:szCs w:val="30"/>
          <w:lang w:val="en-US" w:eastAsia="zh-CN"/>
        </w:rPr>
      </w:pPr>
      <w:bookmarkStart w:id="97" w:name="_Toc5377"/>
      <w:bookmarkStart w:id="98" w:name="_Toc17408"/>
      <w:bookmarkStart w:id="99" w:name="_Toc7327"/>
      <w:bookmarkStart w:id="100" w:name="_Toc23977_WPSOffice_Level1"/>
      <w:bookmarkStart w:id="101" w:name="_Toc22243"/>
      <w:r>
        <w:rPr>
          <w:rFonts w:hint="default" w:ascii="Times New Roman" w:hAnsi="Times New Roman" w:eastAsia="宋体" w:cs="Times New Roman"/>
          <w:b/>
          <w:sz w:val="30"/>
          <w:szCs w:val="30"/>
          <w:lang w:val="en-US" w:eastAsia="zh-CN"/>
        </w:rPr>
        <w:t>1</w:t>
      </w:r>
      <w:r>
        <w:rPr>
          <w:rFonts w:hint="eastAsia" w:ascii="Times New Roman" w:hAnsi="Times New Roman" w:eastAsia="宋体" w:cs="Times New Roman"/>
          <w:b/>
          <w:sz w:val="30"/>
          <w:szCs w:val="30"/>
          <w:lang w:val="en-US" w:eastAsia="zh-CN"/>
        </w:rPr>
        <w:t>1</w:t>
      </w:r>
      <w:r>
        <w:rPr>
          <w:rFonts w:hint="default" w:ascii="Times New Roman" w:hAnsi="Times New Roman" w:eastAsia="宋体" w:cs="Times New Roman"/>
          <w:b/>
          <w:sz w:val="30"/>
          <w:szCs w:val="30"/>
          <w:lang w:val="en-US" w:eastAsia="zh-CN"/>
        </w:rPr>
        <w:t>.</w:t>
      </w:r>
      <w:r>
        <w:rPr>
          <w:rFonts w:hint="eastAsia" w:ascii="Times New Roman" w:hAnsi="Times New Roman" w:cs="Times New Roman"/>
          <w:b/>
          <w:sz w:val="30"/>
          <w:szCs w:val="30"/>
          <w:lang w:val="en-US" w:eastAsia="zh-CN"/>
        </w:rPr>
        <w:t>6</w:t>
      </w:r>
      <w:r>
        <w:rPr>
          <w:rFonts w:hint="default" w:ascii="Times New Roman" w:hAnsi="Times New Roman" w:eastAsia="宋体" w:cs="Times New Roman"/>
          <w:b/>
          <w:sz w:val="30"/>
          <w:szCs w:val="30"/>
          <w:lang w:val="en-US" w:eastAsia="zh-CN"/>
        </w:rPr>
        <w:t>建议</w:t>
      </w:r>
      <w:bookmarkEnd w:id="97"/>
      <w:bookmarkEnd w:id="98"/>
      <w:bookmarkEnd w:id="99"/>
      <w:bookmarkEnd w:id="100"/>
      <w:bookmarkEnd w:id="101"/>
    </w:p>
    <w:p>
      <w:pPr>
        <w:pStyle w:val="2"/>
        <w:rPr>
          <w:rFonts w:hint="default" w:ascii="Times New Roman" w:hAnsi="Times New Roman" w:eastAsia="宋体" w:cs="Times New Roman"/>
          <w:b w:val="0"/>
          <w:i w:val="0"/>
          <w:color w:val="000000"/>
          <w:sz w:val="24"/>
          <w:szCs w:val="24"/>
          <w:lang w:val="en-US" w:eastAsia="zh-CN"/>
        </w:rPr>
      </w:pPr>
      <w:r>
        <w:rPr>
          <w:rFonts w:hint="default" w:ascii="Times New Roman" w:hAnsi="Times New Roman" w:eastAsia="宋体" w:cs="Times New Roman"/>
          <w:b w:val="0"/>
          <w:i w:val="0"/>
          <w:color w:val="000000"/>
          <w:sz w:val="24"/>
          <w:szCs w:val="24"/>
          <w:lang w:val="en-US" w:eastAsia="zh-CN"/>
        </w:rPr>
        <w:t>1、保持厂内整洁。</w:t>
      </w:r>
    </w:p>
    <w:p>
      <w:pPr>
        <w:pStyle w:val="2"/>
        <w:rPr>
          <w:rFonts w:hint="eastAsia" w:ascii="Times New Roman" w:hAnsi="Times New Roman" w:eastAsia="宋体" w:cs="Times New Roman"/>
          <w:b w:val="0"/>
          <w:i w:val="0"/>
          <w:color w:val="000000"/>
          <w:sz w:val="24"/>
          <w:szCs w:val="24"/>
          <w:lang w:val="en-US" w:eastAsia="zh-CN"/>
        </w:rPr>
      </w:pPr>
    </w:p>
    <w:p>
      <w:pPr>
        <w:pStyle w:val="2"/>
        <w:rPr>
          <w:rFonts w:hint="eastAsia" w:ascii="Times New Roman" w:hAnsi="Times New Roman" w:eastAsia="宋体" w:cs="Times New Roman"/>
          <w:b w:val="0"/>
          <w:i w:val="0"/>
          <w:color w:val="000000"/>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keepLines w:val="0"/>
        <w:pageBreakBefore w:val="0"/>
        <w:kinsoku/>
        <w:wordWrap/>
        <w:topLinePunct w:val="0"/>
        <w:bidi w:val="0"/>
        <w:spacing w:beforeAutospacing="0" w:after="0" w:afterLines="0" w:afterAutospacing="0" w:line="360" w:lineRule="auto"/>
        <w:outlineLvl w:val="0"/>
        <w:rPr>
          <w:rFonts w:hint="default" w:ascii="Times New Roman" w:hAnsi="Times New Roman" w:eastAsia="宋体" w:cs="Times New Roman"/>
          <w:b/>
          <w:color w:val="000000"/>
          <w:sz w:val="30"/>
          <w:szCs w:val="30"/>
        </w:rPr>
      </w:pPr>
      <w:bookmarkStart w:id="102" w:name="_Toc31290"/>
      <w:bookmarkStart w:id="103" w:name="_Toc25530"/>
      <w:bookmarkStart w:id="104" w:name="_Toc6107"/>
      <w:bookmarkStart w:id="105" w:name="_Toc31217_WPSOffice_Level1"/>
      <w:bookmarkStart w:id="106" w:name="_Toc27920"/>
      <w:bookmarkStart w:id="107" w:name="_Toc26082"/>
      <w:r>
        <w:rPr>
          <w:rFonts w:hint="default" w:ascii="Times New Roman" w:hAnsi="Times New Roman" w:eastAsia="宋体" w:cs="Times New Roman"/>
          <w:b/>
          <w:color w:val="000000"/>
          <w:sz w:val="30"/>
          <w:szCs w:val="30"/>
        </w:rPr>
        <w:t>1</w:t>
      </w:r>
      <w:r>
        <w:rPr>
          <w:rFonts w:hint="eastAsia" w:ascii="Times New Roman" w:hAnsi="Times New Roman" w:eastAsia="宋体" w:cs="Times New Roman"/>
          <w:b/>
          <w:color w:val="000000"/>
          <w:sz w:val="30"/>
          <w:szCs w:val="30"/>
          <w:lang w:val="en-US" w:eastAsia="zh-CN"/>
        </w:rPr>
        <w:t>2</w:t>
      </w:r>
      <w:r>
        <w:rPr>
          <w:rFonts w:hint="default" w:ascii="Times New Roman" w:hAnsi="Times New Roman" w:eastAsia="宋体" w:cs="Times New Roman"/>
          <w:b/>
          <w:color w:val="000000"/>
          <w:sz w:val="30"/>
          <w:szCs w:val="30"/>
        </w:rPr>
        <w:t>建设项目竣工环境保护“三同时”验收登记表</w:t>
      </w:r>
      <w:bookmarkEnd w:id="102"/>
      <w:bookmarkEnd w:id="103"/>
      <w:bookmarkEnd w:id="104"/>
      <w:bookmarkEnd w:id="105"/>
      <w:bookmarkEnd w:id="106"/>
      <w:bookmarkEnd w:id="107"/>
    </w:p>
    <w:p>
      <w:pPr>
        <w:keepNext w:val="0"/>
        <w:keepLines w:val="0"/>
        <w:pageBreakBefore w:val="0"/>
        <w:widowControl/>
        <w:kinsoku/>
        <w:wordWrap/>
        <w:overflowPunct/>
        <w:topLinePunct w:val="0"/>
        <w:autoSpaceDE/>
        <w:autoSpaceDN/>
        <w:bidi w:val="0"/>
        <w:adjustRightInd w:val="0"/>
        <w:snapToGrid w:val="0"/>
        <w:spacing w:beforeAutospacing="0" w:after="0" w:afterLines="0" w:afterAutospacing="0" w:line="240" w:lineRule="exact"/>
        <w:ind w:left="0"/>
        <w:jc w:val="center"/>
        <w:textAlignment w:val="auto"/>
        <w:outlineLvl w:val="9"/>
        <w:rPr>
          <w:rFonts w:hint="default"/>
          <w:sz w:val="24"/>
          <w:szCs w:val="24"/>
        </w:rPr>
      </w:pPr>
      <w:r>
        <w:rPr>
          <w:rFonts w:hint="default" w:ascii="Times New Roman" w:hAnsi="Times New Roman" w:eastAsia="宋体" w:cs="Times New Roman"/>
          <w:b/>
          <w:color w:val="000000"/>
          <w:sz w:val="24"/>
          <w:szCs w:val="24"/>
        </w:rPr>
        <w:t>建设项目竣工环境保护“三同时”验收登记表</w:t>
      </w:r>
    </w:p>
    <w:p>
      <w:pPr>
        <w:pStyle w:val="31"/>
        <w:keepNext w:val="0"/>
        <w:keepLines w:val="0"/>
        <w:pageBreakBefore w:val="0"/>
        <w:widowControl/>
        <w:kinsoku/>
        <w:wordWrap/>
        <w:overflowPunct/>
        <w:topLinePunct w:val="0"/>
        <w:autoSpaceDE/>
        <w:autoSpaceDN/>
        <w:bidi w:val="0"/>
        <w:adjustRightInd/>
        <w:snapToGrid/>
        <w:spacing w:beforeAutospacing="0" w:afterAutospacing="0" w:line="240" w:lineRule="exact"/>
        <w:ind w:left="0" w:leftChars="0" w:right="0" w:rightChars="0" w:firstLine="0" w:firstLineChars="0"/>
        <w:jc w:val="both"/>
        <w:textAlignment w:val="auto"/>
        <w:outlineLvl w:val="9"/>
        <w:rPr>
          <w:rFonts w:hint="eastAsia"/>
          <w:sz w:val="21"/>
          <w:szCs w:val="21"/>
          <w:lang w:eastAsia="zh-CN"/>
        </w:rPr>
      </w:pPr>
      <w:r>
        <w:rPr>
          <w:rFonts w:hint="default" w:ascii="Times New Roman" w:hAnsi="Times New Roman" w:eastAsia="宋体" w:cs="Times New Roman"/>
          <w:b/>
          <w:color w:val="000000"/>
          <w:sz w:val="24"/>
          <w:szCs w:val="24"/>
        </w:rPr>
        <w:t>填表单位（盖章）</w:t>
      </w:r>
      <w:r>
        <w:rPr>
          <w:rFonts w:hint="default" w:ascii="Times New Roman" w:hAnsi="Times New Roman" w:eastAsia="宋体" w:cs="Times New Roman"/>
          <w:b/>
          <w:color w:val="000000"/>
          <w:kern w:val="2"/>
          <w:sz w:val="24"/>
          <w:szCs w:val="24"/>
        </w:rPr>
        <w:t>：</w:t>
      </w:r>
      <w:r>
        <w:rPr>
          <w:rFonts w:hint="default" w:ascii="Times New Roman" w:hAnsi="Times New Roman" w:eastAsia="宋体" w:cs="Times New Roman"/>
          <w:b/>
          <w:color w:val="000000"/>
          <w:sz w:val="24"/>
          <w:szCs w:val="24"/>
        </w:rPr>
        <w:t xml:space="preserve">                  填表人（签字）：                              项目经办人（签字）：</w:t>
      </w:r>
    </w:p>
    <w:tbl>
      <w:tblPr>
        <w:tblStyle w:val="18"/>
        <w:tblW w:w="15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1"/>
        <w:gridCol w:w="141"/>
        <w:gridCol w:w="993"/>
        <w:gridCol w:w="747"/>
        <w:gridCol w:w="811"/>
        <w:gridCol w:w="142"/>
        <w:gridCol w:w="1133"/>
        <w:gridCol w:w="850"/>
        <w:gridCol w:w="284"/>
        <w:gridCol w:w="992"/>
        <w:gridCol w:w="671"/>
        <w:gridCol w:w="463"/>
        <w:gridCol w:w="1133"/>
        <w:gridCol w:w="143"/>
        <w:gridCol w:w="792"/>
        <w:gridCol w:w="199"/>
        <w:gridCol w:w="1445"/>
        <w:gridCol w:w="1200"/>
        <w:gridCol w:w="585"/>
        <w:gridCol w:w="408"/>
        <w:gridCol w:w="480"/>
        <w:gridCol w:w="708"/>
        <w:gridCol w:w="258"/>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restart"/>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建设项目</w:t>
            </w: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项目名称</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年产1000吨水溶性蜡生产线建设项目</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项目代码</w:t>
            </w:r>
          </w:p>
        </w:tc>
        <w:tc>
          <w:tcPr>
            <w:tcW w:w="2436" w:type="dxa"/>
            <w:gridSpan w:val="3"/>
            <w:shd w:val="clear" w:color="auto" w:fill="auto"/>
            <w:vAlign w:val="center"/>
          </w:tcPr>
          <w:p>
            <w:pPr>
              <w:pStyle w:val="20"/>
              <w:widowControl w:val="0"/>
              <w:adjustRightInd/>
              <w:snapToGrid/>
              <w:spacing w:after="0" w:afterLines="-2147483648"/>
              <w:jc w:val="center"/>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C2689</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建设地点</w:t>
            </w:r>
          </w:p>
        </w:tc>
        <w:tc>
          <w:tcPr>
            <w:tcW w:w="2495" w:type="dxa"/>
            <w:gridSpan w:val="5"/>
            <w:shd w:val="clear" w:color="auto" w:fill="auto"/>
            <w:vAlign w:val="center"/>
          </w:tcPr>
          <w:p>
            <w:pPr>
              <w:pStyle w:val="20"/>
              <w:widowControl w:val="0"/>
              <w:adjustRightInd/>
              <w:snapToGrid/>
              <w:spacing w:after="0" w:afterLines="-2147483648"/>
              <w:ind w:firstLine="160" w:firstLineChars="100"/>
              <w:jc w:val="both"/>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安化县经济开发区梅城工业园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行业分类(分类管理名录)</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其他日用化学品制造（蜡烛及类似制品）</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建设性质</w:t>
            </w:r>
          </w:p>
        </w:tc>
        <w:tc>
          <w:tcPr>
            <w:tcW w:w="2436" w:type="dxa"/>
            <w:gridSpan w:val="3"/>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 xml:space="preserve">■新建   </w:t>
            </w:r>
            <w:r>
              <w:rPr>
                <w:rFonts w:hint="eastAsia" w:ascii="Times New Roman" w:hAnsi="Times New Roman" w:eastAsia="宋体" w:cs="Times New Roman"/>
                <w:sz w:val="16"/>
                <w:szCs w:val="16"/>
                <w:vertAlign w:val="baseline"/>
                <w:lang w:val="en-US" w:eastAsia="zh-CN"/>
              </w:rPr>
              <w:t>□</w:t>
            </w:r>
            <w:r>
              <w:rPr>
                <w:rFonts w:hint="default" w:ascii="Times New Roman" w:hAnsi="Times New Roman" w:eastAsia="宋体" w:cs="Times New Roman"/>
                <w:sz w:val="16"/>
                <w:szCs w:val="16"/>
                <w:vertAlign w:val="baseline"/>
                <w:lang w:val="en-US" w:eastAsia="zh-CN"/>
              </w:rPr>
              <w:t xml:space="preserve">改扩建   </w:t>
            </w:r>
            <w:r>
              <w:rPr>
                <w:rFonts w:hint="eastAsia" w:ascii="Times New Roman" w:hAnsi="Times New Roman" w:eastAsia="宋体" w:cs="Times New Roman"/>
                <w:sz w:val="16"/>
                <w:szCs w:val="16"/>
                <w:vertAlign w:val="baseline"/>
                <w:lang w:val="en-US" w:eastAsia="zh-CN"/>
              </w:rPr>
              <w:t>□</w:t>
            </w:r>
            <w:r>
              <w:rPr>
                <w:rFonts w:hint="default" w:ascii="Times New Roman" w:hAnsi="Times New Roman" w:eastAsia="宋体" w:cs="Times New Roman"/>
                <w:sz w:val="16"/>
                <w:szCs w:val="16"/>
                <w:vertAlign w:val="baseline"/>
                <w:lang w:val="en-US" w:eastAsia="zh-CN"/>
              </w:rPr>
              <w:t>技术改造</w:t>
            </w:r>
          </w:p>
        </w:tc>
        <w:tc>
          <w:tcPr>
            <w:tcW w:w="1785" w:type="dxa"/>
            <w:gridSpan w:val="2"/>
            <w:shd w:val="clear" w:color="auto" w:fill="auto"/>
            <w:vAlign w:val="center"/>
          </w:tcPr>
          <w:p>
            <w:pPr>
              <w:pStyle w:val="20"/>
              <w:widowControl w:val="0"/>
              <w:adjustRightInd/>
              <w:snapToGrid/>
              <w:spacing w:after="0" w:afterLines="-2147483648"/>
              <w:rPr>
                <w:rFonts w:hint="eastAsia"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项目中心经纬度</w:t>
            </w:r>
          </w:p>
        </w:tc>
        <w:tc>
          <w:tcPr>
            <w:tcW w:w="2495" w:type="dxa"/>
            <w:gridSpan w:val="5"/>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360" w:lineRule="auto"/>
              <w:jc w:val="center"/>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E112°37′35.03″</w:t>
            </w:r>
            <w:r>
              <w:rPr>
                <w:rFonts w:hint="eastAsia" w:ascii="Times New Roman" w:hAnsi="Times New Roman" w:eastAsia="宋体" w:cs="Times New Roman"/>
                <w:sz w:val="16"/>
                <w:szCs w:val="16"/>
                <w:vertAlign w:val="baseline"/>
                <w:lang w:val="en-US" w:eastAsia="zh-CN"/>
              </w:rPr>
              <w:t>、</w:t>
            </w:r>
            <w:r>
              <w:rPr>
                <w:rFonts w:hint="default" w:ascii="Times New Roman" w:hAnsi="Times New Roman" w:eastAsia="宋体" w:cs="Times New Roman"/>
                <w:sz w:val="16"/>
                <w:szCs w:val="16"/>
                <w:vertAlign w:val="baseline"/>
                <w:lang w:val="en-US" w:eastAsia="zh-CN"/>
              </w:rPr>
              <w:t>N28°7′23.85″</w:t>
            </w:r>
          </w:p>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jc w:val="center"/>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设计生产能力</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年产1000吨水溶性蜡</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实际生产能力</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年产1000吨水溶性蜡</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环评单位</w:t>
            </w:r>
          </w:p>
        </w:tc>
        <w:tc>
          <w:tcPr>
            <w:tcW w:w="2495" w:type="dxa"/>
            <w:gridSpan w:val="5"/>
            <w:shd w:val="clear" w:color="auto" w:fill="auto"/>
            <w:vAlign w:val="center"/>
          </w:tcPr>
          <w:p>
            <w:pPr>
              <w:keepNext w:val="0"/>
              <w:keepLines w:val="0"/>
              <w:widowControl/>
              <w:suppressLineNumbers w:val="0"/>
              <w:spacing w:after="240" w:afterAutospacing="0" w:line="360" w:lineRule="auto"/>
              <w:jc w:val="left"/>
              <w:rPr>
                <w:rFonts w:hint="eastAsia" w:ascii="Times New Roman" w:hAnsi="Times New Roman" w:eastAsia="宋体" w:cs="Times New Roman"/>
                <w:color w:val="000000"/>
                <w:kern w:val="2"/>
                <w:sz w:val="16"/>
                <w:szCs w:val="16"/>
                <w:vertAlign w:val="baseline"/>
                <w:lang w:val="en-US" w:eastAsia="zh-CN" w:bidi="ar-SA"/>
              </w:rPr>
            </w:pPr>
            <w:r>
              <w:rPr>
                <w:rFonts w:hint="eastAsia" w:ascii="Times New Roman" w:hAnsi="Times New Roman" w:eastAsia="宋体" w:cs="Times New Roman"/>
                <w:color w:val="000000"/>
                <w:kern w:val="2"/>
                <w:sz w:val="16"/>
                <w:szCs w:val="16"/>
                <w:vertAlign w:val="baseline"/>
                <w:lang w:val="en-US" w:eastAsia="zh-CN" w:bidi="ar-SA"/>
              </w:rPr>
              <w:t>广西钦天镜环境科技有限公司</w:t>
            </w: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环评文件审批机关</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安化县环境保护局</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审批文号</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安环审（表）[2018]040号</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环评文件类型</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开工日期</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竣工日期</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排污许可证申领时间</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环保设施设计单位</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环保设施施工单位</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本工程排污许可证编号</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验收单位</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环保设施监测单位</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湖南精科检测有限公司</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验收监测时工况</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r>
              <w:rPr>
                <w:rFonts w:hint="eastAsia" w:ascii="Times New Roman" w:hAnsi="Times New Roman" w:eastAsia="宋体" w:cs="Times New Roman"/>
                <w:sz w:val="16"/>
                <w:szCs w:val="16"/>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投资总概算（万元）</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1200</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环保投资总概算(万元)</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20</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所占比例（%）</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实际总投资（万元）</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1200</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实际环保投资 (万元)</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21</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所占比例(%）</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废水治理（万元）</w:t>
            </w:r>
          </w:p>
        </w:tc>
        <w:tc>
          <w:tcPr>
            <w:tcW w:w="811"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w:t>
            </w:r>
          </w:p>
        </w:tc>
        <w:tc>
          <w:tcPr>
            <w:tcW w:w="127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废气治理（万元）</w:t>
            </w:r>
          </w:p>
        </w:tc>
        <w:tc>
          <w:tcPr>
            <w:tcW w:w="85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18</w:t>
            </w:r>
          </w:p>
        </w:tc>
        <w:tc>
          <w:tcPr>
            <w:tcW w:w="1276"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噪声治理(万元)</w:t>
            </w:r>
          </w:p>
        </w:tc>
        <w:tc>
          <w:tcPr>
            <w:tcW w:w="671"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3</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固体废物治理（万元）</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绿化及生态（万元 ）</w:t>
            </w:r>
          </w:p>
        </w:tc>
        <w:tc>
          <w:tcPr>
            <w:tcW w:w="8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w:t>
            </w:r>
          </w:p>
        </w:tc>
        <w:tc>
          <w:tcPr>
            <w:tcW w:w="966"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其他（万元）</w:t>
            </w:r>
          </w:p>
        </w:tc>
        <w:tc>
          <w:tcPr>
            <w:tcW w:w="641"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421"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881"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新增废水处理设施能力</w:t>
            </w:r>
          </w:p>
        </w:tc>
        <w:tc>
          <w:tcPr>
            <w:tcW w:w="4883" w:type="dxa"/>
            <w:gridSpan w:val="7"/>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39"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新增废气处理设施能力</w:t>
            </w:r>
          </w:p>
        </w:tc>
        <w:tc>
          <w:tcPr>
            <w:tcW w:w="2436"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年平均工作时间（h）</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exact"/>
          <w:jc w:val="center"/>
        </w:trPr>
        <w:tc>
          <w:tcPr>
            <w:tcW w:w="2302" w:type="dxa"/>
            <w:gridSpan w:val="4"/>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运营单位</w:t>
            </w:r>
          </w:p>
        </w:tc>
        <w:tc>
          <w:tcPr>
            <w:tcW w:w="4212" w:type="dxa"/>
            <w:gridSpan w:val="6"/>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eastAsia" w:ascii="Times New Roman" w:hAnsi="Times New Roman" w:eastAsia="宋体" w:cs="Times New Roman"/>
                <w:sz w:val="16"/>
                <w:szCs w:val="16"/>
                <w:vertAlign w:val="baseline"/>
                <w:lang w:val="en-US" w:eastAsia="zh-CN"/>
              </w:rPr>
              <w:t>湖南湘芝新能源有限公司</w:t>
            </w:r>
          </w:p>
        </w:tc>
        <w:tc>
          <w:tcPr>
            <w:tcW w:w="3202" w:type="dxa"/>
            <w:gridSpan w:val="5"/>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运营单位社会统一信用代码(或组织机构代码)</w:t>
            </w:r>
          </w:p>
        </w:tc>
        <w:tc>
          <w:tcPr>
            <w:tcW w:w="164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85"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验收时间</w:t>
            </w:r>
          </w:p>
        </w:tc>
        <w:tc>
          <w:tcPr>
            <w:tcW w:w="2495" w:type="dxa"/>
            <w:gridSpan w:val="5"/>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2018.</w:t>
            </w:r>
            <w:r>
              <w:rPr>
                <w:rFonts w:hint="eastAsia" w:ascii="Times New Roman" w:hAnsi="Times New Roman" w:eastAsia="宋体" w:cs="Times New Roman"/>
                <w:sz w:val="16"/>
                <w:szCs w:val="16"/>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25" w:hRule="exact"/>
          <w:jc w:val="center"/>
        </w:trPr>
        <w:tc>
          <w:tcPr>
            <w:tcW w:w="562" w:type="dxa"/>
            <w:gridSpan w:val="2"/>
            <w:vMerge w:val="restart"/>
            <w:shd w:val="clear" w:color="auto" w:fill="auto"/>
            <w:vAlign w:val="center"/>
          </w:tcPr>
          <w:p>
            <w:pPr>
              <w:pStyle w:val="20"/>
              <w:widowControl w:val="0"/>
              <w:adjustRightInd/>
              <w:snapToGrid/>
              <w:spacing w:after="0" w:afterLines="-2147483648"/>
              <w:jc w:val="both"/>
              <w:rPr>
                <w:rFonts w:hint="default" w:ascii="Times New Roman" w:hAnsi="Times New Roman" w:eastAsia="宋体" w:cs="Times New Roman"/>
                <w:sz w:val="16"/>
                <w:szCs w:val="16"/>
                <w:vertAlign w:val="baseline"/>
                <w:lang w:val="en-US" w:eastAsia="zh-CN"/>
              </w:rPr>
            </w:pPr>
          </w:p>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污染物排放达标与总量控制（工业建设项目详填）</w:t>
            </w: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污染物</w:t>
            </w:r>
          </w:p>
        </w:tc>
        <w:tc>
          <w:tcPr>
            <w:tcW w:w="953"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原有排放量(1)</w:t>
            </w:r>
          </w:p>
        </w:tc>
        <w:tc>
          <w:tcPr>
            <w:tcW w:w="1133"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本期工程实际排放浓度(2)</w:t>
            </w:r>
          </w:p>
        </w:tc>
        <w:tc>
          <w:tcPr>
            <w:tcW w:w="1134"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本期工程允许排放浓度(3)</w:t>
            </w:r>
          </w:p>
        </w:tc>
        <w:tc>
          <w:tcPr>
            <w:tcW w:w="992"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本期工程产生量(4)</w:t>
            </w:r>
          </w:p>
        </w:tc>
        <w:tc>
          <w:tcPr>
            <w:tcW w:w="1134"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本期工程自身削减量(5)</w:t>
            </w:r>
          </w:p>
        </w:tc>
        <w:tc>
          <w:tcPr>
            <w:tcW w:w="1133"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本期工程实际排放量(6)</w:t>
            </w:r>
          </w:p>
        </w:tc>
        <w:tc>
          <w:tcPr>
            <w:tcW w:w="1134" w:type="dxa"/>
            <w:gridSpan w:val="3"/>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本期工程核定排放总量(7)</w:t>
            </w:r>
          </w:p>
        </w:tc>
        <w:tc>
          <w:tcPr>
            <w:tcW w:w="1445"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本期工程“以新带老”削减量(8)</w:t>
            </w:r>
          </w:p>
        </w:tc>
        <w:tc>
          <w:tcPr>
            <w:tcW w:w="1200" w:type="dxa"/>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全厂实际排放总量(9)</w:t>
            </w:r>
          </w:p>
        </w:tc>
        <w:tc>
          <w:tcPr>
            <w:tcW w:w="993"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全厂核定排放总量(10)</w:t>
            </w:r>
          </w:p>
        </w:tc>
        <w:tc>
          <w:tcPr>
            <w:tcW w:w="1188"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区域平衡替代削减量(11)</w:t>
            </w:r>
          </w:p>
        </w:tc>
        <w:tc>
          <w:tcPr>
            <w:tcW w:w="899" w:type="dxa"/>
            <w:gridSpan w:val="2"/>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废水</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化学需氧量</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氨氮</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石油类</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废气</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二氧化硫</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烟尘</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工业粉尘</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氮氧化物</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1740"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工业固体废物</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restart"/>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与项目有关的其他特征污染物</w:t>
            </w:r>
          </w:p>
        </w:tc>
        <w:tc>
          <w:tcPr>
            <w:tcW w:w="747"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eastAsia"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747"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5" w:hRule="exact"/>
          <w:jc w:val="center"/>
        </w:trPr>
        <w:tc>
          <w:tcPr>
            <w:tcW w:w="562" w:type="dxa"/>
            <w:gridSpan w:val="2"/>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993" w:type="dxa"/>
            <w:vMerge w:val="continue"/>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p>
        </w:tc>
        <w:tc>
          <w:tcPr>
            <w:tcW w:w="747"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5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2"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3"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34" w:type="dxa"/>
            <w:gridSpan w:val="3"/>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445"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200" w:type="dxa"/>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993"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1188"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c>
          <w:tcPr>
            <w:tcW w:w="899" w:type="dxa"/>
            <w:gridSpan w:val="2"/>
            <w:shd w:val="clear" w:color="auto" w:fill="auto"/>
            <w:vAlign w:val="center"/>
          </w:tcPr>
          <w:p>
            <w:pPr>
              <w:pStyle w:val="20"/>
              <w:widowControl w:val="0"/>
              <w:adjustRightInd/>
              <w:snapToGrid/>
              <w:spacing w:after="0" w:afterLines="-2147483648"/>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30" w:hRule="exact"/>
          <w:jc w:val="center"/>
        </w:trPr>
        <w:tc>
          <w:tcPr>
            <w:tcW w:w="15640" w:type="dxa"/>
            <w:gridSpan w:val="24"/>
            <w:shd w:val="clear" w:color="auto" w:fill="auto"/>
            <w:vAlign w:val="center"/>
          </w:tcPr>
          <w:p>
            <w:pPr>
              <w:pStyle w:val="20"/>
              <w:keepNext w:val="0"/>
              <w:keepLines w:val="0"/>
              <w:pageBreakBefore w:val="0"/>
              <w:widowControl w:val="0"/>
              <w:kinsoku/>
              <w:wordWrap/>
              <w:overflowPunct/>
              <w:topLinePunct w:val="0"/>
              <w:autoSpaceDE/>
              <w:autoSpaceDN/>
              <w:bidi w:val="0"/>
              <w:adjustRightInd/>
              <w:snapToGrid/>
              <w:spacing w:after="100" w:afterLines="-2147483648" w:afterAutospacing="1" w:line="240" w:lineRule="exact"/>
              <w:textAlignment w:val="auto"/>
              <w:rPr>
                <w:rFonts w:hint="default" w:ascii="Times New Roman" w:hAnsi="Times New Roman" w:eastAsia="宋体" w:cs="Times New Roman"/>
                <w:sz w:val="16"/>
                <w:szCs w:val="16"/>
                <w:vertAlign w:val="baseline"/>
                <w:lang w:val="en-US" w:eastAsia="zh-CN"/>
              </w:rPr>
            </w:pPr>
            <w:r>
              <w:rPr>
                <w:rFonts w:hint="default" w:ascii="Times New Roman" w:hAnsi="Times New Roman" w:eastAsia="宋体" w:cs="Times New Roman"/>
                <w:sz w:val="16"/>
                <w:szCs w:val="16"/>
                <w:vertAlign w:val="baseline"/>
                <w:lang w:val="en-US" w:eastAsia="zh-CN"/>
              </w:rPr>
              <w:t>注：1、排放增减量：（+）表示增加，（-）表示减少； 2、(12)=(6)-(8)-(11)，（9）= (4)-(5)-(8)- (11) +（1）； 3、计量单位：废水排放量——万吨/年；废气排放量——万标立方米/年；工业固体废物排放量——万吨/年； 水污染物排放浓度——毫克/升；大气污染物排放浓度——毫克/立方米；水污染物排放量——吨/年；大气污染物排放量——吨/年</w:t>
            </w:r>
          </w:p>
        </w:tc>
      </w:tr>
    </w:tbl>
    <w:p>
      <w:pPr>
        <w:pStyle w:val="2"/>
        <w:rPr>
          <w:rFonts w:hint="default" w:ascii="Times New Roman" w:hAnsi="Times New Roman" w:eastAsia="宋体" w:cs="Times New Roman"/>
          <w:b w:val="0"/>
          <w:i w:val="0"/>
          <w:color w:val="000000"/>
          <w:sz w:val="24"/>
          <w:szCs w:val="24"/>
          <w:lang w:val="en-US" w:eastAsia="zh-CN"/>
        </w:rPr>
        <w:sectPr>
          <w:pgSz w:w="16838" w:h="11906" w:orient="landscape"/>
          <w:pgMar w:top="1440" w:right="1800" w:bottom="1440" w:left="1800" w:header="851" w:footer="992" w:gutter="0"/>
          <w:pgNumType w:fmt="decimal"/>
          <w:cols w:space="425" w:num="1"/>
          <w:docGrid w:type="lines" w:linePitch="312" w:charSpace="0"/>
        </w:sectPr>
      </w:pPr>
    </w:p>
    <w:p>
      <w:pPr>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附图1 项目地理位置图</w:t>
      </w:r>
    </w:p>
    <w:p>
      <w:pPr>
        <w:pStyle w:val="2"/>
        <w:ind w:left="0" w:leftChars="0" w:firstLine="0" w:firstLineChars="0"/>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r>
        <w:rPr>
          <w:sz w:val="24"/>
        </w:rPr>
        <mc:AlternateContent>
          <mc:Choice Requires="wps">
            <w:drawing>
              <wp:anchor distT="0" distB="0" distL="114300" distR="114300" simplePos="0" relativeHeight="485913600" behindDoc="0" locked="0" layoutInCell="1" allowOverlap="1">
                <wp:simplePos x="0" y="0"/>
                <wp:positionH relativeFrom="column">
                  <wp:posOffset>2961005</wp:posOffset>
                </wp:positionH>
                <wp:positionV relativeFrom="paragraph">
                  <wp:posOffset>3946525</wp:posOffset>
                </wp:positionV>
                <wp:extent cx="1295400" cy="476250"/>
                <wp:effectExtent l="4445" t="4445" r="14605" b="71755"/>
                <wp:wrapNone/>
                <wp:docPr id="8" name="圆角矩形标注 8"/>
                <wp:cNvGraphicFramePr/>
                <a:graphic xmlns:a="http://schemas.openxmlformats.org/drawingml/2006/main">
                  <a:graphicData uri="http://schemas.microsoft.com/office/word/2010/wordprocessingShape">
                    <wps:wsp>
                      <wps:cNvSpPr/>
                      <wps:spPr>
                        <a:xfrm>
                          <a:off x="4456430" y="5373370"/>
                          <a:ext cx="1295400" cy="476250"/>
                        </a:xfrm>
                        <a:prstGeom prst="wedgeRoundRectCallou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3.15pt;margin-top:310.75pt;height:37.5pt;width:102pt;z-index:485913600;v-text-anchor:middle;mso-width-relative:page;mso-height-relative:page;" filled="f" stroked="t" coordsize="21600,21600" o:gfxdata="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OEokPbZAAAACwEAAA8AAAAA&#10;AAAAAQAgAAAAIgAAAGRycy9kb3ducmV2LnhtbFBLAQIUABQAAAAIAIdO4kBgvFbthQIAALAEAAAO&#10;AAAAAAAAAAEAIAAAACgBAABkcnMvZTJvRG9jLnhtbFBLBQYAAAAABgAGAFkBAAAfBgAAAAA=&#10;" adj="6300,24300,14400">
                <v:fill on="f" focussize="0,0"/>
                <v:stroke weight="0.25pt" color="#FF0000 [3204]"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项目所在地</w:t>
                      </w:r>
                    </w:p>
                  </w:txbxContent>
                </v:textbox>
              </v:shape>
            </w:pict>
          </mc:Fallback>
        </mc:AlternateContent>
      </w:r>
      <w:r>
        <w:rPr>
          <w:rFonts w:hint="default"/>
          <w:lang w:val="en-US" w:eastAsia="zh-CN"/>
        </w:rPr>
        <w:drawing>
          <wp:inline distT="0" distB="0" distL="114300" distR="114300">
            <wp:extent cx="8860155" cy="4839335"/>
            <wp:effectExtent l="9525" t="9525" r="26670" b="27940"/>
            <wp:docPr id="7" name="图片 7" descr="1545899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45899791(1)"/>
                    <pic:cNvPicPr>
                      <a:picLocks noChangeAspect="1"/>
                    </pic:cNvPicPr>
                  </pic:nvPicPr>
                  <pic:blipFill>
                    <a:blip r:embed="rId7"/>
                    <a:stretch>
                      <a:fillRect/>
                    </a:stretch>
                  </pic:blipFill>
                  <pic:spPr>
                    <a:xfrm>
                      <a:off x="0" y="0"/>
                      <a:ext cx="8860155" cy="4839335"/>
                    </a:xfrm>
                    <a:prstGeom prst="rect">
                      <a:avLst/>
                    </a:prstGeom>
                    <a:ln>
                      <a:solidFill>
                        <a:schemeClr val="tx1"/>
                      </a:solidFill>
                    </a:ln>
                  </pic:spPr>
                </pic:pic>
              </a:graphicData>
            </a:graphic>
          </wp:inline>
        </w:drawing>
      </w:r>
    </w:p>
    <w:p>
      <w:pPr>
        <w:rPr>
          <w:rFonts w:hint="eastAsia" w:ascii="Times New Roman" w:hAnsi="Times New Roman" w:cs="Times New Roman"/>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附图</w:t>
      </w:r>
      <w:r>
        <w:rPr>
          <w:rFonts w:hint="eastAsia" w:ascii="Times New Roman" w:hAnsi="Times New Roman" w:cs="Times New Roman"/>
          <w:b/>
          <w:kern w:val="2"/>
          <w:sz w:val="24"/>
          <w:szCs w:val="24"/>
          <w:lang w:val="en-US" w:eastAsia="zh-CN" w:bidi="ar-SA"/>
        </w:rPr>
        <w:t>2</w:t>
      </w:r>
      <w:r>
        <w:rPr>
          <w:rFonts w:hint="eastAsia" w:ascii="Times New Roman" w:hAnsi="Times New Roman" w:cs="Times New Roman" w:eastAsiaTheme="minorEastAsia"/>
          <w:b/>
          <w:kern w:val="2"/>
          <w:sz w:val="24"/>
          <w:szCs w:val="24"/>
          <w:lang w:val="en-US" w:eastAsia="zh-CN" w:bidi="ar-SA"/>
        </w:rPr>
        <w:t xml:space="preserve"> </w:t>
      </w:r>
      <w:r>
        <w:rPr>
          <w:rFonts w:hint="eastAsia" w:ascii="Times New Roman" w:hAnsi="Times New Roman" w:cs="Times New Roman"/>
          <w:b/>
          <w:kern w:val="2"/>
          <w:sz w:val="24"/>
          <w:szCs w:val="24"/>
          <w:lang w:val="en-US" w:eastAsia="zh-CN" w:bidi="ar-SA"/>
        </w:rPr>
        <w:t>平面布置及采样布点图</w:t>
      </w:r>
    </w:p>
    <w:p>
      <w:pPr>
        <w:pStyle w:val="2"/>
        <w:rPr>
          <w:rFonts w:hint="eastAsia" w:ascii="Times New Roman" w:hAnsi="Times New Roman" w:cs="Times New Roman"/>
          <w:b/>
          <w:kern w:val="2"/>
          <w:sz w:val="24"/>
          <w:szCs w:val="24"/>
          <w:lang w:val="en-US" w:eastAsia="zh-CN" w:bidi="ar-SA"/>
        </w:rPr>
      </w:pPr>
    </w:p>
    <w:p>
      <w:pPr>
        <w:pStyle w:val="2"/>
        <w:ind w:left="0" w:leftChars="0" w:firstLine="0" w:firstLineChars="0"/>
        <w:rPr>
          <w:rFonts w:hint="eastAsia" w:ascii="Times New Roman" w:hAnsi="Times New Roman" w:cs="Times New Roman"/>
          <w:b/>
          <w:kern w:val="2"/>
          <w:sz w:val="24"/>
          <w:szCs w:val="24"/>
          <w:lang w:val="en-US" w:eastAsia="zh-CN" w:bidi="ar-SA"/>
        </w:rPr>
      </w:pPr>
    </w:p>
    <w:p>
      <w:pPr>
        <w:pStyle w:val="2"/>
        <w:rPr>
          <w:rFonts w:hint="eastAsia" w:ascii="Times New Roman" w:hAnsi="Times New Roman" w:cs="Times New Roman"/>
          <w:b/>
          <w:kern w:val="2"/>
          <w:sz w:val="24"/>
          <w:szCs w:val="24"/>
          <w:lang w:val="en-US" w:eastAsia="zh-CN" w:bidi="ar-SA"/>
        </w:rPr>
      </w:pPr>
    </w:p>
    <w:p>
      <w:pPr>
        <w:pStyle w:val="2"/>
        <w:ind w:left="0" w:leftChars="0" w:firstLine="0" w:firstLineChars="0"/>
        <w:rPr>
          <w:rFonts w:hint="eastAsia" w:ascii="Times New Roman" w:hAnsi="Times New Roman" w:cs="Times New Roman"/>
          <w:b/>
          <w:kern w:val="2"/>
          <w:sz w:val="24"/>
          <w:szCs w:val="24"/>
          <w:lang w:val="en-US" w:eastAsia="zh-CN" w:bidi="ar-SA"/>
        </w:rPr>
      </w:pPr>
    </w:p>
    <w:p>
      <w:pPr>
        <w:pStyle w:val="2"/>
        <w:ind w:left="0" w:leftChars="0" w:firstLine="0" w:firstLineChars="0"/>
        <w:rPr>
          <w:rFonts w:hint="eastAsia"/>
          <w:lang w:val="en-US" w:eastAsia="zh-CN"/>
        </w:rPr>
      </w:pPr>
      <w:r>
        <w:rPr>
          <w:b/>
          <w:bCs/>
          <w:sz w:val="24"/>
          <w:highlight w:val="none"/>
        </w:rPr>
        <w:drawing>
          <wp:anchor distT="0" distB="0" distL="114300" distR="114300" simplePos="0" relativeHeight="257121280" behindDoc="1" locked="0" layoutInCell="1" allowOverlap="1">
            <wp:simplePos x="0" y="0"/>
            <wp:positionH relativeFrom="column">
              <wp:posOffset>4786630</wp:posOffset>
            </wp:positionH>
            <wp:positionV relativeFrom="paragraph">
              <wp:posOffset>6350</wp:posOffset>
            </wp:positionV>
            <wp:extent cx="417195" cy="572770"/>
            <wp:effectExtent l="0" t="0" r="1905" b="17780"/>
            <wp:wrapNone/>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8"/>
                    <a:stretch>
                      <a:fillRect/>
                    </a:stretch>
                  </pic:blipFill>
                  <pic:spPr>
                    <a:xfrm>
                      <a:off x="0" y="0"/>
                      <a:ext cx="417195" cy="572770"/>
                    </a:xfrm>
                    <a:prstGeom prst="rect">
                      <a:avLst/>
                    </a:prstGeom>
                    <a:noFill/>
                    <a:ln w="9525">
                      <a:noFill/>
                    </a:ln>
                  </pic:spPr>
                </pic:pic>
              </a:graphicData>
            </a:graphic>
          </wp:anchor>
        </w:drawing>
      </w:r>
      <w:r>
        <w:rPr>
          <w:rFonts w:hint="eastAsia"/>
          <w:lang w:val="en-US" w:eastAsia="zh-CN"/>
        </w:rPr>
        <w:t xml:space="preserve">                                                                                                                    </w:t>
      </w:r>
    </w:p>
    <w:p>
      <w:pPr>
        <w:pStyle w:val="2"/>
        <w:ind w:left="0" w:leftChars="0" w:firstLine="0" w:firstLineChars="0"/>
        <w:rPr>
          <w:rFonts w:hint="eastAsia"/>
          <w:lang w:val="en-US" w:eastAsia="zh-CN"/>
        </w:rPr>
      </w:pPr>
    </w:p>
    <w:p>
      <w:pPr>
        <w:pStyle w:val="2"/>
        <w:ind w:left="0" w:leftChars="0" w:firstLine="0" w:firstLineChars="0"/>
        <w:jc w:val="left"/>
        <w:rPr>
          <w:rFonts w:hint="eastAsia"/>
          <w:lang w:val="en-US" w:eastAsia="zh-CN"/>
        </w:rPr>
      </w:pP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485918720" behindDoc="0" locked="0" layoutInCell="1" allowOverlap="1">
                <wp:simplePos x="0" y="0"/>
                <wp:positionH relativeFrom="column">
                  <wp:posOffset>3023870</wp:posOffset>
                </wp:positionH>
                <wp:positionV relativeFrom="paragraph">
                  <wp:posOffset>170815</wp:posOffset>
                </wp:positionV>
                <wp:extent cx="2314575" cy="1724025"/>
                <wp:effectExtent l="2540" t="3810" r="6985" b="5715"/>
                <wp:wrapNone/>
                <wp:docPr id="17" name="直接连接符 17"/>
                <wp:cNvGraphicFramePr/>
                <a:graphic xmlns:a="http://schemas.openxmlformats.org/drawingml/2006/main">
                  <a:graphicData uri="http://schemas.microsoft.com/office/word/2010/wordprocessingShape">
                    <wps:wsp>
                      <wps:cNvCnPr/>
                      <wps:spPr>
                        <a:xfrm>
                          <a:off x="4519295" y="3601720"/>
                          <a:ext cx="2314575" cy="1724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38.1pt;margin-top:13.45pt;height:135.75pt;width:182.25pt;z-index:485918720;mso-width-relative:page;mso-height-relative:page;" filled="f" stroked="t" coordsize="21600,21600" o:gfxdata="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aJDe3YAAAACgEAAA8AAAAA&#10;AAAAAQAgAAAAIgAAAGRycy9kb3ducmV2LnhtbFBLAQIUABQAAAAIAIdO4kBixuzY2wEAAHcDAAAO&#10;AAAAAAAAAAEAIAAAACcBAABkcnMvZTJvRG9jLnhtbFBLBQYAAAAABgAGAFkBAAB0BQAAAAA=&#10;">
                <v:fill on="f" focussize="0,0"/>
                <v:stroke weight="0.5pt" color="#000000 [3213]" miterlimit="8" joinstyle="miter"/>
                <v:imagedata o:title=""/>
                <o:lock v:ext="edit" aspectratio="f"/>
              </v:line>
            </w:pict>
          </mc:Fallback>
        </mc:AlternateContent>
      </w: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1449916416" behindDoc="0" locked="0" layoutInCell="1" allowOverlap="1">
                <wp:simplePos x="0" y="0"/>
                <wp:positionH relativeFrom="column">
                  <wp:posOffset>2108835</wp:posOffset>
                </wp:positionH>
                <wp:positionV relativeFrom="paragraph">
                  <wp:posOffset>64770</wp:posOffset>
                </wp:positionV>
                <wp:extent cx="533400" cy="295275"/>
                <wp:effectExtent l="0" t="0" r="0" b="0"/>
                <wp:wrapNone/>
                <wp:docPr id="25" name="矩形 25"/>
                <wp:cNvGraphicFramePr/>
                <a:graphic xmlns:a="http://schemas.openxmlformats.org/drawingml/2006/main">
                  <a:graphicData uri="http://schemas.microsoft.com/office/word/2010/wordprocessingShape">
                    <wps:wsp>
                      <wps:cNvSpPr/>
                      <wps:spPr>
                        <a:xfrm>
                          <a:off x="0" y="0"/>
                          <a:ext cx="5334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6.05pt;margin-top:5.1pt;height:23.25pt;width:42pt;z-index:1449916416;v-text-anchor:middle;mso-width-relative:page;mso-height-relative:page;" filled="f" stroked="f" coordsize="21600,21600" o:gfxdata="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WLdcAAAAJAQAADwAAAAAAAAABACAAAAAi&#10;AAAAZHJzL2Rvd25yZXYueG1sUEsBAhQAFAAAAAgAh07iQEP+V5VEAgAAYAQAAA4AAAAAAAAAAQAg&#10;AAAAJgEAAGRycy9lMm9Eb2MueG1sUEsFBgAAAAAGAAYAWQEAANwFAAAAAA==&#10;">
                <v:fill on="f" focussize="0,0"/>
                <v:stroke on="f" weight="1pt" miterlimit="8" joinstyle="miter"/>
                <v:imagedata o:title=""/>
                <o:lock v:ext="edit" aspectratio="f"/>
                <v:textbo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1</w:t>
                      </w:r>
                    </w:p>
                  </w:txbxContent>
                </v:textbox>
              </v:rect>
            </w:pict>
          </mc:Fallback>
        </mc:AlternateContent>
      </w:r>
      <w:r>
        <w:rPr>
          <w:sz w:val="24"/>
        </w:rPr>
        <mc:AlternateContent>
          <mc:Choice Requires="wps">
            <w:drawing>
              <wp:anchor distT="0" distB="0" distL="114300" distR="114300" simplePos="0" relativeHeight="485919744" behindDoc="0" locked="0" layoutInCell="1" allowOverlap="1">
                <wp:simplePos x="0" y="0"/>
                <wp:positionH relativeFrom="column">
                  <wp:posOffset>2814320</wp:posOffset>
                </wp:positionH>
                <wp:positionV relativeFrom="paragraph">
                  <wp:posOffset>159385</wp:posOffset>
                </wp:positionV>
                <wp:extent cx="2295525" cy="1704975"/>
                <wp:effectExtent l="2540" t="3810" r="6985" b="5715"/>
                <wp:wrapNone/>
                <wp:docPr id="18" name="直接连接符 18"/>
                <wp:cNvGraphicFramePr/>
                <a:graphic xmlns:a="http://schemas.openxmlformats.org/drawingml/2006/main">
                  <a:graphicData uri="http://schemas.microsoft.com/office/word/2010/wordprocessingShape">
                    <wps:wsp>
                      <wps:cNvCnPr/>
                      <wps:spPr>
                        <a:xfrm flipH="1" flipV="1">
                          <a:off x="3852545" y="3668395"/>
                          <a:ext cx="2295525" cy="1704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21.6pt;margin-top:12.55pt;height:134.25pt;width:180.75pt;z-index:485919744;mso-width-relative:page;mso-height-relative:page;" filled="f" stroked="t" coordsize="21600,21600" o:gfxdata="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29&#10;pQHaAAAACgEAAA8AAAAAAAAAAQAgAAAAIgAAAGRycy9kb3ducmV2LnhtbFBLAQIUABQAAAAIAIdO&#10;4kCQ5Kil6AEAAIsDAAAOAAAAAAAAAAEAIAAAACkBAABkcnMvZTJvRG9jLnhtbFBLBQYAAAAABgAG&#10;AFkBAACDBQAAAAA=&#10;">
                <v:fill on="f" focussize="0,0"/>
                <v:stroke weight="0.5pt" color="#000000 [3213]" miterlimit="8" joinstyle="miter"/>
                <v:imagedata o:title=""/>
                <o:lock v:ext="edit" aspectratio="f"/>
              </v:line>
            </w:pict>
          </mc:Fallback>
        </mc:AlternateContent>
      </w: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674045952" behindDoc="0" locked="0" layoutInCell="1" allowOverlap="1">
                <wp:simplePos x="0" y="0"/>
                <wp:positionH relativeFrom="column">
                  <wp:posOffset>3042285</wp:posOffset>
                </wp:positionH>
                <wp:positionV relativeFrom="paragraph">
                  <wp:posOffset>188595</wp:posOffset>
                </wp:positionV>
                <wp:extent cx="504190" cy="257810"/>
                <wp:effectExtent l="0" t="0" r="0" b="0"/>
                <wp:wrapNone/>
                <wp:docPr id="21" name="矩形 21"/>
                <wp:cNvGraphicFramePr/>
                <a:graphic xmlns:a="http://schemas.openxmlformats.org/drawingml/2006/main">
                  <a:graphicData uri="http://schemas.microsoft.com/office/word/2010/wordprocessingShape">
                    <wps:wsp>
                      <wps:cNvSpPr/>
                      <wps:spPr>
                        <a:xfrm>
                          <a:off x="0" y="0"/>
                          <a:ext cx="504190"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9.55pt;margin-top:14.85pt;height:20.3pt;width:39.7pt;z-index:674045952;v-text-anchor:middle;mso-width-relative:page;mso-height-relative:page;" filled="f" stroked="f" coordsize="21600,21600" o:gfxdata="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wl/9jYAAAACQEAAA8AAAAAAAAAAQAgAAAA&#10;IgAAAGRycy9kb3ducmV2LnhtbFBLAQIUABQAAAAIAIdO4kC10tCkRAIAAGAEAAAOAAAAAAAAAAEA&#10;IAAAACcBAABkcnMvZTJvRG9jLnhtbFBLBQYAAAAABgAGAFkBAADdBQAAAAA=&#10;">
                <v:fill on="f" focussize="0,0"/>
                <v:stroke on="f" weight="1pt" miterlimit="8" joinstyle="miter"/>
                <v:imagedata o:title=""/>
                <o:lock v:ext="edit" aspectratio="f"/>
                <v:textbo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4</w:t>
                      </w:r>
                    </w:p>
                  </w:txbxContent>
                </v:textbox>
              </v:rect>
            </w:pict>
          </mc:Fallback>
        </mc:AlternateContent>
      </w:r>
      <w:r>
        <w:rPr>
          <w:sz w:val="24"/>
        </w:rPr>
        <mc:AlternateContent>
          <mc:Choice Requires="wps">
            <w:drawing>
              <wp:anchor distT="0" distB="0" distL="114300" distR="114300" simplePos="0" relativeHeight="485920768" behindDoc="0" locked="0" layoutInCell="1" allowOverlap="1">
                <wp:simplePos x="0" y="0"/>
                <wp:positionH relativeFrom="column">
                  <wp:posOffset>1950085</wp:posOffset>
                </wp:positionH>
                <wp:positionV relativeFrom="paragraph">
                  <wp:posOffset>239395</wp:posOffset>
                </wp:positionV>
                <wp:extent cx="1341120" cy="2028825"/>
                <wp:effectExtent l="484505" t="208280" r="498475" b="220345"/>
                <wp:wrapNone/>
                <wp:docPr id="19" name="矩形 19"/>
                <wp:cNvGraphicFramePr/>
                <a:graphic xmlns:a="http://schemas.openxmlformats.org/drawingml/2006/main">
                  <a:graphicData uri="http://schemas.microsoft.com/office/word/2010/wordprocessingShape">
                    <wps:wsp>
                      <wps:cNvSpPr/>
                      <wps:spPr>
                        <a:xfrm rot="2220000">
                          <a:off x="1985645" y="3830320"/>
                          <a:ext cx="1341120" cy="2028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55pt;margin-top:18.85pt;height:159.75pt;width:105.6pt;rotation:2424832f;z-index:485920768;v-text-anchor:middle;mso-width-relative:page;mso-height-relative:page;" filled="f" stroked="t" coordsize="21600,21600" o:gfxdata="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QlRzPYAAAACgEAAA8AAAAAAAAAAQAgAAAAIgAAAGRycy9kb3ducmV2LnhtbFBLAQIUABQA&#10;AAAIAIdO4kBrRmVdYgIAAJoEAAAOAAAAAAAAAAEAIAAAACcBAABkcnMvZTJvRG9jLnhtbFBLBQYA&#10;AAAABgAGAFkBAAD7BQAAAAA=&#10;">
                <v:fill on="f" focussize="0,0"/>
                <v:stroke weight="1pt" color="#000000 [3213]" miterlimit="8" joinstyle="miter"/>
                <v:imagedata o:title=""/>
                <o:lock v:ext="edit" aspectratio="f"/>
              </v:rect>
            </w:pict>
          </mc:Fallback>
        </mc:AlternateContent>
      </w: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1449917440" behindDoc="0" locked="0" layoutInCell="1" allowOverlap="1">
                <wp:simplePos x="0" y="0"/>
                <wp:positionH relativeFrom="column">
                  <wp:posOffset>2033270</wp:posOffset>
                </wp:positionH>
                <wp:positionV relativeFrom="paragraph">
                  <wp:posOffset>50800</wp:posOffset>
                </wp:positionV>
                <wp:extent cx="428625" cy="1266825"/>
                <wp:effectExtent l="353695" t="6350" r="360680" b="22225"/>
                <wp:wrapNone/>
                <wp:docPr id="28" name="矩形 28"/>
                <wp:cNvGraphicFramePr/>
                <a:graphic xmlns:a="http://schemas.openxmlformats.org/drawingml/2006/main">
                  <a:graphicData uri="http://schemas.microsoft.com/office/word/2010/wordprocessingShape">
                    <wps:wsp>
                      <wps:cNvSpPr/>
                      <wps:spPr>
                        <a:xfrm rot="2280000">
                          <a:off x="3061970" y="4392295"/>
                          <a:ext cx="428625"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1pt;margin-top:4pt;height:99.75pt;width:33.75pt;rotation:2490368f;z-index:1449917440;v-text-anchor:middle;mso-width-relative:page;mso-height-relative:page;" filled="f" stroked="t" coordsize="21600,21600" o:gfxdata="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qw4KPYAAAACQEAAA8AAAAAAAAAAQAgAAAAIgAAAGRycy9kb3ducmV2Lnht&#10;bFBLAQIUABQAAAAIAIdO4kDDphrgawIAAKQEAAAOAAAAAAAAAAEAIAAAACcBAABkcnMvZTJvRG9j&#10;LnhtbFBLBQYAAAAABgAGAFkBAAAEBg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生产区</w:t>
                      </w:r>
                    </w:p>
                  </w:txbxContent>
                </v:textbox>
              </v:rect>
            </w:pict>
          </mc:Fallback>
        </mc:AlternateContent>
      </w:r>
      <w:r>
        <w:rPr>
          <w:sz w:val="24"/>
        </w:rPr>
        <mc:AlternateContent>
          <mc:Choice Requires="wps">
            <w:drawing>
              <wp:anchor distT="0" distB="0" distL="114300" distR="114300" simplePos="0" relativeHeight="290078720" behindDoc="0" locked="0" layoutInCell="1" allowOverlap="1">
                <wp:simplePos x="0" y="0"/>
                <wp:positionH relativeFrom="column">
                  <wp:posOffset>2584450</wp:posOffset>
                </wp:positionH>
                <wp:positionV relativeFrom="paragraph">
                  <wp:posOffset>51435</wp:posOffset>
                </wp:positionV>
                <wp:extent cx="505460" cy="352425"/>
                <wp:effectExtent l="0" t="0" r="0" b="0"/>
                <wp:wrapNone/>
                <wp:docPr id="38" name="矩形 38"/>
                <wp:cNvGraphicFramePr/>
                <a:graphic xmlns:a="http://schemas.openxmlformats.org/drawingml/2006/main">
                  <a:graphicData uri="http://schemas.microsoft.com/office/word/2010/wordprocessingShape">
                    <wps:wsp>
                      <wps:cNvSpPr/>
                      <wps:spPr>
                        <a:xfrm>
                          <a:off x="0" y="0"/>
                          <a:ext cx="505460"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auto"/>
                                <w:lang w:val="en-US"/>
                              </w:rPr>
                            </w:pPr>
                            <w:r>
                              <w:rPr>
                                <w:rFonts w:hint="default" w:ascii="仿宋_GB2312" w:hAnsi="仿宋_GB2312" w:eastAsia="仿宋_GB2312" w:cs="仿宋_GB2312"/>
                                <w:color w:val="auto"/>
                                <w:sz w:val="21"/>
                                <w:szCs w:val="21"/>
                                <w:lang w:eastAsia="zh-CN"/>
                              </w:rPr>
                              <w:t>◎</w:t>
                            </w:r>
                            <w:r>
                              <w:rPr>
                                <w:rFonts w:hint="default" w:ascii="Times New Roman" w:hAnsi="Times New Roman" w:eastAsia="仿宋_GB2312" w:cs="Times New Roman"/>
                                <w:color w:val="auto"/>
                                <w:sz w:val="21"/>
                                <w:szCs w:val="21"/>
                                <w:lang w:val="en-US" w:eastAsia="zh-CN"/>
                              </w:rPr>
                              <w:t>A1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3.5pt;margin-top:4.05pt;height:27.75pt;width:39.8pt;z-index:290078720;v-text-anchor:middle;mso-width-relative:page;mso-height-relative:page;" filled="f" stroked="f" coordsize="21600,21600" o:gfxdata="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Vnhl/VAAAACAEAAA8AAAAAAAAAAQAgAAAAIgAA&#10;AGRycy9kb3ducmV2LnhtbFBLAQIUABQAAAAIAIdO4kDassxLRAIAAGAEAAAOAAAAAAAAAAEAIAAA&#10;ACQBAABkcnMvZTJvRG9jLnhtbFBLBQYAAAAABgAGAFkBAADaBQAAAAA=&#10;">
                <v:fill on="f" focussize="0,0"/>
                <v:stroke on="f" weight="1pt" miterlimit="8" joinstyle="miter"/>
                <v:imagedata o:title=""/>
                <o:lock v:ext="edit" aspectratio="f"/>
                <v:textbox>
                  <w:txbxContent>
                    <w:p>
                      <w:pPr>
                        <w:jc w:val="center"/>
                        <w:rPr>
                          <w:color w:val="auto"/>
                          <w:lang w:val="en-US"/>
                        </w:rPr>
                      </w:pPr>
                      <w:r>
                        <w:rPr>
                          <w:rFonts w:hint="default" w:ascii="仿宋_GB2312" w:hAnsi="仿宋_GB2312" w:eastAsia="仿宋_GB2312" w:cs="仿宋_GB2312"/>
                          <w:color w:val="auto"/>
                          <w:sz w:val="21"/>
                          <w:szCs w:val="21"/>
                          <w:lang w:eastAsia="zh-CN"/>
                        </w:rPr>
                        <w:t>◎</w:t>
                      </w:r>
                      <w:r>
                        <w:rPr>
                          <w:rFonts w:hint="default" w:ascii="Times New Roman" w:hAnsi="Times New Roman" w:eastAsia="仿宋_GB2312" w:cs="Times New Roman"/>
                          <w:color w:val="auto"/>
                          <w:sz w:val="21"/>
                          <w:szCs w:val="21"/>
                          <w:lang w:val="en-US" w:eastAsia="zh-CN"/>
                        </w:rPr>
                        <w:t>A1</w:t>
                      </w:r>
                    </w:p>
                  </w:txbxContent>
                </v:textbox>
              </v:rect>
            </w:pict>
          </mc:Fallback>
        </mc:AlternateContent>
      </w:r>
      <w:r>
        <w:rPr>
          <w:sz w:val="24"/>
        </w:rPr>
        <mc:AlternateContent>
          <mc:Choice Requires="wps">
            <w:drawing>
              <wp:anchor distT="0" distB="0" distL="114300" distR="114300" simplePos="0" relativeHeight="491065344" behindDoc="0" locked="0" layoutInCell="1" allowOverlap="1">
                <wp:simplePos x="0" y="0"/>
                <wp:positionH relativeFrom="column">
                  <wp:posOffset>3593465</wp:posOffset>
                </wp:positionH>
                <wp:positionV relativeFrom="paragraph">
                  <wp:posOffset>155575</wp:posOffset>
                </wp:positionV>
                <wp:extent cx="1168400" cy="336550"/>
                <wp:effectExtent l="0" t="0" r="0" b="0"/>
                <wp:wrapNone/>
                <wp:docPr id="20" name="矩形 20"/>
                <wp:cNvGraphicFramePr/>
                <a:graphic xmlns:a="http://schemas.openxmlformats.org/drawingml/2006/main">
                  <a:graphicData uri="http://schemas.microsoft.com/office/word/2010/wordprocessingShape">
                    <wps:wsp>
                      <wps:cNvSpPr/>
                      <wps:spPr>
                        <a:xfrm rot="2220000">
                          <a:off x="0" y="0"/>
                          <a:ext cx="1168400" cy="336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园区硬化</w:t>
                            </w:r>
                            <w:r>
                              <w:rPr>
                                <w:rFonts w:hint="default" w:ascii="Times New Roman" w:hAnsi="Times New Roman" w:cs="Times New Roman"/>
                                <w:color w:val="000000" w:themeColor="text1"/>
                                <w:sz w:val="24"/>
                                <w:szCs w:val="24"/>
                                <w:lang w:val="en-US" w:eastAsia="zh-CN"/>
                                <w14:textFill>
                                  <w14:solidFill>
                                    <w14:schemeClr w14:val="tx1"/>
                                  </w14:solidFill>
                                </w14:textFill>
                              </w:rPr>
                              <w:t>道</w:t>
                            </w:r>
                            <w:r>
                              <w:rPr>
                                <w:rFonts w:hint="eastAsia" w:ascii="Times New Roman" w:hAnsi="Times New Roman" w:cs="Times New Roman"/>
                                <w:color w:val="000000" w:themeColor="text1"/>
                                <w:sz w:val="24"/>
                                <w:szCs w:val="24"/>
                                <w:lang w:val="en-US" w:eastAsia="zh-CN"/>
                                <w14:textFill>
                                  <w14:solidFill>
                                    <w14:schemeClr w14:val="tx1"/>
                                  </w14:solidFill>
                                </w14:textFill>
                              </w:rPr>
                              <w:t>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2.95pt;margin-top:12.25pt;height:26.5pt;width:92pt;rotation:2424832f;z-index:491065344;v-text-anchor:middle;mso-width-relative:page;mso-height-relative:page;" filled="f" stroked="f" coordsize="21600,21600" o:gfxdata="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5Pw72QAAAAkBAAAPAAAAAAAA&#10;AAEAIAAAACIAAABkcnMvZG93bnJldi54bWxQSwECFAAUAAAACACHTuJAtqVCvUoCAABvBAAADgAA&#10;AAAAAAABACAAAAAoAQAAZHJzL2Uyb0RvYy54bWxQSwUGAAAAAAYABgBZAQAA5AUAAAAA&#10;">
                <v:fill on="f" focussize="0,0"/>
                <v:stroke on="f" weight="1pt"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园区硬化</w:t>
                      </w:r>
                      <w:r>
                        <w:rPr>
                          <w:rFonts w:hint="default" w:ascii="Times New Roman" w:hAnsi="Times New Roman" w:cs="Times New Roman"/>
                          <w:color w:val="000000" w:themeColor="text1"/>
                          <w:sz w:val="24"/>
                          <w:szCs w:val="24"/>
                          <w:lang w:val="en-US" w:eastAsia="zh-CN"/>
                          <w14:textFill>
                            <w14:solidFill>
                              <w14:schemeClr w14:val="tx1"/>
                            </w14:solidFill>
                          </w14:textFill>
                        </w:rPr>
                        <w:t>道</w:t>
                      </w:r>
                      <w:r>
                        <w:rPr>
                          <w:rFonts w:hint="eastAsia" w:ascii="Times New Roman" w:hAnsi="Times New Roman" w:cs="Times New Roman"/>
                          <w:color w:val="000000" w:themeColor="text1"/>
                          <w:sz w:val="24"/>
                          <w:szCs w:val="24"/>
                          <w:lang w:val="en-US" w:eastAsia="zh-CN"/>
                          <w14:textFill>
                            <w14:solidFill>
                              <w14:schemeClr w14:val="tx1"/>
                            </w14:solidFill>
                          </w14:textFill>
                        </w:rPr>
                        <w:t>路</w:t>
                      </w:r>
                    </w:p>
                  </w:txbxContent>
                </v:textbox>
              </v:rect>
            </w:pict>
          </mc:Fallback>
        </mc:AlternateContent>
      </w: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857026560" behindDoc="0" locked="0" layoutInCell="1" allowOverlap="1">
                <wp:simplePos x="0" y="0"/>
                <wp:positionH relativeFrom="column">
                  <wp:posOffset>1689735</wp:posOffset>
                </wp:positionH>
                <wp:positionV relativeFrom="paragraph">
                  <wp:posOffset>22860</wp:posOffset>
                </wp:positionV>
                <wp:extent cx="504190" cy="257810"/>
                <wp:effectExtent l="0" t="0" r="0" b="0"/>
                <wp:wrapNone/>
                <wp:docPr id="22" name="矩形 22"/>
                <wp:cNvGraphicFramePr/>
                <a:graphic xmlns:a="http://schemas.openxmlformats.org/drawingml/2006/main">
                  <a:graphicData uri="http://schemas.microsoft.com/office/word/2010/wordprocessingShape">
                    <wps:wsp>
                      <wps:cNvSpPr/>
                      <wps:spPr>
                        <a:xfrm>
                          <a:off x="0" y="0"/>
                          <a:ext cx="504190"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1.8pt;height:20.3pt;width:39.7pt;z-index:857026560;v-text-anchor:middle;mso-width-relative:page;mso-height-relative:page;" filled="f" stroked="f" coordsize="21600,21600" o:gfxdata="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TSqXdcAAAAIAQAADwAAAAAAAAABACAAAAAi&#10;AAAAZHJzL2Rvd25yZXYueG1sUEsBAhQAFAAAAAgAh07iQBu7Fz5EAgAAYAQAAA4AAAAAAAAAAQAg&#10;AAAAJgEAAGRycy9lMm9Eb2MueG1sUEsFBgAAAAAGAAYAWQEAANwFAAAAAA==&#10;">
                <v:fill on="f" focussize="0,0"/>
                <v:stroke on="f" weight="1pt" miterlimit="8" joinstyle="miter"/>
                <v:imagedata o:title=""/>
                <o:lock v:ext="edit" aspectratio="f"/>
                <v:textbo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4</w:t>
                      </w:r>
                    </w:p>
                  </w:txbxContent>
                </v:textbox>
              </v:rect>
            </w:pict>
          </mc:Fallback>
        </mc:AlternateContent>
      </w:r>
    </w:p>
    <w:p>
      <w:pPr>
        <w:pStyle w:val="2"/>
        <w:ind w:left="0" w:leftChars="0" w:firstLine="0" w:firstLineChars="0"/>
        <w:jc w:val="left"/>
        <w:rPr>
          <w:rFonts w:hint="eastAsia"/>
          <w:lang w:val="en-US" w:eastAsia="zh-CN"/>
        </w:rPr>
      </w:pP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485914624" behindDoc="0" locked="0" layoutInCell="1" allowOverlap="1">
                <wp:simplePos x="0" y="0"/>
                <wp:positionH relativeFrom="column">
                  <wp:posOffset>3795395</wp:posOffset>
                </wp:positionH>
                <wp:positionV relativeFrom="paragraph">
                  <wp:posOffset>121285</wp:posOffset>
                </wp:positionV>
                <wp:extent cx="1571625" cy="1752600"/>
                <wp:effectExtent l="3810" t="3175" r="5715" b="15875"/>
                <wp:wrapNone/>
                <wp:docPr id="10" name="直接连接符 10"/>
                <wp:cNvGraphicFramePr/>
                <a:graphic xmlns:a="http://schemas.openxmlformats.org/drawingml/2006/main">
                  <a:graphicData uri="http://schemas.microsoft.com/office/word/2010/wordprocessingShape">
                    <wps:wsp>
                      <wps:cNvCnPr/>
                      <wps:spPr>
                        <a:xfrm flipH="1">
                          <a:off x="4947920" y="5020945"/>
                          <a:ext cx="1571625" cy="1752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298.85pt;margin-top:9.55pt;height:138pt;width:123.75pt;z-index:485914624;mso-width-relative:page;mso-height-relative:page;" filled="f" stroked="t" coordsize="21600,21600" o:gfxdata="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HdQWJ2AAA&#10;AAoBAAAPAAAAAAAAAAEAIAAAACIAAABkcnMvZG93bnJldi54bWxQSwECFAAUAAAACACHTuJAw5YJ&#10;6+UBAACBAwAADgAAAAAAAAABACAAAAAnAQAAZHJzL2Uyb0RvYy54bWxQSwUGAAAAAAYABgBZAQAA&#10;fgUAAAAA&#10;">
                <v:fill on="f" focussize="0,0"/>
                <v:stroke weight="0.5pt" color="#000000 [3200]" miterlimit="8" joinstyle="miter"/>
                <v:imagedata o:title=""/>
                <o:lock v:ext="edit" aspectratio="f"/>
              </v:line>
            </w:pict>
          </mc:Fallback>
        </mc:AlternateContent>
      </w: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434637824" behindDoc="0" locked="0" layoutInCell="1" allowOverlap="1">
                <wp:simplePos x="0" y="0"/>
                <wp:positionH relativeFrom="column">
                  <wp:posOffset>3261360</wp:posOffset>
                </wp:positionH>
                <wp:positionV relativeFrom="paragraph">
                  <wp:posOffset>283845</wp:posOffset>
                </wp:positionV>
                <wp:extent cx="504190" cy="257810"/>
                <wp:effectExtent l="0" t="0" r="0" b="0"/>
                <wp:wrapNone/>
                <wp:docPr id="31" name="矩形 31"/>
                <wp:cNvGraphicFramePr/>
                <a:graphic xmlns:a="http://schemas.openxmlformats.org/drawingml/2006/main">
                  <a:graphicData uri="http://schemas.microsoft.com/office/word/2010/wordprocessingShape">
                    <wps:wsp>
                      <wps:cNvSpPr/>
                      <wps:spPr>
                        <a:xfrm>
                          <a:off x="0" y="0"/>
                          <a:ext cx="504190"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6.8pt;margin-top:22.35pt;height:20.3pt;width:39.7pt;z-index:434637824;v-text-anchor:middle;mso-width-relative:page;mso-height-relative:page;" filled="f" stroked="f" coordsize="21600,21600" o:gfxdata="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tUZQvYAAAACQEAAA8AAAAAAAAAAQAgAAAA&#10;IgAAAGRycy9kb3ducmV2LnhtbFBLAQIUABQAAAAIAIdO4kA36ny0RAIAAGAEAAAOAAAAAAAAAAEA&#10;IAAAACcBAABkcnMvZTJvRG9jLnhtbFBLBQYAAAAABgAGAFkBAADdBQAAAAA=&#10;">
                <v:fill on="f" focussize="0,0"/>
                <v:stroke on="f" weight="1pt" miterlimit="8" joinstyle="miter"/>
                <v:imagedata o:title=""/>
                <o:lock v:ext="edit" aspectratio="f"/>
                <v:textbo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1</w:t>
                      </w:r>
                    </w:p>
                  </w:txbxContent>
                </v:textbox>
              </v:rect>
            </w:pict>
          </mc:Fallback>
        </mc:AlternateContent>
      </w:r>
      <w:r>
        <w:rPr>
          <w:sz w:val="24"/>
        </w:rPr>
        <mc:AlternateContent>
          <mc:Choice Requires="wps">
            <w:drawing>
              <wp:anchor distT="0" distB="0" distL="114300" distR="114300" simplePos="0" relativeHeight="485915648" behindDoc="0" locked="0" layoutInCell="1" allowOverlap="1">
                <wp:simplePos x="0" y="0"/>
                <wp:positionH relativeFrom="column">
                  <wp:posOffset>4100195</wp:posOffset>
                </wp:positionH>
                <wp:positionV relativeFrom="paragraph">
                  <wp:posOffset>27940</wp:posOffset>
                </wp:positionV>
                <wp:extent cx="1562100" cy="1758315"/>
                <wp:effectExtent l="3810" t="3175" r="15240" b="10160"/>
                <wp:wrapNone/>
                <wp:docPr id="12" name="直接连接符 12"/>
                <wp:cNvGraphicFramePr/>
                <a:graphic xmlns:a="http://schemas.openxmlformats.org/drawingml/2006/main">
                  <a:graphicData uri="http://schemas.microsoft.com/office/word/2010/wordprocessingShape">
                    <wps:wsp>
                      <wps:cNvCnPr/>
                      <wps:spPr>
                        <a:xfrm flipH="1">
                          <a:off x="5290820" y="5211445"/>
                          <a:ext cx="1562100" cy="1758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322.85pt;margin-top:2.2pt;height:138.45pt;width:123pt;z-index:485915648;mso-width-relative:page;mso-height-relative:page;" filled="f" stroked="t" coordsize="21600,21600" o:gfxdata="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d1FC9cAAAAJAQAA&#10;DwAAAAAAAAABACAAAAAiAAAAZHJzL2Rvd25yZXYueG1sUEsBAhQAFAAAAAgAh07iQAigP+rhAQAA&#10;gQMAAA4AAAAAAAAAAQAgAAAAJgEAAGRycy9lMm9Eb2MueG1sUEsFBgAAAAAGAAYAWQEAAHkFAAAA&#10;AA==&#10;">
                <v:fill on="f" focussize="0,0"/>
                <v:stroke weight="0.5pt" color="#000000 [3200]" miterlimit="8" joinstyle="miter"/>
                <v:imagedata o:title=""/>
                <o:lock v:ext="edit" aspectratio="f"/>
              </v:line>
            </w:pict>
          </mc:Fallback>
        </mc:AlternateContent>
      </w: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256801792" behindDoc="0" locked="0" layoutInCell="1" allowOverlap="1">
                <wp:simplePos x="0" y="0"/>
                <wp:positionH relativeFrom="column">
                  <wp:posOffset>4275455</wp:posOffset>
                </wp:positionH>
                <wp:positionV relativeFrom="paragraph">
                  <wp:posOffset>428625</wp:posOffset>
                </wp:positionV>
                <wp:extent cx="791845" cy="336550"/>
                <wp:effectExtent l="227965" t="0" r="0" b="0"/>
                <wp:wrapNone/>
                <wp:docPr id="26" name="矩形 26"/>
                <wp:cNvGraphicFramePr/>
                <a:graphic xmlns:a="http://schemas.openxmlformats.org/drawingml/2006/main">
                  <a:graphicData uri="http://schemas.microsoft.com/office/word/2010/wordprocessingShape">
                    <wps:wsp>
                      <wps:cNvSpPr/>
                      <wps:spPr>
                        <a:xfrm rot="18720000">
                          <a:off x="0" y="0"/>
                          <a:ext cx="791845" cy="336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217省</w:t>
                            </w:r>
                            <w:r>
                              <w:rPr>
                                <w:rFonts w:hint="default" w:ascii="Times New Roman" w:hAnsi="Times New Roman" w:cs="Times New Roman"/>
                                <w:color w:val="000000" w:themeColor="text1"/>
                                <w:sz w:val="24"/>
                                <w:szCs w:val="24"/>
                                <w:lang w:val="en-US" w:eastAsia="zh-CN"/>
                                <w14:textFill>
                                  <w14:solidFill>
                                    <w14:schemeClr w14:val="tx1"/>
                                  </w14:solidFill>
                                </w14:textFill>
                              </w:rPr>
                              <w:t>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65pt;margin-top:33.75pt;height:26.5pt;width:62.35pt;rotation:-3145728f;z-index:256801792;v-text-anchor:middle;mso-width-relative:page;mso-height-relative:page;" filled="f" stroked="f" coordsize="21600,21600" o:gfxdata="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qtfNr2AAAAAoBAAAPAAAA&#10;AAAAAAEAIAAAACIAAABkcnMvZG93bnJldi54bWxQSwECFAAUAAAACACHTuJAMadnG04CAABvBAAA&#10;DgAAAAAAAAABACAAAAAnAQAAZHJzL2Uyb0RvYy54bWxQSwUGAAAAAAYABgBZAQAA5wUAAAAA&#10;">
                <v:fill on="f" focussize="0,0"/>
                <v:stroke on="f" weight="1pt" miterlimit="8" joinstyle="miter"/>
                <v:imagedata o:title=""/>
                <o:lock v:ext="edit" aspectratio="f"/>
                <v:textbox>
                  <w:txbxContent>
                    <w:p>
                      <w:pPr>
                        <w:jc w:val="center"/>
                        <w:rPr>
                          <w:rFonts w:hint="eastAsia" w:eastAsiaTheme="minor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217省</w:t>
                      </w:r>
                      <w:r>
                        <w:rPr>
                          <w:rFonts w:hint="default" w:ascii="Times New Roman" w:hAnsi="Times New Roman" w:cs="Times New Roman"/>
                          <w:color w:val="000000" w:themeColor="text1"/>
                          <w:sz w:val="24"/>
                          <w:szCs w:val="24"/>
                          <w:lang w:val="en-US" w:eastAsia="zh-CN"/>
                          <w14:textFill>
                            <w14:solidFill>
                              <w14:schemeClr w14:val="tx1"/>
                            </w14:solidFill>
                          </w14:textFill>
                        </w:rPr>
                        <w:t>道</w:t>
                      </w:r>
                    </w:p>
                  </w:txbxContent>
                </v:textbox>
              </v:rect>
            </w:pict>
          </mc:Fallback>
        </mc:AlternateContent>
      </w:r>
    </w:p>
    <w:p>
      <w:pPr>
        <w:pStyle w:val="2"/>
        <w:ind w:left="0" w:leftChars="0" w:firstLine="0" w:firstLineChars="0"/>
        <w:jc w:val="left"/>
        <w:rPr>
          <w:rFonts w:hint="eastAsia"/>
          <w:lang w:val="en-US" w:eastAsia="zh-CN"/>
        </w:rPr>
      </w:pPr>
      <w:r>
        <w:rPr>
          <w:sz w:val="24"/>
        </w:rPr>
        <mc:AlternateContent>
          <mc:Choice Requires="wps">
            <w:drawing>
              <wp:anchor distT="0" distB="0" distL="114300" distR="114300" simplePos="0" relativeHeight="456611840" behindDoc="0" locked="0" layoutInCell="1" allowOverlap="1">
                <wp:simplePos x="0" y="0"/>
                <wp:positionH relativeFrom="column">
                  <wp:posOffset>2937510</wp:posOffset>
                </wp:positionH>
                <wp:positionV relativeFrom="paragraph">
                  <wp:posOffset>68580</wp:posOffset>
                </wp:positionV>
                <wp:extent cx="533400" cy="295275"/>
                <wp:effectExtent l="0" t="0" r="0" b="0"/>
                <wp:wrapNone/>
                <wp:docPr id="34" name="矩形 34"/>
                <wp:cNvGraphicFramePr/>
                <a:graphic xmlns:a="http://schemas.openxmlformats.org/drawingml/2006/main">
                  <a:graphicData uri="http://schemas.microsoft.com/office/word/2010/wordprocessingShape">
                    <wps:wsp>
                      <wps:cNvSpPr/>
                      <wps:spPr>
                        <a:xfrm>
                          <a:off x="0" y="0"/>
                          <a:ext cx="5334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3pt;margin-top:5.4pt;height:23.25pt;width:42pt;z-index:456611840;v-text-anchor:middle;mso-width-relative:page;mso-height-relative:page;" filled="f" stroked="f" coordsize="21600,21600" o:gfxdata="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pW2y1wAAAAkBAAAPAAAAAAAAAAEAIAAAACIA&#10;AABkcnMvZG93bnJldi54bWxQSwECFAAUAAAACACHTuJAWx6580MCAABgBAAADgAAAAAAAAABACAA&#10;AAAmAQAAZHJzL2Uyb0RvYy54bWxQSwUGAAAAAAYABgBZAQAA2wUAAAAA&#10;">
                <v:fill on="f" focussize="0,0"/>
                <v:stroke on="f" weight="1pt" miterlimit="8" joinstyle="miter"/>
                <v:imagedata o:title=""/>
                <o:lock v:ext="edit" aspectratio="f"/>
                <v:textbo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3</w:t>
                      </w:r>
                    </w:p>
                  </w:txbxContent>
                </v:textbox>
              </v:rect>
            </w:pict>
          </mc:Fallback>
        </mc:AlternateContent>
      </w:r>
      <w:r>
        <w:rPr>
          <w:sz w:val="24"/>
        </w:rPr>
        <mc:AlternateContent>
          <mc:Choice Requires="wps">
            <w:drawing>
              <wp:anchor distT="0" distB="0" distL="114300" distR="114300" simplePos="0" relativeHeight="1244961792" behindDoc="0" locked="0" layoutInCell="1" allowOverlap="1">
                <wp:simplePos x="0" y="0"/>
                <wp:positionH relativeFrom="column">
                  <wp:posOffset>1365885</wp:posOffset>
                </wp:positionH>
                <wp:positionV relativeFrom="paragraph">
                  <wp:posOffset>1905</wp:posOffset>
                </wp:positionV>
                <wp:extent cx="533400" cy="295275"/>
                <wp:effectExtent l="0" t="0" r="0" b="0"/>
                <wp:wrapNone/>
                <wp:docPr id="24" name="矩形 24"/>
                <wp:cNvGraphicFramePr/>
                <a:graphic xmlns:a="http://schemas.openxmlformats.org/drawingml/2006/main">
                  <a:graphicData uri="http://schemas.microsoft.com/office/word/2010/wordprocessingShape">
                    <wps:wsp>
                      <wps:cNvSpPr/>
                      <wps:spPr>
                        <a:xfrm>
                          <a:off x="0" y="0"/>
                          <a:ext cx="5334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7.55pt;margin-top:0.15pt;height:23.25pt;width:42pt;z-index:1244961792;v-text-anchor:middle;mso-width-relative:page;mso-height-relative:page;" filled="f" stroked="f" coordsize="21600,21600" o:gfxdata="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3YnLrVAAAABwEAAA8AAAAAAAAAAQAgAAAAIgAA&#10;AGRycy9kb3ducmV2LnhtbFBLAQIUABQAAAAIAIdO4kDZJhXjRAIAAGAEAAAOAAAAAAAAAAEAIAAA&#10;ACQBAABkcnMvZTJvRG9jLnhtbFBLBQYAAAAABgAGAFkBAADaBQAAAAA=&#10;">
                <v:fill on="f" focussize="0,0"/>
                <v:stroke on="f" weight="1pt" miterlimit="8" joinstyle="miter"/>
                <v:imagedata o:title=""/>
                <o:lock v:ext="edit" aspectratio="f"/>
                <v:textbox>
                  <w:txbxContent>
                    <w:p>
                      <w:pPr>
                        <w:jc w:val="center"/>
                        <w:rPr>
                          <w:rFonts w:hint="default" w:ascii="Times New Roman" w:hAnsi="Times New Roman" w:eastAsia="仿宋_GB2312" w:cs="Times New Roman"/>
                          <w:color w:val="auto"/>
                          <w:lang w:val="en-US" w:eastAsia="zh-CN"/>
                        </w:rPr>
                      </w:pPr>
                      <w:r>
                        <w:rPr>
                          <w:rFonts w:hint="eastAsia" w:ascii="仿宋_GB2312" w:hAnsi="仿宋_GB2312" w:eastAsia="仿宋_GB2312" w:cs="仿宋_GB2312"/>
                          <w:color w:val="auto"/>
                          <w:sz w:val="21"/>
                          <w:szCs w:val="21"/>
                        </w:rPr>
                        <w:t>○</w:t>
                      </w:r>
                      <w:r>
                        <w:rPr>
                          <w:rFonts w:hint="default" w:ascii="Times New Roman" w:hAnsi="Times New Roman" w:eastAsia="仿宋_GB2312" w:cs="Times New Roman"/>
                          <w:color w:val="auto"/>
                          <w:sz w:val="21"/>
                          <w:szCs w:val="21"/>
                          <w:lang w:val="en-US" w:eastAsia="zh-CN"/>
                        </w:rPr>
                        <w:t>G</w:t>
                      </w:r>
                      <w:r>
                        <w:rPr>
                          <w:rFonts w:hint="eastAsia" w:ascii="Times New Roman" w:hAnsi="Times New Roman" w:eastAsia="仿宋_GB2312" w:cs="Times New Roman"/>
                          <w:color w:val="auto"/>
                          <w:sz w:val="21"/>
                          <w:szCs w:val="21"/>
                          <w:lang w:val="en-US" w:eastAsia="zh-CN"/>
                        </w:rPr>
                        <w:t>2</w:t>
                      </w:r>
                    </w:p>
                  </w:txbxContent>
                </v:textbox>
              </v:rect>
            </w:pict>
          </mc:Fallback>
        </mc:AlternateContent>
      </w:r>
      <w:r>
        <w:rPr>
          <w:sz w:val="24"/>
        </w:rPr>
        <mc:AlternateContent>
          <mc:Choice Requires="wps">
            <w:drawing>
              <wp:anchor distT="0" distB="0" distL="114300" distR="114300" simplePos="0" relativeHeight="1040007168" behindDoc="0" locked="0" layoutInCell="1" allowOverlap="1">
                <wp:simplePos x="0" y="0"/>
                <wp:positionH relativeFrom="column">
                  <wp:posOffset>1680210</wp:posOffset>
                </wp:positionH>
                <wp:positionV relativeFrom="paragraph">
                  <wp:posOffset>89535</wp:posOffset>
                </wp:positionV>
                <wp:extent cx="504190" cy="257810"/>
                <wp:effectExtent l="0" t="0" r="0" b="0"/>
                <wp:wrapNone/>
                <wp:docPr id="23" name="矩形 23"/>
                <wp:cNvGraphicFramePr/>
                <a:graphic xmlns:a="http://schemas.openxmlformats.org/drawingml/2006/main">
                  <a:graphicData uri="http://schemas.microsoft.com/office/word/2010/wordprocessingShape">
                    <wps:wsp>
                      <wps:cNvSpPr/>
                      <wps:spPr>
                        <a:xfrm>
                          <a:off x="0" y="0"/>
                          <a:ext cx="504190" cy="257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2.3pt;margin-top:7.05pt;height:20.3pt;width:39.7pt;z-index:1040007168;v-text-anchor:middle;mso-width-relative:page;mso-height-relative:page;" filled="f" stroked="f" coordsize="21600,21600" o:gfxdata="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n7rprXAAAACQEAAA8AAAAAAAAAAQAgAAAA&#10;IgAAAGRycy9kb3ducmV2LnhtbFBLAQIUABQAAAAIAIdO4kCBY1VIRQIAAGAEAAAOAAAAAAAAAAEA&#10;IAAAACYBAABkcnMvZTJvRG9jLnhtbFBLBQYAAAAABgAGAFkBAADdBQAAAAA=&#10;">
                <v:fill on="f" focussize="0,0"/>
                <v:stroke on="f" weight="1pt" miterlimit="8" joinstyle="miter"/>
                <v:imagedata o:title=""/>
                <o:lock v:ext="edit" aspectratio="f"/>
                <v:textbox>
                  <w:txbxContent>
                    <w:p>
                      <w:pPr>
                        <w:jc w:val="center"/>
                        <w:rPr>
                          <w:rFonts w:hint="default" w:ascii="Times New Roman" w:hAnsi="Times New Roman" w:eastAsia="微软雅黑" w:cs="Times New Roman"/>
                          <w:color w:val="auto"/>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lang w:val="en-US" w:eastAsia="zh-CN"/>
                        </w:rPr>
                        <w:t>N</w:t>
                      </w:r>
                      <w:r>
                        <w:rPr>
                          <w:rFonts w:hint="eastAsia" w:ascii="Times New Roman" w:hAnsi="Times New Roman" w:cs="Times New Roman"/>
                          <w:color w:val="auto"/>
                          <w:lang w:val="en-US" w:eastAsia="zh-CN"/>
                        </w:rPr>
                        <w:t>2</w:t>
                      </w:r>
                    </w:p>
                  </w:txbxContent>
                </v:textbox>
              </v:rect>
            </w:pict>
          </mc:Fallback>
        </mc:AlternateContent>
      </w:r>
    </w:p>
    <w:p>
      <w:pPr>
        <w:jc w:val="left"/>
        <w:rPr>
          <w:rFonts w:hint="eastAsia" w:ascii="Times New Roman" w:hAnsi="Times New Roman" w:cs="Times New Roman" w:eastAsiaTheme="minorEastAsia"/>
          <w:b/>
          <w:kern w:val="2"/>
          <w:sz w:val="24"/>
          <w:szCs w:val="24"/>
          <w:lang w:val="en-US" w:eastAsia="zh-CN" w:bidi="ar-SA"/>
        </w:rPr>
      </w:pPr>
    </w:p>
    <w:p>
      <w:pPr>
        <w:jc w:val="left"/>
        <w:rPr>
          <w:rFonts w:hint="eastAsia" w:ascii="Times New Roman" w:hAnsi="Times New Roman" w:cs="Times New Roman" w:eastAsiaTheme="minorEastAsia"/>
          <w:b/>
          <w:kern w:val="2"/>
          <w:sz w:val="24"/>
          <w:szCs w:val="24"/>
          <w:lang w:val="en-US" w:eastAsia="zh-CN" w:bidi="ar-SA"/>
        </w:rPr>
      </w:pPr>
    </w:p>
    <w:p>
      <w:pPr>
        <w:jc w:val="left"/>
        <w:rPr>
          <w:rFonts w:hint="eastAsia" w:ascii="Times New Roman" w:hAnsi="Times New Roman" w:cs="Times New Roman" w:eastAsiaTheme="minorEastAsia"/>
          <w:b/>
          <w:kern w:val="2"/>
          <w:sz w:val="24"/>
          <w:szCs w:val="24"/>
          <w:lang w:val="en-US" w:eastAsia="zh-CN" w:bidi="ar-SA"/>
        </w:rPr>
      </w:pPr>
    </w:p>
    <w:p>
      <w:pPr>
        <w:jc w:val="left"/>
        <w:rPr>
          <w:rFonts w:hint="eastAsia" w:ascii="Times New Roman" w:hAnsi="Times New Roman" w:cs="Times New Roman" w:eastAsiaTheme="minorEastAsia"/>
          <w:b/>
          <w:kern w:val="2"/>
          <w:sz w:val="24"/>
          <w:szCs w:val="24"/>
          <w:lang w:val="en-US" w:eastAsia="zh-CN" w:bidi="ar-SA"/>
        </w:rPr>
      </w:pPr>
      <w:r>
        <w:rPr>
          <w:sz w:val="21"/>
        </w:rPr>
        <mc:AlternateContent>
          <mc:Choice Requires="wps">
            <w:drawing>
              <wp:anchor distT="0" distB="0" distL="114300" distR="114300" simplePos="0" relativeHeight="485916672" behindDoc="0" locked="0" layoutInCell="1" allowOverlap="1">
                <wp:simplePos x="0" y="0"/>
                <wp:positionH relativeFrom="column">
                  <wp:posOffset>1337945</wp:posOffset>
                </wp:positionH>
                <wp:positionV relativeFrom="paragraph">
                  <wp:posOffset>81280</wp:posOffset>
                </wp:positionV>
                <wp:extent cx="2466975" cy="361950"/>
                <wp:effectExtent l="635" t="4445" r="8890" b="14605"/>
                <wp:wrapNone/>
                <wp:docPr id="13" name="直接连接符 13"/>
                <wp:cNvGraphicFramePr/>
                <a:graphic xmlns:a="http://schemas.openxmlformats.org/drawingml/2006/main">
                  <a:graphicData uri="http://schemas.microsoft.com/office/word/2010/wordprocessingShape">
                    <wps:wsp>
                      <wps:cNvCnPr/>
                      <wps:spPr>
                        <a:xfrm flipH="1">
                          <a:off x="2442845" y="6764020"/>
                          <a:ext cx="2466975" cy="3619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5.35pt;margin-top:6.4pt;height:28.5pt;width:194.25pt;z-index:485916672;mso-width-relative:page;mso-height-relative:page;" filled="f" stroked="t" coordsize="21600,21600" o:gfxdata="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qZ5Si1gAAAAkBAAAP&#10;AAAAAAAAAAEAIAAAACIAAABkcnMvZG93bnJldi54bWxQSwECFAAUAAAACACHTuJAMbdnkeEBAACA&#10;AwAADgAAAAAAAAABACAAAAAlAQAAZHJzL2Uyb0RvYy54bWxQSwUGAAAAAAYABgBZAQAAeAUAAAAA&#10;">
                <v:fill on="f" focussize="0,0"/>
                <v:stroke weight="0.5pt" color="#000000 [3213]" miterlimit="8" joinstyle="miter"/>
                <v:imagedata o:title=""/>
                <o:lock v:ext="edit" aspectratio="f"/>
              </v:line>
            </w:pict>
          </mc:Fallback>
        </mc:AlternateContent>
      </w:r>
    </w:p>
    <w:p>
      <w:pPr>
        <w:jc w:val="left"/>
        <w:rPr>
          <w:rFonts w:hint="eastAsia" w:ascii="Times New Roman" w:hAnsi="Times New Roman" w:cs="Times New Roman" w:eastAsiaTheme="minorEastAsia"/>
          <w:b/>
          <w:kern w:val="2"/>
          <w:sz w:val="24"/>
          <w:szCs w:val="24"/>
          <w:lang w:val="en-US" w:eastAsia="zh-CN" w:bidi="ar-SA"/>
        </w:rPr>
      </w:pPr>
      <w:r>
        <w:rPr>
          <w:sz w:val="24"/>
        </w:rPr>
        <mc:AlternateContent>
          <mc:Choice Requires="wps">
            <w:drawing>
              <wp:anchor distT="0" distB="0" distL="114300" distR="114300" simplePos="0" relativeHeight="485917696" behindDoc="0" locked="0" layoutInCell="1" allowOverlap="1">
                <wp:simplePos x="0" y="0"/>
                <wp:positionH relativeFrom="column">
                  <wp:posOffset>1328420</wp:posOffset>
                </wp:positionH>
                <wp:positionV relativeFrom="paragraph">
                  <wp:posOffset>102235</wp:posOffset>
                </wp:positionV>
                <wp:extent cx="2771775" cy="428625"/>
                <wp:effectExtent l="635" t="4445" r="8890" b="5080"/>
                <wp:wrapNone/>
                <wp:docPr id="16" name="直接连接符 16"/>
                <wp:cNvGraphicFramePr/>
                <a:graphic xmlns:a="http://schemas.openxmlformats.org/drawingml/2006/main">
                  <a:graphicData uri="http://schemas.microsoft.com/office/word/2010/wordprocessingShape">
                    <wps:wsp>
                      <wps:cNvCnPr/>
                      <wps:spPr>
                        <a:xfrm flipH="1">
                          <a:off x="2433320" y="7040245"/>
                          <a:ext cx="277177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4.6pt;margin-top:8.05pt;height:33.75pt;width:218.25pt;z-index:485917696;mso-width-relative:page;mso-height-relative:page;" filled="f" stroked="t" coordsize="21600,21600" o:gfxdata="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PiIKHXAAAACQEA&#10;AA8AAAAAAAAAAQAgAAAAIgAAAGRycy9kb3ducmV2LnhtbFBLAQIUABQAAAAIAIdO4kAoegv54gEA&#10;AIADAAAOAAAAAAAAAAEAIAAAACYBAABkcnMvZTJvRG9jLnhtbFBLBQYAAAAABgAGAFkBAAB6BQAA&#10;AAA=&#10;">
                <v:fill on="f" focussize="0,0"/>
                <v:stroke weight="0.5pt" color="#000000 [3213]" miterlimit="8" joinstyle="miter"/>
                <v:imagedata o:title=""/>
                <o:lock v:ext="edit" aspectratio="f"/>
              </v:line>
            </w:pict>
          </mc:Fallback>
        </mc:AlternateContent>
      </w:r>
    </w:p>
    <w:p>
      <w:pPr>
        <w:jc w:val="left"/>
        <w:rPr>
          <w:rFonts w:hint="eastAsia" w:ascii="Times New Roman" w:hAnsi="Times New Roman" w:cs="Times New Roman" w:eastAsiaTheme="minorEastAsia"/>
          <w:b/>
          <w:kern w:val="2"/>
          <w:sz w:val="24"/>
          <w:szCs w:val="24"/>
          <w:lang w:val="en-US" w:eastAsia="zh-CN" w:bidi="ar-SA"/>
        </w:rPr>
      </w:pPr>
      <w:r>
        <w:rPr>
          <w:sz w:val="21"/>
          <w:highlight w:val="none"/>
        </w:rPr>
        <mc:AlternateContent>
          <mc:Choice Requires="wps">
            <w:drawing>
              <wp:anchor distT="0" distB="0" distL="114300" distR="114300" simplePos="0" relativeHeight="260779008" behindDoc="0" locked="0" layoutInCell="1" allowOverlap="1">
                <wp:simplePos x="0" y="0"/>
                <wp:positionH relativeFrom="column">
                  <wp:posOffset>4244975</wp:posOffset>
                </wp:positionH>
                <wp:positionV relativeFrom="paragraph">
                  <wp:posOffset>182245</wp:posOffset>
                </wp:positionV>
                <wp:extent cx="1407160" cy="775335"/>
                <wp:effectExtent l="4445" t="4445" r="17145" b="20320"/>
                <wp:wrapNone/>
                <wp:docPr id="27" name="文本框 27"/>
                <wp:cNvGraphicFramePr/>
                <a:graphic xmlns:a="http://schemas.openxmlformats.org/drawingml/2006/main">
                  <a:graphicData uri="http://schemas.microsoft.com/office/word/2010/wordprocessingShape">
                    <wps:wsp>
                      <wps:cNvSpPr txBox="1"/>
                      <wps:spPr>
                        <a:xfrm>
                          <a:off x="0" y="0"/>
                          <a:ext cx="1407160" cy="77533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after="0" w:line="340" w:lineRule="exact"/>
                              <w:textAlignment w:val="auto"/>
                              <w:outlineLvl w:val="9"/>
                              <w:rPr>
                                <w:rFonts w:hint="default" w:ascii="Times New Roman" w:hAnsi="Times New Roman" w:eastAsia="宋体" w:cs="Times New Roman"/>
                                <w:sz w:val="21"/>
                                <w:szCs w:val="21"/>
                                <w:lang w:eastAsia="zh-CN"/>
                              </w:rPr>
                            </w:pPr>
                            <w:r>
                              <w:rPr>
                                <w:rFonts w:hint="eastAsia" w:ascii="仿宋_GB2312" w:hAnsi="仿宋_GB2312" w:eastAsia="仿宋_GB2312" w:cs="仿宋_GB2312"/>
                                <w:sz w:val="21"/>
                                <w:szCs w:val="21"/>
                              </w:rPr>
                              <w:t>○</w:t>
                            </w:r>
                            <w:r>
                              <w:rPr>
                                <w:rFonts w:hint="default" w:ascii="Times New Roman" w:hAnsi="Times New Roman" w:eastAsia="宋体" w:cs="Times New Roman"/>
                                <w:sz w:val="21"/>
                                <w:szCs w:val="21"/>
                                <w:lang w:eastAsia="zh-CN"/>
                              </w:rPr>
                              <w:t>：无组织废气测点</w:t>
                            </w:r>
                          </w:p>
                          <w:p>
                            <w:pPr>
                              <w:keepNext w:val="0"/>
                              <w:keepLines w:val="0"/>
                              <w:pageBreakBefore w:val="0"/>
                              <w:widowControl w:val="0"/>
                              <w:kinsoku/>
                              <w:wordWrap/>
                              <w:overflowPunct/>
                              <w:topLinePunct w:val="0"/>
                              <w:autoSpaceDE/>
                              <w:autoSpaceDN/>
                              <w:bidi w:val="0"/>
                              <w:adjustRightInd/>
                              <w:snapToGrid w:val="0"/>
                              <w:spacing w:after="0" w:line="340" w:lineRule="exact"/>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▲：噪声测点</w:t>
                            </w:r>
                          </w:p>
                          <w:p>
                            <w:pPr>
                              <w:keepNext w:val="0"/>
                              <w:keepLines w:val="0"/>
                              <w:pageBreakBefore w:val="0"/>
                              <w:widowControl w:val="0"/>
                              <w:kinsoku/>
                              <w:wordWrap/>
                              <w:overflowPunct/>
                              <w:topLinePunct w:val="0"/>
                              <w:autoSpaceDE/>
                              <w:autoSpaceDN/>
                              <w:bidi w:val="0"/>
                              <w:adjustRightInd/>
                              <w:snapToGrid w:val="0"/>
                              <w:spacing w:after="0" w:line="340" w:lineRule="exact"/>
                              <w:textAlignment w:val="auto"/>
                              <w:outlineLvl w:val="9"/>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eastAsia="zh-CN"/>
                              </w:rPr>
                              <w:t>◎</w:t>
                            </w:r>
                            <w:r>
                              <w:rPr>
                                <w:rFonts w:hint="eastAsia" w:ascii="仿宋_GB2312" w:hAnsi="仿宋_GB2312" w:eastAsia="仿宋_GB2312" w:cs="仿宋_GB2312"/>
                                <w:sz w:val="21"/>
                                <w:szCs w:val="21"/>
                                <w:lang w:eastAsia="zh-CN"/>
                              </w:rPr>
                              <w:t>：</w:t>
                            </w:r>
                            <w:r>
                              <w:rPr>
                                <w:rFonts w:hint="eastAsia" w:ascii="Times New Roman" w:hAnsi="Times New Roman" w:eastAsia="宋体" w:cs="Times New Roman"/>
                                <w:sz w:val="21"/>
                                <w:szCs w:val="21"/>
                                <w:lang w:val="en-US" w:eastAsia="zh-CN"/>
                              </w:rPr>
                              <w:t>有组织废气测点</w:t>
                            </w:r>
                          </w:p>
                          <w:p>
                            <w:pPr>
                              <w:pStyle w:val="2"/>
                              <w:rPr>
                                <w:rFonts w:hint="default"/>
                                <w:lang w:val="en-US" w:eastAsia="zh-CN"/>
                              </w:rPr>
                            </w:pPr>
                          </w:p>
                          <w:p>
                            <w:pPr>
                              <w:pStyle w:val="8"/>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25pt;margin-top:14.35pt;height:61.05pt;width:110.8pt;z-index:260779008;mso-width-relative:page;mso-height-relative:page;" filled="f" stroked="t" coordsize="21600,21600" o:gfxdata="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OT7iDaAAAACgEAAA8AAAAAAAAAAQAgAAAAIgAAAGRycy9kb3ducmV2&#10;LnhtbFBLAQIUABQAAAAIAIdO4kBfLJbmMwIAAEMEAAAOAAAAAAAAAAEAIAAAACkBAABkcnMvZTJv&#10;RG9jLnhtbFBLBQYAAAAABgAGAFkBAADOBQAAAAA=&#10;">
                <v:fill on="f"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after="0" w:line="340" w:lineRule="exact"/>
                        <w:textAlignment w:val="auto"/>
                        <w:outlineLvl w:val="9"/>
                        <w:rPr>
                          <w:rFonts w:hint="default" w:ascii="Times New Roman" w:hAnsi="Times New Roman" w:eastAsia="宋体" w:cs="Times New Roman"/>
                          <w:sz w:val="21"/>
                          <w:szCs w:val="21"/>
                          <w:lang w:eastAsia="zh-CN"/>
                        </w:rPr>
                      </w:pPr>
                      <w:r>
                        <w:rPr>
                          <w:rFonts w:hint="eastAsia" w:ascii="仿宋_GB2312" w:hAnsi="仿宋_GB2312" w:eastAsia="仿宋_GB2312" w:cs="仿宋_GB2312"/>
                          <w:sz w:val="21"/>
                          <w:szCs w:val="21"/>
                        </w:rPr>
                        <w:t>○</w:t>
                      </w:r>
                      <w:r>
                        <w:rPr>
                          <w:rFonts w:hint="default" w:ascii="Times New Roman" w:hAnsi="Times New Roman" w:eastAsia="宋体" w:cs="Times New Roman"/>
                          <w:sz w:val="21"/>
                          <w:szCs w:val="21"/>
                          <w:lang w:eastAsia="zh-CN"/>
                        </w:rPr>
                        <w:t>：无组织废气测点</w:t>
                      </w:r>
                    </w:p>
                    <w:p>
                      <w:pPr>
                        <w:keepNext w:val="0"/>
                        <w:keepLines w:val="0"/>
                        <w:pageBreakBefore w:val="0"/>
                        <w:widowControl w:val="0"/>
                        <w:kinsoku/>
                        <w:wordWrap/>
                        <w:overflowPunct/>
                        <w:topLinePunct w:val="0"/>
                        <w:autoSpaceDE/>
                        <w:autoSpaceDN/>
                        <w:bidi w:val="0"/>
                        <w:adjustRightInd/>
                        <w:snapToGrid w:val="0"/>
                        <w:spacing w:after="0" w:line="340" w:lineRule="exact"/>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▲：噪声测点</w:t>
                      </w:r>
                    </w:p>
                    <w:p>
                      <w:pPr>
                        <w:keepNext w:val="0"/>
                        <w:keepLines w:val="0"/>
                        <w:pageBreakBefore w:val="0"/>
                        <w:widowControl w:val="0"/>
                        <w:kinsoku/>
                        <w:wordWrap/>
                        <w:overflowPunct/>
                        <w:topLinePunct w:val="0"/>
                        <w:autoSpaceDE/>
                        <w:autoSpaceDN/>
                        <w:bidi w:val="0"/>
                        <w:adjustRightInd/>
                        <w:snapToGrid w:val="0"/>
                        <w:spacing w:after="0" w:line="340" w:lineRule="exact"/>
                        <w:textAlignment w:val="auto"/>
                        <w:outlineLvl w:val="9"/>
                        <w:rPr>
                          <w:rFonts w:hint="default" w:ascii="仿宋_GB2312" w:hAnsi="仿宋_GB2312" w:eastAsia="仿宋_GB2312" w:cs="仿宋_GB2312"/>
                          <w:sz w:val="21"/>
                          <w:szCs w:val="21"/>
                          <w:lang w:val="en-US" w:eastAsia="zh-CN"/>
                        </w:rPr>
                      </w:pPr>
                      <w:r>
                        <w:rPr>
                          <w:rFonts w:hint="default" w:ascii="仿宋_GB2312" w:hAnsi="仿宋_GB2312" w:eastAsia="仿宋_GB2312" w:cs="仿宋_GB2312"/>
                          <w:sz w:val="21"/>
                          <w:szCs w:val="21"/>
                          <w:lang w:eastAsia="zh-CN"/>
                        </w:rPr>
                        <w:t>◎</w:t>
                      </w:r>
                      <w:r>
                        <w:rPr>
                          <w:rFonts w:hint="eastAsia" w:ascii="仿宋_GB2312" w:hAnsi="仿宋_GB2312" w:eastAsia="仿宋_GB2312" w:cs="仿宋_GB2312"/>
                          <w:sz w:val="21"/>
                          <w:szCs w:val="21"/>
                          <w:lang w:eastAsia="zh-CN"/>
                        </w:rPr>
                        <w:t>：</w:t>
                      </w:r>
                      <w:r>
                        <w:rPr>
                          <w:rFonts w:hint="eastAsia" w:ascii="Times New Roman" w:hAnsi="Times New Roman" w:eastAsia="宋体" w:cs="Times New Roman"/>
                          <w:sz w:val="21"/>
                          <w:szCs w:val="21"/>
                          <w:lang w:val="en-US" w:eastAsia="zh-CN"/>
                        </w:rPr>
                        <w:t>有组织废气测点</w:t>
                      </w:r>
                    </w:p>
                    <w:p>
                      <w:pPr>
                        <w:pStyle w:val="2"/>
                        <w:rPr>
                          <w:rFonts w:hint="default"/>
                          <w:lang w:val="en-US" w:eastAsia="zh-CN"/>
                        </w:rPr>
                      </w:pPr>
                    </w:p>
                    <w:p>
                      <w:pPr>
                        <w:pStyle w:val="8"/>
                        <w:rPr>
                          <w:rFonts w:hint="eastAsia"/>
                          <w:lang w:eastAsia="zh-CN"/>
                        </w:rPr>
                      </w:pPr>
                    </w:p>
                  </w:txbxContent>
                </v:textbox>
              </v:shape>
            </w:pict>
          </mc:Fallback>
        </mc:AlternateContent>
      </w:r>
    </w:p>
    <w:p>
      <w:pPr>
        <w:jc w:val="left"/>
        <w:rPr>
          <w:rFonts w:hint="eastAsia" w:ascii="Times New Roman" w:hAnsi="Times New Roman" w:cs="Times New Roman" w:eastAsiaTheme="minorEastAsia"/>
          <w:b/>
          <w:kern w:val="2"/>
          <w:sz w:val="24"/>
          <w:szCs w:val="24"/>
          <w:lang w:val="en-US" w:eastAsia="zh-CN" w:bidi="ar-SA"/>
        </w:rPr>
      </w:pPr>
    </w:p>
    <w:p>
      <w:pPr>
        <w:jc w:val="left"/>
        <w:rPr>
          <w:rFonts w:hint="eastAsia" w:ascii="Times New Roman" w:hAnsi="Times New Roman" w:cs="Times New Roman" w:eastAsiaTheme="minorEastAsia"/>
          <w:b/>
          <w:kern w:val="2"/>
          <w:sz w:val="24"/>
          <w:szCs w:val="24"/>
          <w:lang w:val="en-US" w:eastAsia="zh-CN" w:bidi="ar-SA"/>
        </w:rPr>
      </w:pPr>
    </w:p>
    <w:p>
      <w:pPr>
        <w:jc w:val="left"/>
        <w:rPr>
          <w:rFonts w:hint="eastAsia" w:ascii="Times New Roman" w:hAnsi="Times New Roman" w:cs="Times New Roman" w:eastAsiaTheme="minorEastAsia"/>
          <w:b/>
          <w:kern w:val="2"/>
          <w:sz w:val="24"/>
          <w:szCs w:val="24"/>
          <w:lang w:val="en-US" w:eastAsia="zh-CN" w:bidi="ar-SA"/>
        </w:rPr>
      </w:pPr>
    </w:p>
    <w:p>
      <w:pPr>
        <w:jc w:val="left"/>
        <w:rPr>
          <w:rFonts w:hint="eastAsia" w:ascii="Times New Roman" w:hAnsi="Times New Roman" w:cs="Times New Roman" w:eastAsiaTheme="minorEastAsia"/>
          <w:b/>
          <w:kern w:val="2"/>
          <w:sz w:val="24"/>
          <w:szCs w:val="24"/>
          <w:lang w:val="en-US" w:eastAsia="zh-CN" w:bidi="ar-SA"/>
        </w:rPr>
      </w:pPr>
    </w:p>
    <w:p>
      <w:pPr>
        <w:rPr>
          <w:rFonts w:hint="eastAsia" w:ascii="Times New Roman" w:hAnsi="Times New Roman" w:cs="Times New Roman" w:eastAsiaTheme="minorEastAsia"/>
          <w:b/>
          <w:kern w:val="2"/>
          <w:sz w:val="24"/>
          <w:szCs w:val="24"/>
          <w:lang w:val="en-US" w:eastAsia="zh-CN" w:bidi="ar-SA"/>
        </w:rPr>
      </w:pPr>
    </w:p>
    <w:p>
      <w:pPr>
        <w:rPr>
          <w:rFonts w:hint="eastAsia" w:ascii="Times New Roman" w:hAnsi="Times New Roman" w:cs="Times New Roman" w:eastAsiaTheme="minorEastAsia"/>
          <w:b/>
          <w:kern w:val="2"/>
          <w:sz w:val="24"/>
          <w:szCs w:val="24"/>
          <w:lang w:val="en-US" w:eastAsia="zh-CN" w:bidi="ar-SA"/>
        </w:rPr>
      </w:pPr>
    </w:p>
    <w:p>
      <w:pPr>
        <w:rPr>
          <w:rFonts w:hint="eastAsia" w:ascii="Times New Roman" w:hAnsi="Times New Roman" w:cs="Times New Roman" w:eastAsiaTheme="minorEastAsia"/>
          <w:b/>
          <w:kern w:val="2"/>
          <w:sz w:val="24"/>
          <w:szCs w:val="24"/>
          <w:lang w:val="en-US" w:eastAsia="zh-CN" w:bidi="ar-SA"/>
        </w:rPr>
      </w:pPr>
    </w:p>
    <w:p>
      <w:pPr>
        <w:rPr>
          <w:rFonts w:hint="eastAsia" w:ascii="Times New Roman" w:hAnsi="Times New Roman" w:cs="Times New Roman" w:eastAsiaTheme="minorEastAsia"/>
          <w:b/>
          <w:kern w:val="2"/>
          <w:sz w:val="24"/>
          <w:szCs w:val="24"/>
          <w:lang w:val="en-US" w:eastAsia="zh-CN" w:bidi="ar-SA"/>
        </w:rPr>
      </w:pPr>
    </w:p>
    <w:p>
      <w:pPr>
        <w:rPr>
          <w:rFonts w:hint="eastAsia" w:ascii="Times New Roman" w:hAnsi="Times New Roman" w:cs="Times New Roman" w:eastAsiaTheme="minorEastAsia"/>
          <w:b/>
          <w:kern w:val="2"/>
          <w:sz w:val="24"/>
          <w:szCs w:val="24"/>
          <w:lang w:val="en-US" w:eastAsia="zh-CN" w:bidi="ar-SA"/>
        </w:rPr>
      </w:pPr>
    </w:p>
    <w:p>
      <w:pPr>
        <w:rPr>
          <w:rFonts w:hint="eastAsia" w:ascii="Times New Roman" w:hAnsi="Times New Roman" w:cs="Times New Roman" w:eastAsiaTheme="minorEastAsia"/>
          <w:b/>
          <w:kern w:val="2"/>
          <w:sz w:val="24"/>
          <w:szCs w:val="24"/>
          <w:lang w:val="en-US" w:eastAsia="zh-CN" w:bidi="ar-SA"/>
        </w:rPr>
      </w:pPr>
    </w:p>
    <w:p>
      <w:pPr>
        <w:rPr>
          <w:rFonts w:hint="eastAsia" w:ascii="Times New Roman" w:hAnsi="Times New Roman" w:cs="Times New Roman" w:eastAsiaTheme="minorEastAsia"/>
          <w:b/>
          <w:kern w:val="2"/>
          <w:sz w:val="24"/>
          <w:szCs w:val="24"/>
          <w:lang w:val="en-US" w:eastAsia="zh-CN" w:bidi="ar-SA"/>
        </w:rPr>
      </w:pPr>
    </w:p>
    <w:p>
      <w:pPr>
        <w:rPr>
          <w:rFonts w:hint="eastAsia" w:ascii="Times New Roman" w:hAnsi="Times New Roman" w:cs="Times New Roman" w:eastAsiaTheme="minorEastAsia"/>
          <w:b/>
          <w:kern w:val="2"/>
          <w:sz w:val="24"/>
          <w:szCs w:val="24"/>
          <w:lang w:val="en-US" w:eastAsia="zh-CN" w:bidi="ar-SA"/>
        </w:rPr>
        <w:sectPr>
          <w:pgSz w:w="11906" w:h="16838"/>
          <w:pgMar w:top="1440" w:right="1800" w:bottom="1440" w:left="1800" w:header="851" w:footer="992" w:gutter="0"/>
          <w:pgNumType w:fmt="decimal"/>
          <w:cols w:space="425" w:num="1"/>
          <w:docGrid w:type="lines" w:linePitch="312" w:charSpace="0"/>
        </w:sectPr>
      </w:pPr>
    </w:p>
    <w:p>
      <w:pPr>
        <w:rPr>
          <w:rFonts w:hint="eastAsia" w:ascii="Times New Roman" w:hAnsi="Times New Roman" w:cs="Times New Roman"/>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附图</w:t>
      </w:r>
      <w:r>
        <w:rPr>
          <w:rFonts w:hint="eastAsia" w:ascii="Times New Roman" w:hAnsi="Times New Roman" w:cs="Times New Roman"/>
          <w:b/>
          <w:kern w:val="2"/>
          <w:sz w:val="24"/>
          <w:szCs w:val="24"/>
          <w:lang w:val="en-US" w:eastAsia="zh-CN" w:bidi="ar-SA"/>
        </w:rPr>
        <w:t>3</w:t>
      </w:r>
      <w:r>
        <w:rPr>
          <w:rFonts w:hint="eastAsia" w:ascii="Times New Roman" w:hAnsi="Times New Roman" w:cs="Times New Roman" w:eastAsiaTheme="minorEastAsia"/>
          <w:b/>
          <w:kern w:val="2"/>
          <w:sz w:val="24"/>
          <w:szCs w:val="24"/>
          <w:lang w:val="en-US" w:eastAsia="zh-CN" w:bidi="ar-SA"/>
        </w:rPr>
        <w:t xml:space="preserve"> </w:t>
      </w:r>
      <w:r>
        <w:rPr>
          <w:rFonts w:hint="eastAsia" w:ascii="Times New Roman" w:hAnsi="Times New Roman" w:cs="Times New Roman"/>
          <w:b/>
          <w:kern w:val="2"/>
          <w:sz w:val="24"/>
          <w:szCs w:val="24"/>
          <w:lang w:val="en-US" w:eastAsia="zh-CN" w:bidi="ar-SA"/>
        </w:rPr>
        <w:t>现场及采样照片</w:t>
      </w:r>
    </w:p>
    <w:p>
      <w:pPr>
        <w:pStyle w:val="2"/>
        <w:ind w:left="0" w:leftChars="0" w:firstLine="0" w:firstLineChars="0"/>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1979930" cy="1979930"/>
            <wp:effectExtent l="9525" t="9525" r="10795" b="10795"/>
            <wp:docPr id="29" name="图片 29" descr="f9efb6674a4a720cb0ef22a351149bf"/>
            <wp:cNvGraphicFramePr/>
            <a:graphic xmlns:a="http://schemas.openxmlformats.org/drawingml/2006/main">
              <a:graphicData uri="http://schemas.openxmlformats.org/drawingml/2006/picture">
                <pic:pic xmlns:pic="http://schemas.openxmlformats.org/drawingml/2006/picture">
                  <pic:nvPicPr>
                    <pic:cNvPr id="29" name="图片 29" descr="f9efb6674a4a720cb0ef22a351149bf"/>
                    <pic:cNvPicPr/>
                  </pic:nvPicPr>
                  <pic:blipFill>
                    <a:blip r:embed="rId9"/>
                    <a:stretch>
                      <a:fillRect/>
                    </a:stretch>
                  </pic:blipFill>
                  <pic:spPr>
                    <a:xfrm>
                      <a:off x="0" y="0"/>
                      <a:ext cx="1979930" cy="1979930"/>
                    </a:xfrm>
                    <a:prstGeom prst="rect">
                      <a:avLst/>
                    </a:prstGeom>
                    <a:ln>
                      <a:solidFill>
                        <a:schemeClr val="tx1"/>
                      </a:solid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979930" cy="1979930"/>
            <wp:effectExtent l="9525" t="9525" r="10795" b="10795"/>
            <wp:docPr id="30" name="图片 30" descr="a891fdb0b2a7ab934376d9bf8e38943"/>
            <wp:cNvGraphicFramePr/>
            <a:graphic xmlns:a="http://schemas.openxmlformats.org/drawingml/2006/main">
              <a:graphicData uri="http://schemas.openxmlformats.org/drawingml/2006/picture">
                <pic:pic xmlns:pic="http://schemas.openxmlformats.org/drawingml/2006/picture">
                  <pic:nvPicPr>
                    <pic:cNvPr id="30" name="图片 30" descr="a891fdb0b2a7ab934376d9bf8e38943"/>
                    <pic:cNvPicPr/>
                  </pic:nvPicPr>
                  <pic:blipFill>
                    <a:blip r:embed="rId10"/>
                    <a:stretch>
                      <a:fillRect/>
                    </a:stretch>
                  </pic:blipFill>
                  <pic:spPr>
                    <a:xfrm>
                      <a:off x="0" y="0"/>
                      <a:ext cx="1979930" cy="1979930"/>
                    </a:xfrm>
                    <a:prstGeom prst="rect">
                      <a:avLst/>
                    </a:prstGeom>
                    <a:ln>
                      <a:solidFill>
                        <a:schemeClr val="tx1"/>
                      </a:solid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979930" cy="1979930"/>
            <wp:effectExtent l="0" t="0" r="1270" b="1270"/>
            <wp:docPr id="32" name="图片 32" descr="a0b29dbd068902ea47dec09b4fb5b03"/>
            <wp:cNvGraphicFramePr/>
            <a:graphic xmlns:a="http://schemas.openxmlformats.org/drawingml/2006/main">
              <a:graphicData uri="http://schemas.openxmlformats.org/drawingml/2006/picture">
                <pic:pic xmlns:pic="http://schemas.openxmlformats.org/drawingml/2006/picture">
                  <pic:nvPicPr>
                    <pic:cNvPr id="32" name="图片 32" descr="a0b29dbd068902ea47dec09b4fb5b03"/>
                    <pic:cNvPicPr/>
                  </pic:nvPicPr>
                  <pic:blipFill>
                    <a:blip r:embed="rId11"/>
                    <a:stretch>
                      <a:fillRect/>
                    </a:stretch>
                  </pic:blipFill>
                  <pic:spPr>
                    <a:xfrm>
                      <a:off x="0" y="0"/>
                      <a:ext cx="1979930" cy="197993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979930" cy="1979930"/>
            <wp:effectExtent l="9525" t="9525" r="10795" b="10795"/>
            <wp:docPr id="33" name="图片 33" descr="954904b05c907040d1084ce19d537ca"/>
            <wp:cNvGraphicFramePr/>
            <a:graphic xmlns:a="http://schemas.openxmlformats.org/drawingml/2006/main">
              <a:graphicData uri="http://schemas.openxmlformats.org/drawingml/2006/picture">
                <pic:pic xmlns:pic="http://schemas.openxmlformats.org/drawingml/2006/picture">
                  <pic:nvPicPr>
                    <pic:cNvPr id="33" name="图片 33" descr="954904b05c907040d1084ce19d537ca"/>
                    <pic:cNvPicPr/>
                  </pic:nvPicPr>
                  <pic:blipFill>
                    <a:blip r:embed="rId12"/>
                    <a:stretch>
                      <a:fillRect/>
                    </a:stretch>
                  </pic:blipFill>
                  <pic:spPr>
                    <a:xfrm>
                      <a:off x="0" y="0"/>
                      <a:ext cx="1979930" cy="1979930"/>
                    </a:xfrm>
                    <a:prstGeom prst="rect">
                      <a:avLst/>
                    </a:prstGeom>
                    <a:ln>
                      <a:solidFill>
                        <a:schemeClr val="tx1"/>
                      </a:solidFill>
                    </a:ln>
                  </pic:spPr>
                </pic:pic>
              </a:graphicData>
            </a:graphic>
          </wp:inline>
        </w:drawing>
      </w:r>
    </w:p>
    <w:p>
      <w:pPr>
        <w:pStyle w:val="2"/>
        <w:ind w:left="0" w:leftChars="0" w:firstLine="0" w:firstLineChars="0"/>
        <w:rPr>
          <w:rFonts w:hint="eastAsia" w:ascii="宋体" w:hAnsi="宋体" w:eastAsia="宋体" w:cs="宋体"/>
          <w:lang w:val="en-US" w:eastAsia="zh-CN"/>
        </w:rPr>
      </w:pPr>
      <w:r>
        <w:rPr>
          <w:rFonts w:hint="eastAsia"/>
          <w:lang w:val="en-US" w:eastAsia="zh-CN"/>
        </w:rPr>
        <w:t xml:space="preserve">     </w:t>
      </w:r>
      <w:r>
        <w:rPr>
          <w:rFonts w:hint="eastAsia" w:ascii="宋体" w:hAnsi="宋体" w:eastAsia="宋体" w:cs="宋体"/>
          <w:lang w:val="en-US" w:eastAsia="zh-CN"/>
        </w:rPr>
        <w:t xml:space="preserve">   加热搅拌桶及集气罩             除尘喷淋塔                UV光解催化净化器                 排气筒</w:t>
      </w:r>
    </w:p>
    <w:p>
      <w:pPr>
        <w:pStyle w:val="2"/>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1979930" cy="1979930"/>
            <wp:effectExtent l="9525" t="9525" r="10795" b="10795"/>
            <wp:docPr id="36" name="图片 36" descr="704e6df391a5c00fb9755967c9b513c"/>
            <wp:cNvGraphicFramePr/>
            <a:graphic xmlns:a="http://schemas.openxmlformats.org/drawingml/2006/main">
              <a:graphicData uri="http://schemas.openxmlformats.org/drawingml/2006/picture">
                <pic:pic xmlns:pic="http://schemas.openxmlformats.org/drawingml/2006/picture">
                  <pic:nvPicPr>
                    <pic:cNvPr id="36" name="图片 36" descr="704e6df391a5c00fb9755967c9b513c"/>
                    <pic:cNvPicPr/>
                  </pic:nvPicPr>
                  <pic:blipFill>
                    <a:blip r:embed="rId13"/>
                    <a:stretch>
                      <a:fillRect/>
                    </a:stretch>
                  </pic:blipFill>
                  <pic:spPr>
                    <a:xfrm>
                      <a:off x="0" y="0"/>
                      <a:ext cx="1979930" cy="1979930"/>
                    </a:xfrm>
                    <a:prstGeom prst="rect">
                      <a:avLst/>
                    </a:prstGeom>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1979930" cy="1979930"/>
            <wp:effectExtent l="9525" t="9525" r="10795" b="10795"/>
            <wp:docPr id="37" name="图片 37" descr="efa54ee9b3364757eaa4832e0e0e681"/>
            <wp:cNvGraphicFramePr/>
            <a:graphic xmlns:a="http://schemas.openxmlformats.org/drawingml/2006/main">
              <a:graphicData uri="http://schemas.openxmlformats.org/drawingml/2006/picture">
                <pic:pic xmlns:pic="http://schemas.openxmlformats.org/drawingml/2006/picture">
                  <pic:nvPicPr>
                    <pic:cNvPr id="37" name="图片 37" descr="efa54ee9b3364757eaa4832e0e0e681"/>
                    <pic:cNvPicPr/>
                  </pic:nvPicPr>
                  <pic:blipFill>
                    <a:blip r:embed="rId14"/>
                    <a:stretch>
                      <a:fillRect/>
                    </a:stretch>
                  </pic:blipFill>
                  <pic:spPr>
                    <a:xfrm>
                      <a:off x="0" y="0"/>
                      <a:ext cx="1979930" cy="1979930"/>
                    </a:xfrm>
                    <a:prstGeom prst="rect">
                      <a:avLst/>
                    </a:prstGeom>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1979930" cy="1979930"/>
            <wp:effectExtent l="9525" t="9525" r="10795" b="10795"/>
            <wp:docPr id="39" name="图片 39" descr="G1排气筒"/>
            <wp:cNvGraphicFramePr/>
            <a:graphic xmlns:a="http://schemas.openxmlformats.org/drawingml/2006/main">
              <a:graphicData uri="http://schemas.openxmlformats.org/drawingml/2006/picture">
                <pic:pic xmlns:pic="http://schemas.openxmlformats.org/drawingml/2006/picture">
                  <pic:nvPicPr>
                    <pic:cNvPr id="39" name="图片 39" descr="G1排气筒"/>
                    <pic:cNvPicPr/>
                  </pic:nvPicPr>
                  <pic:blipFill>
                    <a:blip r:embed="rId15"/>
                    <a:stretch>
                      <a:fillRect/>
                    </a:stretch>
                  </pic:blipFill>
                  <pic:spPr>
                    <a:xfrm>
                      <a:off x="0" y="0"/>
                      <a:ext cx="1979930" cy="1979930"/>
                    </a:xfrm>
                    <a:prstGeom prst="rect">
                      <a:avLst/>
                    </a:prstGeom>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lang w:val="en-US" w:eastAsia="zh-CN"/>
        </w:rPr>
        <w:drawing>
          <wp:inline distT="0" distB="0" distL="114300" distR="114300">
            <wp:extent cx="1979930" cy="1979930"/>
            <wp:effectExtent l="9525" t="9525" r="10795" b="10795"/>
            <wp:docPr id="40" name="图片 40" descr="厂界北面"/>
            <wp:cNvGraphicFramePr/>
            <a:graphic xmlns:a="http://schemas.openxmlformats.org/drawingml/2006/main">
              <a:graphicData uri="http://schemas.openxmlformats.org/drawingml/2006/picture">
                <pic:pic xmlns:pic="http://schemas.openxmlformats.org/drawingml/2006/picture">
                  <pic:nvPicPr>
                    <pic:cNvPr id="40" name="图片 40" descr="厂界北面"/>
                    <pic:cNvPicPr/>
                  </pic:nvPicPr>
                  <pic:blipFill>
                    <a:blip r:embed="rId16"/>
                    <a:stretch>
                      <a:fillRect/>
                    </a:stretch>
                  </pic:blipFill>
                  <pic:spPr>
                    <a:xfrm>
                      <a:off x="0" y="0"/>
                      <a:ext cx="1979930" cy="1979930"/>
                    </a:xfrm>
                    <a:prstGeom prst="rect">
                      <a:avLst/>
                    </a:prstGeom>
                    <a:ln>
                      <a:solidFill>
                        <a:schemeClr val="tx1"/>
                      </a:solidFill>
                    </a:ln>
                  </pic:spPr>
                </pic:pic>
              </a:graphicData>
            </a:graphic>
          </wp:inline>
        </w:drawing>
      </w:r>
    </w:p>
    <w:p>
      <w:pPr>
        <w:pStyle w:val="2"/>
        <w:ind w:firstLine="1440" w:firstLineChars="600"/>
        <w:rPr>
          <w:rFonts w:hint="eastAsia" w:ascii="宋体" w:hAnsi="宋体" w:eastAsia="宋体" w:cs="宋体"/>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ascii="宋体" w:hAnsi="宋体" w:eastAsia="宋体" w:cs="宋体"/>
          <w:lang w:val="en-US" w:eastAsia="zh-CN"/>
        </w:rPr>
        <w:t>雨水沟及绿化              排放扇消音、吸尘               有组织采样                 噪声采样</w:t>
      </w:r>
    </w:p>
    <w:p>
      <w:pPr>
        <w:tabs>
          <w:tab w:val="left" w:pos="2383"/>
        </w:tabs>
        <w:rPr>
          <w:rFonts w:hint="eastAsia" w:ascii="Times New Roman" w:hAnsi="Times New Roman" w:cs="Times New Roman"/>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附件1 批复意见</w:t>
      </w:r>
      <w:r>
        <w:rPr>
          <w:rFonts w:hint="eastAsia" w:ascii="Times New Roman" w:hAnsi="Times New Roman" w:cs="Times New Roman"/>
          <w:b/>
          <w:kern w:val="2"/>
          <w:sz w:val="24"/>
          <w:szCs w:val="24"/>
          <w:lang w:val="en-US" w:eastAsia="zh-CN" w:bidi="ar-SA"/>
        </w:rPr>
        <w:tab/>
      </w:r>
    </w:p>
    <w:p>
      <w:pPr>
        <w:pStyle w:val="2"/>
        <w:rPr>
          <w:rFonts w:hint="eastAsia"/>
          <w:lang w:val="en-US" w:eastAsia="zh-CN"/>
        </w:rPr>
      </w:pPr>
      <w:r>
        <w:rPr>
          <w:rFonts w:hint="eastAsia"/>
          <w:lang w:val="en-US" w:eastAsia="zh-CN"/>
        </w:rPr>
        <w:drawing>
          <wp:inline distT="0" distB="0" distL="114300" distR="114300">
            <wp:extent cx="5266690" cy="7242175"/>
            <wp:effectExtent l="9525" t="9525" r="19685" b="25400"/>
            <wp:docPr id="41" name="图片 41" descr="6001544417411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001544417411_.pic"/>
                    <pic:cNvPicPr>
                      <a:picLocks noChangeAspect="1"/>
                    </pic:cNvPicPr>
                  </pic:nvPicPr>
                  <pic:blipFill>
                    <a:blip r:embed="rId17"/>
                    <a:stretch>
                      <a:fillRect/>
                    </a:stretch>
                  </pic:blipFill>
                  <pic:spPr>
                    <a:xfrm>
                      <a:off x="0" y="0"/>
                      <a:ext cx="5266690" cy="7242175"/>
                    </a:xfrm>
                    <a:prstGeom prst="rect">
                      <a:avLst/>
                    </a:prstGeom>
                    <a:ln>
                      <a:solidFill>
                        <a:schemeClr val="tx1"/>
                      </a:solidFill>
                    </a:ln>
                  </pic:spPr>
                </pic:pic>
              </a:graphicData>
            </a:graphic>
          </wp:inline>
        </w:drawing>
      </w:r>
    </w:p>
    <w:p>
      <w:pPr>
        <w:pStyle w:val="2"/>
        <w:ind w:left="0" w:leftChars="0" w:firstLine="0" w:firstLineChars="0"/>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66690" cy="7242175"/>
            <wp:effectExtent l="9525" t="9525" r="19685" b="25400"/>
            <wp:docPr id="42" name="图片 42" descr="6011544417416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011544417416_.pic"/>
                    <pic:cNvPicPr>
                      <a:picLocks noChangeAspect="1"/>
                    </pic:cNvPicPr>
                  </pic:nvPicPr>
                  <pic:blipFill>
                    <a:blip r:embed="rId18"/>
                    <a:stretch>
                      <a:fillRect/>
                    </a:stretch>
                  </pic:blipFill>
                  <pic:spPr>
                    <a:xfrm>
                      <a:off x="0" y="0"/>
                      <a:ext cx="5266690" cy="7242175"/>
                    </a:xfrm>
                    <a:prstGeom prst="rect">
                      <a:avLst/>
                    </a:prstGeom>
                    <a:ln>
                      <a:solidFill>
                        <a:schemeClr val="tx1"/>
                      </a:solidFill>
                    </a:ln>
                  </pic:spPr>
                </pic:pic>
              </a:graphicData>
            </a:graphic>
          </wp:inline>
        </w:drawing>
      </w:r>
    </w:p>
    <w:p>
      <w:pPr>
        <w:pStyle w:val="2"/>
        <w:ind w:left="0" w:leftChars="0" w:firstLine="0" w:firstLineChars="0"/>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p>
    <w:p>
      <w:pPr>
        <w:pStyle w:val="2"/>
        <w:ind w:left="0" w:leftChars="0" w:firstLine="0" w:firstLineChars="0"/>
        <w:rPr>
          <w:rFonts w:hint="eastAsia" w:ascii="宋体" w:hAnsi="宋体" w:eastAsia="宋体" w:cs="宋体"/>
          <w:lang w:val="en-US" w:eastAsia="zh-CN"/>
        </w:rPr>
      </w:pPr>
    </w:p>
    <w:p>
      <w:pPr>
        <w:pStyle w:val="2"/>
        <w:ind w:left="0" w:leftChars="0" w:firstLine="241" w:firstLineChars="10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附件2环境保护管理制度</w:t>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66690" cy="7022465"/>
            <wp:effectExtent l="0" t="0" r="10160" b="6985"/>
            <wp:docPr id="43" name="图片 43" descr="4d37c38e9ca113e369269b67d53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d37c38e9ca113e369269b67d539016"/>
                    <pic:cNvPicPr>
                      <a:picLocks noChangeAspect="1"/>
                    </pic:cNvPicPr>
                  </pic:nvPicPr>
                  <pic:blipFill>
                    <a:blip r:embed="rId19"/>
                    <a:stretch>
                      <a:fillRect/>
                    </a:stretch>
                  </pic:blipFill>
                  <pic:spPr>
                    <a:xfrm>
                      <a:off x="0" y="0"/>
                      <a:ext cx="5266690" cy="7022465"/>
                    </a:xfrm>
                    <a:prstGeom prst="rect">
                      <a:avLst/>
                    </a:prstGeom>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66690" cy="3950335"/>
            <wp:effectExtent l="0" t="0" r="10160" b="12065"/>
            <wp:docPr id="44" name="图片 44" descr="7fda64e671589a5f3d93fe8b5a13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7fda64e671589a5f3d93fe8b5a13c12"/>
                    <pic:cNvPicPr>
                      <a:picLocks noChangeAspect="1"/>
                    </pic:cNvPicPr>
                  </pic:nvPicPr>
                  <pic:blipFill>
                    <a:blip r:embed="rId20"/>
                    <a:stretch>
                      <a:fillRect/>
                    </a:stretch>
                  </pic:blipFill>
                  <pic:spPr>
                    <a:xfrm>
                      <a:off x="0" y="0"/>
                      <a:ext cx="5266690" cy="3950335"/>
                    </a:xfrm>
                    <a:prstGeom prst="rect">
                      <a:avLst/>
                    </a:prstGeom>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附件3 除尘、UV光解设备运行、保养记录</w:t>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66690" cy="3950335"/>
            <wp:effectExtent l="0" t="0" r="10160" b="12065"/>
            <wp:docPr id="45" name="图片 45" descr="4843779331bf2f758e51978af39b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843779331bf2f758e51978af39bcfc"/>
                    <pic:cNvPicPr>
                      <a:picLocks noChangeAspect="1"/>
                    </pic:cNvPicPr>
                  </pic:nvPicPr>
                  <pic:blipFill>
                    <a:blip r:embed="rId21"/>
                    <a:stretch>
                      <a:fillRect/>
                    </a:stretch>
                  </pic:blipFill>
                  <pic:spPr>
                    <a:xfrm>
                      <a:off x="0" y="0"/>
                      <a:ext cx="5266690" cy="3950335"/>
                    </a:xfrm>
                    <a:prstGeom prst="rect">
                      <a:avLst/>
                    </a:prstGeom>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73675" cy="3881755"/>
            <wp:effectExtent l="0" t="0" r="3175" b="4445"/>
            <wp:docPr id="49" name="图片 49" descr="154642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46421126(1)"/>
                    <pic:cNvPicPr>
                      <a:picLocks noChangeAspect="1"/>
                    </pic:cNvPicPr>
                  </pic:nvPicPr>
                  <pic:blipFill>
                    <a:blip r:embed="rId22"/>
                    <a:stretch>
                      <a:fillRect/>
                    </a:stretch>
                  </pic:blipFill>
                  <pic:spPr>
                    <a:xfrm>
                      <a:off x="0" y="0"/>
                      <a:ext cx="5273675" cy="3881755"/>
                    </a:xfrm>
                    <a:prstGeom prst="rect">
                      <a:avLst/>
                    </a:prstGeom>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附件4 营业执照</w:t>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66690" cy="7242175"/>
            <wp:effectExtent l="9525" t="9525" r="19685" b="25400"/>
            <wp:docPr id="4" name="图片 4" descr="455becf4e5609b987f2ad17d36cc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55becf4e5609b987f2ad17d36cc695"/>
                    <pic:cNvPicPr>
                      <a:picLocks noChangeAspect="1"/>
                    </pic:cNvPicPr>
                  </pic:nvPicPr>
                  <pic:blipFill>
                    <a:blip r:embed="rId23"/>
                    <a:stretch>
                      <a:fillRect/>
                    </a:stretch>
                  </pic:blipFill>
                  <pic:spPr>
                    <a:xfrm>
                      <a:off x="0" y="0"/>
                      <a:ext cx="5266690" cy="7242175"/>
                    </a:xfrm>
                    <a:prstGeom prst="rect">
                      <a:avLst/>
                    </a:prstGeom>
                    <a:ln>
                      <a:solidFill>
                        <a:schemeClr val="tx1"/>
                      </a:solidFill>
                    </a:ln>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附件5 委托函</w:t>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71770" cy="7522210"/>
            <wp:effectExtent l="9525" t="9525" r="14605" b="12065"/>
            <wp:docPr id="5" name="图片 5" descr="d6bf71eff904108287d49d9098dc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6bf71eff904108287d49d9098dc3d7"/>
                    <pic:cNvPicPr>
                      <a:picLocks noChangeAspect="1"/>
                    </pic:cNvPicPr>
                  </pic:nvPicPr>
                  <pic:blipFill>
                    <a:blip r:embed="rId24"/>
                    <a:stretch>
                      <a:fillRect/>
                    </a:stretch>
                  </pic:blipFill>
                  <pic:spPr>
                    <a:xfrm>
                      <a:off x="0" y="0"/>
                      <a:ext cx="5271770" cy="7522210"/>
                    </a:xfrm>
                    <a:prstGeom prst="rect">
                      <a:avLst/>
                    </a:prstGeom>
                    <a:ln>
                      <a:solidFill>
                        <a:schemeClr val="tx1"/>
                      </a:solidFill>
                    </a:ln>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附件6 生产工况</w:t>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71770" cy="7522210"/>
            <wp:effectExtent l="9525" t="9525" r="14605" b="12065"/>
            <wp:docPr id="9" name="图片 9" descr="1580969f3614831f519552799a1b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0969f3614831f519552799a1b449"/>
                    <pic:cNvPicPr>
                      <a:picLocks noChangeAspect="1"/>
                    </pic:cNvPicPr>
                  </pic:nvPicPr>
                  <pic:blipFill>
                    <a:blip r:embed="rId25"/>
                    <a:stretch>
                      <a:fillRect/>
                    </a:stretch>
                  </pic:blipFill>
                  <pic:spPr>
                    <a:xfrm>
                      <a:off x="0" y="0"/>
                      <a:ext cx="5271770" cy="7522210"/>
                    </a:xfrm>
                    <a:prstGeom prst="rect">
                      <a:avLst/>
                    </a:prstGeom>
                    <a:ln>
                      <a:solidFill>
                        <a:schemeClr val="tx1"/>
                      </a:solidFill>
                    </a:ln>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附件7 环保投资</w:t>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71770" cy="7522210"/>
            <wp:effectExtent l="9525" t="9525" r="14605" b="12065"/>
            <wp:docPr id="11" name="图片 11" descr="2e85f5688c5db83422f8f11e7b55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e85f5688c5db83422f8f11e7b551ac"/>
                    <pic:cNvPicPr>
                      <a:picLocks noChangeAspect="1"/>
                    </pic:cNvPicPr>
                  </pic:nvPicPr>
                  <pic:blipFill>
                    <a:blip r:embed="rId26"/>
                    <a:stretch>
                      <a:fillRect/>
                    </a:stretch>
                  </pic:blipFill>
                  <pic:spPr>
                    <a:xfrm>
                      <a:off x="0" y="0"/>
                      <a:ext cx="5271770" cy="7522210"/>
                    </a:xfrm>
                    <a:prstGeom prst="rect">
                      <a:avLst/>
                    </a:prstGeom>
                    <a:ln>
                      <a:solidFill>
                        <a:schemeClr val="tx1"/>
                      </a:solidFill>
                    </a:ln>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附件8 资料真实情况说明</w:t>
      </w:r>
    </w:p>
    <w:p>
      <w:pPr>
        <w:pStyle w:val="2"/>
        <w:ind w:left="0" w:leftChars="0" w:firstLine="0" w:firstLineChars="0"/>
        <w:rPr>
          <w:rFonts w:hint="eastAsia" w:ascii="Times New Roman" w:hAnsi="Times New Roman" w:cs="Times New Roman" w:eastAsiaTheme="minorEastAsia"/>
          <w:b w:val="0"/>
          <w:bCs/>
          <w:kern w:val="2"/>
          <w:sz w:val="24"/>
          <w:szCs w:val="24"/>
          <w:lang w:val="en-US" w:eastAsia="zh-CN" w:bidi="ar-SA"/>
        </w:rPr>
      </w:pPr>
      <w:r>
        <w:rPr>
          <w:rFonts w:hint="eastAsia" w:ascii="Times New Roman" w:hAnsi="Times New Roman" w:cs="Times New Roman" w:eastAsiaTheme="minorEastAsia"/>
          <w:b w:val="0"/>
          <w:bCs/>
          <w:kern w:val="2"/>
          <w:sz w:val="24"/>
          <w:szCs w:val="24"/>
          <w:lang w:val="en-US" w:eastAsia="zh-CN" w:bidi="ar-SA"/>
        </w:rPr>
        <w:drawing>
          <wp:inline distT="0" distB="0" distL="114300" distR="114300">
            <wp:extent cx="5271770" cy="7522210"/>
            <wp:effectExtent l="9525" t="9525" r="14605" b="12065"/>
            <wp:docPr id="14" name="图片 14" descr="608e4c29dac674a4e5971e7c25a81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08e4c29dac674a4e5971e7c25a81f4"/>
                    <pic:cNvPicPr>
                      <a:picLocks noChangeAspect="1"/>
                    </pic:cNvPicPr>
                  </pic:nvPicPr>
                  <pic:blipFill>
                    <a:blip r:embed="rId27"/>
                    <a:stretch>
                      <a:fillRect/>
                    </a:stretch>
                  </pic:blipFill>
                  <pic:spPr>
                    <a:xfrm>
                      <a:off x="0" y="0"/>
                      <a:ext cx="5271770" cy="7522210"/>
                    </a:xfrm>
                    <a:prstGeom prst="rect">
                      <a:avLst/>
                    </a:prstGeom>
                    <a:ln>
                      <a:solidFill>
                        <a:schemeClr val="tx1"/>
                      </a:solidFill>
                    </a:ln>
                  </pic:spPr>
                </pic:pic>
              </a:graphicData>
            </a:graphic>
          </wp:inline>
        </w:drawing>
      </w:r>
    </w:p>
    <w:p>
      <w:pPr>
        <w:pStyle w:val="2"/>
        <w:ind w:left="0" w:leftChars="0" w:firstLine="0" w:firstLineChars="0"/>
        <w:rPr>
          <w:rFonts w:hint="eastAsia" w:ascii="Times New Roman" w:hAnsi="Times New Roman" w:cs="Times New Roman" w:eastAsiaTheme="minorEastAsia"/>
          <w:b w:val="0"/>
          <w:bCs/>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val="0"/>
          <w:bCs/>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val="0"/>
          <w:bCs/>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t>附件9 厂房租赁合同</w:t>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69865" cy="7026910"/>
            <wp:effectExtent l="0" t="0" r="6985" b="2540"/>
            <wp:docPr id="47" name="图片 47" descr="b17a5432aa65b2a6ff19116dca18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17a5432aa65b2a6ff19116dca188d6"/>
                    <pic:cNvPicPr>
                      <a:picLocks noChangeAspect="1"/>
                    </pic:cNvPicPr>
                  </pic:nvPicPr>
                  <pic:blipFill>
                    <a:blip r:embed="rId28"/>
                    <a:stretch>
                      <a:fillRect/>
                    </a:stretch>
                  </pic:blipFill>
                  <pic:spPr>
                    <a:xfrm>
                      <a:off x="0" y="0"/>
                      <a:ext cx="5269865" cy="7026910"/>
                    </a:xfrm>
                    <a:prstGeom prst="rect">
                      <a:avLst/>
                    </a:prstGeom>
                  </pic:spPr>
                </pic:pic>
              </a:graphicData>
            </a:graphic>
          </wp:inline>
        </w:drawing>
      </w:r>
    </w:p>
    <w:p>
      <w:pPr>
        <w:pStyle w:val="2"/>
        <w:ind w:left="0" w:leftChars="0" w:firstLine="0" w:firstLineChars="0"/>
        <w:rPr>
          <w:rFonts w:hint="eastAsia" w:ascii="Times New Roman" w:hAnsi="Times New Roman" w:cs="Times New Roman" w:eastAsiaTheme="minorEastAsia"/>
          <w:b w:val="0"/>
          <w:bCs/>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69865" cy="7026910"/>
            <wp:effectExtent l="0" t="0" r="6985" b="2540"/>
            <wp:docPr id="48" name="图片 48" descr="bb6c7a426da7358d952d4b1dba0f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bb6c7a426da7358d952d4b1dba0f56f"/>
                    <pic:cNvPicPr>
                      <a:picLocks noChangeAspect="1"/>
                    </pic:cNvPicPr>
                  </pic:nvPicPr>
                  <pic:blipFill>
                    <a:blip r:embed="rId29"/>
                    <a:stretch>
                      <a:fillRect/>
                    </a:stretch>
                  </pic:blipFill>
                  <pic:spPr>
                    <a:xfrm>
                      <a:off x="0" y="0"/>
                      <a:ext cx="5269865" cy="7026910"/>
                    </a:xfrm>
                    <a:prstGeom prst="rect">
                      <a:avLst/>
                    </a:prstGeom>
                  </pic:spPr>
                </pic:pic>
              </a:graphicData>
            </a:graphic>
          </wp:inline>
        </w:drawing>
      </w:r>
    </w:p>
    <w:p>
      <w:pPr>
        <w:pStyle w:val="2"/>
        <w:ind w:left="0" w:leftChars="0" w:firstLine="0" w:firstLineChars="0"/>
        <w:rPr>
          <w:rFonts w:hint="eastAsia" w:ascii="Times New Roman" w:hAnsi="Times New Roman" w:cs="Times New Roman" w:eastAsiaTheme="minorEastAsia"/>
          <w:b/>
          <w:kern w:val="2"/>
          <w:sz w:val="24"/>
          <w:szCs w:val="24"/>
          <w:lang w:val="en-US" w:eastAsia="zh-CN" w:bidi="ar-SA"/>
        </w:rPr>
      </w:pPr>
      <w:r>
        <w:rPr>
          <w:rFonts w:hint="eastAsia" w:ascii="Times New Roman" w:hAnsi="Times New Roman" w:cs="Times New Roman" w:eastAsiaTheme="minorEastAsia"/>
          <w:b/>
          <w:kern w:val="2"/>
          <w:sz w:val="24"/>
          <w:szCs w:val="24"/>
          <w:lang w:val="en-US" w:eastAsia="zh-CN" w:bidi="ar-SA"/>
        </w:rPr>
        <w:drawing>
          <wp:inline distT="0" distB="0" distL="114300" distR="114300">
            <wp:extent cx="5269865" cy="7026910"/>
            <wp:effectExtent l="0" t="0" r="6985" b="2540"/>
            <wp:docPr id="51" name="图片 51" descr="1140ac6b42782bf9be2142eb9ddd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140ac6b42782bf9be2142eb9dddde0"/>
                    <pic:cNvPicPr>
                      <a:picLocks noChangeAspect="1"/>
                    </pic:cNvPicPr>
                  </pic:nvPicPr>
                  <pic:blipFill>
                    <a:blip r:embed="rId30"/>
                    <a:stretch>
                      <a:fillRect/>
                    </a:stretch>
                  </pic:blipFill>
                  <pic:spPr>
                    <a:xfrm>
                      <a:off x="0" y="0"/>
                      <a:ext cx="5269865" cy="7026910"/>
                    </a:xfrm>
                    <a:prstGeom prst="rect">
                      <a:avLst/>
                    </a:prstGeom>
                  </pic:spPr>
                </pic:pic>
              </a:graphicData>
            </a:graphic>
          </wp:inline>
        </w:drawing>
      </w:r>
      <w:r>
        <w:rPr>
          <w:rFonts w:hint="eastAsia" w:ascii="Times New Roman" w:hAnsi="Times New Roman" w:cs="Times New Roman" w:eastAsiaTheme="minorEastAsia"/>
          <w:b/>
          <w:kern w:val="2"/>
          <w:sz w:val="24"/>
          <w:szCs w:val="24"/>
          <w:lang w:val="en-US" w:eastAsia="zh-CN" w:bidi="ar-SA"/>
        </w:rPr>
        <w:drawing>
          <wp:inline distT="0" distB="0" distL="114300" distR="114300">
            <wp:extent cx="5269230" cy="7025640"/>
            <wp:effectExtent l="0" t="0" r="7620" b="3810"/>
            <wp:docPr id="52" name="图片 52" descr="e615deb6a6dc7d24ed5f0c77b627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615deb6a6dc7d24ed5f0c77b627f19"/>
                    <pic:cNvPicPr>
                      <a:picLocks noChangeAspect="1"/>
                    </pic:cNvPicPr>
                  </pic:nvPicPr>
                  <pic:blipFill>
                    <a:blip r:embed="rId31"/>
                    <a:stretch>
                      <a:fillRect/>
                    </a:stretch>
                  </pic:blipFill>
                  <pic:spPr>
                    <a:xfrm>
                      <a:off x="0" y="0"/>
                      <a:ext cx="5269230" cy="7025640"/>
                    </a:xfrm>
                    <a:prstGeom prst="rect">
                      <a:avLst/>
                    </a:prstGeom>
                  </pic:spPr>
                </pic:pic>
              </a:graphicData>
            </a:graphic>
          </wp:inline>
        </w:drawing>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方正小标宋_GBK">
    <w:altName w:val="宋体"/>
    <w:panose1 w:val="03000509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EFA54"/>
    <w:multiLevelType w:val="singleLevel"/>
    <w:tmpl w:val="8BFEFA54"/>
    <w:lvl w:ilvl="0" w:tentative="0">
      <w:start w:val="1"/>
      <w:numFmt w:val="decimal"/>
      <w:suff w:val="nothing"/>
      <w:lvlText w:val="%1、"/>
      <w:lvlJc w:val="left"/>
    </w:lvl>
  </w:abstractNum>
  <w:abstractNum w:abstractNumId="1">
    <w:nsid w:val="BCDAF937"/>
    <w:multiLevelType w:val="singleLevel"/>
    <w:tmpl w:val="BCDAF937"/>
    <w:lvl w:ilvl="0" w:tentative="0">
      <w:start w:val="1"/>
      <w:numFmt w:val="decimal"/>
      <w:suff w:val="space"/>
      <w:lvlText w:val="%1、"/>
      <w:lvlJc w:val="left"/>
    </w:lvl>
  </w:abstractNum>
  <w:abstractNum w:abstractNumId="2">
    <w:nsid w:val="3E6818A3"/>
    <w:multiLevelType w:val="singleLevel"/>
    <w:tmpl w:val="3E6818A3"/>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8332A6"/>
    <w:rsid w:val="004D7572"/>
    <w:rsid w:val="011F064D"/>
    <w:rsid w:val="05331E61"/>
    <w:rsid w:val="0B604F7C"/>
    <w:rsid w:val="0DA7739F"/>
    <w:rsid w:val="0EBA14FA"/>
    <w:rsid w:val="0EC86A35"/>
    <w:rsid w:val="0F9666EA"/>
    <w:rsid w:val="103C7801"/>
    <w:rsid w:val="140A2F9D"/>
    <w:rsid w:val="14221FF9"/>
    <w:rsid w:val="16B45E3D"/>
    <w:rsid w:val="181B066A"/>
    <w:rsid w:val="18A11567"/>
    <w:rsid w:val="18F02160"/>
    <w:rsid w:val="26124C92"/>
    <w:rsid w:val="27921CD0"/>
    <w:rsid w:val="2BAB303C"/>
    <w:rsid w:val="2D9658EC"/>
    <w:rsid w:val="30053251"/>
    <w:rsid w:val="325B48EC"/>
    <w:rsid w:val="35ED683F"/>
    <w:rsid w:val="3A4A198C"/>
    <w:rsid w:val="3CEC65B3"/>
    <w:rsid w:val="43D37A71"/>
    <w:rsid w:val="46855B9A"/>
    <w:rsid w:val="49D52AE0"/>
    <w:rsid w:val="4FE71370"/>
    <w:rsid w:val="51E41F4B"/>
    <w:rsid w:val="55A35E79"/>
    <w:rsid w:val="59B96463"/>
    <w:rsid w:val="5BF95EED"/>
    <w:rsid w:val="5D4A2E59"/>
    <w:rsid w:val="5E07663E"/>
    <w:rsid w:val="660068E0"/>
    <w:rsid w:val="67466241"/>
    <w:rsid w:val="69F75C95"/>
    <w:rsid w:val="6A8332A6"/>
    <w:rsid w:val="6F676969"/>
    <w:rsid w:val="77816C1A"/>
    <w:rsid w:val="7AE13B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rFonts w:eastAsia="宋体" w:asciiTheme="minorAscii" w:hAnsiTheme="minorAscii"/>
      <w:b/>
      <w:kern w:val="44"/>
      <w:sz w:val="32"/>
    </w:rPr>
  </w:style>
  <w:style w:type="paragraph" w:styleId="4">
    <w:name w:val="heading 2"/>
    <w:basedOn w:val="1"/>
    <w:next w:val="1"/>
    <w:unhideWhenUsed/>
    <w:qFormat/>
    <w:uiPriority w:val="0"/>
    <w:pPr>
      <w:keepNext/>
      <w:keepLines/>
      <w:spacing w:before="260" w:beforeLines="0" w:beforeAutospacing="0" w:after="260" w:afterLines="0" w:afterAutospacing="0" w:line="360" w:lineRule="auto"/>
      <w:outlineLvl w:val="1"/>
    </w:pPr>
    <w:rPr>
      <w:rFonts w:ascii="Arial" w:hAnsi="Arial" w:eastAsia="宋体"/>
      <w:b/>
      <w:sz w:val="30"/>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4"/>
    </w:rPr>
  </w:style>
  <w:style w:type="paragraph" w:styleId="6">
    <w:name w:val="heading 9"/>
    <w:basedOn w:val="1"/>
    <w:next w:val="1"/>
    <w:unhideWhenUsed/>
    <w:qFormat/>
    <w:uiPriority w:val="0"/>
    <w:pPr>
      <w:keepNext/>
      <w:keepLines/>
      <w:spacing w:before="240" w:after="64" w:line="320" w:lineRule="auto"/>
      <w:outlineLvl w:val="8"/>
    </w:pPr>
    <w:rPr>
      <w:rFonts w:ascii="Cambria" w:hAnsi="Cambria" w:cs="黑体"/>
      <w:sz w:val="21"/>
      <w:szCs w:val="21"/>
    </w:rPr>
  </w:style>
  <w:style w:type="character" w:default="1" w:styleId="16">
    <w:name w:val="Default Paragraph Font"/>
    <w:semiHidden/>
    <w:qFormat/>
    <w:uiPriority w:val="0"/>
  </w:style>
  <w:style w:type="table" w:default="1" w:styleId="17">
    <w:name w:val="Normal Table"/>
    <w:semiHidden/>
    <w:qFormat/>
    <w:uiPriority w:val="0"/>
    <w:tblPr>
      <w:tblLayout w:type="fixed"/>
      <w:tblCellMar>
        <w:top w:w="0" w:type="dxa"/>
        <w:left w:w="108" w:type="dxa"/>
        <w:bottom w:w="0" w:type="dxa"/>
        <w:right w:w="108" w:type="dxa"/>
      </w:tblCellMar>
    </w:tblPr>
  </w:style>
  <w:style w:type="paragraph" w:customStyle="1" w:styleId="2">
    <w:name w:val="报告表正文"/>
    <w:basedOn w:val="1"/>
    <w:qFormat/>
    <w:uiPriority w:val="0"/>
    <w:pPr>
      <w:spacing w:line="360" w:lineRule="auto"/>
      <w:ind w:firstLine="200" w:firstLineChars="200"/>
    </w:pPr>
    <w:rPr>
      <w:rFonts w:eastAsia="楷体_GB2312"/>
      <w:sz w:val="24"/>
    </w:rPr>
  </w:style>
  <w:style w:type="paragraph" w:styleId="7">
    <w:name w:val="Body Text First Indent"/>
    <w:basedOn w:val="8"/>
    <w:qFormat/>
    <w:uiPriority w:val="0"/>
    <w:pPr>
      <w:overflowPunct w:val="0"/>
      <w:autoSpaceDE w:val="0"/>
      <w:autoSpaceDN w:val="0"/>
      <w:adjustRightInd w:val="0"/>
      <w:spacing w:line="360" w:lineRule="auto"/>
      <w:ind w:firstLine="539"/>
      <w:textAlignment w:val="baseline"/>
    </w:pPr>
    <w:rPr>
      <w:kern w:val="0"/>
    </w:rPr>
  </w:style>
  <w:style w:type="paragraph" w:styleId="8">
    <w:name w:val="Body Text"/>
    <w:basedOn w:val="1"/>
    <w:next w:val="9"/>
    <w:qFormat/>
    <w:uiPriority w:val="0"/>
    <w:rPr>
      <w:sz w:val="28"/>
      <w:szCs w:val="20"/>
    </w:rPr>
  </w:style>
  <w:style w:type="paragraph" w:customStyle="1" w:styleId="9">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0">
    <w:name w:val="Body Text Indent"/>
    <w:basedOn w:val="1"/>
    <w:qFormat/>
    <w:uiPriority w:val="99"/>
    <w:pPr>
      <w:spacing w:line="500" w:lineRule="exact"/>
      <w:ind w:firstLine="560" w:firstLineChars="200"/>
    </w:pPr>
    <w:rPr>
      <w:sz w:val="28"/>
    </w:r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p0"/>
    <w:basedOn w:val="1"/>
    <w:qFormat/>
    <w:uiPriority w:val="0"/>
    <w:pPr>
      <w:widowControl/>
    </w:pPr>
    <w:rPr>
      <w:kern w:val="0"/>
      <w:szCs w:val="21"/>
    </w:rPr>
  </w:style>
  <w:style w:type="paragraph" w:customStyle="1" w:styleId="20">
    <w:name w:val="表 图 内容"/>
    <w:basedOn w:val="1"/>
    <w:qFormat/>
    <w:uiPriority w:val="0"/>
    <w:pPr>
      <w:jc w:val="center"/>
    </w:pPr>
    <w:rPr>
      <w:rFonts w:ascii="Calibri" w:hAnsi="宋体"/>
      <w:color w:val="000000"/>
    </w:rPr>
  </w:style>
  <w:style w:type="character" w:customStyle="1" w:styleId="21">
    <w:name w:val="fontstyle01"/>
    <w:basedOn w:val="16"/>
    <w:qFormat/>
    <w:uiPriority w:val="0"/>
    <w:rPr>
      <w:rFonts w:ascii="宋体" w:hAnsi="宋体" w:eastAsia="宋体" w:cs="宋体"/>
      <w:color w:val="000000"/>
      <w:sz w:val="24"/>
      <w:szCs w:val="24"/>
    </w:rPr>
  </w:style>
  <w:style w:type="character" w:customStyle="1" w:styleId="22">
    <w:name w:val="fontstyle21"/>
    <w:basedOn w:val="16"/>
    <w:qFormat/>
    <w:uiPriority w:val="0"/>
    <w:rPr>
      <w:rFonts w:ascii="TimesNewRomanPSMT" w:hAnsi="TimesNewRomanPSMT" w:eastAsia="TimesNewRomanPSMT" w:cs="TimesNewRomanPSMT"/>
      <w:color w:val="000000"/>
      <w:sz w:val="24"/>
      <w:szCs w:val="24"/>
    </w:rPr>
  </w:style>
  <w:style w:type="character" w:customStyle="1" w:styleId="23">
    <w:name w:val="fontstyle11"/>
    <w:basedOn w:val="16"/>
    <w:qFormat/>
    <w:uiPriority w:val="0"/>
    <w:rPr>
      <w:rFonts w:ascii="宋体" w:hAnsi="宋体" w:eastAsia="宋体" w:cs="宋体"/>
      <w:color w:val="000000"/>
      <w:sz w:val="24"/>
      <w:szCs w:val="24"/>
    </w:rPr>
  </w:style>
  <w:style w:type="paragraph" w:customStyle="1" w:styleId="24">
    <w:name w:val="表格内容"/>
    <w:basedOn w:val="20"/>
    <w:qFormat/>
    <w:uiPriority w:val="0"/>
    <w:pPr>
      <w:jc w:val="center"/>
    </w:pPr>
    <w:rPr>
      <w:szCs w:val="21"/>
    </w:rPr>
  </w:style>
  <w:style w:type="paragraph" w:customStyle="1" w:styleId="25">
    <w:name w:val="表 图 表头"/>
    <w:basedOn w:val="1"/>
    <w:qFormat/>
    <w:uiPriority w:val="0"/>
    <w:pPr>
      <w:spacing w:line="360" w:lineRule="auto"/>
      <w:jc w:val="center"/>
    </w:pPr>
    <w:rPr>
      <w:rFonts w:ascii="Calibri" w:hAnsi="Calibri"/>
      <w:sz w:val="24"/>
      <w:szCs w:val="20"/>
    </w:rPr>
  </w:style>
  <w:style w:type="paragraph" w:customStyle="1" w:styleId="26">
    <w:name w:val="表文字"/>
    <w:basedOn w:val="1"/>
    <w:qFormat/>
    <w:uiPriority w:val="0"/>
    <w:pPr>
      <w:overflowPunct w:val="0"/>
      <w:autoSpaceDE w:val="0"/>
      <w:autoSpaceDN w:val="0"/>
      <w:adjustRightInd w:val="0"/>
      <w:jc w:val="center"/>
      <w:textAlignment w:val="baseline"/>
    </w:pPr>
    <w:rPr>
      <w:kern w:val="0"/>
      <w:szCs w:val="21"/>
    </w:rPr>
  </w:style>
  <w:style w:type="paragraph" w:customStyle="1" w:styleId="27">
    <w:name w:val="正文2"/>
    <w:basedOn w:val="1"/>
    <w:qFormat/>
    <w:uiPriority w:val="0"/>
    <w:pPr>
      <w:spacing w:line="500" w:lineRule="exact"/>
      <w:ind w:firstLine="480" w:firstLineChars="200"/>
    </w:pPr>
    <w:rPr>
      <w:rFonts w:cs="宋体"/>
      <w:sz w:val="24"/>
      <w:szCs w:val="20"/>
    </w:rPr>
  </w:style>
  <w:style w:type="paragraph" w:customStyle="1" w:styleId="28">
    <w:name w:val="表头"/>
    <w:basedOn w:val="29"/>
    <w:next w:val="6"/>
    <w:qFormat/>
    <w:uiPriority w:val="0"/>
    <w:pPr>
      <w:ind w:firstLine="0" w:firstLineChars="0"/>
      <w:jc w:val="center"/>
    </w:pPr>
    <w:rPr>
      <w:rFonts w:cs="Times New Roman"/>
    </w:rPr>
  </w:style>
  <w:style w:type="paragraph" w:customStyle="1" w:styleId="29">
    <w:name w:val="样式 正  文 + 首行缩进:  2 字符"/>
    <w:basedOn w:val="30"/>
    <w:qFormat/>
    <w:uiPriority w:val="0"/>
    <w:pPr>
      <w:spacing w:line="240" w:lineRule="auto"/>
      <w:ind w:firstLine="200"/>
    </w:pPr>
    <w:rPr>
      <w:rFonts w:ascii="Times New Roman" w:hAnsi="Times New Roman" w:cs="宋体"/>
      <w:sz w:val="24"/>
      <w:szCs w:val="20"/>
    </w:rPr>
  </w:style>
  <w:style w:type="paragraph" w:customStyle="1" w:styleId="30">
    <w:name w:val="正  文"/>
    <w:basedOn w:val="1"/>
    <w:next w:val="1"/>
    <w:qFormat/>
    <w:uiPriority w:val="0"/>
    <w:pPr>
      <w:spacing w:line="360" w:lineRule="auto"/>
      <w:ind w:firstLine="560" w:firstLineChars="200"/>
    </w:pPr>
    <w:rPr>
      <w:rFonts w:ascii="仿宋_GB2312" w:hAnsi="仿宋_GB2312" w:cs="仿宋_GB2312"/>
      <w:sz w:val="28"/>
      <w:szCs w:val="28"/>
    </w:rPr>
  </w:style>
  <w:style w:type="paragraph" w:customStyle="1" w:styleId="31">
    <w:name w:val="无间隔1"/>
    <w:qFormat/>
    <w:uiPriority w:val="1"/>
    <w:pPr>
      <w:spacing w:line="360" w:lineRule="auto"/>
      <w:ind w:firstLine="200" w:firstLineChars="200"/>
      <w:jc w:val="both"/>
    </w:pPr>
    <w:rPr>
      <w:rFonts w:ascii="Calibri" w:hAnsi="Calibri" w:eastAsia="Calibri" w:cs="Times New Roman"/>
      <w:kern w:val="2"/>
      <w:sz w:val="28"/>
      <w:szCs w:val="22"/>
      <w:lang w:val="ru-RU"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2018-03-21T08:06:00Z</dcterms:created>
  <dc:creator>Administrator</dc:creator>
  <cp:lastModifiedBy>Administrator</cp:lastModifiedBy>
  <cp:lastPrinted>2018-03-23T00:35:00Z</cp:lastPrinted>
  <dcterms:modified xsi:type="dcterms:W3CDTF">2019-01-07T06:56:14Z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