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after="240" w:afterAutospacing="0"/>
        <w:jc w:val="left"/>
      </w:pPr>
    </w:p>
    <w:p>
      <w:pPr>
        <w:keepNext w:val="0"/>
        <w:keepLines w:val="0"/>
        <w:pageBreakBefore w:val="0"/>
        <w:widowControl w:val="0"/>
        <w:kinsoku/>
        <w:wordWrap/>
        <w:overflowPunct/>
        <w:topLinePunct w:val="0"/>
        <w:autoSpaceDE/>
        <w:autoSpaceDN/>
        <w:bidi w:val="0"/>
        <w:adjustRightInd/>
        <w:snapToGrid/>
        <w:spacing w:before="360" w:line="240" w:lineRule="auto"/>
        <w:ind w:left="0" w:leftChars="0" w:right="0" w:rightChars="0" w:firstLine="0" w:firstLineChars="0"/>
        <w:jc w:val="center"/>
        <w:textAlignment w:val="auto"/>
        <w:outlineLvl w:val="9"/>
        <w:rPr>
          <w:rFonts w:hint="eastAsia"/>
          <w:b/>
          <w:color w:val="000000"/>
          <w:spacing w:val="20"/>
          <w:sz w:val="52"/>
          <w:szCs w:val="52"/>
          <w:lang w:val="en-US" w:eastAsia="zh-CN"/>
        </w:rPr>
      </w:pPr>
      <w:r>
        <w:rPr>
          <w:rFonts w:hint="eastAsia"/>
          <w:b/>
          <w:color w:val="000000"/>
          <w:spacing w:val="20"/>
          <w:sz w:val="52"/>
          <w:szCs w:val="52"/>
          <w:lang w:val="en-US" w:eastAsia="zh-CN"/>
        </w:rPr>
        <w:t>安化益汉医院建设项目</w:t>
      </w:r>
    </w:p>
    <w:p>
      <w:pPr>
        <w:keepNext w:val="0"/>
        <w:keepLines w:val="0"/>
        <w:pageBreakBefore w:val="0"/>
        <w:widowControl w:val="0"/>
        <w:kinsoku/>
        <w:wordWrap/>
        <w:overflowPunct/>
        <w:topLinePunct w:val="0"/>
        <w:autoSpaceDE/>
        <w:autoSpaceDN/>
        <w:bidi w:val="0"/>
        <w:adjustRightInd/>
        <w:snapToGrid/>
        <w:spacing w:before="360" w:line="240" w:lineRule="auto"/>
        <w:ind w:left="0" w:leftChars="0" w:right="0" w:rightChars="0" w:firstLine="0" w:firstLineChars="0"/>
        <w:jc w:val="center"/>
        <w:textAlignment w:val="auto"/>
        <w:outlineLvl w:val="9"/>
        <w:rPr>
          <w:sz w:val="52"/>
          <w:szCs w:val="52"/>
        </w:rPr>
      </w:pPr>
      <w:r>
        <w:rPr>
          <w:rFonts w:hint="eastAsia"/>
          <w:b/>
          <w:color w:val="000000"/>
          <w:spacing w:val="20"/>
          <w:sz w:val="52"/>
          <w:szCs w:val="52"/>
          <w:lang w:val="en-US" w:eastAsia="zh-CN"/>
        </w:rPr>
        <w:t>竣工环境</w:t>
      </w:r>
      <w:r>
        <w:rPr>
          <w:b/>
          <w:color w:val="000000"/>
          <w:spacing w:val="20"/>
          <w:sz w:val="52"/>
          <w:szCs w:val="52"/>
        </w:rPr>
        <w:t>验收</w:t>
      </w:r>
      <w:r>
        <w:rPr>
          <w:b/>
          <w:color w:val="000000"/>
          <w:spacing w:val="40"/>
          <w:sz w:val="52"/>
          <w:szCs w:val="52"/>
        </w:rPr>
        <w:t xml:space="preserve">监测报告 </w:t>
      </w:r>
    </w:p>
    <w:p>
      <w:pPr>
        <w:spacing w:before="312" w:beforeLines="100"/>
        <w:jc w:val="center"/>
        <w:rPr>
          <w:color w:val="auto"/>
          <w:sz w:val="28"/>
          <w:highlight w:val="none"/>
        </w:rPr>
      </w:pPr>
      <w:r>
        <w:rPr>
          <w:color w:val="auto"/>
          <w:sz w:val="28"/>
          <w:highlight w:val="none"/>
        </w:rPr>
        <w:t>精检竣监［201</w:t>
      </w:r>
      <w:r>
        <w:rPr>
          <w:rFonts w:hint="eastAsia"/>
          <w:color w:val="auto"/>
          <w:sz w:val="28"/>
          <w:highlight w:val="none"/>
          <w:lang w:val="en-US" w:eastAsia="zh-CN"/>
        </w:rPr>
        <w:t>8</w:t>
      </w:r>
      <w:r>
        <w:rPr>
          <w:color w:val="auto"/>
          <w:sz w:val="28"/>
          <w:highlight w:val="none"/>
        </w:rPr>
        <w:t>］</w:t>
      </w:r>
      <w:r>
        <w:rPr>
          <w:rFonts w:hint="eastAsia"/>
          <w:color w:val="auto"/>
          <w:sz w:val="28"/>
          <w:highlight w:val="none"/>
          <w:lang w:val="en-US" w:eastAsia="zh-CN"/>
        </w:rPr>
        <w:t>180</w:t>
      </w:r>
      <w:r>
        <w:rPr>
          <w:color w:val="auto"/>
          <w:sz w:val="28"/>
          <w:highlight w:val="none"/>
        </w:rPr>
        <w:t>号</w:t>
      </w:r>
    </w:p>
    <w:p>
      <w:pPr>
        <w:rPr>
          <w:sz w:val="28"/>
        </w:rPr>
      </w:pPr>
    </w:p>
    <w:p>
      <w:pPr>
        <w:rPr>
          <w:sz w:val="28"/>
        </w:rPr>
      </w:pPr>
    </w:p>
    <w:p>
      <w:pPr>
        <w:rPr>
          <w:sz w:val="28"/>
        </w:rPr>
      </w:pPr>
    </w:p>
    <w:p>
      <w:pPr>
        <w:rPr>
          <w:sz w:val="28"/>
        </w:rPr>
      </w:pPr>
    </w:p>
    <w:p>
      <w:pPr>
        <w:ind w:firstLine="1200" w:firstLineChars="400"/>
        <w:rPr>
          <w:sz w:val="30"/>
        </w:rPr>
      </w:pPr>
    </w:p>
    <w:p>
      <w:pPr>
        <w:ind w:firstLine="1200" w:firstLineChars="400"/>
        <w:rPr>
          <w:sz w:val="30"/>
        </w:rPr>
      </w:pPr>
    </w:p>
    <w:p>
      <w:pPr>
        <w:rPr>
          <w:sz w:val="30"/>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900" w:firstLineChars="300"/>
        <w:jc w:val="both"/>
        <w:textAlignment w:val="auto"/>
        <w:outlineLvl w:val="9"/>
        <w:rPr>
          <w:rFonts w:hint="eastAsia" w:ascii="宋体" w:hAnsi="宋体" w:eastAsiaTheme="minorEastAsia"/>
          <w:sz w:val="30"/>
          <w:lang w:val="en-US" w:eastAsia="zh-CN"/>
        </w:rPr>
      </w:pPr>
      <w:r>
        <w:rPr>
          <w:rFonts w:hint="eastAsia"/>
          <w:sz w:val="30"/>
          <w:lang w:val="en-US" w:eastAsia="zh-CN"/>
        </w:rPr>
        <w:t>建设</w:t>
      </w:r>
      <w:r>
        <w:rPr>
          <w:sz w:val="30"/>
        </w:rPr>
        <w:t>单位：</w:t>
      </w:r>
      <w:r>
        <w:rPr>
          <w:rFonts w:hint="eastAsia"/>
          <w:sz w:val="30"/>
          <w:lang w:val="en-US" w:eastAsia="zh-CN"/>
        </w:rPr>
        <w:t>安化益汉医院</w:t>
      </w:r>
    </w:p>
    <w:p>
      <w:pPr>
        <w:keepNext w:val="0"/>
        <w:keepLines w:val="0"/>
        <w:pageBreakBefore w:val="0"/>
        <w:widowControl w:val="0"/>
        <w:kinsoku/>
        <w:wordWrap/>
        <w:overflowPunct/>
        <w:topLinePunct w:val="0"/>
        <w:autoSpaceDE/>
        <w:autoSpaceDN/>
        <w:bidi w:val="0"/>
        <w:adjustRightInd/>
        <w:snapToGrid/>
        <w:spacing w:before="313" w:beforeLines="100" w:line="640" w:lineRule="exact"/>
        <w:ind w:left="0" w:leftChars="0" w:right="0" w:rightChars="0" w:firstLine="900" w:firstLineChars="300"/>
        <w:jc w:val="both"/>
        <w:textAlignment w:val="auto"/>
        <w:outlineLvl w:val="9"/>
        <w:rPr>
          <w:rFonts w:hint="eastAsia" w:ascii="宋体" w:hAnsi="宋体" w:eastAsia="宋体"/>
          <w:sz w:val="30"/>
          <w:lang w:val="en-US" w:eastAsia="zh-CN"/>
        </w:rPr>
      </w:pPr>
      <w:r>
        <w:rPr>
          <w:rFonts w:hint="eastAsia" w:ascii="宋体" w:hAnsi="宋体"/>
          <w:sz w:val="30"/>
          <w:lang w:val="en-US" w:eastAsia="zh-CN"/>
        </w:rPr>
        <w:t>编制单位：湖南精科检测有限公司</w:t>
      </w:r>
    </w:p>
    <w:p>
      <w:pPr>
        <w:ind w:left="493" w:leftChars="235" w:firstLine="800" w:firstLineChars="250"/>
        <w:rPr>
          <w:sz w:val="32"/>
        </w:rPr>
      </w:pPr>
    </w:p>
    <w:p>
      <w:pPr>
        <w:rPr>
          <w:sz w:val="28"/>
        </w:rPr>
      </w:pPr>
    </w:p>
    <w:p>
      <w:pPr>
        <w:rPr>
          <w:sz w:val="28"/>
        </w:rPr>
      </w:pPr>
    </w:p>
    <w:p>
      <w:pPr>
        <w:rPr>
          <w:sz w:val="28"/>
        </w:rPr>
      </w:pPr>
    </w:p>
    <w:p>
      <w:pPr>
        <w:autoSpaceDE w:val="0"/>
        <w:autoSpaceDN w:val="0"/>
        <w:adjustRightInd w:val="0"/>
        <w:spacing w:line="360" w:lineRule="auto"/>
        <w:jc w:val="center"/>
        <w:rPr>
          <w:color w:val="000000"/>
          <w:kern w:val="0"/>
          <w:sz w:val="32"/>
          <w:szCs w:val="32"/>
          <w:highlight w:val="none"/>
          <w:lang w:val="zh-CN"/>
        </w:rPr>
      </w:pPr>
      <w:r>
        <w:rPr>
          <w:color w:val="000000"/>
          <w:kern w:val="0"/>
          <w:sz w:val="32"/>
          <w:szCs w:val="32"/>
          <w:highlight w:val="none"/>
          <w:lang w:val="zh-CN"/>
        </w:rPr>
        <w:t xml:space="preserve">二 </w:t>
      </w:r>
      <w:r>
        <w:rPr>
          <w:color w:val="000000"/>
          <w:kern w:val="0"/>
          <w:sz w:val="32"/>
          <w:szCs w:val="32"/>
          <w:highlight w:val="none"/>
        </w:rPr>
        <w:t xml:space="preserve">O 一 </w:t>
      </w:r>
      <w:r>
        <w:rPr>
          <w:rFonts w:hint="eastAsia"/>
          <w:color w:val="000000"/>
          <w:kern w:val="0"/>
          <w:sz w:val="32"/>
          <w:szCs w:val="32"/>
          <w:highlight w:val="none"/>
          <w:lang w:eastAsia="zh-CN"/>
        </w:rPr>
        <w:t>八</w:t>
      </w:r>
      <w:r>
        <w:rPr>
          <w:color w:val="000000"/>
          <w:kern w:val="0"/>
          <w:sz w:val="32"/>
          <w:szCs w:val="32"/>
          <w:highlight w:val="none"/>
          <w:lang w:val="zh-CN"/>
        </w:rPr>
        <w:t xml:space="preserve"> 年 </w:t>
      </w:r>
      <w:r>
        <w:rPr>
          <w:rFonts w:hint="eastAsia"/>
          <w:color w:val="000000"/>
          <w:kern w:val="0"/>
          <w:sz w:val="32"/>
          <w:szCs w:val="32"/>
          <w:highlight w:val="none"/>
          <w:lang w:val="en-US" w:eastAsia="zh-CN"/>
        </w:rPr>
        <w:t>十二</w:t>
      </w:r>
      <w:r>
        <w:rPr>
          <w:color w:val="000000"/>
          <w:kern w:val="0"/>
          <w:sz w:val="32"/>
          <w:szCs w:val="32"/>
          <w:highlight w:val="none"/>
          <w:lang w:val="zh-CN"/>
        </w:rPr>
        <w:t xml:space="preserve"> 月</w:t>
      </w:r>
    </w:p>
    <w:p>
      <w:pPr>
        <w:autoSpaceDE w:val="0"/>
        <w:autoSpaceDN w:val="0"/>
        <w:adjustRightInd w:val="0"/>
        <w:spacing w:line="360" w:lineRule="auto"/>
        <w:jc w:val="both"/>
        <w:rPr>
          <w:rFonts w:hint="eastAsia"/>
          <w:color w:val="000000"/>
          <w:kern w:val="0"/>
          <w:sz w:val="32"/>
          <w:szCs w:val="32"/>
          <w:lang w:val="en-US" w:eastAsia="zh-CN"/>
        </w:rPr>
      </w:pPr>
      <w:r>
        <w:rPr>
          <w:color w:val="000000"/>
          <w:kern w:val="0"/>
          <w:sz w:val="32"/>
          <w:szCs w:val="32"/>
          <w:lang w:val="zh-CN"/>
        </w:rPr>
        <w:br w:type="page"/>
      </w:r>
      <w:r>
        <w:rPr>
          <w:rFonts w:hint="eastAsia"/>
          <w:color w:val="000000"/>
          <w:kern w:val="0"/>
          <w:sz w:val="32"/>
          <w:szCs w:val="32"/>
          <w:lang w:val="en-US" w:eastAsia="zh-CN"/>
        </w:rPr>
        <w:t xml:space="preserve">建设单位：安化益汉医院                              </w:t>
      </w:r>
    </w:p>
    <w:tbl>
      <w:tblPr>
        <w:tblStyle w:val="16"/>
        <w:tblpPr w:leftFromText="180" w:rightFromText="180" w:vertAnchor="page" w:horzAnchor="page" w:tblpX="1843" w:tblpY="9893"/>
        <w:tblW w:w="8700" w:type="dxa"/>
        <w:tblInd w:w="0" w:type="dxa"/>
        <w:tblLayout w:type="fixed"/>
        <w:tblCellMar>
          <w:top w:w="0" w:type="dxa"/>
          <w:left w:w="108" w:type="dxa"/>
          <w:bottom w:w="0" w:type="dxa"/>
          <w:right w:w="108" w:type="dxa"/>
        </w:tblCellMar>
      </w:tblPr>
      <w:tblGrid>
        <w:gridCol w:w="1320"/>
        <w:gridCol w:w="3195"/>
        <w:gridCol w:w="1485"/>
        <w:gridCol w:w="2700"/>
      </w:tblGrid>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建设单位：</w:t>
            </w:r>
          </w:p>
        </w:tc>
        <w:tc>
          <w:tcPr>
            <w:tcW w:w="3195"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安化益汉医院</w:t>
            </w:r>
          </w:p>
        </w:tc>
        <w:tc>
          <w:tcPr>
            <w:tcW w:w="1485" w:type="dxa"/>
            <w:vAlign w:val="center"/>
          </w:tcPr>
          <w:p>
            <w:pPr>
              <w:autoSpaceDE w:val="0"/>
              <w:autoSpaceDN w:val="0"/>
              <w:adjustRightInd w:val="0"/>
              <w:spacing w:line="36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编制单位：</w:t>
            </w:r>
          </w:p>
        </w:tc>
        <w:tc>
          <w:tcPr>
            <w:tcW w:w="2700" w:type="dxa"/>
            <w:vAlign w:val="center"/>
          </w:tcPr>
          <w:p>
            <w:pPr>
              <w:autoSpaceDE w:val="0"/>
              <w:autoSpaceDN w:val="0"/>
              <w:adjustRightInd w:val="0"/>
              <w:spacing w:line="36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湖南精科检测有限公司</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电话：</w:t>
            </w:r>
          </w:p>
        </w:tc>
        <w:tc>
          <w:tcPr>
            <w:tcW w:w="3195"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18711799917</w:t>
            </w:r>
          </w:p>
        </w:tc>
        <w:tc>
          <w:tcPr>
            <w:tcW w:w="1485" w:type="dxa"/>
            <w:vAlign w:val="center"/>
          </w:tcPr>
          <w:p>
            <w:pPr>
              <w:adjustRightInd w:val="0"/>
              <w:spacing w:before="240" w:after="240" w:line="400" w:lineRule="exact"/>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电话：</w:t>
            </w:r>
          </w:p>
        </w:tc>
        <w:tc>
          <w:tcPr>
            <w:tcW w:w="270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0731-86953766</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传真：</w:t>
            </w:r>
          </w:p>
        </w:tc>
        <w:tc>
          <w:tcPr>
            <w:tcW w:w="3195"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485" w:type="dxa"/>
            <w:vAlign w:val="center"/>
          </w:tcPr>
          <w:p>
            <w:pPr>
              <w:adjustRightInd w:val="0"/>
              <w:spacing w:before="240" w:after="240" w:line="400" w:lineRule="exact"/>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传真：</w:t>
            </w:r>
          </w:p>
        </w:tc>
        <w:tc>
          <w:tcPr>
            <w:tcW w:w="2700" w:type="dxa"/>
            <w:vAlign w:val="center"/>
          </w:tcPr>
          <w:p>
            <w:pPr>
              <w:adjustRightInd w:val="0"/>
              <w:spacing w:before="240" w:after="240" w:line="400" w:lineRule="exact"/>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0731-86953766</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邮编：</w:t>
            </w:r>
          </w:p>
        </w:tc>
        <w:tc>
          <w:tcPr>
            <w:tcW w:w="3195"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413599</w:t>
            </w:r>
          </w:p>
        </w:tc>
        <w:tc>
          <w:tcPr>
            <w:tcW w:w="1485" w:type="dxa"/>
            <w:vAlign w:val="center"/>
          </w:tcPr>
          <w:p>
            <w:pPr>
              <w:adjustRightInd w:val="0"/>
              <w:spacing w:before="240" w:after="240" w:line="400" w:lineRule="exact"/>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邮编：</w:t>
            </w:r>
          </w:p>
        </w:tc>
        <w:tc>
          <w:tcPr>
            <w:tcW w:w="270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410000</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地址：</w:t>
            </w:r>
          </w:p>
        </w:tc>
        <w:tc>
          <w:tcPr>
            <w:tcW w:w="3195"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安化县城南区吉祥路</w:t>
            </w:r>
          </w:p>
        </w:tc>
        <w:tc>
          <w:tcPr>
            <w:tcW w:w="1485" w:type="dxa"/>
            <w:vAlign w:val="center"/>
          </w:tcPr>
          <w:p>
            <w:pPr>
              <w:adjustRightInd w:val="0"/>
              <w:spacing w:before="240" w:after="240" w:line="400" w:lineRule="exact"/>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地址：</w:t>
            </w:r>
          </w:p>
        </w:tc>
        <w:tc>
          <w:tcPr>
            <w:tcW w:w="270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长沙市雨花区长沙国际企业中心12栋</w:t>
            </w:r>
          </w:p>
        </w:tc>
      </w:tr>
    </w:tbl>
    <w:p>
      <w:pPr>
        <w:autoSpaceDE w:val="0"/>
        <w:autoSpaceDN w:val="0"/>
        <w:adjustRightInd w:val="0"/>
        <w:spacing w:line="360" w:lineRule="auto"/>
        <w:jc w:val="both"/>
        <w:rPr>
          <w:rFonts w:hint="eastAsia"/>
          <w:color w:val="000000"/>
          <w:kern w:val="0"/>
          <w:sz w:val="32"/>
          <w:szCs w:val="32"/>
          <w:lang w:val="en-US" w:eastAsia="zh-CN"/>
        </w:rPr>
      </w:pPr>
      <w:r>
        <w:rPr>
          <w:rFonts w:hint="eastAsia"/>
          <w:color w:val="000000"/>
          <w:kern w:val="0"/>
          <w:sz w:val="32"/>
          <w:szCs w:val="32"/>
          <w:lang w:val="en-US" w:eastAsia="zh-CN"/>
        </w:rPr>
        <w:t>法 人 代 表：龚有名</w:t>
      </w: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r>
        <w:rPr>
          <w:rFonts w:hint="eastAsia"/>
          <w:color w:val="000000"/>
          <w:kern w:val="0"/>
          <w:sz w:val="32"/>
          <w:szCs w:val="32"/>
          <w:lang w:val="en-US" w:eastAsia="zh-CN"/>
        </w:rPr>
        <w:t>编 制 单 位：湖南精科检测有限公司</w:t>
      </w:r>
    </w:p>
    <w:p>
      <w:pPr>
        <w:autoSpaceDE w:val="0"/>
        <w:autoSpaceDN w:val="0"/>
        <w:adjustRightInd w:val="0"/>
        <w:spacing w:line="360" w:lineRule="auto"/>
        <w:jc w:val="both"/>
        <w:rPr>
          <w:rFonts w:hint="eastAsia"/>
          <w:color w:val="000000"/>
          <w:kern w:val="0"/>
          <w:sz w:val="32"/>
          <w:szCs w:val="32"/>
          <w:lang w:val="en-US" w:eastAsia="zh-CN"/>
        </w:rPr>
      </w:pPr>
      <w:r>
        <w:rPr>
          <w:rFonts w:hint="eastAsia"/>
          <w:color w:val="000000"/>
          <w:kern w:val="0"/>
          <w:sz w:val="32"/>
          <w:szCs w:val="32"/>
          <w:lang w:val="en-US" w:eastAsia="zh-CN"/>
        </w:rPr>
        <w:t>法 人 代 表：昌小兵</w:t>
      </w:r>
    </w:p>
    <w:p>
      <w:pPr>
        <w:autoSpaceDE w:val="0"/>
        <w:autoSpaceDN w:val="0"/>
        <w:adjustRightInd w:val="0"/>
        <w:spacing w:line="360" w:lineRule="auto"/>
        <w:jc w:val="both"/>
        <w:rPr>
          <w:rFonts w:hint="eastAsia"/>
          <w:color w:val="000000"/>
          <w:kern w:val="0"/>
          <w:sz w:val="32"/>
          <w:szCs w:val="32"/>
          <w:lang w:val="en-US" w:eastAsia="zh-CN"/>
        </w:rPr>
      </w:pPr>
      <w:r>
        <w:rPr>
          <w:rFonts w:hint="eastAsia"/>
          <w:color w:val="000000"/>
          <w:kern w:val="0"/>
          <w:sz w:val="32"/>
          <w:szCs w:val="32"/>
          <w:lang w:val="en-US" w:eastAsia="zh-CN"/>
        </w:rPr>
        <w:t>项目负责人：胡强</w:t>
      </w:r>
    </w:p>
    <w:p>
      <w:pPr>
        <w:autoSpaceDE w:val="0"/>
        <w:autoSpaceDN w:val="0"/>
        <w:adjustRightInd w:val="0"/>
        <w:spacing w:line="360" w:lineRule="auto"/>
        <w:jc w:val="both"/>
        <w:rPr>
          <w:rFonts w:hint="eastAsia"/>
          <w:color w:val="000000"/>
          <w:kern w:val="0"/>
          <w:sz w:val="32"/>
          <w:szCs w:val="32"/>
          <w:lang w:val="en-US" w:eastAsia="zh-CN"/>
        </w:rPr>
      </w:pPr>
      <w:r>
        <w:rPr>
          <w:rFonts w:hint="eastAsia"/>
          <w:color w:val="000000"/>
          <w:kern w:val="0"/>
          <w:sz w:val="32"/>
          <w:szCs w:val="32"/>
          <w:lang w:val="en-US" w:eastAsia="zh-CN"/>
        </w:rPr>
        <w:t>报 告 编 写：刘海</w:t>
      </w: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sz w:val="28"/>
        </w:rPr>
      </w:pPr>
    </w:p>
    <w:p>
      <w:pPr>
        <w:pStyle w:val="13"/>
        <w:tabs>
          <w:tab w:val="right" w:leader="dot" w:pos="8306"/>
        </w:tabs>
        <w:jc w:val="both"/>
        <w:rPr>
          <w:rFonts w:hint="eastAsia" w:ascii="Times New Roman" w:hAnsi="Times New Roman" w:cs="Times New Roman"/>
          <w:b/>
          <w:bCs/>
          <w:sz w:val="32"/>
          <w:szCs w:val="32"/>
          <w:lang w:eastAsia="zh-CN"/>
        </w:rPr>
      </w:pPr>
      <w:r>
        <w:rPr>
          <w:sz w:val="21"/>
        </w:rPr>
        <mc:AlternateContent>
          <mc:Choice Requires="wps">
            <w:drawing>
              <wp:anchor distT="0" distB="0" distL="114300" distR="114300" simplePos="0" relativeHeight="2125719552" behindDoc="0" locked="0" layoutInCell="1" allowOverlap="1">
                <wp:simplePos x="0" y="0"/>
                <wp:positionH relativeFrom="column">
                  <wp:posOffset>1261110</wp:posOffset>
                </wp:positionH>
                <wp:positionV relativeFrom="paragraph">
                  <wp:posOffset>3496945</wp:posOffset>
                </wp:positionV>
                <wp:extent cx="3143885" cy="276225"/>
                <wp:effectExtent l="1025525" t="0" r="1041400" b="0"/>
                <wp:wrapNone/>
                <wp:docPr id="30" name="矩形 30"/>
                <wp:cNvGraphicFramePr/>
                <a:graphic xmlns:a="http://schemas.openxmlformats.org/drawingml/2006/main">
                  <a:graphicData uri="http://schemas.microsoft.com/office/word/2010/wordprocessingShape">
                    <wps:wsp>
                      <wps:cNvSpPr/>
                      <wps:spPr>
                        <a:xfrm rot="18720000">
                          <a:off x="1985010" y="4478020"/>
                          <a:ext cx="3143885"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FF0000"/>
                                <w:lang w:val="en-US" w:eastAsia="zh-CN"/>
                              </w:rPr>
                            </w:pPr>
                            <w:r>
                              <w:rPr>
                                <w:rFonts w:hint="eastAsia"/>
                                <w:color w:val="FF0000"/>
                                <w:lang w:val="en-US" w:eastAsia="zh-CN"/>
                              </w:rPr>
                              <w:t>仅用于安化益汉医院验收报告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3pt;margin-top:275.35pt;height:21.75pt;width:247.55pt;rotation:-3145728f;z-index:2125719552;v-text-anchor:middle;mso-width-relative:page;mso-height-relative:page;" filled="f" stroked="t" coordsize="21600,21600" o:gfxdata="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igzm72wAAAAsBAAAPAAAAAAAAAAEAIAAAACIAAABkcnMvZG93bnJldi54&#10;bWxQSwECFAAUAAAACACHTuJAy8dzD2kCAAClBAAADgAAAAAAAAABACAAAAAqAQAAZHJzL2Uyb0Rv&#10;Yy54bWxQSwUGAAAAAAYABgBZAQAABQYAAAAA&#10;">
                <v:fill on="f" focussize="0,0"/>
                <v:stroke weight="1pt" color="#000000 [3213]" miterlimit="8" joinstyle="miter"/>
                <v:imagedata o:title=""/>
                <o:lock v:ext="edit" aspectratio="f"/>
                <v:textbox>
                  <w:txbxContent>
                    <w:p>
                      <w:pPr>
                        <w:jc w:val="center"/>
                        <w:rPr>
                          <w:rFonts w:hint="eastAsia" w:eastAsiaTheme="minorEastAsia"/>
                          <w:color w:val="FF0000"/>
                          <w:lang w:val="en-US" w:eastAsia="zh-CN"/>
                        </w:rPr>
                      </w:pPr>
                      <w:r>
                        <w:rPr>
                          <w:rFonts w:hint="eastAsia"/>
                          <w:color w:val="FF0000"/>
                          <w:lang w:val="en-US" w:eastAsia="zh-CN"/>
                        </w:rPr>
                        <w:t>仅用于安化益汉医院验收报告</w:t>
                      </w:r>
                    </w:p>
                  </w:txbxContent>
                </v:textbox>
              </v:rect>
            </w:pict>
          </mc:Fallback>
        </mc:AlternateContent>
      </w:r>
      <w:r>
        <w:rPr>
          <w:rFonts w:hint="eastAsia"/>
        </w:rPr>
        <w:drawing>
          <wp:inline distT="0" distB="0" distL="114300" distR="114300">
            <wp:extent cx="5281930" cy="7465695"/>
            <wp:effectExtent l="0" t="0" r="13970" b="1905"/>
            <wp:docPr id="1" name="图片 1" descr="CM证件扫描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M证件扫描件"/>
                    <pic:cNvPicPr>
                      <a:picLocks noChangeAspect="1"/>
                    </pic:cNvPicPr>
                  </pic:nvPicPr>
                  <pic:blipFill>
                    <a:blip r:embed="rId5"/>
                    <a:stretch>
                      <a:fillRect/>
                    </a:stretch>
                  </pic:blipFill>
                  <pic:spPr>
                    <a:xfrm rot="10800000">
                      <a:off x="0" y="0"/>
                      <a:ext cx="5281930" cy="7465695"/>
                    </a:xfrm>
                    <a:prstGeom prst="rect">
                      <a:avLst/>
                    </a:prstGeom>
                    <a:noFill/>
                    <a:ln w="9525">
                      <a:noFill/>
                    </a:ln>
                  </pic:spPr>
                </pic:pic>
              </a:graphicData>
            </a:graphic>
          </wp:inline>
        </w:drawing>
      </w:r>
    </w:p>
    <w:p>
      <w:pPr>
        <w:pStyle w:val="13"/>
        <w:tabs>
          <w:tab w:val="right" w:leader="dot" w:pos="8306"/>
        </w:tabs>
        <w:jc w:val="center"/>
        <w:rPr>
          <w:rFonts w:hint="eastAsia" w:ascii="Times New Roman" w:hAnsi="Times New Roman" w:cs="Times New Roman"/>
          <w:b/>
          <w:bCs/>
          <w:sz w:val="32"/>
          <w:szCs w:val="32"/>
          <w:lang w:eastAsia="zh-CN"/>
        </w:rPr>
      </w:pPr>
    </w:p>
    <w:p>
      <w:pPr>
        <w:pStyle w:val="13"/>
        <w:tabs>
          <w:tab w:val="right" w:leader="dot" w:pos="8306"/>
        </w:tabs>
        <w:jc w:val="center"/>
        <w:rPr>
          <w:rFonts w:hint="eastAsia" w:ascii="Times New Roman" w:hAnsi="Times New Roman" w:cs="Times New Roman"/>
          <w:b/>
          <w:bCs/>
          <w:sz w:val="32"/>
          <w:szCs w:val="32"/>
          <w:lang w:eastAsia="zh-CN"/>
        </w:rPr>
      </w:pPr>
    </w:p>
    <w:p>
      <w:pPr>
        <w:pStyle w:val="13"/>
        <w:tabs>
          <w:tab w:val="right" w:leader="dot" w:pos="8306"/>
        </w:tabs>
        <w:jc w:val="center"/>
        <w:rPr>
          <w:rFonts w:hint="eastAsia" w:ascii="Times New Roman" w:hAnsi="Times New Roman" w:cs="Times New Roman"/>
          <w:b/>
          <w:bCs/>
          <w:sz w:val="32"/>
          <w:szCs w:val="32"/>
          <w:lang w:eastAsia="zh-CN"/>
        </w:rPr>
      </w:pPr>
    </w:p>
    <w:tbl>
      <w:tblPr>
        <w:tblStyle w:val="16"/>
        <w:tblpPr w:leftFromText="180" w:rightFromText="180" w:horzAnchor="margin" w:tblpY="435"/>
        <w:tblW w:w="9180" w:type="dxa"/>
        <w:tblInd w:w="0" w:type="dxa"/>
        <w:tblLayout w:type="fixed"/>
        <w:tblCellMar>
          <w:top w:w="0" w:type="dxa"/>
          <w:left w:w="108" w:type="dxa"/>
          <w:bottom w:w="0" w:type="dxa"/>
          <w:right w:w="108" w:type="dxa"/>
        </w:tblCellMar>
      </w:tblPr>
      <w:tblGrid>
        <w:gridCol w:w="9180"/>
      </w:tblGrid>
      <w:tr>
        <w:tblPrEx>
          <w:tblLayout w:type="fixed"/>
          <w:tblCellMar>
            <w:top w:w="0" w:type="dxa"/>
            <w:left w:w="108" w:type="dxa"/>
            <w:bottom w:w="0" w:type="dxa"/>
            <w:right w:w="108" w:type="dxa"/>
          </w:tblCellMar>
        </w:tblPrEx>
        <w:trPr>
          <w:trHeight w:val="340" w:hRule="atLeast"/>
        </w:trPr>
        <w:tc>
          <w:tcPr>
            <w:tcW w:w="9180" w:type="dxa"/>
            <w:vAlign w:val="top"/>
          </w:tcPr>
          <w:p>
            <w:pPr>
              <w:spacing w:before="156" w:beforeLines="50" w:after="156" w:afterLines="50" w:line="400" w:lineRule="exact"/>
              <w:jc w:val="center"/>
              <w:rPr>
                <w:b/>
                <w:spacing w:val="40"/>
                <w:sz w:val="36"/>
                <w:szCs w:val="36"/>
              </w:rPr>
            </w:pPr>
            <w:r>
              <w:rPr>
                <w:b/>
                <w:spacing w:val="40"/>
                <w:sz w:val="36"/>
                <w:szCs w:val="36"/>
              </w:rPr>
              <w:t>报告说明</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1.本报告无湖南精科检测有限公司报告专用章、骑缝章无效。</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2.本报告不得涂改、增删。</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3.本报告只对采样样品监测结果负责。</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4.本报告未经同意不得作为商业广告使用。</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5.未经湖南精科检测有限公司书面批准，不得部分复制报告。</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6.对本报告有疑议，请在收到报告10天之内与本公司联系。</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7.除客户特别申明并支付样品管理费，所有样品超过标准规定的时效期均不再做留样。</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ind w:firstLine="240" w:firstLineChars="100"/>
              <w:rPr>
                <w:rFonts w:hint="default" w:ascii="Times New Roman" w:hAnsi="Times New Roman" w:cs="Times New Roman"/>
                <w:sz w:val="24"/>
              </w:rPr>
            </w:pPr>
          </w:p>
        </w:tc>
      </w:tr>
    </w:tbl>
    <w:p>
      <w:pPr>
        <w:pStyle w:val="13"/>
        <w:tabs>
          <w:tab w:val="right" w:leader="dot" w:pos="8306"/>
        </w:tabs>
        <w:jc w:val="center"/>
        <w:rPr>
          <w:rFonts w:hint="eastAsia" w:ascii="Times New Roman" w:hAnsi="Times New Roman" w:cs="Times New Roman"/>
          <w:b/>
          <w:bCs/>
          <w:sz w:val="32"/>
          <w:szCs w:val="32"/>
          <w:lang w:eastAsia="zh-CN"/>
        </w:rPr>
      </w:pPr>
    </w:p>
    <w:p>
      <w:pPr>
        <w:pStyle w:val="13"/>
        <w:tabs>
          <w:tab w:val="right" w:leader="dot" w:pos="8306"/>
        </w:tabs>
        <w:jc w:val="center"/>
        <w:rPr>
          <w:rFonts w:hint="eastAsia" w:ascii="Times New Roman" w:hAnsi="Times New Roman" w:cs="Times New Roman"/>
          <w:b/>
          <w:bCs/>
          <w:sz w:val="32"/>
          <w:szCs w:val="32"/>
          <w:lang w:eastAsia="zh-CN"/>
        </w:rPr>
      </w:pPr>
    </w:p>
    <w:p>
      <w:pPr>
        <w:pStyle w:val="13"/>
        <w:tabs>
          <w:tab w:val="right" w:leader="dot" w:pos="8306"/>
        </w:tabs>
        <w:jc w:val="center"/>
        <w:rPr>
          <w:rFonts w:hint="eastAsia" w:ascii="Times New Roman" w:hAnsi="Times New Roman" w:cs="Times New Roman"/>
          <w:b/>
          <w:bCs/>
          <w:sz w:val="32"/>
          <w:szCs w:val="32"/>
          <w:lang w:eastAsia="zh-CN"/>
        </w:rPr>
      </w:pPr>
    </w:p>
    <w:p>
      <w:pPr>
        <w:pStyle w:val="13"/>
        <w:tabs>
          <w:tab w:val="right" w:leader="dot" w:pos="8306"/>
        </w:tabs>
        <w:jc w:val="center"/>
        <w:rPr>
          <w:rFonts w:hint="eastAsia" w:ascii="Times New Roman" w:hAnsi="Times New Roman" w:cs="Times New Roman"/>
          <w:b/>
          <w:bCs/>
          <w:sz w:val="32"/>
          <w:szCs w:val="32"/>
          <w:lang w:eastAsia="zh-CN"/>
        </w:rPr>
      </w:pPr>
    </w:p>
    <w:p>
      <w:pPr>
        <w:rPr>
          <w:rFonts w:hint="eastAsia" w:ascii="Times New Roman" w:hAnsi="Times New Roman" w:cs="Times New Roman"/>
          <w:b/>
          <w:bCs/>
          <w:sz w:val="32"/>
          <w:szCs w:val="32"/>
          <w:lang w:eastAsia="zh-CN"/>
        </w:rPr>
      </w:pPr>
    </w:p>
    <w:p>
      <w:pPr>
        <w:rPr>
          <w:rFonts w:hint="eastAsia" w:ascii="Times New Roman" w:hAnsi="Times New Roman" w:cs="Times New Roman"/>
          <w:b/>
          <w:bCs/>
          <w:sz w:val="32"/>
          <w:szCs w:val="32"/>
          <w:lang w:eastAsia="zh-CN"/>
        </w:rPr>
      </w:pPr>
    </w:p>
    <w:p>
      <w:pPr>
        <w:rPr>
          <w:rFonts w:hint="eastAsia" w:ascii="Times New Roman" w:hAnsi="Times New Roman" w:cs="Times New Roman"/>
          <w:b/>
          <w:bCs/>
          <w:sz w:val="32"/>
          <w:szCs w:val="32"/>
          <w:lang w:eastAsia="zh-CN"/>
        </w:rPr>
      </w:pPr>
    </w:p>
    <w:p>
      <w:pPr>
        <w:pStyle w:val="18"/>
        <w:rPr>
          <w:rFonts w:hint="eastAsia"/>
          <w:lang w:eastAsia="zh-CN"/>
        </w:rPr>
      </w:pPr>
    </w:p>
    <w:p>
      <w:pPr>
        <w:rPr>
          <w:rFonts w:hint="eastAsia" w:ascii="Times New Roman" w:hAnsi="Times New Roman" w:cs="Times New Roman"/>
          <w:b/>
          <w:bCs/>
          <w:sz w:val="32"/>
          <w:szCs w:val="32"/>
          <w:lang w:eastAsia="zh-CN"/>
        </w:rPr>
      </w:pPr>
    </w:p>
    <w:p>
      <w:pPr>
        <w:rPr>
          <w:rFonts w:hint="eastAsia" w:ascii="Times New Roman" w:hAnsi="Times New Roman" w:cs="Times New Roman"/>
          <w:b/>
          <w:bCs/>
          <w:sz w:val="32"/>
          <w:szCs w:val="32"/>
          <w:lang w:eastAsia="zh-CN"/>
        </w:rPr>
      </w:pPr>
      <w:r>
        <w:rPr>
          <w:b/>
          <w:sz w:val="30"/>
          <w:szCs w:val="30"/>
          <w:highlight w:val="yellow"/>
        </w:rPr>
        <w:t>声明：复制本报告中的部分内容无效。</w:t>
      </w:r>
    </w:p>
    <w:p>
      <w:pPr>
        <w:pStyle w:val="13"/>
        <w:tabs>
          <w:tab w:val="right" w:leader="dot" w:pos="8306"/>
        </w:tabs>
        <w:jc w:val="center"/>
        <w:rPr>
          <w:rFonts w:hint="eastAsia" w:ascii="Times New Roman" w:hAnsi="Times New Roman" w:cs="Times New Roman" w:eastAsiaTheme="minorEastAsia"/>
          <w:b/>
          <w:bCs/>
          <w:sz w:val="32"/>
          <w:szCs w:val="32"/>
          <w:lang w:eastAsia="zh-CN"/>
        </w:rPr>
      </w:pPr>
      <w:r>
        <w:rPr>
          <w:rFonts w:hint="eastAsia" w:ascii="Times New Roman" w:hAnsi="Times New Roman" w:cs="Times New Roman"/>
          <w:b/>
          <w:bCs/>
          <w:sz w:val="32"/>
          <w:szCs w:val="32"/>
          <w:lang w:eastAsia="zh-CN"/>
        </w:rPr>
        <w:t>目录</w:t>
      </w:r>
    </w:p>
    <w:p>
      <w:pPr>
        <w:pStyle w:val="13"/>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
          <w:bCs/>
          <w:sz w:val="32"/>
          <w:szCs w:val="32"/>
        </w:rPr>
        <w:fldChar w:fldCharType="begin"/>
      </w:r>
      <w:r>
        <w:rPr>
          <w:rFonts w:hint="default" w:ascii="Times New Roman" w:hAnsi="Times New Roman" w:cs="Times New Roman"/>
          <w:b/>
          <w:bCs/>
          <w:sz w:val="32"/>
          <w:szCs w:val="32"/>
        </w:rPr>
        <w:instrText xml:space="preserve">TOC \o "1-3" \h \u </w:instrText>
      </w:r>
      <w:r>
        <w:rPr>
          <w:rFonts w:hint="default" w:ascii="Times New Roman" w:hAnsi="Times New Roman" w:cs="Times New Roman"/>
          <w:b/>
          <w:bCs/>
          <w:sz w:val="32"/>
          <w:szCs w:val="32"/>
        </w:rPr>
        <w:fldChar w:fldCharType="separate"/>
      </w: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_Toc21300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1 验收项目概况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_Toc21300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3"/>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_Toc17432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2 验收依据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_Toc17432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_Toc8885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2.1 建设项目环境保护相关法律、法规、规章和规范；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_Toc8885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_Toc30963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2.2 建设项目竣工环境保护验收技术规范；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_Toc30963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_Toc20006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2.3 建设项目环境影响报告表及审批部门审批决定</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_Toc20006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3"/>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_Toc31794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3 工程建设情况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_Toc31794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_Toc2259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1 地理位置及平面布置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_Toc2259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_Toc32662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2 建设内容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_Toc32662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_Toc25229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 xml:space="preserve"> 水源及水平衡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_Toc25229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_Toc19545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 生产工艺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_Toc19545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_Toc23951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 项目变动情况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_Toc23951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3"/>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_Toc27150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4 环境保护设施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_Toc27150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_Toc16477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 xml:space="preserve">4 </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1 污染物治理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处置设施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_Toc16477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_Toc21883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1 废水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_Toc21883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_Toc27567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4.1.2 废气</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_Toc27567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_Toc3932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3</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噪声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_Toc3932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_Toc31914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4 固体废物</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_Toc31914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_Toc18993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4.2 环保设施投资</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_Toc18993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3"/>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_Toc1526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5 建设项目环评报告表的主要结论与建议及审批部门审批决定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_Toc1526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_Toc30596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5.1 建设项目环评报告表的主要结论与建议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_Toc30596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_Toc15989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en-US" w:eastAsia="zh-CN"/>
        </w:rPr>
        <w:t>5.1.1结论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_Toc15989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_Toc14405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en-US" w:eastAsia="zh-CN"/>
        </w:rPr>
        <w:t>5.1.2建议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_Toc14405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_Toc15004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5.2 审批部门审批决定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_Toc15004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3"/>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_Toc4404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6 验收执行标准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_Toc4404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3"/>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_Toc11718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7 验收监测内容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_Toc11718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_Toc2930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7.1 废水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_Toc2930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_Toc23291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7.2 废气</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_Toc23291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_Toc27303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7.3 厂界噪声监测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_Toc27303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3"/>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_Toc22779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8 质量保证及质量控制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_Toc22779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_Toc11626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8.1 监测分析方法</w:t>
      </w:r>
      <w:r>
        <w:rPr>
          <w:rFonts w:hint="default" w:ascii="Times New Roman" w:hAnsi="Times New Roman" w:cs="Times New Roman"/>
          <w:sz w:val="24"/>
          <w:szCs w:val="24"/>
          <w:lang w:val="en-US" w:eastAsia="zh-CN"/>
        </w:rPr>
        <w:t>及监测仪器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_Toc11626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_Toc11147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8.2 气体监测分析过程中的质量保证和质量控制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_Toc11147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_Toc29129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8.3 噪声监测分析过程中的质量保证和质量控制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_Toc29129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_Toc1119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8.</w:t>
      </w:r>
      <w:r>
        <w:rPr>
          <w:rFonts w:hint="default" w:ascii="Times New Roman" w:hAnsi="Times New Roman" w:cs="Times New Roman"/>
          <w:sz w:val="24"/>
          <w:szCs w:val="24"/>
          <w:lang w:val="en-US" w:eastAsia="zh-CN"/>
        </w:rPr>
        <w:t>4废水</w:t>
      </w:r>
      <w:r>
        <w:rPr>
          <w:rFonts w:hint="default" w:ascii="Times New Roman" w:hAnsi="Times New Roman" w:eastAsia="宋体" w:cs="Times New Roman"/>
          <w:sz w:val="24"/>
          <w:szCs w:val="24"/>
          <w:lang w:val="en-US" w:eastAsia="zh-CN"/>
        </w:rPr>
        <w:t>监测分析过程中的质量保证和质量控制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_Toc1119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3"/>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_Toc26398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9 验收监测结果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_Toc26398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_Toc20496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9.1 生产工况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_Toc20496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_Toc32668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9.2 污染物达标排放监测结果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_Toc32668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_Toc6142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9.2.1 废水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_Toc6142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_Toc26425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9.2.2  废气</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_Toc26425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_Toc18450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9.2.3 厂界噪声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_Toc18450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_Toc13018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9.2</w:t>
      </w:r>
      <w:r>
        <w:rPr>
          <w:rFonts w:hint="default" w:ascii="Times New Roman" w:hAnsi="Times New Roman" w:cs="Times New Roman"/>
          <w:sz w:val="24"/>
          <w:szCs w:val="24"/>
          <w:lang w:val="en-US" w:eastAsia="zh-CN"/>
        </w:rPr>
        <w:t xml:space="preserve">.4 </w:t>
      </w:r>
      <w:r>
        <w:rPr>
          <w:rFonts w:hint="default" w:ascii="Times New Roman" w:hAnsi="Times New Roman" w:cs="Times New Roman"/>
          <w:sz w:val="24"/>
          <w:szCs w:val="24"/>
        </w:rPr>
        <w:t>污染物排放总量核算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_Toc13018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3"/>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_Toc8120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10环评批复落实情况检查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_Toc8120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3"/>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_Toc4589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11 验收监测结论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_Toc4589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_Toc3982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11.1废</w:t>
      </w:r>
      <w:r>
        <w:rPr>
          <w:rFonts w:hint="default" w:ascii="Times New Roman" w:hAnsi="Times New Roman" w:cs="Times New Roman"/>
          <w:sz w:val="24"/>
          <w:szCs w:val="24"/>
          <w:lang w:val="en-US" w:eastAsia="zh-CN"/>
        </w:rPr>
        <w:t>水</w:t>
      </w:r>
      <w:r>
        <w:rPr>
          <w:rFonts w:hint="default" w:ascii="Times New Roman" w:hAnsi="Times New Roman" w:eastAsia="宋体" w:cs="Times New Roman"/>
          <w:sz w:val="24"/>
          <w:szCs w:val="24"/>
          <w:lang w:val="en-US" w:eastAsia="zh-CN"/>
        </w:rPr>
        <w:t>监测结论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_Toc3982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_Toc24028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11.2废气监测结论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_Toc24028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_Toc4501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11.3噪声监测结论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_Toc4501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_Toc32243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11.4固体废弃物污染控制结论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_Toc32243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_Toc14315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11.</w:t>
      </w:r>
      <w:r>
        <w:rPr>
          <w:rFonts w:hint="default" w:ascii="Times New Roman" w:hAnsi="Times New Roman" w:cs="Times New Roman"/>
          <w:sz w:val="24"/>
          <w:szCs w:val="24"/>
          <w:lang w:val="en-US" w:eastAsia="zh-CN"/>
        </w:rPr>
        <w:t>5</w:t>
      </w:r>
      <w:r>
        <w:rPr>
          <w:rFonts w:hint="default" w:ascii="Times New Roman" w:hAnsi="Times New Roman" w:eastAsia="宋体" w:cs="Times New Roman"/>
          <w:sz w:val="24"/>
          <w:szCs w:val="24"/>
          <w:lang w:val="en-US" w:eastAsia="zh-CN"/>
        </w:rPr>
        <w:t>总结论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_Toc14315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4"/>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_Toc3002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lang w:val="en-US" w:eastAsia="zh-CN"/>
        </w:rPr>
        <w:t>11.</w:t>
      </w:r>
      <w:r>
        <w:rPr>
          <w:rFonts w:hint="default"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_Toc3002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pStyle w:val="13"/>
        <w:tabs>
          <w:tab w:val="right" w:leader="dot" w:pos="8306"/>
        </w:tabs>
        <w:spacing w:line="360" w:lineRule="auto"/>
        <w:rPr>
          <w:rFonts w:hint="default" w:ascii="Times New Roman" w:hAnsi="Times New Roman" w:cs="Times New Roman"/>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_Toc20056 </w:instrText>
      </w:r>
      <w:r>
        <w:rPr>
          <w:rFonts w:hint="default" w:ascii="Times New Roman" w:hAnsi="Times New Roman" w:cs="Times New Roman"/>
          <w:bCs/>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建设项目竣工环境保护“三同时”验收登记表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_Toc20056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0"/>
        <w:rPr>
          <w:rFonts w:hint="default" w:ascii="Times New Roman" w:hAnsi="Times New Roman" w:cs="Times New Roman"/>
          <w:bCs/>
          <w:szCs w:val="32"/>
        </w:rPr>
        <w:sectPr>
          <w:footerReference r:id="rId3"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bCs/>
          <w:szCs w:val="32"/>
        </w:rPr>
        <w:fldChar w:fldCharType="end"/>
      </w:r>
    </w:p>
    <w:p>
      <w:pPr>
        <w:rPr>
          <w:rFonts w:hint="default"/>
        </w:rPr>
      </w:pPr>
      <w:bookmarkStart w:id="0" w:name="_Toc21300"/>
    </w:p>
    <w:p>
      <w:pPr>
        <w:pStyle w:val="2"/>
        <w:rPr>
          <w:rFonts w:hint="default"/>
        </w:rPr>
      </w:pPr>
    </w:p>
    <w:p>
      <w:pPr>
        <w:pStyle w:val="2"/>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附图</w:t>
      </w:r>
    </w:p>
    <w:p>
      <w:p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附图1 地理位置图</w:t>
      </w:r>
    </w:p>
    <w:p>
      <w:pPr>
        <w:pStyle w:val="2"/>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附图2 平面布置及采样布点图</w:t>
      </w:r>
    </w:p>
    <w:p>
      <w:p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附图3 现场及采样照片</w:t>
      </w:r>
    </w:p>
    <w:p>
      <w:pPr>
        <w:pStyle w:val="2"/>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附件</w:t>
      </w:r>
    </w:p>
    <w:p>
      <w:p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附件1 批复意见</w:t>
      </w:r>
    </w:p>
    <w:p>
      <w:pPr>
        <w:pStyle w:val="2"/>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附件2营业执照</w:t>
      </w:r>
    </w:p>
    <w:p>
      <w:pPr>
        <w:pStyle w:val="2"/>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附件3 污水处理运行台账</w:t>
      </w:r>
    </w:p>
    <w:p>
      <w:p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附件4 危废转移台账</w:t>
      </w:r>
    </w:p>
    <w:p>
      <w:pPr>
        <w:pStyle w:val="2"/>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附件5 </w:t>
      </w:r>
      <w:r>
        <w:rPr>
          <w:rFonts w:hint="eastAsia" w:ascii="宋体" w:hAnsi="宋体" w:eastAsia="宋体" w:cs="宋体"/>
          <w:b w:val="0"/>
          <w:bCs w:val="0"/>
          <w:kern w:val="2"/>
          <w:sz w:val="28"/>
          <w:szCs w:val="28"/>
          <w:lang w:val="en-US" w:eastAsia="zh-CN" w:bidi="ar-SA"/>
        </w:rPr>
        <w:t>医疗废物集中处理处置合同</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sz w:val="28"/>
          <w:szCs w:val="28"/>
          <w:lang w:val="en-US" w:eastAsia="zh-CN"/>
        </w:rPr>
        <w:t xml:space="preserve">附件6 </w:t>
      </w:r>
      <w:r>
        <w:rPr>
          <w:rFonts w:hint="eastAsia" w:ascii="宋体" w:hAnsi="宋体" w:eastAsia="宋体" w:cs="宋体"/>
          <w:b w:val="0"/>
          <w:bCs w:val="0"/>
          <w:kern w:val="2"/>
          <w:sz w:val="28"/>
          <w:szCs w:val="28"/>
          <w:lang w:val="en-US" w:eastAsia="zh-CN" w:bidi="ar-SA"/>
        </w:rPr>
        <w:t>医用玻璃（一次性塑料）输液瓶（袋）回收处置协议</w:t>
      </w:r>
    </w:p>
    <w:p>
      <w:pPr>
        <w:pStyle w:val="2"/>
        <w:rPr>
          <w:rFonts w:hint="eastAsia" w:ascii="宋体" w:hAnsi="宋体" w:eastAsia="宋体" w:cs="宋体"/>
          <w:b w:val="0"/>
          <w:bCs w:val="0"/>
          <w:sz w:val="28"/>
          <w:szCs w:val="28"/>
          <w:lang w:val="en-US" w:eastAsia="zh-CN"/>
        </w:rPr>
      </w:pPr>
      <w:r>
        <w:rPr>
          <w:rFonts w:hint="eastAsia" w:ascii="宋体" w:hAnsi="宋体" w:eastAsia="宋体" w:cs="宋体"/>
          <w:b w:val="0"/>
          <w:bCs w:val="0"/>
          <w:kern w:val="2"/>
          <w:sz w:val="28"/>
          <w:szCs w:val="28"/>
          <w:lang w:val="en-US" w:eastAsia="zh-CN" w:bidi="ar-SA"/>
        </w:rPr>
        <w:t>附件7 委托函</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sz w:val="28"/>
          <w:szCs w:val="28"/>
          <w:lang w:val="en-US" w:eastAsia="zh-CN"/>
        </w:rPr>
        <w:t xml:space="preserve">附件8 </w:t>
      </w:r>
      <w:r>
        <w:rPr>
          <w:rFonts w:hint="eastAsia" w:ascii="宋体" w:hAnsi="宋体" w:eastAsia="宋体" w:cs="宋体"/>
          <w:b w:val="0"/>
          <w:bCs w:val="0"/>
          <w:kern w:val="2"/>
          <w:sz w:val="28"/>
          <w:szCs w:val="28"/>
          <w:lang w:val="en-US" w:eastAsia="zh-CN" w:bidi="ar-SA"/>
        </w:rPr>
        <w:t>生产工况</w:t>
      </w:r>
    </w:p>
    <w:p>
      <w:pPr>
        <w:pStyle w:val="2"/>
        <w:rPr>
          <w:rFonts w:hint="eastAsia" w:ascii="宋体" w:hAnsi="宋体" w:eastAsia="宋体" w:cs="宋体"/>
          <w:b w:val="0"/>
          <w:bCs w:val="0"/>
          <w:sz w:val="28"/>
          <w:szCs w:val="28"/>
          <w:lang w:val="en-US" w:eastAsia="zh-CN"/>
        </w:rPr>
      </w:pPr>
      <w:r>
        <w:rPr>
          <w:rFonts w:hint="eastAsia" w:ascii="宋体" w:hAnsi="宋体" w:eastAsia="宋体" w:cs="宋体"/>
          <w:b w:val="0"/>
          <w:bCs w:val="0"/>
          <w:kern w:val="2"/>
          <w:sz w:val="28"/>
          <w:szCs w:val="28"/>
          <w:lang w:val="en-US" w:eastAsia="zh-CN" w:bidi="ar-SA"/>
        </w:rPr>
        <w:t>附件9 环保投资</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sz w:val="28"/>
          <w:szCs w:val="28"/>
          <w:lang w:val="en-US" w:eastAsia="zh-CN"/>
        </w:rPr>
        <w:t xml:space="preserve">附件10 </w:t>
      </w:r>
      <w:r>
        <w:rPr>
          <w:rFonts w:hint="eastAsia" w:ascii="宋体" w:hAnsi="宋体" w:eastAsia="宋体" w:cs="宋体"/>
          <w:b w:val="0"/>
          <w:bCs w:val="0"/>
          <w:kern w:val="2"/>
          <w:sz w:val="28"/>
          <w:szCs w:val="28"/>
          <w:lang w:val="en-US" w:eastAsia="zh-CN" w:bidi="ar-SA"/>
        </w:rPr>
        <w:t>材料真实情况说明</w:t>
      </w:r>
    </w:p>
    <w:p>
      <w:pPr>
        <w:pStyle w:val="2"/>
        <w:rPr>
          <w:rFonts w:hint="eastAsia" w:ascii="宋体" w:hAnsi="宋体" w:eastAsia="宋体" w:cs="宋体"/>
          <w:b w:val="0"/>
          <w:bCs w:val="0"/>
          <w:sz w:val="28"/>
          <w:szCs w:val="28"/>
          <w:lang w:val="en-US" w:eastAsia="zh-CN"/>
        </w:rPr>
      </w:pPr>
      <w:r>
        <w:rPr>
          <w:rFonts w:hint="eastAsia" w:ascii="宋体" w:hAnsi="宋体" w:eastAsia="宋体" w:cs="宋体"/>
          <w:b w:val="0"/>
          <w:bCs w:val="0"/>
          <w:kern w:val="2"/>
          <w:sz w:val="28"/>
          <w:szCs w:val="28"/>
          <w:lang w:val="en-US" w:eastAsia="zh-CN" w:bidi="ar-SA"/>
        </w:rPr>
        <w:t>附件11 用地租赁合同</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附件12 竣工环境保护验收意见</w:t>
      </w:r>
    </w:p>
    <w:p>
      <w:pPr>
        <w:pStyle w:val="2"/>
        <w:rPr>
          <w:rFonts w:hint="default"/>
        </w:rPr>
      </w:pPr>
    </w:p>
    <w:p>
      <w:pPr>
        <w:rPr>
          <w:rFonts w:hint="default"/>
        </w:rPr>
      </w:pPr>
    </w:p>
    <w:p>
      <w:pPr>
        <w:pStyle w:val="2"/>
        <w:rPr>
          <w:rFonts w:hint="default"/>
        </w:rPr>
      </w:pPr>
      <w:bookmarkStart w:id="113" w:name="_GoBack"/>
      <w:bookmarkEnd w:id="113"/>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sz w:val="32"/>
          <w:szCs w:val="32"/>
        </w:rPr>
      </w:pPr>
      <w:r>
        <w:rPr>
          <w:rFonts w:hint="default" w:ascii="Times New Roman" w:hAnsi="Times New Roman" w:cs="Times New Roman"/>
          <w:sz w:val="32"/>
          <w:szCs w:val="32"/>
        </w:rPr>
        <w:t xml:space="preserve">1 </w:t>
      </w:r>
      <w:r>
        <w:rPr>
          <w:rFonts w:hint="default"/>
          <w:sz w:val="32"/>
          <w:szCs w:val="32"/>
        </w:rPr>
        <w:t>验收项目概况</w:t>
      </w:r>
      <w:bookmarkEnd w:id="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Times New Roman" w:hAnsi="Times New Roman" w:cs="Times New Roman"/>
          <w:sz w:val="24"/>
          <w:szCs w:val="24"/>
          <w:lang w:val="en-US" w:eastAsia="zh-CN"/>
        </w:rPr>
      </w:pPr>
      <w:r>
        <w:rPr>
          <w:rFonts w:hint="eastAsia"/>
          <w:lang w:val="en-US" w:eastAsia="zh-CN"/>
        </w:rPr>
        <w:t xml:space="preserve"> </w:t>
      </w:r>
      <w:r>
        <w:rPr>
          <w:rFonts w:hint="eastAsia" w:ascii="Times New Roman" w:hAnsi="Times New Roman" w:cs="Times New Roman"/>
          <w:sz w:val="24"/>
          <w:szCs w:val="24"/>
          <w:lang w:val="en-US" w:eastAsia="zh-CN"/>
        </w:rPr>
        <w:t>安化益汉医院投资500万元建设安化益汉医院建设项目，项目建设地址位于安化县城南区吉祥路，中心坐标北</w:t>
      </w:r>
      <w:r>
        <w:rPr>
          <w:rFonts w:hint="default" w:ascii="Times New Roman" w:hAnsi="Times New Roman" w:cs="Times New Roman"/>
          <w:sz w:val="24"/>
          <w:szCs w:val="24"/>
          <w:lang w:val="en-US" w:eastAsia="zh-CN"/>
        </w:rPr>
        <w:t>纬28°22′25.87″，东经111°14′12.01″</w:t>
      </w:r>
      <w:r>
        <w:rPr>
          <w:rFonts w:hint="eastAsia" w:ascii="Times New Roman" w:hAnsi="Times New Roman" w:cs="Times New Roman"/>
          <w:sz w:val="24"/>
          <w:szCs w:val="24"/>
          <w:lang w:val="en-US" w:eastAsia="zh-CN"/>
        </w:rPr>
        <w:t>，总占地面积6000平方米，总建筑面积5400米，属租赁性质，主要诊疗科目包括内科、外科、妇产科、眼科、耳鼻科、麻醉科、医学检验科（本项目检验科主要为仪器分析检测，只做常规项目检测）、医学影像科（X线、超声、心电诊断专业）和中医科（针灸科专业、推拿科专业，不提供中药熬制、打粉等工序）等，共设病床位90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本项目已取得安化县卫生和计划生育局颁发的医疗机构职业许可证，并</w:t>
      </w:r>
      <w:r>
        <w:rPr>
          <w:rFonts w:hint="default" w:ascii="Times New Roman" w:hAnsi="Times New Roman" w:cs="Times New Roman"/>
          <w:sz w:val="24"/>
          <w:szCs w:val="24"/>
          <w:lang w:val="en-US" w:eastAsia="zh-CN"/>
        </w:rPr>
        <w:t>于</w:t>
      </w:r>
      <w:r>
        <w:rPr>
          <w:rFonts w:hint="eastAsia" w:ascii="Times New Roman" w:hAnsi="Times New Roman" w:cs="Times New Roman"/>
          <w:sz w:val="24"/>
          <w:szCs w:val="24"/>
          <w:lang w:val="en-US" w:eastAsia="zh-CN"/>
        </w:rPr>
        <w:t>2018年3月</w:t>
      </w:r>
      <w:r>
        <w:rPr>
          <w:rFonts w:hint="default" w:ascii="Times New Roman" w:hAnsi="Times New Roman" w:cs="Times New Roman"/>
          <w:sz w:val="24"/>
          <w:szCs w:val="24"/>
          <w:lang w:val="en-US" w:eastAsia="zh-CN"/>
        </w:rPr>
        <w:t>由</w:t>
      </w:r>
      <w:r>
        <w:rPr>
          <w:rFonts w:hint="eastAsia" w:ascii="Times New Roman" w:hAnsi="Times New Roman" w:cs="Times New Roman"/>
          <w:sz w:val="24"/>
          <w:szCs w:val="24"/>
          <w:lang w:val="en-US" w:eastAsia="zh-CN"/>
        </w:rPr>
        <w:t>深圳市环新环保技术有限公司</w:t>
      </w:r>
      <w:r>
        <w:rPr>
          <w:rFonts w:hint="default" w:ascii="Times New Roman" w:hAnsi="Times New Roman" w:cs="Times New Roman"/>
          <w:sz w:val="24"/>
          <w:szCs w:val="24"/>
          <w:lang w:val="en-US" w:eastAsia="zh-CN"/>
        </w:rPr>
        <w:t>完成其环境影响评价</w:t>
      </w:r>
      <w:r>
        <w:rPr>
          <w:rFonts w:hint="eastAsia" w:ascii="Times New Roman" w:hAnsi="Times New Roman" w:cs="Times New Roman"/>
          <w:sz w:val="24"/>
          <w:szCs w:val="24"/>
          <w:lang w:val="en-US" w:eastAsia="zh-CN"/>
        </w:rPr>
        <w:t>报告表，安化县环境保护局</w:t>
      </w:r>
      <w:r>
        <w:rPr>
          <w:rFonts w:hint="default" w:ascii="Times New Roman" w:hAnsi="Times New Roman" w:cs="Times New Roman"/>
          <w:sz w:val="24"/>
          <w:szCs w:val="24"/>
          <w:lang w:val="en-US" w:eastAsia="zh-CN"/>
        </w:rPr>
        <w:t>于</w:t>
      </w:r>
      <w:r>
        <w:rPr>
          <w:rFonts w:hint="eastAsia" w:ascii="Times New Roman" w:hAnsi="Times New Roman" w:cs="Times New Roman"/>
          <w:sz w:val="24"/>
          <w:szCs w:val="24"/>
          <w:lang w:val="en-US" w:eastAsia="zh-CN"/>
        </w:rPr>
        <w:t>2018年4月20</w:t>
      </w:r>
      <w:r>
        <w:rPr>
          <w:rFonts w:hint="default" w:ascii="Times New Roman" w:hAnsi="Times New Roman" w:cs="Times New Roman"/>
          <w:sz w:val="24"/>
          <w:szCs w:val="24"/>
          <w:lang w:val="en-US" w:eastAsia="zh-CN"/>
        </w:rPr>
        <w:t>日</w:t>
      </w:r>
      <w:r>
        <w:rPr>
          <w:rFonts w:hint="eastAsia" w:ascii="Times New Roman" w:hAnsi="Times New Roman" w:cs="Times New Roman"/>
          <w:sz w:val="24"/>
          <w:szCs w:val="24"/>
          <w:lang w:val="en-US" w:eastAsia="zh-CN"/>
        </w:rPr>
        <w:t>以安环审（表）[2018]015号</w:t>
      </w:r>
      <w:r>
        <w:rPr>
          <w:rFonts w:hint="default" w:ascii="Times New Roman" w:hAnsi="Times New Roman" w:cs="Times New Roman"/>
          <w:sz w:val="24"/>
          <w:szCs w:val="24"/>
          <w:lang w:val="en-US" w:eastAsia="zh-CN"/>
        </w:rPr>
        <w:t>文予以批复并通过评审。根据建设项目竣工环境保护验收管理办法的相关要求和规定，受</w:t>
      </w:r>
      <w:r>
        <w:rPr>
          <w:rFonts w:hint="eastAsia" w:ascii="Times New Roman" w:hAnsi="Times New Roman" w:cs="Times New Roman"/>
          <w:sz w:val="24"/>
          <w:szCs w:val="24"/>
          <w:lang w:val="en-US" w:eastAsia="zh-CN"/>
        </w:rPr>
        <w:t>安化益汉医院委托</w:t>
      </w:r>
      <w:r>
        <w:rPr>
          <w:rFonts w:hint="default" w:ascii="Times New Roman" w:hAnsi="Times New Roman" w:cs="Times New Roman"/>
          <w:sz w:val="24"/>
          <w:szCs w:val="24"/>
          <w:lang w:val="en-US" w:eastAsia="zh-CN"/>
        </w:rPr>
        <w:t>，湖南精科检测有限公司负责</w:t>
      </w:r>
      <w:r>
        <w:rPr>
          <w:rFonts w:hint="eastAsia" w:ascii="Times New Roman" w:hAnsi="Times New Roman" w:cs="Times New Roman"/>
          <w:sz w:val="24"/>
          <w:szCs w:val="24"/>
          <w:lang w:val="en-US" w:eastAsia="zh-CN"/>
        </w:rPr>
        <w:t>该项目</w:t>
      </w:r>
      <w:r>
        <w:rPr>
          <w:rFonts w:hint="default" w:ascii="Times New Roman" w:hAnsi="Times New Roman" w:cs="Times New Roman"/>
          <w:sz w:val="24"/>
          <w:szCs w:val="24"/>
          <w:lang w:val="en-US" w:eastAsia="zh-CN"/>
        </w:rPr>
        <w:t>竣工环境保护验收监测工作，并于201</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12</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16日</w:t>
      </w:r>
      <w:r>
        <w:rPr>
          <w:rFonts w:hint="default" w:ascii="Times New Roman" w:hAnsi="Times New Roman" w:cs="Times New Roman"/>
          <w:sz w:val="24"/>
          <w:szCs w:val="24"/>
          <w:lang w:val="en-US" w:eastAsia="zh-CN"/>
        </w:rPr>
        <w:t>进行了现场查勘，</w:t>
      </w:r>
      <w:r>
        <w:rPr>
          <w:rFonts w:hint="eastAsia" w:ascii="Times New Roman" w:hAnsi="Times New Roman" w:cs="Times New Roman"/>
          <w:sz w:val="24"/>
          <w:szCs w:val="24"/>
          <w:lang w:val="en-US" w:eastAsia="zh-CN"/>
        </w:rPr>
        <w:t>于</w:t>
      </w:r>
      <w:r>
        <w:rPr>
          <w:rFonts w:hint="default" w:ascii="Times New Roman" w:hAnsi="Times New Roman" w:cs="Times New Roman"/>
          <w:sz w:val="24"/>
          <w:szCs w:val="24"/>
          <w:lang w:val="en-US" w:eastAsia="zh-CN"/>
        </w:rPr>
        <w:t>201</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12月21日至12月22日对项目进行了现场监测</w:t>
      </w:r>
      <w:r>
        <w:rPr>
          <w:rFonts w:hint="default" w:ascii="Times New Roman" w:hAnsi="Times New Roman" w:cs="Times New Roman"/>
          <w:sz w:val="24"/>
          <w:szCs w:val="24"/>
          <w:lang w:val="en-US" w:eastAsia="zh-CN"/>
        </w:rPr>
        <w:t>，结合</w:t>
      </w:r>
      <w:r>
        <w:rPr>
          <w:rFonts w:hint="eastAsia" w:ascii="Times New Roman" w:hAnsi="Times New Roman" w:cs="Times New Roman"/>
          <w:sz w:val="24"/>
          <w:szCs w:val="24"/>
          <w:lang w:val="en-US" w:eastAsia="zh-CN"/>
        </w:rPr>
        <w:t>委托单位提供的</w:t>
      </w:r>
      <w:r>
        <w:rPr>
          <w:rFonts w:hint="default" w:ascii="Times New Roman" w:hAnsi="Times New Roman" w:cs="Times New Roman"/>
          <w:sz w:val="24"/>
          <w:szCs w:val="24"/>
          <w:lang w:val="en-US" w:eastAsia="zh-CN"/>
        </w:rPr>
        <w:t>相关资料</w:t>
      </w:r>
      <w:r>
        <w:rPr>
          <w:rFonts w:hint="eastAsia" w:ascii="Times New Roman" w:hAnsi="Times New Roman" w:cs="Times New Roman"/>
          <w:sz w:val="24"/>
          <w:szCs w:val="24"/>
          <w:lang w:val="en-US" w:eastAsia="zh-CN"/>
        </w:rPr>
        <w:t>，在此</w:t>
      </w:r>
      <w:r>
        <w:rPr>
          <w:rFonts w:hint="default" w:ascii="Times New Roman" w:hAnsi="Times New Roman" w:cs="Times New Roman"/>
          <w:sz w:val="24"/>
          <w:szCs w:val="24"/>
          <w:lang w:val="en-US" w:eastAsia="zh-CN"/>
        </w:rPr>
        <w:t>基础上编制了本验收监测报告。</w:t>
      </w:r>
    </w:p>
    <w:p>
      <w:pPr>
        <w:rPr>
          <w:rFonts w:hint="eastAsia" w:eastAsiaTheme="minor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18"/>
        <w:rPr>
          <w:rFonts w:hint="eastAsia"/>
          <w:lang w:eastAsia="zh-CN"/>
        </w:rPr>
      </w:pPr>
    </w:p>
    <w:p>
      <w:pPr>
        <w:pStyle w:val="18"/>
        <w:rPr>
          <w:rFonts w:hint="eastAsia"/>
          <w:lang w:eastAsia="zh-CN"/>
        </w:rPr>
      </w:pPr>
    </w:p>
    <w:p>
      <w:pPr>
        <w:pStyle w:val="18"/>
        <w:rPr>
          <w:rFonts w:hint="eastAsia"/>
          <w:lang w:eastAsia="zh-CN"/>
        </w:rPr>
      </w:pPr>
    </w:p>
    <w:p>
      <w:pPr>
        <w:pStyle w:val="18"/>
        <w:rPr>
          <w:rFonts w:hint="eastAsia"/>
          <w:lang w:eastAsia="zh-CN"/>
        </w:rPr>
      </w:pPr>
    </w:p>
    <w:p>
      <w:pPr>
        <w:pStyle w:val="18"/>
        <w:rPr>
          <w:rFonts w:hint="eastAsia"/>
          <w:lang w:eastAsia="zh-CN"/>
        </w:rPr>
      </w:pPr>
    </w:p>
    <w:p>
      <w:pPr>
        <w:pStyle w:val="18"/>
        <w:rPr>
          <w:rFonts w:hint="eastAsia"/>
          <w:lang w:eastAsia="zh-CN"/>
        </w:rPr>
      </w:pPr>
    </w:p>
    <w:p>
      <w:pPr>
        <w:pStyle w:val="18"/>
        <w:rPr>
          <w:rFonts w:hint="eastAsia"/>
          <w:lang w:eastAsia="zh-CN"/>
        </w:rPr>
      </w:pPr>
    </w:p>
    <w:p>
      <w:pPr>
        <w:pStyle w:val="18"/>
        <w:rPr>
          <w:rFonts w:hint="eastAsia"/>
          <w:lang w:eastAsia="zh-CN"/>
        </w:rPr>
      </w:pPr>
    </w:p>
    <w:p>
      <w:pPr>
        <w:pStyle w:val="18"/>
        <w:rPr>
          <w:rFonts w:hint="eastAsia"/>
          <w:lang w:eastAsia="zh-CN"/>
        </w:rPr>
      </w:pPr>
    </w:p>
    <w:p>
      <w:pPr>
        <w:pStyle w:val="2"/>
        <w:rPr>
          <w:rFonts w:hint="eastAsia"/>
          <w:lang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rPr>
      </w:pPr>
      <w:bookmarkStart w:id="1" w:name="_Toc17432"/>
      <w:r>
        <w:rPr>
          <w:rFonts w:hint="default" w:ascii="Times New Roman" w:hAnsi="Times New Roman" w:cs="Times New Roman"/>
        </w:rPr>
        <w:t xml:space="preserve">2 </w:t>
      </w:r>
      <w:r>
        <w:rPr>
          <w:rFonts w:hint="default"/>
        </w:rPr>
        <w:t>验收依据</w:t>
      </w:r>
      <w:bookmarkEnd w:id="1"/>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sz w:val="30"/>
          <w:szCs w:val="30"/>
        </w:rPr>
      </w:pPr>
      <w:bookmarkStart w:id="2" w:name="_Toc8885"/>
      <w:r>
        <w:rPr>
          <w:rFonts w:hint="default" w:ascii="Times New Roman" w:hAnsi="Times New Roman" w:cs="Times New Roman"/>
          <w:sz w:val="30"/>
          <w:szCs w:val="30"/>
        </w:rPr>
        <w:t>2.1 建设项目环境保护相关法律、法规、规章和规范；</w:t>
      </w:r>
      <w:bookmarkEnd w:id="2"/>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1、《中华人民共和国环境保护法》全国人民代表大会常务委员会，2014年4月修订，2015年1月1日起实施；</w:t>
      </w:r>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2、《建设项目环境保护管理条例》国务院第682号令，2017年10月01日起发布施行；</w:t>
      </w:r>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3、《关于印发污染源监测管理办法的通知》国家环保总局环发[1999]246号，1999年11月1日发布施行；</w:t>
      </w:r>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4、《关于发布建设项目竣工环境保护验收暂行管理办法的公告》国环规环评【2017】4号，2017年11月20日</w:t>
      </w:r>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5、《环境监测管理办法》国家环保总局第39号，2007年7月25日发布，2007年9月1日起施行；</w:t>
      </w:r>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6、《湖南省建设项目环境保护管理办法》湖南省人民政府令第215号，2007年6月29日通过，2007年10月1日起施行；</w:t>
      </w:r>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7、《国务院关于印发大气污染防治行动计划的通知》 国发〔2013〕37号，2013年9月10日发布。</w:t>
      </w:r>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8、《国务院关于印发水污染防治行动计划的通知》 国发〔2015〕17号，2015年4月2号发布。</w:t>
      </w:r>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9、《关于规范建设单位自主开展建设项目竣工环境保护验收的通知》（环办环评函[2017]1235号）2017年8月。</w:t>
      </w:r>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10、《建设项目环境影响评价分类管理名录》（2017年9月1日起施行）。</w:t>
      </w:r>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11、《中华人民共和国大气污染防治法》（中华人民共和国和国家主席令第31号、[2016年1月1日起施行]）。</w:t>
      </w:r>
    </w:p>
    <w:p>
      <w:pPr>
        <w:pStyle w:val="9"/>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12、《中华人民共和国固体废物污染环境防治法》（2016年11月7日修订）、《中华人民共和国水污染防治法》（中华人民共和国主席令第87号、[2018年1月1日起施行]）。</w:t>
      </w:r>
    </w:p>
    <w:p>
      <w:pPr>
        <w:spacing w:after="0" w:afterLines="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13、《</w:t>
      </w:r>
      <w:r>
        <w:rPr>
          <w:rFonts w:hint="eastAsia" w:ascii="Times New Roman" w:hAnsi="Times New Roman" w:eastAsia="宋体" w:cs="Times New Roman"/>
          <w:color w:val="000000"/>
          <w:kern w:val="2"/>
          <w:sz w:val="24"/>
          <w:szCs w:val="24"/>
          <w:lang w:val="en-US" w:eastAsia="zh-CN" w:bidi="ar-SA"/>
        </w:rPr>
        <w:t>建设项目竣工环境保护验收技术指南  污染影响类</w:t>
      </w:r>
      <w:r>
        <w:rPr>
          <w:rFonts w:hint="eastAsia" w:ascii="Times New Roman" w:hAnsi="Times New Roman" w:eastAsia="宋体" w:cs="Times New Roman"/>
          <w:color w:val="000000"/>
          <w:sz w:val="24"/>
          <w:szCs w:val="24"/>
          <w:lang w:val="en-US" w:eastAsia="zh-CN" w:bidi="ar-SA"/>
        </w:rPr>
        <w:t>》环保部[2018]第9号。</w:t>
      </w:r>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3" w:name="_Toc30963"/>
      <w:r>
        <w:rPr>
          <w:rFonts w:hint="default" w:ascii="Times New Roman" w:hAnsi="Times New Roman" w:eastAsia="宋体" w:cs="Times New Roman"/>
          <w:b/>
          <w:sz w:val="30"/>
          <w:szCs w:val="30"/>
        </w:rPr>
        <w:t>2.2 建设项目竣工环境保护验收技术规范；</w:t>
      </w:r>
      <w:bookmarkEnd w:id="3"/>
    </w:p>
    <w:p>
      <w:pPr>
        <w:pStyle w:val="9"/>
        <w:keepNext w:val="0"/>
        <w:keepLines w:val="0"/>
        <w:pageBreakBefore w:val="0"/>
        <w:widowControl/>
        <w:numPr>
          <w:ilvl w:val="0"/>
          <w:numId w:val="1"/>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bookmarkStart w:id="4" w:name="_Toc16896_WPSOffice_Level2"/>
      <w:bookmarkStart w:id="5" w:name="_Toc9263_WPSOffice_Level2"/>
      <w:r>
        <w:rPr>
          <w:rFonts w:hint="default" w:ascii="Times New Roman" w:hAnsi="Times New Roman" w:eastAsia="宋体" w:cs="Times New Roman"/>
          <w:sz w:val="24"/>
          <w:szCs w:val="24"/>
        </w:rPr>
        <w:t>《大气污染物综合排放标准》(GB</w:t>
      </w:r>
      <w:r>
        <w:rPr>
          <w:rFonts w:hint="default" w:ascii="Times New Roman" w:hAnsi="Times New Roman" w:eastAsia="宋体" w:cs="Times New Roman"/>
          <w:sz w:val="24"/>
          <w:szCs w:val="24"/>
          <w:lang w:val="en-US" w:eastAsia="zh-CN"/>
        </w:rPr>
        <w:t>16297</w:t>
      </w:r>
      <w:r>
        <w:rPr>
          <w:rFonts w:hint="default" w:ascii="Times New Roman" w:hAnsi="Times New Roman" w:eastAsia="宋体" w:cs="Times New Roman"/>
          <w:sz w:val="24"/>
          <w:szCs w:val="24"/>
        </w:rPr>
        <w:t>-1996)</w:t>
      </w:r>
      <w:bookmarkEnd w:id="4"/>
      <w:bookmarkEnd w:id="5"/>
      <w:r>
        <w:rPr>
          <w:rFonts w:hint="eastAsia" w:ascii="Times New Roman" w:hAnsi="Times New Roman" w:eastAsia="宋体" w:cs="Times New Roman"/>
          <w:sz w:val="24"/>
          <w:szCs w:val="24"/>
          <w:lang w:eastAsia="zh-CN"/>
        </w:rPr>
        <w:t>。</w:t>
      </w:r>
    </w:p>
    <w:p>
      <w:pPr>
        <w:pStyle w:val="9"/>
        <w:keepNext w:val="0"/>
        <w:keepLines w:val="0"/>
        <w:pageBreakBefore w:val="0"/>
        <w:widowControl/>
        <w:numPr>
          <w:ilvl w:val="0"/>
          <w:numId w:val="1"/>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sz w:val="24"/>
          <w:szCs w:val="24"/>
          <w:lang w:val="en-US" w:eastAsia="zh-CN"/>
        </w:rPr>
      </w:pPr>
      <w:bookmarkStart w:id="6" w:name="_Toc26209_WPSOffice_Level2"/>
      <w:bookmarkStart w:id="7" w:name="_Toc22001_WPSOffice_Level2"/>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工业企业厂界环境噪声排放标准》（GB12348 -2008）</w:t>
      </w:r>
      <w:bookmarkEnd w:id="6"/>
      <w:bookmarkEnd w:id="7"/>
      <w:r>
        <w:rPr>
          <w:rFonts w:hint="eastAsia" w:ascii="Times New Roman" w:hAnsi="Times New Roman" w:eastAsia="宋体" w:cs="Times New Roman"/>
          <w:sz w:val="24"/>
          <w:szCs w:val="24"/>
          <w:lang w:eastAsia="zh-CN"/>
        </w:rPr>
        <w:t>。</w:t>
      </w:r>
    </w:p>
    <w:p>
      <w:pPr>
        <w:pStyle w:val="9"/>
        <w:keepNext w:val="0"/>
        <w:keepLines w:val="0"/>
        <w:pageBreakBefore w:val="0"/>
        <w:widowControl/>
        <w:numPr>
          <w:ilvl w:val="0"/>
          <w:numId w:val="1"/>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sz w:val="24"/>
          <w:szCs w:val="24"/>
          <w:lang w:val="en-US" w:eastAsia="zh-CN"/>
        </w:rPr>
      </w:pPr>
      <w:bookmarkStart w:id="8" w:name="_Toc8853_WPSOffice_Level2"/>
      <w:bookmarkStart w:id="9" w:name="_Toc24768_WPSOffice_Level2"/>
      <w:r>
        <w:rPr>
          <w:rFonts w:hint="default" w:ascii="Times New Roman" w:hAnsi="Times New Roman" w:eastAsia="宋体" w:cs="Times New Roman"/>
          <w:sz w:val="24"/>
          <w:szCs w:val="24"/>
        </w:rPr>
        <w:t>《生活垃圾填埋污染控制标准》（GB16889-2008）</w:t>
      </w:r>
      <w:bookmarkEnd w:id="8"/>
      <w:bookmarkEnd w:id="9"/>
      <w:r>
        <w:rPr>
          <w:rFonts w:hint="eastAsia" w:ascii="Times New Roman" w:hAnsi="Times New Roman" w:eastAsia="宋体" w:cs="Times New Roman"/>
          <w:sz w:val="24"/>
          <w:szCs w:val="24"/>
          <w:lang w:eastAsia="zh-CN"/>
        </w:rPr>
        <w:t>。</w:t>
      </w:r>
    </w:p>
    <w:p>
      <w:pPr>
        <w:keepNext w:val="0"/>
        <w:keepLines w:val="0"/>
        <w:pageBreakBefore w:val="0"/>
        <w:widowControl/>
        <w:numPr>
          <w:ilvl w:val="0"/>
          <w:numId w:val="1"/>
        </w:numPr>
        <w:kinsoku/>
        <w:wordWrap/>
        <w:overflowPunct/>
        <w:topLinePunct w:val="0"/>
        <w:autoSpaceDE/>
        <w:autoSpaceDN/>
        <w:bidi w:val="0"/>
        <w:adjustRightInd w:val="0"/>
        <w:snapToGrid w:val="0"/>
        <w:spacing w:beforeAutospacing="0" w:after="0" w:afterLines="0" w:afterAutospacing="0" w:line="480" w:lineRule="auto"/>
        <w:ind w:left="0" w:leftChars="0" w:firstLine="0" w:firstLineChars="0"/>
        <w:jc w:val="both"/>
        <w:textAlignment w:val="auto"/>
        <w:outlineLvl w:val="9"/>
        <w:rPr>
          <w:rFonts w:hint="eastAsia" w:ascii="Times New Roman" w:hAnsi="Times New Roman" w:eastAsia="宋体" w:cs="Times New Roman"/>
          <w:sz w:val="24"/>
          <w:szCs w:val="24"/>
        </w:rPr>
      </w:pPr>
      <w:bookmarkStart w:id="10" w:name="_Toc0_WPSOffice_Level2"/>
      <w:bookmarkStart w:id="11" w:name="_Toc28291_WPSOffice_Level2"/>
      <w:r>
        <w:rPr>
          <w:rFonts w:hint="eastAsia" w:ascii="Times New Roman" w:hAnsi="Times New Roman" w:eastAsia="宋体" w:cs="Times New Roman"/>
          <w:sz w:val="24"/>
          <w:szCs w:val="24"/>
        </w:rPr>
        <w:t>《一般工业固体废物贮存、处置场所污染控制标准》（</w:t>
      </w:r>
      <w:r>
        <w:rPr>
          <w:rFonts w:hint="default" w:ascii="Times New Roman" w:hAnsi="Times New Roman" w:eastAsia="宋体" w:cs="Times New Roman"/>
          <w:sz w:val="24"/>
          <w:szCs w:val="24"/>
        </w:rPr>
        <w:t>GB18599-2001</w:t>
      </w:r>
      <w:r>
        <w:rPr>
          <w:rFonts w:hint="eastAsia" w:ascii="Times New Roman" w:hAnsi="Times New Roman" w:eastAsia="宋体" w:cs="Times New Roman"/>
          <w:sz w:val="24"/>
          <w:szCs w:val="24"/>
        </w:rPr>
        <w:t>）</w:t>
      </w:r>
      <w:bookmarkEnd w:id="10"/>
      <w:bookmarkEnd w:id="11"/>
      <w:r>
        <w:rPr>
          <w:rFonts w:hint="eastAsia" w:ascii="Times New Roman" w:hAnsi="Times New Roman" w:eastAsia="宋体" w:cs="Times New Roman"/>
          <w:sz w:val="24"/>
          <w:szCs w:val="24"/>
          <w:lang w:eastAsia="zh-CN"/>
        </w:rPr>
        <w:t>。</w:t>
      </w:r>
    </w:p>
    <w:p>
      <w:pPr>
        <w:keepNext w:val="0"/>
        <w:keepLines w:val="0"/>
        <w:pageBreakBefore w:val="0"/>
        <w:widowControl/>
        <w:numPr>
          <w:ilvl w:val="0"/>
          <w:numId w:val="1"/>
        </w:numPr>
        <w:kinsoku/>
        <w:wordWrap/>
        <w:overflowPunct/>
        <w:topLinePunct w:val="0"/>
        <w:autoSpaceDE/>
        <w:autoSpaceDN/>
        <w:bidi w:val="0"/>
        <w:adjustRightInd w:val="0"/>
        <w:snapToGrid w:val="0"/>
        <w:spacing w:beforeAutospacing="0" w:after="0" w:afterLines="0" w:afterAutospacing="0" w:line="480" w:lineRule="auto"/>
        <w:ind w:left="0" w:leftChars="0" w:firstLine="0" w:firstLineChars="0"/>
        <w:jc w:val="both"/>
        <w:textAlignment w:val="auto"/>
        <w:outlineLvl w:val="9"/>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危险废物贮存污染控制标准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GB 18597-2001</w:t>
      </w:r>
      <w:r>
        <w:rPr>
          <w:rFonts w:hint="eastAsia" w:ascii="Times New Roman" w:hAnsi="Times New Roman" w:eastAsia="宋体" w:cs="Times New Roman"/>
          <w:sz w:val="24"/>
          <w:szCs w:val="24"/>
          <w:lang w:eastAsia="zh-CN"/>
        </w:rPr>
        <w:t>）。</w:t>
      </w:r>
    </w:p>
    <w:p>
      <w:pPr>
        <w:keepNext w:val="0"/>
        <w:keepLines w:val="0"/>
        <w:pageBreakBefore w:val="0"/>
        <w:widowControl/>
        <w:numPr>
          <w:ilvl w:val="0"/>
          <w:numId w:val="1"/>
        </w:numPr>
        <w:kinsoku/>
        <w:wordWrap/>
        <w:overflowPunct/>
        <w:topLinePunct w:val="0"/>
        <w:autoSpaceDE/>
        <w:autoSpaceDN/>
        <w:bidi w:val="0"/>
        <w:adjustRightInd w:val="0"/>
        <w:snapToGrid w:val="0"/>
        <w:spacing w:beforeAutospacing="0" w:after="0" w:afterLines="0" w:afterAutospacing="0" w:line="480" w:lineRule="auto"/>
        <w:ind w:left="0" w:leftChars="0" w:firstLine="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医疗机构水污染物排放标注</w:t>
      </w:r>
      <w:r>
        <w:rPr>
          <w:rFonts w:hint="eastAsia" w:ascii="Times New Roman" w:hAnsi="Times New Roman" w:eastAsia="宋体" w:cs="Times New Roman"/>
          <w:sz w:val="24"/>
          <w:szCs w:val="24"/>
          <w:lang w:eastAsia="zh-CN"/>
        </w:rPr>
        <w:t>》 （GB</w:t>
      </w:r>
      <w:r>
        <w:rPr>
          <w:rFonts w:hint="eastAsia" w:ascii="Times New Roman" w:hAnsi="Times New Roman" w:eastAsia="宋体" w:cs="Times New Roman"/>
          <w:sz w:val="24"/>
          <w:szCs w:val="24"/>
          <w:lang w:val="en-US" w:eastAsia="zh-CN"/>
        </w:rPr>
        <w:t>18466</w:t>
      </w:r>
      <w:r>
        <w:rPr>
          <w:rFonts w:hint="eastAsia" w:ascii="Times New Roman" w:hAnsi="Times New Roman" w:eastAsia="宋体" w:cs="Times New Roman"/>
          <w:sz w:val="24"/>
          <w:szCs w:val="24"/>
          <w:lang w:eastAsia="zh-CN"/>
        </w:rPr>
        <w:t>—20</w:t>
      </w:r>
      <w:r>
        <w:rPr>
          <w:rFonts w:hint="eastAsia" w:ascii="Times New Roman" w:hAnsi="Times New Roman" w:eastAsia="宋体" w:cs="Times New Roman"/>
          <w:sz w:val="24"/>
          <w:szCs w:val="24"/>
          <w:lang w:val="en-US" w:eastAsia="zh-CN"/>
        </w:rPr>
        <w:t>05</w:t>
      </w:r>
      <w:r>
        <w:rPr>
          <w:rFonts w:hint="eastAsia" w:ascii="Times New Roman" w:hAnsi="Times New Roman" w:eastAsia="宋体" w:cs="Times New Roman"/>
          <w:sz w:val="24"/>
          <w:szCs w:val="24"/>
          <w:lang w:eastAsia="zh-CN"/>
        </w:rPr>
        <w:t>） 。</w:t>
      </w:r>
    </w:p>
    <w:p>
      <w:pPr>
        <w:keepNext w:val="0"/>
        <w:keepLines w:val="0"/>
        <w:pageBreakBefore w:val="0"/>
        <w:widowControl/>
        <w:numPr>
          <w:ilvl w:val="0"/>
          <w:numId w:val="1"/>
        </w:numPr>
        <w:kinsoku/>
        <w:wordWrap/>
        <w:overflowPunct/>
        <w:topLinePunct w:val="0"/>
        <w:autoSpaceDE/>
        <w:autoSpaceDN/>
        <w:bidi w:val="0"/>
        <w:adjustRightInd w:val="0"/>
        <w:snapToGrid w:val="0"/>
        <w:spacing w:beforeAutospacing="0" w:after="0" w:afterLines="0" w:afterAutospacing="0" w:line="480" w:lineRule="auto"/>
        <w:ind w:left="0" w:leftChars="0" w:firstLine="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《医疗废物集中处置技术规范（试行）》。</w:t>
      </w:r>
    </w:p>
    <w:p>
      <w:pPr>
        <w:pStyle w:val="5"/>
        <w:keepNext/>
        <w:keepLines/>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eastAsia="宋体" w:cs="Times New Roman"/>
          <w:b/>
          <w:sz w:val="30"/>
          <w:szCs w:val="30"/>
          <w:lang w:eastAsia="zh-CN"/>
        </w:rPr>
      </w:pPr>
      <w:bookmarkStart w:id="12" w:name="_Toc20006"/>
      <w:r>
        <w:rPr>
          <w:rFonts w:hint="default" w:ascii="Times New Roman" w:hAnsi="Times New Roman" w:eastAsia="宋体" w:cs="Times New Roman"/>
          <w:b/>
          <w:sz w:val="30"/>
          <w:szCs w:val="30"/>
        </w:rPr>
        <w:t>2.3 建设项目环境影响报告表及审批部门审批决定</w:t>
      </w:r>
      <w:r>
        <w:rPr>
          <w:rFonts w:hint="eastAsia" w:ascii="Times New Roman" w:hAnsi="Times New Roman" w:eastAsia="宋体" w:cs="Times New Roman"/>
          <w:b/>
          <w:sz w:val="30"/>
          <w:szCs w:val="30"/>
          <w:lang w:eastAsia="zh-CN"/>
        </w:rPr>
        <w:t>：</w:t>
      </w:r>
      <w:bookmarkEnd w:id="12"/>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Lines="0" w:afterAutospacing="0" w:line="480" w:lineRule="auto"/>
        <w:ind w:left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1、《安化益汉医院建设项目环境影响报告表》深圳市环新环保技术有限公司，2018年3月。</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Lines="0" w:afterAutospacing="0" w:line="480" w:lineRule="auto"/>
        <w:ind w:left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2、《关于安化益汉医院建设项目环境影响报告的批复》安环审（表）[2018]015号，2018年4月20日。</w:t>
      </w:r>
    </w:p>
    <w:p>
      <w:pPr>
        <w:pStyle w:val="18"/>
        <w:rPr>
          <w:rFonts w:hint="eastAsia"/>
          <w:lang w:val="en-US" w:eastAsia="zh-CN"/>
        </w:rPr>
      </w:pPr>
    </w:p>
    <w:p>
      <w:pPr>
        <w:pStyle w:val="18"/>
        <w:rPr>
          <w:rFonts w:hint="eastAsia"/>
          <w:lang w:val="en-US" w:eastAsia="zh-CN"/>
        </w:rPr>
      </w:pPr>
    </w:p>
    <w:p>
      <w:pPr>
        <w:pStyle w:val="18"/>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13" w:name="_Toc31794"/>
      <w:r>
        <w:rPr>
          <w:rFonts w:hint="default" w:ascii="Times New Roman" w:hAnsi="Times New Roman" w:eastAsia="宋体" w:cs="Times New Roman"/>
          <w:b/>
        </w:rPr>
        <w:t>3 工程建设情况</w:t>
      </w:r>
      <w:bookmarkEnd w:id="13"/>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14" w:name="_Toc2259"/>
      <w:r>
        <w:rPr>
          <w:rFonts w:hint="default" w:ascii="Times New Roman" w:hAnsi="Times New Roman" w:eastAsia="宋体" w:cs="Times New Roman"/>
          <w:b/>
          <w:sz w:val="30"/>
          <w:szCs w:val="30"/>
        </w:rPr>
        <w:t>3</w:t>
      </w:r>
      <w:r>
        <w:rPr>
          <w:rFonts w:hint="eastAsia" w:ascii="Times New Roman" w:hAnsi="Times New Roman" w:eastAsia="宋体" w:cs="Times New Roman"/>
          <w:b/>
          <w:sz w:val="30"/>
          <w:szCs w:val="30"/>
          <w:lang w:val="en-US" w:eastAsia="zh-CN"/>
        </w:rPr>
        <w:t>.</w:t>
      </w:r>
      <w:r>
        <w:rPr>
          <w:rFonts w:hint="default" w:ascii="Times New Roman" w:hAnsi="Times New Roman" w:eastAsia="宋体" w:cs="Times New Roman"/>
          <w:b/>
          <w:sz w:val="30"/>
          <w:szCs w:val="30"/>
        </w:rPr>
        <w:t>1 地理位置及平面布置</w:t>
      </w:r>
      <w:bookmarkEnd w:id="1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ascii="宋体" w:hAnsi="宋体" w:eastAsia="宋体" w:cs="宋体"/>
          <w:b w:val="0"/>
          <w:i w:val="0"/>
          <w:color w:val="000000"/>
          <w:sz w:val="24"/>
          <w:szCs w:val="24"/>
        </w:rPr>
        <w:t>项目选址位于</w:t>
      </w:r>
      <w:r>
        <w:rPr>
          <w:rFonts w:hint="eastAsia" w:ascii="宋体" w:hAnsi="宋体" w:eastAsia="宋体" w:cs="宋体"/>
          <w:b w:val="0"/>
          <w:i w:val="0"/>
          <w:color w:val="000000"/>
          <w:sz w:val="24"/>
          <w:szCs w:val="24"/>
          <w:lang w:val="en-US" w:eastAsia="zh-CN"/>
        </w:rPr>
        <w:t>安化县城南吉祥路，中心经纬度为：</w:t>
      </w:r>
      <w:r>
        <w:rPr>
          <w:rFonts w:hint="default" w:ascii="Times New Roman" w:hAnsi="Times New Roman" w:cs="Times New Roman"/>
          <w:sz w:val="24"/>
          <w:szCs w:val="24"/>
          <w:lang w:val="en-US" w:eastAsia="zh-CN"/>
        </w:rPr>
        <w:t>东经111°14′12.01″</w:t>
      </w:r>
      <w:r>
        <w:rPr>
          <w:rFonts w:hint="eastAsia" w:ascii="Times New Roman" w:hAnsi="Times New Roman" w:cs="Times New Roman"/>
          <w:sz w:val="24"/>
          <w:szCs w:val="24"/>
          <w:lang w:val="en-US" w:eastAsia="zh-CN"/>
        </w:rPr>
        <w:t>，北</w:t>
      </w:r>
      <w:r>
        <w:rPr>
          <w:rFonts w:hint="default" w:ascii="Times New Roman" w:hAnsi="Times New Roman" w:cs="Times New Roman"/>
          <w:sz w:val="24"/>
          <w:szCs w:val="24"/>
          <w:lang w:val="en-US" w:eastAsia="zh-CN"/>
        </w:rPr>
        <w:t>纬28°22′25.87″</w:t>
      </w:r>
      <w:r>
        <w:rPr>
          <w:rFonts w:ascii="宋体" w:hAnsi="宋体" w:eastAsia="宋体" w:cs="宋体"/>
          <w:b w:val="0"/>
          <w:i w:val="0"/>
          <w:color w:val="000000"/>
          <w:sz w:val="24"/>
          <w:szCs w:val="24"/>
        </w:rPr>
        <w:t>。项目</w:t>
      </w:r>
      <w:r>
        <w:rPr>
          <w:rFonts w:hint="eastAsia" w:ascii="宋体" w:hAnsi="宋体" w:eastAsia="宋体" w:cs="宋体"/>
          <w:b w:val="0"/>
          <w:i w:val="0"/>
          <w:color w:val="000000"/>
          <w:sz w:val="24"/>
          <w:szCs w:val="24"/>
          <w:lang w:val="en-US" w:eastAsia="zh-CN"/>
        </w:rPr>
        <w:t>西面为湖南省安化县第二中学，东面为安化城南汽车站</w:t>
      </w:r>
      <w:r>
        <w:rPr>
          <w:rFonts w:hint="default" w:ascii="Times New Roman" w:hAnsi="Times New Roman" w:cs="Times New Roman"/>
          <w:sz w:val="24"/>
          <w:szCs w:val="24"/>
        </w:rPr>
        <w:t>。项目具体地理位置见附图1。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ascii="宋体" w:hAnsi="宋体" w:eastAsia="宋体" w:cs="宋体"/>
          <w:b w:val="0"/>
          <w:i w:val="0"/>
          <w:color w:val="000000"/>
          <w:sz w:val="24"/>
          <w:szCs w:val="24"/>
        </w:rPr>
        <w:t>项目</w:t>
      </w:r>
      <w:r>
        <w:rPr>
          <w:rFonts w:hint="eastAsia" w:ascii="宋体" w:hAnsi="宋体" w:eastAsia="宋体" w:cs="宋体"/>
          <w:b w:val="0"/>
          <w:i w:val="0"/>
          <w:color w:val="000000"/>
          <w:sz w:val="24"/>
          <w:szCs w:val="24"/>
          <w:lang w:val="en-US" w:eastAsia="zh-CN"/>
        </w:rPr>
        <w:t>共有四栋大楼，从北至南依次为1-4号楼</w:t>
      </w:r>
      <w:r>
        <w:rPr>
          <w:rFonts w:ascii="宋体" w:hAnsi="宋体" w:eastAsia="宋体" w:cs="宋体"/>
          <w:b w:val="0"/>
          <w:i w:val="0"/>
          <w:color w:val="000000"/>
          <w:sz w:val="24"/>
          <w:szCs w:val="24"/>
        </w:rPr>
        <w:t>。</w:t>
      </w:r>
      <w:r>
        <w:rPr>
          <w:rFonts w:hint="eastAsia" w:ascii="宋体" w:hAnsi="宋体" w:eastAsia="宋体" w:cs="宋体"/>
          <w:b w:val="0"/>
          <w:i w:val="0"/>
          <w:color w:val="000000"/>
          <w:sz w:val="24"/>
          <w:szCs w:val="24"/>
          <w:lang w:val="en-US" w:eastAsia="zh-CN"/>
        </w:rPr>
        <w:t>功能分布见表3-1，</w:t>
      </w:r>
      <w:r>
        <w:rPr>
          <w:rFonts w:hint="default" w:ascii="Times New Roman" w:hAnsi="Times New Roman" w:cs="Times New Roman"/>
          <w:sz w:val="24"/>
          <w:szCs w:val="24"/>
        </w:rPr>
        <w:t>平面布置情况见附图</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表3-1本项目功能分布一览表</w:t>
      </w:r>
    </w:p>
    <w:tbl>
      <w:tblPr>
        <w:tblStyle w:val="16"/>
        <w:tblW w:w="8726"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852"/>
        <w:gridCol w:w="687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pStyle w:val="19"/>
              <w:spacing w:line="320" w:lineRule="exact"/>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楼层</w:t>
            </w:r>
          </w:p>
        </w:tc>
        <w:tc>
          <w:tcPr>
            <w:tcW w:w="6874" w:type="dxa"/>
            <w:vAlign w:val="center"/>
          </w:tcPr>
          <w:p>
            <w:pPr>
              <w:spacing w:line="320" w:lineRule="exact"/>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科室布置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726" w:type="dxa"/>
            <w:gridSpan w:val="2"/>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1号楼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1楼</w:t>
            </w:r>
          </w:p>
        </w:tc>
        <w:tc>
          <w:tcPr>
            <w:tcW w:w="6874"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检验科、B超心电图、中心药房</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726" w:type="dxa"/>
            <w:gridSpan w:val="2"/>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2号楼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一楼</w:t>
            </w:r>
          </w:p>
        </w:tc>
        <w:tc>
          <w:tcPr>
            <w:tcW w:w="6874"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大厅、五官科、内科、骨科、肾内科、体检中心、诊室</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一楼旁边</w:t>
            </w:r>
          </w:p>
        </w:tc>
        <w:tc>
          <w:tcPr>
            <w:tcW w:w="6874"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血透室、五官住院部和内科住院部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二楼</w:t>
            </w:r>
          </w:p>
        </w:tc>
        <w:tc>
          <w:tcPr>
            <w:tcW w:w="6874"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输液室、妇科（一）、妇科（二）、妇科（三）、治疗室、手术室</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三楼</w:t>
            </w:r>
          </w:p>
        </w:tc>
        <w:tc>
          <w:tcPr>
            <w:tcW w:w="6874"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碎石中心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四楼</w:t>
            </w:r>
          </w:p>
        </w:tc>
        <w:tc>
          <w:tcPr>
            <w:tcW w:w="6874"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办公室</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726" w:type="dxa"/>
            <w:gridSpan w:val="2"/>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3号楼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一楼</w:t>
            </w:r>
          </w:p>
        </w:tc>
        <w:tc>
          <w:tcPr>
            <w:tcW w:w="6874" w:type="dxa"/>
            <w:vAlign w:val="center"/>
          </w:tcPr>
          <w:p>
            <w:pPr>
              <w:spacing w:line="320" w:lineRule="exac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一病室、泌外科、手足外科、肛肠科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一楼旁边</w:t>
            </w:r>
          </w:p>
        </w:tc>
        <w:tc>
          <w:tcPr>
            <w:tcW w:w="6874" w:type="dxa"/>
            <w:vAlign w:val="center"/>
          </w:tcPr>
          <w:p>
            <w:pPr>
              <w:spacing w:line="320" w:lineRule="exac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手术室</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二楼</w:t>
            </w:r>
          </w:p>
        </w:tc>
        <w:tc>
          <w:tcPr>
            <w:tcW w:w="6874"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病房</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726" w:type="dxa"/>
            <w:gridSpan w:val="2"/>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4号楼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一楼</w:t>
            </w:r>
          </w:p>
        </w:tc>
        <w:tc>
          <w:tcPr>
            <w:tcW w:w="6874"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放射科、仓科和食堂</w:t>
            </w:r>
          </w:p>
        </w:tc>
      </w:tr>
    </w:tbl>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15" w:name="_Toc32662"/>
      <w:r>
        <w:rPr>
          <w:rFonts w:hint="default" w:ascii="Times New Roman" w:hAnsi="Times New Roman" w:eastAsia="宋体" w:cs="Times New Roman"/>
          <w:b/>
          <w:sz w:val="30"/>
          <w:szCs w:val="30"/>
        </w:rPr>
        <w:t>3</w:t>
      </w:r>
      <w:r>
        <w:rPr>
          <w:rFonts w:hint="eastAsia" w:ascii="Times New Roman" w:hAnsi="Times New Roman" w:eastAsia="宋体" w:cs="Times New Roman"/>
          <w:b/>
          <w:sz w:val="30"/>
          <w:szCs w:val="30"/>
          <w:lang w:val="en-US" w:eastAsia="zh-CN"/>
        </w:rPr>
        <w:t>.</w:t>
      </w:r>
      <w:r>
        <w:rPr>
          <w:rFonts w:hint="default" w:ascii="Times New Roman" w:hAnsi="Times New Roman" w:eastAsia="宋体" w:cs="Times New Roman"/>
          <w:b/>
          <w:sz w:val="30"/>
          <w:szCs w:val="30"/>
        </w:rPr>
        <w:t>2 建设内容</w:t>
      </w:r>
      <w:bookmarkEnd w:id="15"/>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本项目主要建设</w:t>
      </w:r>
      <w:r>
        <w:rPr>
          <w:rFonts w:hint="default" w:ascii="Times New Roman" w:hAnsi="Times New Roman" w:eastAsia="宋体" w:cs="Times New Roman"/>
          <w:sz w:val="24"/>
          <w:szCs w:val="24"/>
          <w:lang w:eastAsia="zh-CN"/>
        </w:rPr>
        <w:t>基本情况</w:t>
      </w:r>
      <w:r>
        <w:rPr>
          <w:rFonts w:hint="default" w:ascii="Times New Roman" w:hAnsi="Times New Roman" w:eastAsia="宋体" w:cs="Times New Roman"/>
          <w:sz w:val="24"/>
          <w:szCs w:val="24"/>
        </w:rPr>
        <w:t>及投资情况如下表3-</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表3-</w:t>
      </w:r>
      <w:r>
        <w:rPr>
          <w:rFonts w:hint="eastAsia" w:ascii="Times New Roman" w:hAnsi="Times New Roman" w:eastAsia="宋体" w:cs="Times New Roman"/>
          <w:b/>
          <w:bCs/>
          <w:kern w:val="0"/>
          <w:sz w:val="24"/>
          <w:szCs w:val="24"/>
          <w:lang w:val="en-US" w:eastAsia="zh-CN"/>
        </w:rPr>
        <w:t>2</w:t>
      </w:r>
      <w:r>
        <w:rPr>
          <w:rFonts w:hint="default" w:ascii="Times New Roman" w:hAnsi="Times New Roman" w:eastAsia="宋体" w:cs="Times New Roman"/>
          <w:b/>
          <w:bCs/>
          <w:kern w:val="0"/>
          <w:sz w:val="24"/>
          <w:szCs w:val="24"/>
        </w:rPr>
        <w:t>建设项目基本情况一览表</w:t>
      </w:r>
    </w:p>
    <w:tbl>
      <w:tblPr>
        <w:tblStyle w:val="16"/>
        <w:tblW w:w="8975"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852"/>
        <w:gridCol w:w="712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pStyle w:val="19"/>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项目名称</w:t>
            </w:r>
          </w:p>
        </w:tc>
        <w:tc>
          <w:tcPr>
            <w:tcW w:w="7123"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安化益汉医院建设项目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c>
          <w:tcPr>
            <w:tcW w:w="7123"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安化益汉医院</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法人代表</w:t>
            </w:r>
          </w:p>
        </w:tc>
        <w:tc>
          <w:tcPr>
            <w:tcW w:w="7123"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龚有名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联系人</w:t>
            </w:r>
          </w:p>
        </w:tc>
        <w:tc>
          <w:tcPr>
            <w:tcW w:w="7123"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龚有名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联系电话</w:t>
            </w:r>
          </w:p>
        </w:tc>
        <w:tc>
          <w:tcPr>
            <w:tcW w:w="7123"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18711799917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建设地点</w:t>
            </w:r>
          </w:p>
        </w:tc>
        <w:tc>
          <w:tcPr>
            <w:tcW w:w="7123" w:type="dxa"/>
            <w:vAlign w:val="center"/>
          </w:tcPr>
          <w:p>
            <w:pPr>
              <w:pStyle w:val="19"/>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安化县城南区吉祥路</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建设性质</w:t>
            </w:r>
          </w:p>
        </w:tc>
        <w:tc>
          <w:tcPr>
            <w:tcW w:w="7123" w:type="dxa"/>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sz w:val="21"/>
                <w:szCs w:val="21"/>
                <w:lang w:val="en-US" w:eastAsia="zh-CN"/>
              </w:rPr>
              <w:t>新建</w:t>
            </w:r>
            <w:r>
              <w:rPr>
                <w:rFonts w:hint="default" w:ascii="Times New Roman" w:hAnsi="Times New Roman" w:eastAsia="宋体" w:cs="Times New Roman"/>
                <w:sz w:val="21"/>
                <w:szCs w:val="21"/>
                <w:lang w:val="en-US" w:eastAsia="zh-CN"/>
              </w:rPr>
              <w:t xml:space="preserve">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行业类别及代码</w:t>
            </w:r>
          </w:p>
        </w:tc>
        <w:tc>
          <w:tcPr>
            <w:tcW w:w="7123" w:type="dxa"/>
            <w:vAlign w:val="center"/>
          </w:tcPr>
          <w:p>
            <w:pPr>
              <w:pStyle w:val="19"/>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综合医院（Q8311）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占地面积</w:t>
            </w:r>
          </w:p>
        </w:tc>
        <w:tc>
          <w:tcPr>
            <w:tcW w:w="7123" w:type="dxa"/>
            <w:vAlign w:val="center"/>
          </w:tcPr>
          <w:p>
            <w:pPr>
              <w:pStyle w:val="19"/>
              <w:spacing w:line="320" w:lineRule="exact"/>
              <w:jc w:val="center"/>
              <w:rPr>
                <w:rFonts w:hint="default" w:ascii="Times New Roman" w:hAnsi="Times New Roman" w:eastAsia="宋体" w:cs="Times New Roman"/>
                <w:sz w:val="21"/>
                <w:szCs w:val="21"/>
                <w:lang w:val="en-US"/>
              </w:rPr>
            </w:pPr>
            <w:r>
              <w:rPr>
                <w:rFonts w:hint="eastAsia" w:ascii="Times New Roman" w:hAnsi="Times New Roman" w:cs="Times New Roman"/>
                <w:sz w:val="21"/>
                <w:szCs w:val="21"/>
                <w:lang w:val="en-US" w:eastAsia="zh-CN"/>
              </w:rPr>
              <w:t>6200平方米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工程投资</w:t>
            </w:r>
          </w:p>
        </w:tc>
        <w:tc>
          <w:tcPr>
            <w:tcW w:w="7123" w:type="dxa"/>
            <w:vAlign w:val="center"/>
          </w:tcPr>
          <w:p>
            <w:pPr>
              <w:pStyle w:val="19"/>
              <w:spacing w:line="320" w:lineRule="exact"/>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总投资</w:t>
            </w:r>
            <w:r>
              <w:rPr>
                <w:rFonts w:hint="eastAsia" w:ascii="Times New Roman" w:hAnsi="Times New Roman" w:eastAsia="宋体" w:cs="Times New Roman"/>
                <w:sz w:val="21"/>
                <w:szCs w:val="21"/>
                <w:lang w:val="en-US" w:eastAsia="zh-CN"/>
              </w:rPr>
              <w:t>500</w:t>
            </w:r>
            <w:r>
              <w:rPr>
                <w:rFonts w:hint="default" w:ascii="Times New Roman" w:hAnsi="Times New Roman" w:eastAsia="宋体" w:cs="Times New Roman"/>
                <w:sz w:val="21"/>
                <w:szCs w:val="21"/>
                <w:lang w:val="en-US" w:eastAsia="zh-CN"/>
              </w:rPr>
              <w:t>万元，其中环保预投资</w:t>
            </w:r>
            <w:r>
              <w:rPr>
                <w:rFonts w:hint="eastAsia" w:ascii="Times New Roman" w:hAnsi="Times New Roman" w:eastAsia="宋体" w:cs="Times New Roman"/>
                <w:sz w:val="21"/>
                <w:szCs w:val="21"/>
                <w:lang w:val="en-US" w:eastAsia="zh-CN"/>
              </w:rPr>
              <w:t>76</w:t>
            </w:r>
            <w:r>
              <w:rPr>
                <w:rFonts w:hint="default" w:ascii="Times New Roman" w:hAnsi="Times New Roman" w:eastAsia="宋体" w:cs="Times New Roman"/>
                <w:sz w:val="21"/>
                <w:szCs w:val="21"/>
                <w:lang w:val="en-US" w:eastAsia="zh-CN"/>
              </w:rPr>
              <w:t>万元，占</w:t>
            </w:r>
            <w:r>
              <w:rPr>
                <w:rFonts w:hint="eastAsia" w:ascii="Times New Roman" w:hAnsi="Times New Roman" w:eastAsia="宋体" w:cs="Times New Roman"/>
                <w:sz w:val="21"/>
                <w:szCs w:val="21"/>
                <w:lang w:val="en-US" w:eastAsia="zh-CN"/>
              </w:rPr>
              <w:t>15.2</w:t>
            </w:r>
            <w:r>
              <w:rPr>
                <w:rFonts w:hint="default" w:ascii="Times New Roman" w:hAnsi="Times New Roman" w:eastAsia="宋体"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环评情况</w:t>
            </w:r>
          </w:p>
        </w:tc>
        <w:tc>
          <w:tcPr>
            <w:tcW w:w="7123" w:type="dxa"/>
            <w:vAlign w:val="center"/>
          </w:tcPr>
          <w:p>
            <w:pPr>
              <w:spacing w:line="320" w:lineRule="exact"/>
              <w:jc w:val="center"/>
              <w:rPr>
                <w:rFonts w:hint="default" w:ascii="Times New Roman" w:hAnsi="Times New Roman" w:eastAsia="宋体" w:cs="Times New Roman"/>
                <w:kern w:val="0"/>
                <w:sz w:val="21"/>
                <w:szCs w:val="21"/>
              </w:rPr>
            </w:pPr>
            <w:r>
              <w:rPr>
                <w:rFonts w:hint="eastAsia" w:ascii="Times New Roman" w:hAnsi="Times New Roman" w:eastAsia="宋体" w:cs="Times New Roman"/>
                <w:sz w:val="21"/>
                <w:szCs w:val="21"/>
              </w:rPr>
              <w:t>201</w:t>
            </w:r>
            <w:r>
              <w:rPr>
                <w:rFonts w:hint="eastAsia" w:ascii="Times New Roman" w:hAnsi="Times New Roman" w:eastAsia="宋体" w:cs="Times New Roman"/>
                <w:sz w:val="21"/>
                <w:szCs w:val="21"/>
                <w:lang w:val="en-US" w:eastAsia="zh-CN"/>
              </w:rPr>
              <w:t>8</w:t>
            </w:r>
            <w:r>
              <w:rPr>
                <w:rFonts w:hint="eastAsia"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rPr>
              <w:t>月</w:t>
            </w:r>
            <w:r>
              <w:rPr>
                <w:rFonts w:hint="default" w:ascii="Times New Roman" w:hAnsi="Times New Roman" w:eastAsia="宋体" w:cs="Times New Roman"/>
                <w:sz w:val="21"/>
                <w:szCs w:val="21"/>
              </w:rPr>
              <w:t>由</w:t>
            </w:r>
            <w:r>
              <w:rPr>
                <w:rFonts w:hint="eastAsia" w:ascii="Times New Roman" w:hAnsi="Times New Roman" w:eastAsia="宋体" w:cs="Times New Roman"/>
                <w:sz w:val="21"/>
                <w:szCs w:val="21"/>
                <w:lang w:val="en-US" w:eastAsia="zh-CN"/>
              </w:rPr>
              <w:t>深圳市环新环保技术有限公司</w:t>
            </w:r>
            <w:r>
              <w:rPr>
                <w:rFonts w:hint="default" w:ascii="Times New Roman" w:hAnsi="Times New Roman" w:eastAsia="宋体" w:cs="Times New Roman"/>
                <w:sz w:val="21"/>
                <w:szCs w:val="21"/>
              </w:rPr>
              <w:t>完成其环境影响评价报告表，</w:t>
            </w:r>
            <w:r>
              <w:rPr>
                <w:rFonts w:hint="eastAsia" w:ascii="Times New Roman" w:hAnsi="Times New Roman" w:eastAsia="宋体" w:cs="Times New Roman"/>
                <w:sz w:val="21"/>
                <w:szCs w:val="21"/>
                <w:lang w:val="en-US" w:eastAsia="zh-CN"/>
              </w:rPr>
              <w:t>安化县环境保护局</w:t>
            </w:r>
            <w:r>
              <w:rPr>
                <w:rFonts w:hint="default" w:ascii="Times New Roman" w:hAnsi="Times New Roman" w:eastAsia="宋体" w:cs="Times New Roman"/>
                <w:sz w:val="21"/>
                <w:szCs w:val="21"/>
              </w:rPr>
              <w:t>于</w:t>
            </w:r>
            <w:r>
              <w:rPr>
                <w:rFonts w:hint="eastAsia" w:ascii="Times New Roman" w:hAnsi="Times New Roman" w:eastAsia="宋体" w:cs="Times New Roman"/>
                <w:sz w:val="21"/>
                <w:szCs w:val="21"/>
              </w:rPr>
              <w:t>201</w:t>
            </w:r>
            <w:r>
              <w:rPr>
                <w:rFonts w:hint="eastAsia" w:ascii="Times New Roman" w:hAnsi="Times New Roman" w:eastAsia="宋体" w:cs="Times New Roman"/>
                <w:sz w:val="21"/>
                <w:szCs w:val="21"/>
                <w:lang w:val="en-US" w:eastAsia="zh-CN"/>
              </w:rPr>
              <w:t>8</w:t>
            </w:r>
            <w:r>
              <w:rPr>
                <w:rFonts w:hint="eastAsia"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rPr>
              <w:t>月</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rPr>
              <w:t>日</w:t>
            </w:r>
            <w:r>
              <w:rPr>
                <w:rFonts w:hint="eastAsia" w:ascii="Times New Roman" w:hAnsi="Times New Roman" w:eastAsia="宋体" w:cs="Times New Roman"/>
                <w:sz w:val="21"/>
                <w:szCs w:val="21"/>
                <w:lang w:val="en-US" w:eastAsia="zh-CN"/>
              </w:rPr>
              <w:t>以安环审（表）[2018]015号</w:t>
            </w:r>
            <w:r>
              <w:rPr>
                <w:rFonts w:hint="default" w:ascii="Times New Roman" w:hAnsi="Times New Roman" w:eastAsia="宋体" w:cs="Times New Roman"/>
                <w:sz w:val="21"/>
                <w:szCs w:val="21"/>
              </w:rPr>
              <w:t>文批复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劳动定员及</w:t>
            </w:r>
          </w:p>
          <w:p>
            <w:pPr>
              <w:spacing w:line="320" w:lineRule="exact"/>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生产制度</w:t>
            </w:r>
          </w:p>
        </w:tc>
        <w:tc>
          <w:tcPr>
            <w:tcW w:w="7123" w:type="dxa"/>
            <w:vAlign w:val="center"/>
          </w:tcPr>
          <w:p>
            <w:pPr>
              <w:spacing w:line="320" w:lineRule="exact"/>
              <w:jc w:val="center"/>
              <w:rPr>
                <w:rFonts w:hint="default" w:ascii="Times New Roman" w:hAnsi="Times New Roman" w:eastAsia="宋体" w:cs="Times New Roman"/>
                <w:kern w:val="0"/>
                <w:sz w:val="21"/>
                <w:szCs w:val="21"/>
              </w:rPr>
            </w:pPr>
            <w:r>
              <w:rPr>
                <w:rFonts w:hint="eastAsia" w:ascii="Times New Roman" w:hAnsi="Times New Roman" w:eastAsia="宋体" w:cs="Times New Roman"/>
                <w:sz w:val="21"/>
                <w:szCs w:val="21"/>
                <w:lang w:val="en-US" w:eastAsia="zh-CN"/>
              </w:rPr>
              <w:t>医院工作人员共130</w:t>
            </w:r>
            <w:r>
              <w:rPr>
                <w:rFonts w:hint="default" w:ascii="Times New Roman" w:hAnsi="Times New Roman" w:eastAsia="宋体" w:cs="Times New Roman"/>
                <w:sz w:val="21"/>
                <w:szCs w:val="21"/>
              </w:rPr>
              <w:t>人，实行</w:t>
            </w:r>
            <w:r>
              <w:rPr>
                <w:rFonts w:hint="eastAsia" w:ascii="Times New Roman" w:hAnsi="Times New Roman" w:eastAsia="宋体" w:cs="Times New Roman"/>
                <w:sz w:val="21"/>
                <w:szCs w:val="21"/>
                <w:lang w:val="en-US" w:eastAsia="zh-CN"/>
              </w:rPr>
              <w:t>三</w:t>
            </w:r>
            <w:r>
              <w:rPr>
                <w:rFonts w:hint="default" w:ascii="Times New Roman" w:hAnsi="Times New Roman" w:eastAsia="宋体" w:cs="Times New Roman"/>
                <w:sz w:val="21"/>
                <w:szCs w:val="21"/>
              </w:rPr>
              <w:t>班制，</w:t>
            </w:r>
            <w:r>
              <w:rPr>
                <w:rFonts w:hint="eastAsia" w:ascii="Times New Roman" w:hAnsi="Times New Roman" w:eastAsia="宋体" w:cs="Times New Roman"/>
                <w:sz w:val="21"/>
                <w:szCs w:val="21"/>
                <w:lang w:val="en-US" w:eastAsia="zh-CN"/>
              </w:rPr>
              <w:t>每班</w:t>
            </w:r>
            <w:r>
              <w:rPr>
                <w:rFonts w:hint="default" w:ascii="Times New Roman" w:hAnsi="Times New Roman" w:eastAsia="宋体" w:cs="Times New Roman"/>
                <w:sz w:val="21"/>
                <w:szCs w:val="21"/>
              </w:rPr>
              <w:t>工作八小时，一年工作</w:t>
            </w:r>
            <w:r>
              <w:rPr>
                <w:rFonts w:hint="eastAsia" w:ascii="Times New Roman" w:hAnsi="Times New Roman" w:eastAsia="宋体" w:cs="Times New Roman"/>
                <w:sz w:val="21"/>
                <w:szCs w:val="21"/>
                <w:lang w:val="en-US" w:eastAsia="zh-CN"/>
              </w:rPr>
              <w:t>365</w:t>
            </w:r>
            <w:r>
              <w:rPr>
                <w:rFonts w:hint="default" w:ascii="Times New Roman" w:hAnsi="Times New Roman" w:eastAsia="宋体" w:cs="Times New Roman"/>
                <w:sz w:val="21"/>
                <w:szCs w:val="21"/>
              </w:rPr>
              <w:t>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建设日期</w:t>
            </w:r>
          </w:p>
        </w:tc>
        <w:tc>
          <w:tcPr>
            <w:tcW w:w="7123"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07</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投产日期</w:t>
            </w:r>
          </w:p>
        </w:tc>
        <w:tc>
          <w:tcPr>
            <w:tcW w:w="7123"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rPr>
              <w:t>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现场踏勘日期</w:t>
            </w:r>
          </w:p>
        </w:tc>
        <w:tc>
          <w:tcPr>
            <w:tcW w:w="7123"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2018年</w:t>
            </w: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rPr>
              <w:t>月</w:t>
            </w:r>
            <w:r>
              <w:rPr>
                <w:rFonts w:hint="eastAsia" w:ascii="Times New Roman" w:hAnsi="Times New Roman" w:eastAsia="宋体" w:cs="Times New Roman"/>
                <w:sz w:val="21"/>
                <w:szCs w:val="21"/>
                <w:lang w:val="en-US" w:eastAsia="zh-CN"/>
              </w:rPr>
              <w:t>16</w:t>
            </w:r>
            <w:r>
              <w:rPr>
                <w:rFonts w:hint="default" w:ascii="Times New Roman" w:hAnsi="Times New Roman" w:eastAsia="宋体" w:cs="Times New Roman"/>
                <w:sz w:val="21"/>
                <w:szCs w:val="21"/>
              </w:rPr>
              <w:t>日</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现场采样日期</w:t>
            </w:r>
          </w:p>
        </w:tc>
        <w:tc>
          <w:tcPr>
            <w:tcW w:w="7123"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2018年</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月</w:t>
            </w:r>
            <w:r>
              <w:rPr>
                <w:rFonts w:hint="eastAsia"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日~2018年</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月2</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日</w:t>
            </w:r>
          </w:p>
        </w:tc>
      </w:tr>
    </w:tbl>
    <w:p>
      <w:pPr>
        <w:rPr>
          <w:rFonts w:hint="default"/>
        </w:rPr>
      </w:pP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本项目主要</w:t>
      </w:r>
      <w:r>
        <w:rPr>
          <w:rFonts w:hint="eastAsia" w:ascii="Times New Roman" w:hAnsi="Times New Roman" w:eastAsia="宋体" w:cs="Times New Roman"/>
          <w:sz w:val="24"/>
          <w:szCs w:val="24"/>
          <w:lang w:val="en-US" w:eastAsia="zh-CN"/>
        </w:rPr>
        <w:t>工程建筑内容如下</w:t>
      </w: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rPr>
        <w:t>表</w:t>
      </w:r>
      <w:r>
        <w:rPr>
          <w:rFonts w:hint="default" w:ascii="Times New Roman" w:hAnsi="Times New Roman" w:eastAsia="宋体" w:cs="Times New Roman"/>
          <w:b/>
          <w:bCs/>
          <w:kern w:val="0"/>
          <w:sz w:val="24"/>
          <w:szCs w:val="24"/>
          <w:lang w:val="en-US" w:eastAsia="zh-CN"/>
        </w:rPr>
        <w:t>3-</w:t>
      </w:r>
      <w:r>
        <w:rPr>
          <w:rFonts w:hint="eastAsia" w:ascii="Times New Roman" w:hAnsi="Times New Roman" w:eastAsia="宋体" w:cs="Times New Roman"/>
          <w:b/>
          <w:bCs/>
          <w:kern w:val="0"/>
          <w:sz w:val="24"/>
          <w:szCs w:val="24"/>
          <w:lang w:val="en-US" w:eastAsia="zh-CN"/>
        </w:rPr>
        <w:t>3</w:t>
      </w:r>
      <w:r>
        <w:rPr>
          <w:rFonts w:hint="default" w:ascii="Times New Roman" w:hAnsi="Times New Roman" w:eastAsia="宋体" w:cs="Times New Roman"/>
          <w:b/>
          <w:bCs/>
          <w:kern w:val="0"/>
          <w:sz w:val="24"/>
          <w:szCs w:val="24"/>
        </w:rPr>
        <w:t xml:space="preserve">  </w:t>
      </w:r>
      <w:r>
        <w:rPr>
          <w:rFonts w:hint="eastAsia" w:ascii="Times New Roman" w:hAnsi="Times New Roman" w:eastAsia="宋体" w:cs="Times New Roman"/>
          <w:b/>
          <w:bCs/>
          <w:kern w:val="0"/>
          <w:sz w:val="24"/>
          <w:szCs w:val="24"/>
          <w:lang w:val="en-US" w:eastAsia="zh-CN"/>
        </w:rPr>
        <w:t>工程建筑内容一览表</w:t>
      </w:r>
    </w:p>
    <w:tbl>
      <w:tblPr>
        <w:tblStyle w:val="16"/>
        <w:tblW w:w="8367" w:type="dxa"/>
        <w:jc w:val="center"/>
        <w:tblInd w:w="17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85"/>
        <w:gridCol w:w="59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pStyle w:val="20"/>
              <w:widowControl w:val="0"/>
              <w:adjustRightInd/>
              <w:snapToGrid/>
              <w:spacing w:after="0" w:afterLines="-2147483648"/>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工程类别</w:t>
            </w:r>
          </w:p>
        </w:tc>
        <w:tc>
          <w:tcPr>
            <w:tcW w:w="1185" w:type="dxa"/>
            <w:tcBorders>
              <w:tl2br w:val="nil"/>
              <w:tr2bl w:val="nil"/>
            </w:tcBorders>
            <w:vAlign w:val="center"/>
          </w:tcPr>
          <w:p>
            <w:pPr>
              <w:pStyle w:val="20"/>
              <w:widowControl w:val="0"/>
              <w:adjustRightInd/>
              <w:snapToGrid/>
              <w:spacing w:after="0" w:afterLines="-2147483648"/>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599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20" w:lineRule="exact"/>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18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20" w:lineRule="exact"/>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主体工程</w:t>
            </w:r>
          </w:p>
        </w:tc>
        <w:tc>
          <w:tcPr>
            <w:tcW w:w="1185" w:type="dxa"/>
            <w:tcBorders>
              <w:tl2br w:val="nil"/>
              <w:tr2bl w:val="nil"/>
            </w:tcBorders>
            <w:vAlign w:val="center"/>
          </w:tcPr>
          <w:p>
            <w:pPr>
              <w:spacing w:line="3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门诊及住院用房</w:t>
            </w:r>
          </w:p>
        </w:tc>
        <w:tc>
          <w:tcPr>
            <w:tcW w:w="5994" w:type="dxa"/>
            <w:tcBorders>
              <w:tl2br w:val="nil"/>
              <w:tr2bl w:val="nil"/>
            </w:tcBorders>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主要包括门诊及3个住院部，设置90张病床，总建筑面积5400平方米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2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辅助工程</w:t>
            </w:r>
          </w:p>
        </w:tc>
        <w:tc>
          <w:tcPr>
            <w:tcW w:w="1185" w:type="dxa"/>
            <w:tcBorders>
              <w:tl2br w:val="nil"/>
              <w:tr2bl w:val="nil"/>
            </w:tcBorders>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食堂</w:t>
            </w:r>
          </w:p>
        </w:tc>
        <w:tc>
          <w:tcPr>
            <w:tcW w:w="5994"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设置于4号楼一楼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pPr>
          </w:p>
        </w:tc>
        <w:tc>
          <w:tcPr>
            <w:tcW w:w="1185" w:type="dxa"/>
            <w:tcBorders>
              <w:tl2br w:val="nil"/>
              <w:tr2bl w:val="nil"/>
            </w:tcBorders>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仓库</w:t>
            </w:r>
          </w:p>
        </w:tc>
        <w:tc>
          <w:tcPr>
            <w:tcW w:w="5994"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设置于4号楼一楼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pPr>
          </w:p>
        </w:tc>
        <w:tc>
          <w:tcPr>
            <w:tcW w:w="1185" w:type="dxa"/>
            <w:tcBorders>
              <w:tl2br w:val="nil"/>
              <w:tr2bl w:val="nil"/>
            </w:tcBorders>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消毒</w:t>
            </w:r>
          </w:p>
        </w:tc>
        <w:tc>
          <w:tcPr>
            <w:tcW w:w="5994"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采用84消毒液和紫外线对医院各区域进行消毒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20" w:lineRule="exact"/>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环保工程</w:t>
            </w:r>
          </w:p>
        </w:tc>
        <w:tc>
          <w:tcPr>
            <w:tcW w:w="118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污水处理设施</w:t>
            </w:r>
          </w:p>
        </w:tc>
        <w:tc>
          <w:tcPr>
            <w:tcW w:w="5994"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食堂废水经隔油池处理、生活废水和医疗废水经化粪池处理后进入调节池，经自建污水处理设备（水解酸化+接触氧化+二氧化氯消毒工艺）处理后达标排入市政管网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pPr>
          </w:p>
        </w:tc>
        <w:tc>
          <w:tcPr>
            <w:tcW w:w="118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医疗废物暂存间</w:t>
            </w:r>
          </w:p>
        </w:tc>
        <w:tc>
          <w:tcPr>
            <w:tcW w:w="5994"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设置在2号楼门诊大厅附近1层，占地面积约15m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val="en-US" w:eastAsia="zh-CN"/>
              </w:rPr>
              <w:t>,内设各类暂存桶，医疗废物由益阳市特许医疗废物集中处理有限公司清运并处置，停留时间不超过48小时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pPr>
          </w:p>
        </w:tc>
        <w:tc>
          <w:tcPr>
            <w:tcW w:w="118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一般固废暂存间</w:t>
            </w:r>
          </w:p>
        </w:tc>
        <w:tc>
          <w:tcPr>
            <w:tcW w:w="5994"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设在医疗废物暂存间旁，用于收集存放医用玻璃（一次性塑料）输液瓶（袋），每月由湖南久和环保科技有限公司回收处理一次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pPr>
          </w:p>
        </w:tc>
        <w:tc>
          <w:tcPr>
            <w:tcW w:w="1185"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生活垃圾收集桶</w:t>
            </w:r>
          </w:p>
        </w:tc>
        <w:tc>
          <w:tcPr>
            <w:tcW w:w="5994"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每层楼设置有一定的生活垃圾收集桶，每日由专人统一收集后由环卫部门统一收集后集中处置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pPr>
          </w:p>
        </w:tc>
        <w:tc>
          <w:tcPr>
            <w:tcW w:w="1185" w:type="dxa"/>
            <w:vMerge w:val="restart"/>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废气处理</w:t>
            </w:r>
          </w:p>
        </w:tc>
        <w:tc>
          <w:tcPr>
            <w:tcW w:w="5994"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污水处理设施各池均为地埋式、全封闭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pPr>
          </w:p>
        </w:tc>
        <w:tc>
          <w:tcPr>
            <w:tcW w:w="1185" w:type="dxa"/>
            <w:vMerge w:val="continue"/>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p>
        </w:tc>
        <w:tc>
          <w:tcPr>
            <w:tcW w:w="5994"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食堂油烟由抽油烟机收集后通过管道接入屋外水池，油烟经水吸收后排放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default" w:ascii="Times New Roman" w:hAnsi="Times New Roman" w:eastAsia="宋体" w:cs="Times New Roman"/>
                <w:sz w:val="21"/>
                <w:szCs w:val="21"/>
                <w:vertAlign w:val="baseline"/>
                <w:lang w:val="en-US" w:eastAsia="zh-CN"/>
              </w:rPr>
            </w:pPr>
          </w:p>
        </w:tc>
        <w:tc>
          <w:tcPr>
            <w:tcW w:w="1185"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噪声治理</w:t>
            </w:r>
          </w:p>
        </w:tc>
        <w:tc>
          <w:tcPr>
            <w:tcW w:w="5994"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各产噪声设备均采取减震措施并安装在房内，经减震和隔声处理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188"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2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公用工程</w:t>
            </w:r>
          </w:p>
        </w:tc>
        <w:tc>
          <w:tcPr>
            <w:tcW w:w="118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通风系统</w:t>
            </w:r>
          </w:p>
        </w:tc>
        <w:tc>
          <w:tcPr>
            <w:tcW w:w="5994"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卫生间、各设备机房进行自然通风、空气调节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20" w:lineRule="exact"/>
              <w:jc w:val="center"/>
              <w:textAlignment w:val="auto"/>
              <w:outlineLvl w:val="9"/>
            </w:pPr>
          </w:p>
        </w:tc>
        <w:tc>
          <w:tcPr>
            <w:tcW w:w="118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供电系统</w:t>
            </w:r>
          </w:p>
        </w:tc>
        <w:tc>
          <w:tcPr>
            <w:tcW w:w="5994"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市政电网供电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spacing w:line="320" w:lineRule="exact"/>
              <w:jc w:val="center"/>
            </w:pPr>
          </w:p>
        </w:tc>
        <w:tc>
          <w:tcPr>
            <w:tcW w:w="118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给水系统</w:t>
            </w:r>
          </w:p>
        </w:tc>
        <w:tc>
          <w:tcPr>
            <w:tcW w:w="5994"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由市政自来水厂接入给水管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spacing w:line="320" w:lineRule="exact"/>
              <w:jc w:val="center"/>
            </w:pPr>
          </w:p>
        </w:tc>
        <w:tc>
          <w:tcPr>
            <w:tcW w:w="118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排水系统</w:t>
            </w:r>
          </w:p>
        </w:tc>
        <w:tc>
          <w:tcPr>
            <w:tcW w:w="5994"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雨污分流，雨水由雨水管收集后进入市政雨水管网；污水经自建污水处理设备处理后排入市政污水管网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restart"/>
            <w:tcBorders>
              <w:tl2br w:val="nil"/>
              <w:tr2bl w:val="nil"/>
            </w:tcBorders>
            <w:vAlign w:val="center"/>
          </w:tcPr>
          <w:p>
            <w:pPr>
              <w:spacing w:line="320" w:lineRule="exact"/>
              <w:jc w:val="center"/>
              <w:rPr>
                <w:rFonts w:hint="eastAsia" w:eastAsiaTheme="minorEastAsia"/>
                <w:lang w:val="en-US" w:eastAsia="zh-CN"/>
              </w:rPr>
            </w:pPr>
            <w:r>
              <w:rPr>
                <w:rFonts w:hint="eastAsia"/>
                <w:lang w:val="en-US" w:eastAsia="zh-CN"/>
              </w:rPr>
              <w:t>办公室生活设施</w:t>
            </w:r>
          </w:p>
        </w:tc>
        <w:tc>
          <w:tcPr>
            <w:tcW w:w="118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办公室</w:t>
            </w:r>
          </w:p>
        </w:tc>
        <w:tc>
          <w:tcPr>
            <w:tcW w:w="5994"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设置与2号楼四楼，主要包含行政、院长、医生办公室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8" w:type="dxa"/>
            <w:vMerge w:val="continue"/>
            <w:tcBorders>
              <w:tl2br w:val="nil"/>
              <w:tr2bl w:val="nil"/>
            </w:tcBorders>
            <w:vAlign w:val="center"/>
          </w:tcPr>
          <w:p>
            <w:pPr>
              <w:spacing w:line="320" w:lineRule="exact"/>
              <w:jc w:val="center"/>
            </w:pPr>
          </w:p>
        </w:tc>
        <w:tc>
          <w:tcPr>
            <w:tcW w:w="118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值班</w:t>
            </w:r>
          </w:p>
        </w:tc>
        <w:tc>
          <w:tcPr>
            <w:tcW w:w="5994"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设置于2号楼四楼，供员工值班和临时休息，不设置住宿</w:t>
            </w:r>
          </w:p>
        </w:tc>
      </w:tr>
    </w:tbl>
    <w:p>
      <w:pPr>
        <w:rPr>
          <w:rFonts w:hint="default"/>
        </w:rPr>
      </w:pP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本项目主要</w:t>
      </w:r>
      <w:r>
        <w:rPr>
          <w:rFonts w:hint="eastAsia" w:ascii="Times New Roman" w:hAnsi="Times New Roman" w:eastAsia="宋体" w:cs="Times New Roman"/>
          <w:sz w:val="24"/>
          <w:szCs w:val="24"/>
          <w:lang w:val="en-US" w:eastAsia="zh-CN"/>
        </w:rPr>
        <w:t>生产</w:t>
      </w:r>
      <w:r>
        <w:rPr>
          <w:rFonts w:hint="default" w:ascii="Times New Roman" w:hAnsi="Times New Roman" w:eastAsia="宋体" w:cs="Times New Roman"/>
          <w:sz w:val="24"/>
          <w:szCs w:val="24"/>
        </w:rPr>
        <w:t>设备详见表</w:t>
      </w:r>
      <w:r>
        <w:rPr>
          <w:rFonts w:hint="eastAsia" w:ascii="Times New Roman" w:hAnsi="Times New Roman" w:eastAsia="宋体" w:cs="Times New Roman"/>
          <w:sz w:val="24"/>
          <w:szCs w:val="24"/>
          <w:lang w:val="en-US" w:eastAsia="zh-CN"/>
        </w:rPr>
        <w:t>3-4。</w:t>
      </w:r>
    </w:p>
    <w:p>
      <w:pPr>
        <w:pStyle w:val="18"/>
        <w:jc w:val="center"/>
        <w:rPr>
          <w:rFonts w:hint="default"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lang w:val="en-US" w:eastAsia="zh-CN"/>
        </w:rPr>
        <w:t>表3-4主要生产设备一览</w:t>
      </w:r>
      <w:r>
        <w:rPr>
          <w:rFonts w:hint="default" w:ascii="Times New Roman" w:hAnsi="Times New Roman" w:eastAsia="宋体" w:cs="Times New Roman"/>
          <w:b/>
          <w:bCs/>
          <w:kern w:val="0"/>
          <w:sz w:val="24"/>
          <w:szCs w:val="24"/>
        </w:rPr>
        <w:t>表</w:t>
      </w:r>
    </w:p>
    <w:tbl>
      <w:tblPr>
        <w:tblStyle w:val="17"/>
        <w:tblW w:w="785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3116"/>
        <w:gridCol w:w="1020"/>
        <w:gridCol w:w="1095"/>
        <w:gridCol w:w="19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3116"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设备名称</w:t>
            </w:r>
          </w:p>
        </w:tc>
        <w:tc>
          <w:tcPr>
            <w:tcW w:w="1020"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单位</w:t>
            </w:r>
          </w:p>
        </w:tc>
        <w:tc>
          <w:tcPr>
            <w:tcW w:w="1095"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w:t>
            </w:r>
          </w:p>
        </w:tc>
        <w:tc>
          <w:tcPr>
            <w:tcW w:w="1980"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全自动生化分析仪</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生化检测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DR 数字化摄影</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拍片、造影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彩超、B超</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人体器官检查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麻醉机</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手术麻醉用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血球计数仪</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血常规检查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泌尿外科腔镜设备</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泌尿系统治疗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普外科腔镜设备</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普外科治疗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血透机</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血液净化治疗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血滤机</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血液净化治疗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电解质分析仪</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电解质测定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光治疗仪</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妇科治疗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微波治疗仪</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妇科治疗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311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二氧化氯发生器</w:t>
            </w:r>
          </w:p>
        </w:tc>
        <w:tc>
          <w:tcPr>
            <w:tcW w:w="10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8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污水消毒</w:t>
            </w:r>
          </w:p>
        </w:tc>
      </w:tr>
    </w:tbl>
    <w:p>
      <w:pPr>
        <w:keepNext w:val="0"/>
        <w:keepLines w:val="0"/>
        <w:pageBreakBefore w:val="0"/>
        <w:widowControl/>
        <w:kinsoku/>
        <w:wordWrap/>
        <w:overflowPunct/>
        <w:topLinePunct w:val="0"/>
        <w:autoSpaceDE/>
        <w:autoSpaceDN/>
        <w:bidi w:val="0"/>
        <w:adjustRightInd w:val="0"/>
        <w:snapToGrid w:val="0"/>
        <w:spacing w:before="157" w:beforeLines="50" w:beforeAutospacing="0" w:after="0" w:afterLines="0" w:afterAutospacing="0"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本项目主要</w:t>
      </w:r>
      <w:r>
        <w:rPr>
          <w:rFonts w:hint="eastAsia" w:ascii="Times New Roman" w:hAnsi="Times New Roman" w:eastAsia="宋体" w:cs="Times New Roman"/>
          <w:sz w:val="24"/>
          <w:szCs w:val="24"/>
          <w:lang w:val="en-US" w:eastAsia="zh-CN"/>
        </w:rPr>
        <w:t>原辅材料年用量</w:t>
      </w:r>
      <w:r>
        <w:rPr>
          <w:rFonts w:hint="default" w:ascii="Times New Roman" w:hAnsi="Times New Roman" w:eastAsia="宋体" w:cs="Times New Roman"/>
          <w:sz w:val="24"/>
          <w:szCs w:val="24"/>
        </w:rPr>
        <w:t>详见表</w:t>
      </w:r>
      <w:r>
        <w:rPr>
          <w:rFonts w:hint="eastAsia" w:ascii="Times New Roman" w:hAnsi="Times New Roman" w:eastAsia="宋体" w:cs="Times New Roman"/>
          <w:sz w:val="24"/>
          <w:szCs w:val="24"/>
          <w:lang w:val="en-US" w:eastAsia="zh-CN"/>
        </w:rPr>
        <w:t>3-5。</w:t>
      </w:r>
    </w:p>
    <w:p>
      <w:pPr>
        <w:pStyle w:val="18"/>
        <w:jc w:val="center"/>
        <w:rPr>
          <w:rFonts w:hint="default"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lang w:val="en-US" w:eastAsia="zh-CN"/>
        </w:rPr>
        <w:t>表3-5主要原辅材料年用量一览</w:t>
      </w:r>
      <w:r>
        <w:rPr>
          <w:rFonts w:hint="default" w:ascii="Times New Roman" w:hAnsi="Times New Roman" w:eastAsia="宋体" w:cs="Times New Roman"/>
          <w:b/>
          <w:bCs/>
          <w:kern w:val="0"/>
          <w:sz w:val="24"/>
          <w:szCs w:val="24"/>
        </w:rPr>
        <w:t>表</w:t>
      </w:r>
    </w:p>
    <w:tbl>
      <w:tblPr>
        <w:tblStyle w:val="17"/>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660"/>
        <w:gridCol w:w="2790"/>
        <w:gridCol w:w="1335"/>
        <w:gridCol w:w="30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695" w:type="dxa"/>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660" w:type="dxa"/>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项目</w:t>
            </w:r>
          </w:p>
        </w:tc>
        <w:tc>
          <w:tcPr>
            <w:tcW w:w="2790" w:type="dxa"/>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1335" w:type="dxa"/>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年用量</w:t>
            </w:r>
          </w:p>
        </w:tc>
        <w:tc>
          <w:tcPr>
            <w:tcW w:w="3042" w:type="dxa"/>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660" w:type="dxa"/>
            <w:vMerge w:val="restart"/>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原辅材料</w:t>
            </w: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一次性使用无菌注射器20ml</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3200支</w:t>
            </w:r>
          </w:p>
        </w:tc>
        <w:tc>
          <w:tcPr>
            <w:tcW w:w="3042" w:type="dxa"/>
            <w:vMerge w:val="restart"/>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营运期（一次性使用）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一次性使用输液器</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3400支</w:t>
            </w:r>
          </w:p>
        </w:tc>
        <w:tc>
          <w:tcPr>
            <w:tcW w:w="3042"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一次性口罩</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3400支</w:t>
            </w:r>
          </w:p>
        </w:tc>
        <w:tc>
          <w:tcPr>
            <w:tcW w:w="3042"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一次性医用棉签</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3000盒</w:t>
            </w:r>
          </w:p>
        </w:tc>
        <w:tc>
          <w:tcPr>
            <w:tcW w:w="3042" w:type="dxa"/>
            <w:vMerge w:val="continue"/>
            <w:vAlign w:val="center"/>
          </w:tcPr>
          <w:p>
            <w:pPr>
              <w:spacing w:line="320" w:lineRule="exact"/>
              <w:jc w:val="both"/>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一次性使用橡胶手套</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3000盒</w:t>
            </w:r>
          </w:p>
        </w:tc>
        <w:tc>
          <w:tcPr>
            <w:tcW w:w="3042"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一次性使用无菌注射器5ml</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2500支</w:t>
            </w:r>
          </w:p>
        </w:tc>
        <w:tc>
          <w:tcPr>
            <w:tcW w:w="3042"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各类药品试剂</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若干</w:t>
            </w:r>
          </w:p>
        </w:tc>
        <w:tc>
          <w:tcPr>
            <w:tcW w:w="3042"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乙醇（95%）</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200瓶</w:t>
            </w:r>
          </w:p>
        </w:tc>
        <w:tc>
          <w:tcPr>
            <w:tcW w:w="3042"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500ml/瓶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生理盐水</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600瓶</w:t>
            </w:r>
          </w:p>
        </w:tc>
        <w:tc>
          <w:tcPr>
            <w:tcW w:w="3042"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500ml/瓶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氧气</w:t>
            </w:r>
          </w:p>
        </w:tc>
        <w:tc>
          <w:tcPr>
            <w:tcW w:w="133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50瓶</w:t>
            </w:r>
          </w:p>
        </w:tc>
        <w:tc>
          <w:tcPr>
            <w:tcW w:w="304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40L/瓶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660" w:type="dxa"/>
            <w:vMerge w:val="restart"/>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消毒</w:t>
            </w: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84消毒液</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120瓶</w:t>
            </w:r>
          </w:p>
        </w:tc>
        <w:tc>
          <w:tcPr>
            <w:tcW w:w="3042"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外购，用于医院消毒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硫代硫酸钠</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20kg/a</w:t>
            </w:r>
          </w:p>
        </w:tc>
        <w:tc>
          <w:tcPr>
            <w:tcW w:w="3042"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最大储存量5kg，用于污水去氯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二氧化氯消毒剂</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70kg/a</w:t>
            </w:r>
          </w:p>
        </w:tc>
        <w:tc>
          <w:tcPr>
            <w:tcW w:w="3042"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最大储存量5kg，用于污水消毒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660" w:type="dxa"/>
            <w:vMerge w:val="restart"/>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能源</w:t>
            </w: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0.9万Kw</w:t>
            </w:r>
            <w:r>
              <w:rPr>
                <w:rFonts w:hint="default" w:ascii="Times New Roman" w:hAnsi="Times New Roman" w:eastAsia="宋体" w:cs="Times New Roman"/>
                <w:sz w:val="21"/>
                <w:szCs w:val="21"/>
                <w:lang w:val="en-US" w:eastAsia="zh-CN"/>
              </w:rPr>
              <w:t>ˑ</w:t>
            </w:r>
            <w:r>
              <w:rPr>
                <w:rFonts w:hint="eastAsia" w:ascii="Times New Roman" w:hAnsi="Times New Roman" w:eastAsia="宋体" w:cs="Times New Roman"/>
                <w:sz w:val="21"/>
                <w:szCs w:val="21"/>
                <w:lang w:val="en-US" w:eastAsia="zh-CN"/>
              </w:rPr>
              <w:t>h/a</w:t>
            </w:r>
          </w:p>
        </w:tc>
        <w:tc>
          <w:tcPr>
            <w:tcW w:w="3042"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市政电网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660" w:type="dxa"/>
            <w:vMerge w:val="continue"/>
            <w:vAlign w:val="center"/>
          </w:tcPr>
          <w:p>
            <w:pPr>
              <w:spacing w:line="320" w:lineRule="exact"/>
              <w:jc w:val="center"/>
              <w:rPr>
                <w:rFonts w:hint="default" w:ascii="Times New Roman" w:hAnsi="Times New Roman" w:eastAsia="宋体" w:cs="Times New Roman"/>
                <w:sz w:val="21"/>
                <w:szCs w:val="21"/>
                <w:lang w:val="en-US" w:eastAsia="zh-CN"/>
              </w:rPr>
            </w:pPr>
          </w:p>
        </w:tc>
        <w:tc>
          <w:tcPr>
            <w:tcW w:w="279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自来水</w:t>
            </w:r>
          </w:p>
        </w:tc>
        <w:tc>
          <w:tcPr>
            <w:tcW w:w="133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8979m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c>
          <w:tcPr>
            <w:tcW w:w="3042"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市政自来水厂</w:t>
            </w:r>
          </w:p>
        </w:tc>
      </w:tr>
    </w:tbl>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16" w:name="_Toc25229"/>
      <w:r>
        <w:rPr>
          <w:rFonts w:hint="default" w:ascii="Times New Roman" w:hAnsi="Times New Roman" w:eastAsia="宋体" w:cs="Times New Roman"/>
          <w:b/>
          <w:sz w:val="30"/>
          <w:szCs w:val="30"/>
        </w:rPr>
        <w:t>3.</w:t>
      </w:r>
      <w:r>
        <w:rPr>
          <w:rFonts w:hint="eastAsia"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rPr>
        <w:t xml:space="preserve"> 水源及水平衡</w:t>
      </w:r>
      <w:bookmarkEnd w:id="1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本项目由市政供水管网供给，水质、水量均能满足本项目的用水需求</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排水实行雨污分流排水体制。雨水通过雨水管网排放至市政污水管网；医疗废水和生活废水均经院内污水处理设施处理，处理达《医疗机构水污染物排放标准》（GB18466-2005）表2中预处理标准后经管网进入安化县污水处理厂最后排入资江。水平衡图如下：</w:t>
      </w:r>
    </w:p>
    <w:p>
      <w:pPr>
        <w:pStyle w:val="18"/>
        <w:ind w:left="0" w:leftChars="0" w:firstLine="0" w:firstLineChars="0"/>
        <w:jc w:val="both"/>
        <w:rPr>
          <w:rFonts w:hint="eastAsia" w:eastAsia="楷体_GB2312"/>
          <w:lang w:eastAsia="zh-CN"/>
        </w:rPr>
      </w:pPr>
      <w:r>
        <w:rPr>
          <w:sz w:val="24"/>
        </w:rPr>
        <mc:AlternateContent>
          <mc:Choice Requires="wps">
            <w:drawing>
              <wp:anchor distT="0" distB="0" distL="114300" distR="114300" simplePos="0" relativeHeight="485913600" behindDoc="0" locked="0" layoutInCell="1" allowOverlap="1">
                <wp:simplePos x="0" y="0"/>
                <wp:positionH relativeFrom="column">
                  <wp:posOffset>-52705</wp:posOffset>
                </wp:positionH>
                <wp:positionV relativeFrom="paragraph">
                  <wp:posOffset>41275</wp:posOffset>
                </wp:positionV>
                <wp:extent cx="5553710" cy="2724150"/>
                <wp:effectExtent l="6350" t="6350" r="21590" b="12700"/>
                <wp:wrapNone/>
                <wp:docPr id="74" name="矩形 74"/>
                <wp:cNvGraphicFramePr/>
                <a:graphic xmlns:a="http://schemas.openxmlformats.org/drawingml/2006/main">
                  <a:graphicData uri="http://schemas.microsoft.com/office/word/2010/wordprocessingShape">
                    <wps:wsp>
                      <wps:cNvSpPr/>
                      <wps:spPr>
                        <a:xfrm>
                          <a:off x="1090295" y="5466715"/>
                          <a:ext cx="5553710" cy="2724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3.25pt;height:214.5pt;width:437.3pt;z-index:485913600;v-text-anchor:middle;mso-width-relative:page;mso-height-relative:page;" filled="f" stroked="t" coordsize="21600,21600" o:gfxdata="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0Z1&#10;idcAAAAIAQAADwAAAAAAAAABACAAAAAiAAAAZHJzL2Rvd25yZXYueG1sUEsBAhQAFAAAAAgAh07i&#10;QHqfQ5VcAgAAjAQAAA4AAAAAAAAAAQAgAAAAJgEAAGRycy9lMm9Eb2MueG1sUEsFBgAAAAAGAAYA&#10;WQEAAPQFAA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3987800</wp:posOffset>
                </wp:positionH>
                <wp:positionV relativeFrom="paragraph">
                  <wp:posOffset>1344295</wp:posOffset>
                </wp:positionV>
                <wp:extent cx="1598930" cy="409575"/>
                <wp:effectExtent l="0" t="0" r="0" b="0"/>
                <wp:wrapNone/>
                <wp:docPr id="12" name="矩形 12"/>
                <wp:cNvGraphicFramePr/>
                <a:graphic xmlns:a="http://schemas.openxmlformats.org/drawingml/2006/main">
                  <a:graphicData uri="http://schemas.microsoft.com/office/word/2010/wordprocessingShape">
                    <wps:wsp>
                      <wps:cNvSpPr/>
                      <wps:spPr>
                        <a:xfrm>
                          <a:off x="0" y="0"/>
                          <a:ext cx="159893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Theme="minorEastAsia"/>
                                <w:color w:val="auto"/>
                                <w:sz w:val="15"/>
                                <w:szCs w:val="15"/>
                                <w:lang w:val="en-US" w:eastAsia="zh-CN"/>
                              </w:rPr>
                            </w:pPr>
                            <w:r>
                              <w:rPr>
                                <w:rFonts w:hint="eastAsia"/>
                                <w:color w:val="auto"/>
                                <w:sz w:val="15"/>
                                <w:szCs w:val="15"/>
                                <w:lang w:val="en-US" w:eastAsia="zh-CN"/>
                              </w:rPr>
                              <w:t>经管网进入安化县污水处理厂处理达标后排入资江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pt;margin-top:105.85pt;height:32.25pt;width:125.9pt;z-index:251662336;v-text-anchor:middle;mso-width-relative:page;mso-height-relative:page;" filled="f" stroked="f" coordsize="21600,21600" o:gfxdata="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XlT3dcAAAALAQAADwAAAAAAAAABACAAAAAi&#10;AAAAZHJzL2Rvd25yZXYueG1sUEsBAhQAFAAAAAgAh07iQPLIL/VEAgAAYQQAAA4AAAAAAAAAAQAg&#10;AAAAJgEAAGRycy9lMm9Eb2MueG1sUEsFBgAAAAAGAAYAWQEAANw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Theme="minorEastAsia"/>
                          <w:color w:val="auto"/>
                          <w:sz w:val="15"/>
                          <w:szCs w:val="15"/>
                          <w:lang w:val="en-US" w:eastAsia="zh-CN"/>
                        </w:rPr>
                      </w:pPr>
                      <w:r>
                        <w:rPr>
                          <w:rFonts w:hint="eastAsia"/>
                          <w:color w:val="auto"/>
                          <w:sz w:val="15"/>
                          <w:szCs w:val="15"/>
                          <w:lang w:val="en-US" w:eastAsia="zh-CN"/>
                        </w:rPr>
                        <w:t>经管网进入安化县污水处理厂处理达标后排入资江</w:t>
                      </w:r>
                    </w:p>
                  </w:txbxContent>
                </v:textbox>
              </v:rect>
            </w:pict>
          </mc:Fallback>
        </mc:AlternateContent>
      </w:r>
      <w:r>
        <w:rPr>
          <w:sz w:val="24"/>
        </w:rPr>
        <mc:AlternateContent>
          <mc:Choice Requires="wps">
            <w:drawing>
              <wp:anchor distT="0" distB="0" distL="114300" distR="114300" simplePos="0" relativeHeight="251658240" behindDoc="0" locked="0" layoutInCell="1" allowOverlap="1">
                <wp:simplePos x="0" y="0"/>
                <wp:positionH relativeFrom="column">
                  <wp:posOffset>4168140</wp:posOffset>
                </wp:positionH>
                <wp:positionV relativeFrom="paragraph">
                  <wp:posOffset>1363345</wp:posOffset>
                </wp:positionV>
                <wp:extent cx="1143000" cy="514350"/>
                <wp:effectExtent l="0" t="0" r="0" b="0"/>
                <wp:wrapNone/>
                <wp:docPr id="9" name="矩形 9"/>
                <wp:cNvGraphicFramePr/>
                <a:graphic xmlns:a="http://schemas.openxmlformats.org/drawingml/2006/main">
                  <a:graphicData uri="http://schemas.microsoft.com/office/word/2010/wordprocessingShape">
                    <wps:wsp>
                      <wps:cNvSpPr/>
                      <wps:spPr>
                        <a:xfrm>
                          <a:off x="3844290" y="8736330"/>
                          <a:ext cx="1143000"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2pt;margin-top:107.35pt;height:40.5pt;width:90pt;z-index:251658240;v-text-anchor:middle;mso-width-relative:page;mso-height-relative:page;" fillcolor="#FFFFFF [3212]" filled="t" stroked="f" coordsize="21600,21600" o:gfxdata="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hpc&#10;QdoAAAALAQAADwAAAAAAAAABACAAAAAiAAAAZHJzL2Rvd25yZXYueG1sUEsBAhQAFAAAAAgAh07i&#10;QJ5LrY9ZAgAAiQQAAA4AAAAAAAAAAQAgAAAAKQEAAGRycy9lMm9Eb2MueG1sUEsFBgAAAAAGAAYA&#10;WQEAAPQFAAAAAA==&#10;">
                <v:fill on="t" focussize="0,0"/>
                <v:stroke on="f" weight="1pt" miterlimit="8" joinstyle="miter"/>
                <v:imagedata o:title=""/>
                <o:lock v:ext="edit" aspectratio="f"/>
              </v:rect>
            </w:pict>
          </mc:Fallback>
        </mc:AlternateContent>
      </w:r>
      <w:r>
        <w:rPr>
          <w:sz w:val="24"/>
        </w:rPr>
        <w:drawing>
          <wp:inline distT="0" distB="0" distL="114300" distR="114300">
            <wp:extent cx="5272405" cy="2622550"/>
            <wp:effectExtent l="0" t="0" r="4445" b="6350"/>
            <wp:docPr id="46" name="图片 46" descr="1545786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545786014(1)"/>
                    <pic:cNvPicPr>
                      <a:picLocks noChangeAspect="1"/>
                    </pic:cNvPicPr>
                  </pic:nvPicPr>
                  <pic:blipFill>
                    <a:blip r:embed="rId6"/>
                    <a:stretch>
                      <a:fillRect/>
                    </a:stretch>
                  </pic:blipFill>
                  <pic:spPr>
                    <a:xfrm>
                      <a:off x="0" y="0"/>
                      <a:ext cx="5272405" cy="2622550"/>
                    </a:xfrm>
                    <a:prstGeom prst="rect">
                      <a:avLst/>
                    </a:prstGeom>
                  </pic:spPr>
                </pic:pic>
              </a:graphicData>
            </a:graphic>
          </wp:inline>
        </w:drawing>
      </w:r>
    </w:p>
    <w:p>
      <w:pPr>
        <w:pStyle w:val="18"/>
        <w:jc w:val="center"/>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图3-1 水平衡图（单位：t/a）</w:t>
      </w:r>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17" w:name="_Toc19545"/>
      <w:r>
        <w:rPr>
          <w:rFonts w:hint="default" w:ascii="Times New Roman" w:hAnsi="Times New Roman" w:eastAsia="宋体" w:cs="Times New Roman"/>
          <w:b/>
          <w:sz w:val="30"/>
          <w:szCs w:val="30"/>
        </w:rPr>
        <w:t>3.</w:t>
      </w:r>
      <w:r>
        <w:rPr>
          <w:rFonts w:hint="eastAsia" w:ascii="Times New Roman" w:hAnsi="Times New Roman" w:cs="Times New Roman"/>
          <w:b/>
          <w:sz w:val="30"/>
          <w:szCs w:val="30"/>
          <w:lang w:val="en-US" w:eastAsia="zh-CN"/>
        </w:rPr>
        <w:t>4</w:t>
      </w:r>
      <w:r>
        <w:rPr>
          <w:rFonts w:hint="default" w:ascii="Times New Roman" w:hAnsi="Times New Roman" w:eastAsia="宋体" w:cs="Times New Roman"/>
          <w:b/>
          <w:sz w:val="30"/>
          <w:szCs w:val="30"/>
        </w:rPr>
        <w:t xml:space="preserve"> 生产工艺</w:t>
      </w:r>
      <w:bookmarkEnd w:id="1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rPr>
        <w:t>本项目</w:t>
      </w:r>
      <w:r>
        <w:rPr>
          <w:rFonts w:hint="eastAsia" w:ascii="Times New Roman" w:hAnsi="Times New Roman" w:cs="Times New Roman"/>
          <w:sz w:val="24"/>
          <w:szCs w:val="24"/>
          <w:lang w:val="en-US" w:eastAsia="zh-CN"/>
        </w:rPr>
        <w:t>运营流程及产污环节如下：</w:t>
      </w:r>
    </w:p>
    <w:p>
      <w:pPr>
        <w:pStyle w:val="18"/>
        <w:ind w:left="0" w:leftChars="0" w:firstLine="0" w:firstLineChars="0"/>
        <w:jc w:val="both"/>
        <w:rPr>
          <w:rFonts w:hint="eastAsia"/>
          <w:lang w:val="en-US" w:eastAsia="zh-CN"/>
        </w:rPr>
      </w:pPr>
      <w:r>
        <w:rPr>
          <w:rFonts w:hint="eastAsia"/>
          <w:lang w:val="en-US" w:eastAsia="zh-CN"/>
        </w:rPr>
        <w:t xml:space="preserve"> </w:t>
      </w:r>
      <w:r>
        <w:drawing>
          <wp:inline distT="0" distB="0" distL="114300" distR="114300">
            <wp:extent cx="5233670" cy="3018790"/>
            <wp:effectExtent l="9525" t="9525" r="14605" b="1968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7"/>
                    <a:stretch>
                      <a:fillRect/>
                    </a:stretch>
                  </pic:blipFill>
                  <pic:spPr>
                    <a:xfrm>
                      <a:off x="0" y="0"/>
                      <a:ext cx="5233670" cy="3018790"/>
                    </a:xfrm>
                    <a:prstGeom prst="rect">
                      <a:avLst/>
                    </a:prstGeom>
                    <a:noFill/>
                    <a:ln w="9525">
                      <a:solidFill>
                        <a:schemeClr val="tx1"/>
                      </a:solidFill>
                    </a:ln>
                  </pic:spPr>
                </pic:pic>
              </a:graphicData>
            </a:graphic>
          </wp:inline>
        </w:drawing>
      </w:r>
    </w:p>
    <w:p>
      <w:pPr>
        <w:pStyle w:val="18"/>
        <w:jc w:val="center"/>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图3-2 运营期流程及产污节点图</w:t>
      </w:r>
    </w:p>
    <w:p>
      <w:pPr>
        <w:pStyle w:val="18"/>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流程简述：</w:t>
      </w:r>
    </w:p>
    <w:p>
      <w:pPr>
        <w:pStyle w:val="18"/>
        <w:rPr>
          <w:rFonts w:ascii="宋体" w:hAnsi="宋体" w:eastAsia="宋体" w:cs="宋体"/>
          <w:sz w:val="24"/>
          <w:szCs w:val="24"/>
        </w:rPr>
      </w:pPr>
      <w:r>
        <w:rPr>
          <w:rFonts w:hint="eastAsia" w:ascii="Times New Roman" w:hAnsi="Times New Roman" w:cs="Times New Roman" w:eastAsiaTheme="minorEastAsia"/>
          <w:kern w:val="2"/>
          <w:sz w:val="24"/>
          <w:szCs w:val="24"/>
          <w:lang w:val="en-US" w:eastAsia="zh-CN" w:bidi="ar-SA"/>
        </w:rPr>
        <w:t>本项目为患者提供常见的医疗诊断服务，诊疗科目包括内科、外科、妇产科、眼科、耳鼻喉科、麻醉科、医学检验科（本项目检验科主要为仪器分析科，只做常规项目检测）、医学影像科（X线、超声、心电诊断专业）和中医科（针灸科专业、推拿科专业，不提供中药熬制、打粉等工序）等，不设传染科，不接纳传染病病人，不设太平间</w:t>
      </w:r>
      <w:r>
        <w:rPr>
          <w:rFonts w:hint="default" w:ascii="Times New Roman" w:hAnsi="Times New Roman" w:cs="Times New Roman" w:eastAsiaTheme="minorEastAsia"/>
          <w:kern w:val="2"/>
          <w:sz w:val="24"/>
          <w:szCs w:val="24"/>
          <w:lang w:val="en-US" w:eastAsia="zh-CN" w:bidi="ar-SA"/>
        </w:rPr>
        <w:t>。</w:t>
      </w:r>
      <w:r>
        <w:rPr>
          <w:rFonts w:ascii="宋体" w:hAnsi="宋体" w:eastAsia="宋体" w:cs="宋体"/>
          <w:sz w:val="24"/>
          <w:szCs w:val="24"/>
        </w:rPr>
        <w:t xml:space="preserve"> </w:t>
      </w:r>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18" w:name="_Toc23951"/>
      <w:r>
        <w:rPr>
          <w:rFonts w:hint="default" w:ascii="Times New Roman" w:hAnsi="Times New Roman" w:eastAsia="宋体" w:cs="Times New Roman"/>
          <w:b/>
          <w:sz w:val="30"/>
          <w:szCs w:val="30"/>
        </w:rPr>
        <w:t>3.</w:t>
      </w:r>
      <w:r>
        <w:rPr>
          <w:rFonts w:hint="eastAsia" w:ascii="Times New Roman" w:hAnsi="Times New Roman" w:cs="Times New Roman"/>
          <w:b/>
          <w:sz w:val="30"/>
          <w:szCs w:val="30"/>
          <w:lang w:val="en-US" w:eastAsia="zh-CN"/>
        </w:rPr>
        <w:t>5</w:t>
      </w:r>
      <w:r>
        <w:rPr>
          <w:rFonts w:hint="default" w:ascii="Times New Roman" w:hAnsi="Times New Roman" w:eastAsia="宋体" w:cs="Times New Roman"/>
          <w:b/>
          <w:sz w:val="30"/>
          <w:szCs w:val="30"/>
        </w:rPr>
        <w:t xml:space="preserve"> 项目变动情况</w:t>
      </w:r>
      <w:bookmarkEnd w:id="1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eastAsia="宋体" w:cs="Times New Roman"/>
          <w:color w:val="000000"/>
          <w:sz w:val="24"/>
          <w:szCs w:val="24"/>
          <w:lang w:val="en-US" w:eastAsia="zh-CN"/>
        </w:rPr>
        <w:t>该项目建设情况与环评基本一致，无变动情况</w:t>
      </w:r>
      <w:r>
        <w:rPr>
          <w:rFonts w:hint="default" w:ascii="Times New Roman" w:hAnsi="Times New Roman" w:cs="Times New Roman"/>
          <w:sz w:val="24"/>
          <w:szCs w:val="24"/>
        </w:rPr>
        <w:t>。</w:t>
      </w:r>
    </w:p>
    <w:p>
      <w:pPr>
        <w:pStyle w:val="18"/>
        <w:rPr>
          <w:rFonts w:hint="default" w:ascii="Times New Roman" w:hAnsi="Times New Roman" w:cs="Times New Roman"/>
          <w:sz w:val="24"/>
          <w:szCs w:val="24"/>
        </w:rPr>
      </w:pPr>
    </w:p>
    <w:p>
      <w:pPr>
        <w:pStyle w:val="18"/>
        <w:rPr>
          <w:rFonts w:hint="default" w:ascii="Times New Roman" w:hAnsi="Times New Roman" w:cs="Times New Roman"/>
          <w:sz w:val="24"/>
          <w:szCs w:val="24"/>
        </w:rPr>
      </w:pPr>
    </w:p>
    <w:p>
      <w:pPr>
        <w:pStyle w:val="18"/>
        <w:rPr>
          <w:rFonts w:hint="default" w:ascii="Times New Roman" w:hAnsi="Times New Roman" w:cs="Times New Roman"/>
          <w:sz w:val="24"/>
          <w:szCs w:val="24"/>
        </w:rPr>
      </w:pPr>
    </w:p>
    <w:p>
      <w:pPr>
        <w:pStyle w:val="18"/>
        <w:rPr>
          <w:rFonts w:hint="default" w:ascii="Times New Roman" w:hAnsi="Times New Roman" w:cs="Times New Roman"/>
          <w:sz w:val="24"/>
          <w:szCs w:val="24"/>
        </w:rPr>
      </w:pPr>
    </w:p>
    <w:p>
      <w:pPr>
        <w:pStyle w:val="18"/>
        <w:rPr>
          <w:rFonts w:hint="default" w:ascii="Times New Roman" w:hAnsi="Times New Roman" w:cs="Times New Roman"/>
          <w:sz w:val="24"/>
          <w:szCs w:val="24"/>
        </w:rPr>
      </w:pPr>
    </w:p>
    <w:p>
      <w:pPr>
        <w:pStyle w:val="18"/>
        <w:rPr>
          <w:rFonts w:hint="default" w:ascii="Times New Roman" w:hAnsi="Times New Roman" w:cs="Times New Roman"/>
          <w:sz w:val="24"/>
          <w:szCs w:val="24"/>
        </w:rPr>
      </w:pPr>
    </w:p>
    <w:p>
      <w:pPr>
        <w:pStyle w:val="18"/>
        <w:rPr>
          <w:rFonts w:hint="default" w:ascii="Times New Roman" w:hAnsi="Times New Roman" w:cs="Times New Roman"/>
          <w:sz w:val="24"/>
          <w:szCs w:val="24"/>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19" w:name="_Toc27150"/>
      <w:r>
        <w:rPr>
          <w:rFonts w:hint="default" w:ascii="Times New Roman" w:hAnsi="Times New Roman" w:eastAsia="宋体" w:cs="Times New Roman"/>
          <w:b/>
        </w:rPr>
        <w:t>4 环境保护设施</w:t>
      </w:r>
      <w:bookmarkEnd w:id="19"/>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20" w:name="_Toc16477"/>
      <w:r>
        <w:rPr>
          <w:rFonts w:hint="default" w:ascii="Times New Roman" w:hAnsi="Times New Roman" w:eastAsia="宋体" w:cs="Times New Roman"/>
          <w:b/>
          <w:sz w:val="30"/>
          <w:szCs w:val="30"/>
        </w:rPr>
        <w:t xml:space="preserve">4 </w:t>
      </w:r>
      <w:r>
        <w:rPr>
          <w:rFonts w:hint="eastAsia" w:ascii="Times New Roman" w:hAnsi="Times New Roman" w:eastAsia="宋体" w:cs="Times New Roman"/>
          <w:b/>
          <w:sz w:val="30"/>
          <w:szCs w:val="30"/>
          <w:lang w:val="en-US" w:eastAsia="zh-CN"/>
        </w:rPr>
        <w:t>.</w:t>
      </w:r>
      <w:r>
        <w:rPr>
          <w:rFonts w:hint="default" w:ascii="Times New Roman" w:hAnsi="Times New Roman" w:eastAsia="宋体" w:cs="Times New Roman"/>
          <w:b/>
          <w:sz w:val="30"/>
          <w:szCs w:val="30"/>
        </w:rPr>
        <w:t>1 污染物治理</w:t>
      </w:r>
      <w:r>
        <w:rPr>
          <w:rFonts w:hint="eastAsia" w:ascii="Times New Roman" w:hAnsi="Times New Roman" w:eastAsia="宋体" w:cs="Times New Roman"/>
          <w:b/>
          <w:sz w:val="30"/>
          <w:szCs w:val="30"/>
          <w:lang w:eastAsia="zh-CN"/>
        </w:rPr>
        <w:t>、</w:t>
      </w:r>
      <w:r>
        <w:rPr>
          <w:rFonts w:hint="default" w:ascii="Times New Roman" w:hAnsi="Times New Roman" w:eastAsia="宋体" w:cs="Times New Roman"/>
          <w:b/>
          <w:sz w:val="30"/>
          <w:szCs w:val="30"/>
        </w:rPr>
        <w:t>处置设施</w:t>
      </w:r>
      <w:bookmarkEnd w:id="20"/>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21" w:name="_Toc21883"/>
      <w:r>
        <w:rPr>
          <w:rFonts w:hint="default" w:ascii="Times New Roman" w:hAnsi="Times New Roman" w:cs="Times New Roman"/>
        </w:rPr>
        <w:t>4.1</w:t>
      </w:r>
      <w:r>
        <w:rPr>
          <w:rFonts w:hint="default" w:ascii="Times New Roman" w:hAnsi="Times New Roman" w:cs="Times New Roman"/>
          <w:lang w:val="en-US" w:eastAsia="zh-CN"/>
        </w:rPr>
        <w:t>.</w:t>
      </w:r>
      <w:r>
        <w:rPr>
          <w:rFonts w:hint="default" w:ascii="Times New Roman" w:hAnsi="Times New Roman" w:cs="Times New Roman"/>
        </w:rPr>
        <w:t>1 废水</w:t>
      </w:r>
      <w:bookmarkEnd w:id="21"/>
    </w:p>
    <w:p>
      <w:pPr>
        <w:pStyle w:val="18"/>
        <w:rPr>
          <w:rFonts w:hint="eastAsia" w:ascii="Times New Roman" w:hAnsi="Times New Roman" w:cs="Times New Roman" w:eastAsiaTheme="minorEastAsia"/>
          <w:kern w:val="2"/>
          <w:sz w:val="24"/>
          <w:szCs w:val="24"/>
          <w:lang w:val="en-US" w:eastAsia="zh-CN" w:bidi="ar-SA"/>
        </w:rPr>
      </w:pPr>
      <w:bookmarkStart w:id="22" w:name="_Toc18009"/>
      <w:bookmarkStart w:id="23" w:name="_Toc11106"/>
      <w:r>
        <w:rPr>
          <w:rFonts w:hint="eastAsia" w:ascii="Times New Roman" w:hAnsi="Times New Roman" w:cs="Times New Roman" w:eastAsiaTheme="minorEastAsia"/>
          <w:kern w:val="2"/>
          <w:sz w:val="24"/>
          <w:szCs w:val="24"/>
          <w:lang w:val="en-US" w:eastAsia="zh-CN" w:bidi="ar-SA"/>
        </w:rPr>
        <w:t>本项目不设传染科，医学影像洗片均采用激光扫描仪打印，不会产生放射性废水和洗片废水；检验科室产生的废水经中和处理后排入自建污水处理设施进行处理；在血液、血清和化学检验分析中使用试剂盒，试剂盒成套购入，试剂盒中的试剂直接放入全自动生化仪中，一次性使用，试剂盒集中收集作为医疗废物处置，不会产生含氰废水和含重金属的废水。本项目不设职工宿舍和洗涤区，不涉及相关排水。</w:t>
      </w:r>
    </w:p>
    <w:p>
      <w:pPr>
        <w:pStyle w:val="18"/>
        <w:rPr>
          <w:rFonts w:hint="eastAsia" w:ascii="Times New Roman" w:hAnsi="Times New Roman" w:cs="Times New Roman" w:eastAsiaTheme="minorEastAsia"/>
          <w:kern w:val="2"/>
          <w:sz w:val="24"/>
          <w:szCs w:val="24"/>
          <w:lang w:val="en-US" w:eastAsia="zh-CN" w:bidi="ar-SA"/>
        </w:rPr>
      </w:pPr>
      <w:r>
        <w:rPr>
          <w:rFonts w:ascii="宋体" w:hAnsi="宋体" w:eastAsia="宋体" w:cs="宋体"/>
          <w:b w:val="0"/>
          <w:i w:val="0"/>
          <w:color w:val="000000"/>
          <w:sz w:val="24"/>
          <w:szCs w:val="24"/>
        </w:rPr>
        <w:t>本项目产生的废水主要是一般医疗废水和生活废水</w:t>
      </w:r>
      <w:r>
        <w:rPr>
          <w:rFonts w:hint="eastAsia" w:ascii="Times New Roman" w:hAnsi="Times New Roman" w:cs="Times New Roman" w:eastAsiaTheme="minorEastAsia"/>
          <w:kern w:val="2"/>
          <w:sz w:val="24"/>
          <w:szCs w:val="24"/>
          <w:lang w:val="en-US" w:eastAsia="zh-CN" w:bidi="ar-SA"/>
        </w:rPr>
        <w:t>。</w:t>
      </w:r>
    </w:p>
    <w:p>
      <w:pPr>
        <w:pStyle w:val="18"/>
        <w:numPr>
          <w:ilvl w:val="0"/>
          <w:numId w:val="2"/>
        </w:numPr>
        <w:rPr>
          <w:rFonts w:ascii="宋体" w:hAnsi="宋体" w:eastAsia="宋体" w:cs="宋体"/>
          <w:b w:val="0"/>
          <w:i w:val="0"/>
          <w:color w:val="000000"/>
          <w:sz w:val="24"/>
          <w:szCs w:val="24"/>
        </w:rPr>
      </w:pPr>
      <w:r>
        <w:rPr>
          <w:rFonts w:ascii="宋体" w:hAnsi="宋体" w:eastAsia="宋体" w:cs="宋体"/>
          <w:b w:val="0"/>
          <w:i w:val="0"/>
          <w:color w:val="000000"/>
          <w:sz w:val="24"/>
          <w:szCs w:val="24"/>
        </w:rPr>
        <w:t xml:space="preserve">病房排水：主要是来自病人和医护、家属的冲厕、盥洗及清洗餐具等的排水，主要污染因子包括： </w:t>
      </w:r>
      <w:r>
        <w:rPr>
          <w:rFonts w:hint="eastAsia" w:ascii="TimesNewRomanPSMT" w:hAnsi="TimesNewRomanPSMT" w:eastAsia="宋体" w:cs="TimesNewRomanPSMT"/>
          <w:b w:val="0"/>
          <w:i w:val="0"/>
          <w:color w:val="000000"/>
          <w:sz w:val="24"/>
          <w:szCs w:val="24"/>
          <w:lang w:eastAsia="zh-CN"/>
        </w:rPr>
        <w:t>悬浮物</w:t>
      </w:r>
      <w:r>
        <w:rPr>
          <w:rFonts w:ascii="宋体" w:hAnsi="宋体" w:eastAsia="宋体" w:cs="宋体"/>
          <w:b w:val="0"/>
          <w:i w:val="0"/>
          <w:color w:val="000000"/>
          <w:sz w:val="24"/>
          <w:szCs w:val="24"/>
        </w:rPr>
        <w:t xml:space="preserve">、粪大肠菌群、 </w:t>
      </w:r>
      <w:r>
        <w:rPr>
          <w:rFonts w:hint="eastAsia" w:ascii="TimesNewRomanPSMT" w:hAnsi="TimesNewRomanPSMT" w:eastAsia="宋体" w:cs="TimesNewRomanPSMT"/>
          <w:b w:val="0"/>
          <w:i w:val="0"/>
          <w:color w:val="000000"/>
          <w:sz w:val="24"/>
          <w:szCs w:val="24"/>
          <w:lang w:eastAsia="zh-CN"/>
        </w:rPr>
        <w:t>化学需氧量</w:t>
      </w:r>
      <w:r>
        <w:rPr>
          <w:rFonts w:ascii="宋体" w:hAnsi="宋体" w:eastAsia="宋体" w:cs="宋体"/>
          <w:b w:val="0"/>
          <w:i w:val="0"/>
          <w:color w:val="000000"/>
          <w:sz w:val="24"/>
          <w:szCs w:val="24"/>
        </w:rPr>
        <w:t xml:space="preserve">、 </w:t>
      </w:r>
      <w:r>
        <w:rPr>
          <w:rFonts w:hint="eastAsia" w:ascii="TimesNewRomanPSMT" w:hAnsi="TimesNewRomanPSMT" w:eastAsia="宋体" w:cs="TimesNewRomanPSMT"/>
          <w:b w:val="0"/>
          <w:i w:val="0"/>
          <w:color w:val="000000"/>
          <w:sz w:val="24"/>
          <w:szCs w:val="24"/>
          <w:lang w:eastAsia="zh-CN"/>
        </w:rPr>
        <w:t>五日生化需氧量</w:t>
      </w:r>
      <w:r>
        <w:rPr>
          <w:rFonts w:ascii="TimesNewRomanPSMT" w:hAnsi="TimesNewRomanPSMT" w:eastAsia="TimesNewRomanPSMT" w:cs="TimesNewRomanPSMT"/>
          <w:b w:val="0"/>
          <w:i w:val="0"/>
          <w:color w:val="000000"/>
          <w:sz w:val="16"/>
          <w:szCs w:val="16"/>
        </w:rPr>
        <w:t xml:space="preserve"> </w:t>
      </w:r>
      <w:r>
        <w:rPr>
          <w:rFonts w:ascii="宋体" w:hAnsi="宋体" w:eastAsia="宋体" w:cs="宋体"/>
          <w:b w:val="0"/>
          <w:i w:val="0"/>
          <w:color w:val="000000"/>
          <w:sz w:val="24"/>
          <w:szCs w:val="24"/>
        </w:rPr>
        <w:t>等。</w:t>
      </w:r>
    </w:p>
    <w:p>
      <w:pPr>
        <w:pStyle w:val="18"/>
        <w:numPr>
          <w:ilvl w:val="0"/>
          <w:numId w:val="2"/>
        </w:numPr>
        <w:rPr>
          <w:rFonts w:hint="default" w:ascii="Times New Roman" w:hAnsi="Times New Roman" w:cs="Times New Roman" w:eastAsiaTheme="minorEastAsia"/>
          <w:kern w:val="2"/>
          <w:sz w:val="24"/>
          <w:szCs w:val="24"/>
          <w:lang w:val="en-US" w:eastAsia="zh-CN" w:bidi="ar-SA"/>
        </w:rPr>
      </w:pPr>
      <w:r>
        <w:rPr>
          <w:rFonts w:ascii="宋体" w:hAnsi="宋体" w:eastAsia="宋体" w:cs="宋体"/>
          <w:b w:val="0"/>
          <w:i w:val="0"/>
          <w:color w:val="000000"/>
          <w:sz w:val="24"/>
          <w:szCs w:val="24"/>
        </w:rPr>
        <w:t xml:space="preserve">门诊排水：主要来自医院门诊求医者加上陪同人员，主要污染因子包括： </w:t>
      </w:r>
      <w:r>
        <w:rPr>
          <w:rFonts w:hint="eastAsia" w:ascii="TimesNewRomanPSMT" w:hAnsi="TimesNewRomanPSMT" w:eastAsia="宋体" w:cs="TimesNewRomanPSMT"/>
          <w:b w:val="0"/>
          <w:i w:val="0"/>
          <w:color w:val="000000"/>
          <w:sz w:val="24"/>
          <w:szCs w:val="24"/>
          <w:lang w:eastAsia="zh-CN"/>
        </w:rPr>
        <w:t>悬浮物</w:t>
      </w:r>
      <w:r>
        <w:rPr>
          <w:rFonts w:ascii="宋体" w:hAnsi="宋体" w:eastAsia="宋体" w:cs="宋体"/>
          <w:b w:val="0"/>
          <w:i w:val="0"/>
          <w:color w:val="000000"/>
          <w:sz w:val="24"/>
          <w:szCs w:val="24"/>
        </w:rPr>
        <w:t xml:space="preserve">、粪大肠菌群、 </w:t>
      </w:r>
      <w:r>
        <w:rPr>
          <w:rFonts w:hint="eastAsia" w:ascii="TimesNewRomanPSMT" w:hAnsi="TimesNewRomanPSMT" w:eastAsia="宋体" w:cs="TimesNewRomanPSMT"/>
          <w:b w:val="0"/>
          <w:i w:val="0"/>
          <w:color w:val="000000"/>
          <w:sz w:val="24"/>
          <w:szCs w:val="24"/>
          <w:lang w:eastAsia="zh-CN"/>
        </w:rPr>
        <w:t>化学需氧量</w:t>
      </w:r>
      <w:r>
        <w:rPr>
          <w:rFonts w:ascii="宋体" w:hAnsi="宋体" w:eastAsia="宋体" w:cs="宋体"/>
          <w:b w:val="0"/>
          <w:i w:val="0"/>
          <w:color w:val="000000"/>
          <w:sz w:val="24"/>
          <w:szCs w:val="24"/>
        </w:rPr>
        <w:t xml:space="preserve">、 </w:t>
      </w:r>
      <w:r>
        <w:rPr>
          <w:rFonts w:hint="eastAsia" w:ascii="TimesNewRomanPSMT" w:hAnsi="TimesNewRomanPSMT" w:eastAsia="宋体" w:cs="TimesNewRomanPSMT"/>
          <w:b w:val="0"/>
          <w:i w:val="0"/>
          <w:color w:val="000000"/>
          <w:sz w:val="24"/>
          <w:szCs w:val="24"/>
          <w:lang w:eastAsia="zh-CN"/>
        </w:rPr>
        <w:t>五日生化需氧量</w:t>
      </w:r>
      <w:r>
        <w:rPr>
          <w:rFonts w:ascii="TimesNewRomanPSMT" w:hAnsi="TimesNewRomanPSMT" w:eastAsia="TimesNewRomanPSMT" w:cs="TimesNewRomanPSMT"/>
          <w:b w:val="0"/>
          <w:i w:val="0"/>
          <w:color w:val="000000"/>
          <w:sz w:val="16"/>
          <w:szCs w:val="16"/>
        </w:rPr>
        <w:t xml:space="preserve"> </w:t>
      </w:r>
      <w:r>
        <w:rPr>
          <w:rFonts w:ascii="宋体" w:hAnsi="宋体" w:eastAsia="宋体" w:cs="宋体"/>
          <w:b w:val="0"/>
          <w:i w:val="0"/>
          <w:color w:val="000000"/>
          <w:sz w:val="24"/>
          <w:szCs w:val="24"/>
        </w:rPr>
        <w:t>等。</w:t>
      </w:r>
      <w:r>
        <w:rPr>
          <w:rFonts w:ascii="宋体" w:hAnsi="宋体" w:eastAsia="宋体" w:cs="宋体"/>
          <w:sz w:val="24"/>
          <w:szCs w:val="24"/>
        </w:rPr>
        <w:t xml:space="preserve"> </w:t>
      </w:r>
    </w:p>
    <w:p>
      <w:pPr>
        <w:pStyle w:val="18"/>
        <w:numPr>
          <w:ilvl w:val="0"/>
          <w:numId w:val="2"/>
        </w:numPr>
        <w:rPr>
          <w:rFonts w:hint="default" w:ascii="Times New Roman" w:hAnsi="Times New Roman" w:cs="Times New Roman" w:eastAsiaTheme="minorEastAsia"/>
          <w:kern w:val="2"/>
          <w:sz w:val="24"/>
          <w:szCs w:val="24"/>
          <w:lang w:val="en-US" w:eastAsia="zh-CN" w:bidi="ar-SA"/>
        </w:rPr>
      </w:pPr>
      <w:r>
        <w:rPr>
          <w:rFonts w:ascii="宋体" w:hAnsi="宋体" w:eastAsia="宋体" w:cs="宋体"/>
          <w:sz w:val="24"/>
          <w:szCs w:val="24"/>
        </w:rPr>
        <w:t xml:space="preserve"> </w:t>
      </w:r>
      <w:r>
        <w:rPr>
          <w:rFonts w:ascii="宋体" w:hAnsi="宋体" w:eastAsia="宋体" w:cs="宋体"/>
          <w:b w:val="0"/>
          <w:i w:val="0"/>
          <w:color w:val="000000"/>
          <w:sz w:val="24"/>
          <w:szCs w:val="24"/>
        </w:rPr>
        <w:t>食堂排水：食堂废水污染成分包括悬浮物、有机物及少量油脂，主要污染因子为</w:t>
      </w:r>
      <w:r>
        <w:rPr>
          <w:rFonts w:hint="eastAsia" w:ascii="TimesNewRomanPSMT" w:hAnsi="TimesNewRomanPSMT" w:eastAsia="宋体" w:cs="TimesNewRomanPSMT"/>
          <w:b w:val="0"/>
          <w:i w:val="0"/>
          <w:color w:val="000000"/>
          <w:sz w:val="24"/>
          <w:szCs w:val="24"/>
          <w:lang w:eastAsia="zh-CN"/>
        </w:rPr>
        <w:t>化学需氧量</w:t>
      </w:r>
      <w:r>
        <w:rPr>
          <w:rFonts w:ascii="宋体" w:hAnsi="宋体" w:eastAsia="宋体" w:cs="宋体"/>
          <w:b w:val="0"/>
          <w:i w:val="0"/>
          <w:color w:val="000000"/>
          <w:sz w:val="24"/>
          <w:szCs w:val="24"/>
        </w:rPr>
        <w:t xml:space="preserve">、 </w:t>
      </w:r>
      <w:r>
        <w:rPr>
          <w:rFonts w:hint="eastAsia" w:ascii="TimesNewRomanPSMT" w:hAnsi="TimesNewRomanPSMT" w:eastAsia="宋体" w:cs="TimesNewRomanPSMT"/>
          <w:b w:val="0"/>
          <w:i w:val="0"/>
          <w:color w:val="000000"/>
          <w:sz w:val="24"/>
          <w:szCs w:val="24"/>
          <w:lang w:eastAsia="zh-CN"/>
        </w:rPr>
        <w:t>五日生化需氧量</w:t>
      </w:r>
      <w:r>
        <w:rPr>
          <w:rFonts w:ascii="宋体" w:hAnsi="宋体" w:eastAsia="宋体" w:cs="宋体"/>
          <w:b w:val="0"/>
          <w:i w:val="0"/>
          <w:color w:val="000000"/>
          <w:sz w:val="24"/>
          <w:szCs w:val="24"/>
        </w:rPr>
        <w:t xml:space="preserve">、 </w:t>
      </w:r>
      <w:r>
        <w:rPr>
          <w:rFonts w:hint="eastAsia" w:ascii="TimesNewRomanPSMT" w:hAnsi="TimesNewRomanPSMT" w:eastAsia="宋体" w:cs="TimesNewRomanPSMT"/>
          <w:b w:val="0"/>
          <w:i w:val="0"/>
          <w:color w:val="000000"/>
          <w:sz w:val="24"/>
          <w:szCs w:val="24"/>
          <w:lang w:eastAsia="zh-CN"/>
        </w:rPr>
        <w:t>氨氮</w:t>
      </w:r>
      <w:r>
        <w:rPr>
          <w:rFonts w:ascii="宋体" w:hAnsi="宋体" w:eastAsia="宋体" w:cs="宋体"/>
          <w:b w:val="0"/>
          <w:i w:val="0"/>
          <w:color w:val="000000"/>
          <w:sz w:val="24"/>
          <w:szCs w:val="24"/>
        </w:rPr>
        <w:t xml:space="preserve">、 </w:t>
      </w:r>
      <w:r>
        <w:rPr>
          <w:rFonts w:hint="eastAsia" w:ascii="TimesNewRomanPSMT" w:hAnsi="TimesNewRomanPSMT" w:eastAsia="宋体" w:cs="TimesNewRomanPSMT"/>
          <w:b w:val="0"/>
          <w:i w:val="0"/>
          <w:color w:val="000000"/>
          <w:sz w:val="24"/>
          <w:szCs w:val="24"/>
          <w:lang w:eastAsia="zh-CN"/>
        </w:rPr>
        <w:t>悬浮物</w:t>
      </w:r>
      <w:r>
        <w:rPr>
          <w:rFonts w:ascii="宋体" w:hAnsi="宋体" w:eastAsia="宋体" w:cs="宋体"/>
          <w:b w:val="0"/>
          <w:i w:val="0"/>
          <w:color w:val="000000"/>
          <w:sz w:val="24"/>
          <w:szCs w:val="24"/>
        </w:rPr>
        <w:t>、动植物油等。</w:t>
      </w:r>
    </w:p>
    <w:p>
      <w:pPr>
        <w:pStyle w:val="18"/>
        <w:numPr>
          <w:ilvl w:val="0"/>
          <w:numId w:val="2"/>
        </w:numPr>
        <w:rPr>
          <w:rFonts w:hint="default" w:ascii="Times New Roman" w:hAnsi="Times New Roman" w:cs="Times New Roman" w:eastAsiaTheme="minorEastAsia"/>
          <w:kern w:val="2"/>
          <w:sz w:val="24"/>
          <w:szCs w:val="24"/>
          <w:lang w:val="en-US" w:eastAsia="zh-CN" w:bidi="ar-SA"/>
        </w:rPr>
      </w:pPr>
      <w:r>
        <w:rPr>
          <w:rFonts w:ascii="宋体" w:hAnsi="宋体" w:eastAsia="宋体" w:cs="宋体"/>
          <w:sz w:val="24"/>
          <w:szCs w:val="24"/>
        </w:rPr>
        <w:t xml:space="preserve"> </w:t>
      </w:r>
      <w:r>
        <w:rPr>
          <w:rFonts w:ascii="宋体" w:hAnsi="宋体" w:eastAsia="宋体" w:cs="宋体"/>
          <w:b w:val="0"/>
          <w:i w:val="0"/>
          <w:color w:val="000000"/>
          <w:sz w:val="24"/>
          <w:szCs w:val="24"/>
        </w:rPr>
        <w:t>检验科排水：检验室废水应单独收集，主要污染因子为酸碱类，产生量约为</w:t>
      </w:r>
      <w:r>
        <w:rPr>
          <w:rFonts w:ascii="TimesNewRomanPSMT" w:hAnsi="TimesNewRomanPSMT" w:eastAsia="TimesNewRomanPSMT" w:cs="TimesNewRomanPSMT"/>
          <w:b w:val="0"/>
          <w:i w:val="0"/>
          <w:color w:val="000000"/>
          <w:sz w:val="24"/>
          <w:szCs w:val="24"/>
        </w:rPr>
        <w:t>31.025m</w:t>
      </w:r>
      <w:r>
        <w:rPr>
          <w:rFonts w:ascii="TimesNewRomanPSMT" w:hAnsi="TimesNewRomanPSMT" w:eastAsia="TimesNewRomanPSMT" w:cs="TimesNewRomanPSMT"/>
          <w:b w:val="0"/>
          <w:i w:val="0"/>
          <w:color w:val="000000"/>
          <w:sz w:val="16"/>
          <w:szCs w:val="16"/>
          <w:vertAlign w:val="superscript"/>
        </w:rPr>
        <w:t>3</w:t>
      </w:r>
      <w:r>
        <w:rPr>
          <w:rFonts w:ascii="TimesNewRomanPSMT" w:hAnsi="TimesNewRomanPSMT" w:eastAsia="TimesNewRomanPSMT" w:cs="TimesNewRomanPSMT"/>
          <w:b w:val="0"/>
          <w:i w:val="0"/>
          <w:color w:val="000000"/>
          <w:sz w:val="24"/>
          <w:szCs w:val="24"/>
          <w:vertAlign w:val="superscript"/>
        </w:rPr>
        <w:t>/</w:t>
      </w:r>
      <w:r>
        <w:rPr>
          <w:rFonts w:ascii="TimesNewRomanPSMT" w:hAnsi="TimesNewRomanPSMT" w:eastAsia="TimesNewRomanPSMT" w:cs="TimesNewRomanPSMT"/>
          <w:b w:val="0"/>
          <w:i w:val="0"/>
          <w:color w:val="000000"/>
          <w:sz w:val="24"/>
          <w:szCs w:val="24"/>
        </w:rPr>
        <w:t>a</w:t>
      </w:r>
      <w:r>
        <w:rPr>
          <w:rFonts w:ascii="宋体" w:hAnsi="宋体" w:eastAsia="宋体" w:cs="宋体"/>
          <w:b w:val="0"/>
          <w:i w:val="0"/>
          <w:color w:val="000000"/>
          <w:sz w:val="24"/>
          <w:szCs w:val="24"/>
        </w:rPr>
        <w:t xml:space="preserve">，收集至检验废水收集桶至一定量后采用中和方法处理，使 </w:t>
      </w:r>
      <w:r>
        <w:rPr>
          <w:rFonts w:ascii="TimesNewRomanPSMT" w:hAnsi="TimesNewRomanPSMT" w:eastAsia="TimesNewRomanPSMT" w:cs="TimesNewRomanPSMT"/>
          <w:b w:val="0"/>
          <w:i w:val="0"/>
          <w:color w:val="000000"/>
          <w:sz w:val="24"/>
          <w:szCs w:val="24"/>
        </w:rPr>
        <w:t xml:space="preserve">pH </w:t>
      </w:r>
      <w:r>
        <w:rPr>
          <w:rFonts w:ascii="宋体" w:hAnsi="宋体" w:eastAsia="宋体" w:cs="宋体"/>
          <w:b w:val="0"/>
          <w:i w:val="0"/>
          <w:color w:val="000000"/>
          <w:sz w:val="24"/>
          <w:szCs w:val="24"/>
        </w:rPr>
        <w:t xml:space="preserve">值控制在 </w:t>
      </w:r>
      <w:r>
        <w:rPr>
          <w:rFonts w:ascii="TimesNewRomanPSMT" w:hAnsi="TimesNewRomanPSMT" w:eastAsia="TimesNewRomanPSMT" w:cs="TimesNewRomanPSMT"/>
          <w:b w:val="0"/>
          <w:i w:val="0"/>
          <w:color w:val="000000"/>
          <w:sz w:val="24"/>
          <w:szCs w:val="24"/>
        </w:rPr>
        <w:t xml:space="preserve">6-9 </w:t>
      </w:r>
      <w:r>
        <w:rPr>
          <w:rFonts w:ascii="宋体" w:hAnsi="宋体" w:eastAsia="宋体" w:cs="宋体"/>
          <w:b w:val="0"/>
          <w:i w:val="0"/>
          <w:color w:val="000000"/>
          <w:sz w:val="24"/>
          <w:szCs w:val="24"/>
        </w:rPr>
        <w:t>范围内后，再与其他废水一起排入污水处理设施。</w:t>
      </w:r>
      <w:r>
        <w:rPr>
          <w:rFonts w:ascii="宋体" w:hAnsi="宋体" w:eastAsia="宋体" w:cs="宋体"/>
          <w:sz w:val="24"/>
          <w:szCs w:val="24"/>
        </w:rPr>
        <w:t xml:space="preserve"> </w:t>
      </w:r>
      <w:r>
        <w:rPr>
          <w:rFonts w:hint="default" w:ascii="Times New Roman" w:hAnsi="Times New Roman" w:cs="Times New Roman" w:eastAsiaTheme="minorEastAsia"/>
          <w:kern w:val="2"/>
          <w:sz w:val="24"/>
          <w:szCs w:val="24"/>
          <w:lang w:val="fr-FR" w:eastAsia="zh-CN" w:bidi="ar-SA"/>
        </w:rPr>
        <w:t>项目废水</w:t>
      </w:r>
      <w:r>
        <w:rPr>
          <w:rFonts w:hint="eastAsia" w:ascii="Times New Roman" w:hAnsi="Times New Roman" w:cs="Times New Roman" w:eastAsiaTheme="minorEastAsia"/>
          <w:kern w:val="2"/>
          <w:sz w:val="24"/>
          <w:szCs w:val="24"/>
          <w:lang w:val="en-US" w:eastAsia="zh-CN" w:bidi="ar-SA"/>
        </w:rPr>
        <w:t>处理情况</w:t>
      </w:r>
      <w:r>
        <w:rPr>
          <w:rFonts w:hint="default" w:ascii="Times New Roman" w:hAnsi="Times New Roman" w:cs="Times New Roman" w:eastAsiaTheme="minorEastAsia"/>
          <w:kern w:val="2"/>
          <w:sz w:val="24"/>
          <w:szCs w:val="24"/>
          <w:lang w:val="fr-FR" w:eastAsia="zh-CN" w:bidi="ar-SA"/>
        </w:rPr>
        <w:t>一览表见表</w:t>
      </w:r>
      <w:r>
        <w:rPr>
          <w:rFonts w:hint="default" w:ascii="Times New Roman" w:hAnsi="Times New Roman" w:cs="Times New Roman" w:eastAsiaTheme="minorEastAsia"/>
          <w:kern w:val="2"/>
          <w:sz w:val="24"/>
          <w:szCs w:val="24"/>
          <w:lang w:val="en-US" w:eastAsia="zh-CN" w:bidi="ar-SA"/>
        </w:rPr>
        <w:t>4-1：</w:t>
      </w:r>
      <w:bookmarkEnd w:id="22"/>
      <w:bookmarkEnd w:id="23"/>
    </w:p>
    <w:p>
      <w:pPr>
        <w:pStyle w:val="18"/>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表4-1  项目废水</w:t>
      </w:r>
      <w:r>
        <w:rPr>
          <w:rFonts w:hint="eastAsia" w:ascii="Times New Roman" w:hAnsi="Times New Roman" w:eastAsia="宋体" w:cs="Times New Roman"/>
          <w:b/>
          <w:bCs/>
          <w:kern w:val="0"/>
          <w:sz w:val="24"/>
          <w:szCs w:val="24"/>
          <w:lang w:val="en-US" w:eastAsia="zh-CN"/>
        </w:rPr>
        <w:t>处理情况</w:t>
      </w:r>
      <w:r>
        <w:rPr>
          <w:rFonts w:hint="default" w:ascii="Times New Roman" w:hAnsi="Times New Roman" w:eastAsia="宋体" w:cs="Times New Roman"/>
          <w:b/>
          <w:bCs/>
          <w:kern w:val="0"/>
          <w:sz w:val="24"/>
          <w:szCs w:val="24"/>
          <w:lang w:val="en-US" w:eastAsia="zh-CN"/>
        </w:rPr>
        <w:t>一览表</w:t>
      </w:r>
    </w:p>
    <w:tbl>
      <w:tblPr>
        <w:tblStyle w:val="17"/>
        <w:tblW w:w="866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305"/>
        <w:gridCol w:w="2565"/>
        <w:gridCol w:w="1005"/>
        <w:gridCol w:w="27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0" w:hRule="exact"/>
          <w:jc w:val="center"/>
        </w:trPr>
        <w:tc>
          <w:tcPr>
            <w:tcW w:w="1057"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废水类型</w:t>
            </w:r>
          </w:p>
        </w:tc>
        <w:tc>
          <w:tcPr>
            <w:tcW w:w="1305"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废水量（</w:t>
            </w:r>
            <w:r>
              <w:rPr>
                <w:rFonts w:hint="default" w:ascii="Times New Roman" w:hAnsi="Times New Roman" w:eastAsia="宋体" w:cs="Times New Roman"/>
                <w:b/>
                <w:bCs/>
                <w:sz w:val="21"/>
                <w:szCs w:val="21"/>
                <w:lang w:val="fr-FR" w:eastAsia="zh-CN"/>
              </w:rPr>
              <w:t>m</w:t>
            </w:r>
            <w:r>
              <w:rPr>
                <w:rFonts w:hint="default" w:ascii="Times New Roman" w:hAnsi="Times New Roman" w:eastAsia="宋体" w:cs="Times New Roman"/>
                <w:b/>
                <w:bCs/>
                <w:sz w:val="21"/>
                <w:szCs w:val="21"/>
                <w:vertAlign w:val="superscript"/>
                <w:lang w:val="fr-FR" w:eastAsia="zh-CN"/>
              </w:rPr>
              <w:t>3</w:t>
            </w:r>
            <w:r>
              <w:rPr>
                <w:rFonts w:hint="default" w:ascii="Times New Roman" w:hAnsi="Times New Roman" w:eastAsia="宋体" w:cs="Times New Roman"/>
                <w:b/>
                <w:bCs/>
                <w:sz w:val="21"/>
                <w:szCs w:val="21"/>
                <w:lang w:val="fr-FR" w:eastAsia="zh-CN"/>
              </w:rPr>
              <w:t>/</w:t>
            </w:r>
            <w:r>
              <w:rPr>
                <w:rFonts w:hint="eastAsia" w:ascii="Times New Roman" w:hAnsi="Times New Roman" w:eastAsia="宋体" w:cs="Times New Roman"/>
                <w:b/>
                <w:bCs/>
                <w:sz w:val="21"/>
                <w:szCs w:val="21"/>
                <w:lang w:val="en-US" w:eastAsia="zh-CN"/>
              </w:rPr>
              <w:t>a</w:t>
            </w:r>
            <w:r>
              <w:rPr>
                <w:rFonts w:hint="default" w:ascii="Times New Roman" w:hAnsi="Times New Roman" w:eastAsia="宋体" w:cs="Times New Roman"/>
                <w:b/>
                <w:bCs/>
                <w:sz w:val="21"/>
                <w:szCs w:val="21"/>
                <w:lang w:val="en-US" w:eastAsia="zh-CN"/>
              </w:rPr>
              <w:t>）</w:t>
            </w:r>
          </w:p>
        </w:tc>
        <w:tc>
          <w:tcPr>
            <w:tcW w:w="2565"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污染因子</w:t>
            </w:r>
          </w:p>
        </w:tc>
        <w:tc>
          <w:tcPr>
            <w:tcW w:w="1005"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预</w:t>
            </w:r>
            <w:r>
              <w:rPr>
                <w:rFonts w:hint="default" w:ascii="Times New Roman" w:hAnsi="Times New Roman" w:eastAsia="宋体" w:cs="Times New Roman"/>
                <w:b/>
                <w:bCs/>
                <w:sz w:val="21"/>
                <w:szCs w:val="21"/>
                <w:lang w:val="en-US" w:eastAsia="zh-CN"/>
              </w:rPr>
              <w:t>处理措施</w:t>
            </w:r>
          </w:p>
        </w:tc>
        <w:tc>
          <w:tcPr>
            <w:tcW w:w="2735"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废水去向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057"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病房排水</w:t>
            </w:r>
          </w:p>
        </w:tc>
        <w:tc>
          <w:tcPr>
            <w:tcW w:w="1305" w:type="dxa"/>
            <w:vMerge w:val="restart"/>
            <w:tcBorders>
              <w:tl2br w:val="nil"/>
              <w:tr2bl w:val="nil"/>
            </w:tcBorders>
            <w:vAlign w:val="center"/>
          </w:tcPr>
          <w:p>
            <w:pPr>
              <w:spacing w:line="32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20.91m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p>
            <w:pPr>
              <w:pStyle w:val="18"/>
              <w:ind w:left="0" w:leftChars="0" w:firstLine="0" w:firstLineChars="0"/>
              <w:jc w:val="center"/>
              <w:rPr>
                <w:rFonts w:hint="eastAsia"/>
                <w:lang w:val="en-US" w:eastAsia="zh-CN"/>
              </w:rPr>
            </w:pPr>
            <w:r>
              <w:rPr>
                <w:rFonts w:hint="default" w:ascii="Times New Roman" w:hAnsi="Times New Roman" w:eastAsia="宋体" w:cs="Times New Roman"/>
                <w:sz w:val="21"/>
                <w:szCs w:val="21"/>
                <w:lang w:val="en-US" w:eastAsia="zh-CN"/>
              </w:rPr>
              <w:t>7632.15m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w:t>
            </w:r>
          </w:p>
        </w:tc>
        <w:tc>
          <w:tcPr>
            <w:tcW w:w="2565" w:type="dxa"/>
            <w:tcBorders>
              <w:tl2br w:val="nil"/>
              <w:tr2bl w:val="nil"/>
            </w:tcBorders>
            <w:vAlign w:val="center"/>
          </w:tcPr>
          <w:p>
            <w:pPr>
              <w:spacing w:line="32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fr-FR" w:eastAsia="zh-CN"/>
              </w:rPr>
              <w:t>化学需氧量</w:t>
            </w:r>
            <w:r>
              <w:rPr>
                <w:rFonts w:hint="default" w:ascii="Times New Roman" w:hAnsi="Times New Roman" w:eastAsia="宋体" w:cs="Times New Roman"/>
                <w:sz w:val="18"/>
                <w:szCs w:val="18"/>
                <w:lang w:val="fr-FR" w:eastAsia="zh-CN"/>
              </w:rPr>
              <w:t>、</w:t>
            </w:r>
            <w:r>
              <w:rPr>
                <w:rFonts w:hint="eastAsia" w:ascii="Times New Roman" w:hAnsi="Times New Roman" w:eastAsia="宋体" w:cs="Times New Roman"/>
                <w:sz w:val="18"/>
                <w:szCs w:val="18"/>
                <w:lang w:val="fr-FR" w:eastAsia="zh-CN"/>
              </w:rPr>
              <w:t>五日生化需氧量</w:t>
            </w:r>
            <w:r>
              <w:rPr>
                <w:rFonts w:hint="default" w:ascii="Times New Roman" w:hAnsi="Times New Roman" w:eastAsia="宋体" w:cs="Times New Roman"/>
                <w:sz w:val="18"/>
                <w:szCs w:val="18"/>
                <w:lang w:val="fr-FR" w:eastAsia="zh-CN"/>
              </w:rPr>
              <w:t>、</w:t>
            </w:r>
            <w:r>
              <w:rPr>
                <w:rFonts w:hint="eastAsia" w:ascii="Times New Roman" w:hAnsi="Times New Roman" w:eastAsia="宋体" w:cs="Times New Roman"/>
                <w:sz w:val="18"/>
                <w:szCs w:val="18"/>
                <w:lang w:val="fr-FR" w:eastAsia="zh-CN"/>
              </w:rPr>
              <w:t>悬浮物、</w:t>
            </w:r>
            <w:r>
              <w:rPr>
                <w:rFonts w:hint="eastAsia" w:ascii="Times New Roman" w:hAnsi="Times New Roman" w:eastAsia="宋体" w:cs="Times New Roman"/>
                <w:sz w:val="18"/>
                <w:szCs w:val="18"/>
                <w:lang w:val="en-US" w:eastAsia="zh-CN"/>
              </w:rPr>
              <w:t>粪大肠菌群</w:t>
            </w:r>
          </w:p>
        </w:tc>
        <w:tc>
          <w:tcPr>
            <w:tcW w:w="1005"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化粪池</w:t>
            </w:r>
          </w:p>
        </w:tc>
        <w:tc>
          <w:tcPr>
            <w:tcW w:w="2735" w:type="dxa"/>
            <w:vMerge w:val="restart"/>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本项目产生的废水经预处理后进入调节池，经自建污水处理设备处理达《医疗机构水污染物排放标准》</w:t>
            </w:r>
            <w:r>
              <w:rPr>
                <w:rFonts w:hint="eastAsia" w:ascii="Times New Roman" w:hAnsi="Times New Roman" w:eastAsia="宋体" w:cs="Times New Roman"/>
                <w:sz w:val="21"/>
                <w:szCs w:val="21"/>
                <w:lang w:val="en-US" w:eastAsia="zh-CN"/>
              </w:rPr>
              <w:br w:type="textWrapping"/>
            </w:r>
            <w:r>
              <w:rPr>
                <w:rFonts w:hint="eastAsia" w:ascii="Times New Roman" w:hAnsi="Times New Roman" w:eastAsia="宋体" w:cs="Times New Roman"/>
                <w:sz w:val="21"/>
                <w:szCs w:val="21"/>
                <w:lang w:val="en-US" w:eastAsia="zh-CN"/>
              </w:rPr>
              <w:t>（GB18466-2005）表 2 中预处理标准后经管网进入安化县污水处理厂</w:t>
            </w:r>
            <w:r>
              <w:rPr>
                <w:rFonts w:ascii="宋体" w:hAnsi="宋体" w:eastAsia="宋体" w:cs="宋体"/>
                <w:sz w:val="24"/>
                <w:szCs w:val="24"/>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9" w:hRule="exact"/>
          <w:jc w:val="center"/>
        </w:trPr>
        <w:tc>
          <w:tcPr>
            <w:tcW w:w="1057"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门诊排水</w:t>
            </w:r>
          </w:p>
        </w:tc>
        <w:tc>
          <w:tcPr>
            <w:tcW w:w="1305" w:type="dxa"/>
            <w:vMerge w:val="continue"/>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p>
        </w:tc>
        <w:tc>
          <w:tcPr>
            <w:tcW w:w="2565" w:type="dxa"/>
            <w:tcBorders>
              <w:tl2br w:val="nil"/>
              <w:tr2bl w:val="nil"/>
            </w:tcBorders>
            <w:vAlign w:val="center"/>
          </w:tcPr>
          <w:p>
            <w:pPr>
              <w:spacing w:line="32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fr-FR" w:eastAsia="zh-CN"/>
              </w:rPr>
              <w:t>化学需氧量</w:t>
            </w:r>
            <w:r>
              <w:rPr>
                <w:rFonts w:hint="default" w:ascii="Times New Roman" w:hAnsi="Times New Roman" w:eastAsia="宋体" w:cs="Times New Roman"/>
                <w:sz w:val="18"/>
                <w:szCs w:val="18"/>
                <w:lang w:val="fr-FR" w:eastAsia="zh-CN"/>
              </w:rPr>
              <w:t>、</w:t>
            </w:r>
            <w:r>
              <w:rPr>
                <w:rFonts w:hint="eastAsia" w:ascii="Times New Roman" w:hAnsi="Times New Roman" w:eastAsia="宋体" w:cs="Times New Roman"/>
                <w:sz w:val="18"/>
                <w:szCs w:val="18"/>
                <w:lang w:val="fr-FR" w:eastAsia="zh-CN"/>
              </w:rPr>
              <w:t>五日生化需氧量</w:t>
            </w:r>
            <w:r>
              <w:rPr>
                <w:rFonts w:hint="default" w:ascii="Times New Roman" w:hAnsi="Times New Roman" w:eastAsia="宋体" w:cs="Times New Roman"/>
                <w:sz w:val="18"/>
                <w:szCs w:val="18"/>
                <w:lang w:val="fr-FR" w:eastAsia="zh-CN"/>
              </w:rPr>
              <w:t>、</w:t>
            </w:r>
            <w:r>
              <w:rPr>
                <w:rFonts w:hint="eastAsia" w:ascii="Times New Roman" w:hAnsi="Times New Roman" w:eastAsia="宋体" w:cs="Times New Roman"/>
                <w:sz w:val="18"/>
                <w:szCs w:val="18"/>
                <w:lang w:val="fr-FR" w:eastAsia="zh-CN"/>
              </w:rPr>
              <w:t>悬浮物、</w:t>
            </w:r>
            <w:r>
              <w:rPr>
                <w:rFonts w:hint="eastAsia" w:ascii="Times New Roman" w:hAnsi="Times New Roman" w:eastAsia="宋体" w:cs="Times New Roman"/>
                <w:sz w:val="18"/>
                <w:szCs w:val="18"/>
                <w:lang w:val="en-US" w:eastAsia="zh-CN"/>
              </w:rPr>
              <w:t>粪大肠菌群</w:t>
            </w:r>
          </w:p>
        </w:tc>
        <w:tc>
          <w:tcPr>
            <w:tcW w:w="1005"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化粪池</w:t>
            </w:r>
          </w:p>
        </w:tc>
        <w:tc>
          <w:tcPr>
            <w:tcW w:w="2735" w:type="dxa"/>
            <w:vMerge w:val="continue"/>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9" w:hRule="exact"/>
          <w:jc w:val="center"/>
        </w:trPr>
        <w:tc>
          <w:tcPr>
            <w:tcW w:w="1057"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食堂排水</w:t>
            </w:r>
          </w:p>
        </w:tc>
        <w:tc>
          <w:tcPr>
            <w:tcW w:w="1305" w:type="dxa"/>
            <w:vMerge w:val="continue"/>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p>
        </w:tc>
        <w:tc>
          <w:tcPr>
            <w:tcW w:w="2565" w:type="dxa"/>
            <w:tcBorders>
              <w:tl2br w:val="nil"/>
              <w:tr2bl w:val="nil"/>
            </w:tcBorders>
            <w:vAlign w:val="center"/>
          </w:tcPr>
          <w:p>
            <w:pPr>
              <w:spacing w:line="32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fr-FR" w:eastAsia="zh-CN"/>
              </w:rPr>
              <w:t>化学需氧量</w:t>
            </w:r>
            <w:r>
              <w:rPr>
                <w:rFonts w:hint="default" w:ascii="Times New Roman" w:hAnsi="Times New Roman" w:eastAsia="宋体" w:cs="Times New Roman"/>
                <w:sz w:val="18"/>
                <w:szCs w:val="18"/>
                <w:lang w:val="fr-FR" w:eastAsia="zh-CN"/>
              </w:rPr>
              <w:t>、</w:t>
            </w:r>
            <w:r>
              <w:rPr>
                <w:rFonts w:hint="eastAsia" w:ascii="Times New Roman" w:hAnsi="Times New Roman" w:eastAsia="宋体" w:cs="Times New Roman"/>
                <w:sz w:val="18"/>
                <w:szCs w:val="18"/>
                <w:lang w:val="fr-FR" w:eastAsia="zh-CN"/>
              </w:rPr>
              <w:t>五日生化需氧量</w:t>
            </w:r>
            <w:r>
              <w:rPr>
                <w:rFonts w:hint="default" w:ascii="Times New Roman" w:hAnsi="Times New Roman" w:eastAsia="宋体" w:cs="Times New Roman"/>
                <w:sz w:val="18"/>
                <w:szCs w:val="18"/>
                <w:lang w:val="fr-FR" w:eastAsia="zh-CN"/>
              </w:rPr>
              <w:t>、</w:t>
            </w:r>
            <w:r>
              <w:rPr>
                <w:rFonts w:hint="eastAsia" w:ascii="Times New Roman" w:hAnsi="Times New Roman" w:eastAsia="宋体" w:cs="Times New Roman"/>
                <w:sz w:val="18"/>
                <w:szCs w:val="18"/>
                <w:lang w:val="fr-FR" w:eastAsia="zh-CN"/>
              </w:rPr>
              <w:t>悬浮物、</w:t>
            </w:r>
            <w:r>
              <w:rPr>
                <w:rFonts w:hint="eastAsia" w:ascii="Times New Roman" w:hAnsi="Times New Roman" w:eastAsia="宋体" w:cs="Times New Roman"/>
                <w:sz w:val="18"/>
                <w:szCs w:val="18"/>
                <w:lang w:val="en-US" w:eastAsia="zh-CN"/>
              </w:rPr>
              <w:t>氨氮、动植物油</w:t>
            </w:r>
          </w:p>
        </w:tc>
        <w:tc>
          <w:tcPr>
            <w:tcW w:w="1005"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隔油池</w:t>
            </w:r>
          </w:p>
        </w:tc>
        <w:tc>
          <w:tcPr>
            <w:tcW w:w="2735" w:type="dxa"/>
            <w:vMerge w:val="continue"/>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9" w:hRule="exact"/>
          <w:jc w:val="center"/>
        </w:trPr>
        <w:tc>
          <w:tcPr>
            <w:tcW w:w="1057"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检验科排水</w:t>
            </w:r>
          </w:p>
        </w:tc>
        <w:tc>
          <w:tcPr>
            <w:tcW w:w="1305" w:type="dxa"/>
            <w:vMerge w:val="continue"/>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p>
        </w:tc>
        <w:tc>
          <w:tcPr>
            <w:tcW w:w="2565" w:type="dxa"/>
            <w:tcBorders>
              <w:tl2br w:val="nil"/>
              <w:tr2bl w:val="nil"/>
            </w:tcBorders>
            <w:vAlign w:val="center"/>
          </w:tcPr>
          <w:p>
            <w:pPr>
              <w:spacing w:line="320" w:lineRule="exact"/>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酸碱类</w:t>
            </w:r>
          </w:p>
        </w:tc>
        <w:tc>
          <w:tcPr>
            <w:tcW w:w="100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单独收集、中和处理</w:t>
            </w:r>
          </w:p>
        </w:tc>
        <w:tc>
          <w:tcPr>
            <w:tcW w:w="2735" w:type="dxa"/>
            <w:vMerge w:val="continue"/>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p>
        </w:tc>
      </w:tr>
    </w:tbl>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24" w:name="_Toc27567"/>
      <w:r>
        <w:rPr>
          <w:rFonts w:hint="default" w:ascii="Times New Roman" w:hAnsi="Times New Roman" w:cs="Times New Roman"/>
        </w:rPr>
        <w:t>4.1.2 废气</w:t>
      </w:r>
      <w:bookmarkEnd w:id="2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i w:val="0"/>
          <w:color w:val="000000"/>
          <w:sz w:val="24"/>
          <w:szCs w:val="24"/>
          <w:lang w:eastAsia="zh-CN"/>
        </w:rPr>
      </w:pPr>
      <w:r>
        <w:rPr>
          <w:rFonts w:ascii="宋体" w:hAnsi="宋体" w:eastAsia="宋体" w:cs="宋体"/>
          <w:b w:val="0"/>
          <w:i w:val="0"/>
          <w:color w:val="000000"/>
          <w:sz w:val="24"/>
          <w:szCs w:val="24"/>
        </w:rPr>
        <w:t xml:space="preserve">本项目不设置锅炉和生活垃圾暂存间， 营运期产生的废气主要是污水处理设施和医疗废物暂存间产生的少量恶臭以及食堂产生的油烟 </w:t>
      </w:r>
      <w:r>
        <w:rPr>
          <w:rFonts w:hint="eastAsia" w:ascii="宋体" w:hAnsi="宋体" w:eastAsia="宋体" w:cs="宋体"/>
          <w:b w:val="0"/>
          <w:i w:val="0"/>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lang w:eastAsia="zh-CN"/>
        </w:rPr>
        <w:t>）</w:t>
      </w:r>
      <w:r>
        <w:rPr>
          <w:rFonts w:ascii="宋体" w:hAnsi="宋体" w:eastAsia="宋体" w:cs="宋体"/>
          <w:b w:val="0"/>
          <w:i w:val="0"/>
          <w:color w:val="000000"/>
          <w:sz w:val="24"/>
          <w:szCs w:val="24"/>
        </w:rPr>
        <w:t>污水处理设施恶臭</w:t>
      </w:r>
      <w:r>
        <w:rPr>
          <w:rFonts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720" w:firstLineChars="300"/>
        <w:jc w:val="both"/>
        <w:textAlignment w:val="auto"/>
        <w:outlineLvl w:val="9"/>
        <w:rPr>
          <w:rFonts w:ascii="宋体" w:hAnsi="宋体" w:eastAsia="宋体" w:cs="宋体"/>
          <w:b w:val="0"/>
          <w:i w:val="0"/>
          <w:color w:val="000000"/>
          <w:sz w:val="24"/>
          <w:szCs w:val="24"/>
        </w:rPr>
      </w:pPr>
      <w:r>
        <w:rPr>
          <w:rFonts w:ascii="宋体" w:hAnsi="宋体" w:eastAsia="宋体" w:cs="宋体"/>
          <w:b w:val="0"/>
          <w:i w:val="0"/>
          <w:color w:val="000000"/>
          <w:sz w:val="24"/>
          <w:szCs w:val="24"/>
        </w:rPr>
        <w:t>污水处理设施运行过程中恶臭主要产生于水解酸化池、接触氧化池和调节池（集水池），其主要成分是</w:t>
      </w:r>
      <w:r>
        <w:rPr>
          <w:rFonts w:hint="eastAsia" w:ascii="TimesNewRomanPSMT" w:hAnsi="TimesNewRomanPSMT" w:eastAsia="宋体" w:cs="TimesNewRomanPSMT"/>
          <w:b w:val="0"/>
          <w:i w:val="0"/>
          <w:color w:val="000000"/>
          <w:sz w:val="24"/>
          <w:szCs w:val="24"/>
          <w:lang w:val="en-US" w:eastAsia="zh-CN"/>
        </w:rPr>
        <w:t>氨气</w:t>
      </w:r>
      <w:r>
        <w:rPr>
          <w:rFonts w:ascii="宋体" w:hAnsi="宋体" w:eastAsia="宋体" w:cs="宋体"/>
          <w:b w:val="0"/>
          <w:i w:val="0"/>
          <w:color w:val="000000"/>
          <w:sz w:val="24"/>
          <w:szCs w:val="24"/>
        </w:rPr>
        <w:t>和</w:t>
      </w:r>
      <w:r>
        <w:rPr>
          <w:rFonts w:hint="eastAsia" w:ascii="宋体" w:hAnsi="宋体" w:eastAsia="宋体" w:cs="宋体"/>
          <w:b w:val="0"/>
          <w:i w:val="0"/>
          <w:color w:val="000000"/>
          <w:sz w:val="24"/>
          <w:szCs w:val="24"/>
          <w:lang w:val="en-US" w:eastAsia="zh-CN"/>
        </w:rPr>
        <w:t>硫化氢</w:t>
      </w:r>
      <w:r>
        <w:rPr>
          <w:rFonts w:ascii="宋体" w:hAnsi="宋体" w:eastAsia="宋体" w:cs="宋体"/>
          <w:b w:val="0"/>
          <w:i w:val="0"/>
          <w:color w:val="000000"/>
          <w:sz w:val="24"/>
          <w:szCs w:val="24"/>
        </w:rPr>
        <w:t>。污水处理设施设计为地埋式，各池均加盖处理，且废水处理规模较小，因此产生恶臭较少。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ascii="宋体" w:hAnsi="宋体" w:eastAsia="宋体" w:cs="宋体"/>
          <w:b w:val="0"/>
          <w:i w:val="0"/>
          <w:color w:val="000000"/>
          <w:sz w:val="24"/>
          <w:szCs w:val="24"/>
        </w:rPr>
        <w:t>医疗废物暂存间恶臭</w:t>
      </w:r>
      <w:r>
        <w:rPr>
          <w:rFonts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i w:val="0"/>
          <w:color w:val="000000"/>
          <w:sz w:val="24"/>
          <w:szCs w:val="24"/>
          <w:lang w:val="en-US" w:eastAsia="zh-CN"/>
        </w:rPr>
      </w:pPr>
      <w:r>
        <w:rPr>
          <w:rFonts w:ascii="宋体" w:hAnsi="宋体" w:eastAsia="宋体" w:cs="宋体"/>
          <w:b w:val="0"/>
          <w:i w:val="0"/>
          <w:color w:val="000000"/>
          <w:sz w:val="24"/>
          <w:szCs w:val="24"/>
        </w:rPr>
        <w:t>本项目在</w:t>
      </w:r>
      <w:r>
        <w:rPr>
          <w:rFonts w:ascii="TimesNewRomanPSMT" w:hAnsi="TimesNewRomanPSMT" w:eastAsia="TimesNewRomanPSMT" w:cs="TimesNewRomanPSMT"/>
          <w:b w:val="0"/>
          <w:i w:val="0"/>
          <w:color w:val="000000"/>
          <w:sz w:val="24"/>
          <w:szCs w:val="24"/>
        </w:rPr>
        <w:t>2</w:t>
      </w:r>
      <w:r>
        <w:rPr>
          <w:rFonts w:ascii="宋体" w:hAnsi="宋体" w:eastAsia="宋体" w:cs="宋体"/>
          <w:b w:val="0"/>
          <w:i w:val="0"/>
          <w:color w:val="000000"/>
          <w:sz w:val="24"/>
          <w:szCs w:val="24"/>
        </w:rPr>
        <w:t>号楼门诊大厅附近</w:t>
      </w:r>
      <w:r>
        <w:rPr>
          <w:rFonts w:ascii="TimesNewRomanPSMT" w:hAnsi="TimesNewRomanPSMT" w:eastAsia="TimesNewRomanPSMT" w:cs="TimesNewRomanPSMT"/>
          <w:b w:val="0"/>
          <w:i w:val="0"/>
          <w:color w:val="000000"/>
          <w:sz w:val="24"/>
          <w:szCs w:val="24"/>
        </w:rPr>
        <w:t>1</w:t>
      </w:r>
      <w:r>
        <w:rPr>
          <w:rFonts w:ascii="宋体" w:hAnsi="宋体" w:eastAsia="宋体" w:cs="宋体"/>
          <w:b w:val="0"/>
          <w:i w:val="0"/>
          <w:color w:val="000000"/>
          <w:sz w:val="24"/>
          <w:szCs w:val="24"/>
        </w:rPr>
        <w:t>层设置了一间占地面积约</w:t>
      </w:r>
      <w:r>
        <w:rPr>
          <w:rFonts w:ascii="TimesNewRomanPSMT" w:hAnsi="TimesNewRomanPSMT" w:eastAsia="TimesNewRomanPSMT" w:cs="TimesNewRomanPSMT"/>
          <w:b w:val="0"/>
          <w:i w:val="0"/>
          <w:color w:val="000000"/>
          <w:sz w:val="24"/>
          <w:szCs w:val="24"/>
        </w:rPr>
        <w:t>15m</w:t>
      </w:r>
      <w:r>
        <w:rPr>
          <w:rFonts w:hint="eastAsia" w:ascii="TimesNewRomanPSMT" w:hAnsi="TimesNewRomanPSMT" w:eastAsia="宋体" w:cs="TimesNewRomanPSMT"/>
          <w:b w:val="0"/>
          <w:i w:val="0"/>
          <w:color w:val="000000"/>
          <w:sz w:val="24"/>
          <w:szCs w:val="24"/>
          <w:vertAlign w:val="superscript"/>
          <w:lang w:val="en-US" w:eastAsia="zh-CN"/>
        </w:rPr>
        <w:t>2</w:t>
      </w:r>
      <w:r>
        <w:rPr>
          <w:rFonts w:ascii="TimesNewRomanPSMT" w:hAnsi="TimesNewRomanPSMT" w:eastAsia="TimesNewRomanPSMT" w:cs="TimesNewRomanPSMT"/>
          <w:b w:val="0"/>
          <w:i w:val="0"/>
          <w:color w:val="000000"/>
          <w:sz w:val="16"/>
          <w:szCs w:val="16"/>
          <w:vertAlign w:val="superscript"/>
        </w:rPr>
        <w:t xml:space="preserve"> </w:t>
      </w:r>
      <w:r>
        <w:rPr>
          <w:rFonts w:ascii="宋体" w:hAnsi="宋体" w:eastAsia="宋体" w:cs="宋体"/>
          <w:b w:val="0"/>
          <w:i w:val="0"/>
          <w:color w:val="000000"/>
          <w:sz w:val="24"/>
          <w:szCs w:val="24"/>
        </w:rPr>
        <w:t>的医疗废物暂存间，营运期产生的医疗废物产生后由专用密封收集桶收集并及时送入医疗固废暂存间密闭存放，定期交由益阳市特许医疗废物集中处理有限公司外运处置， 医疗固废在暂存间的暂存时间不超过</w:t>
      </w:r>
      <w:r>
        <w:rPr>
          <w:rFonts w:ascii="TimesNewRomanPSMT" w:hAnsi="TimesNewRomanPSMT" w:eastAsia="TimesNewRomanPSMT" w:cs="TimesNewRomanPSMT"/>
          <w:b w:val="0"/>
          <w:i w:val="0"/>
          <w:color w:val="000000"/>
          <w:sz w:val="24"/>
          <w:szCs w:val="24"/>
        </w:rPr>
        <w:t>48h</w:t>
      </w:r>
      <w:r>
        <w:rPr>
          <w:rFonts w:ascii="宋体" w:hAnsi="宋体" w:eastAsia="宋体" w:cs="宋体"/>
          <w:b w:val="0"/>
          <w:i w:val="0"/>
          <w:color w:val="000000"/>
          <w:sz w:val="24"/>
          <w:szCs w:val="24"/>
        </w:rPr>
        <w:t>。因此，项目医疗废物暂存间基本无恶臭产生</w:t>
      </w:r>
      <w:r>
        <w:rPr>
          <w:rFonts w:hint="eastAsia" w:ascii="宋体" w:hAnsi="宋体" w:eastAsia="宋体" w:cs="宋体"/>
          <w:b w:val="0"/>
          <w:i w:val="0"/>
          <w:color w:val="000000"/>
          <w:sz w:val="24"/>
          <w:szCs w:val="24"/>
          <w:lang w:val="en-US" w:eastAsia="zh-CN"/>
        </w:rPr>
        <w:t xml:space="preserve">。 </w:t>
      </w:r>
      <w:r>
        <w:rPr>
          <w:rFonts w:hint="eastAsia" w:ascii="宋体" w:hAnsi="宋体" w:eastAsia="宋体" w:cs="宋体"/>
          <w:b w:val="0"/>
          <w:i w:val="0"/>
          <w:color w:val="000000"/>
          <w:sz w:val="24"/>
          <w:szCs w:val="24"/>
          <w:lang w:val="en-US" w:eastAsia="zh-CN"/>
        </w:rPr>
        <w:tab/>
      </w:r>
    </w:p>
    <w:p>
      <w:pPr>
        <w:pStyle w:val="18"/>
        <w:numPr>
          <w:ilvl w:val="0"/>
          <w:numId w:val="0"/>
        </w:numPr>
        <w:ind w:firstLine="480" w:firstLineChars="200"/>
        <w:rPr>
          <w:rFonts w:hint="eastAsia" w:ascii="宋体" w:hAnsi="宋体" w:eastAsia="宋体" w:cs="宋体"/>
          <w:b w:val="0"/>
          <w:i w:val="0"/>
          <w:color w:val="000000"/>
          <w:sz w:val="24"/>
          <w:szCs w:val="24"/>
          <w:lang w:val="en-US" w:eastAsia="zh-CN"/>
        </w:rPr>
      </w:pPr>
      <w:r>
        <w:rPr>
          <w:rFonts w:hint="eastAsia" w:ascii="宋体" w:hAnsi="宋体" w:eastAsia="宋体" w:cs="宋体"/>
          <w:b w:val="0"/>
          <w:i w:val="0"/>
          <w:color w:val="000000"/>
          <w:sz w:val="24"/>
          <w:szCs w:val="24"/>
          <w:lang w:val="en-US" w:eastAsia="zh-CN"/>
        </w:rPr>
        <w:t>（3）食堂油烟</w:t>
      </w:r>
    </w:p>
    <w:p>
      <w:pPr>
        <w:pStyle w:val="18"/>
        <w:numPr>
          <w:ilvl w:val="0"/>
          <w:numId w:val="0"/>
        </w:numPr>
        <w:ind w:firstLine="480" w:firstLineChars="200"/>
        <w:rPr>
          <w:rFonts w:hint="eastAsia" w:ascii="宋体" w:hAnsi="宋体" w:eastAsia="宋体" w:cs="宋体"/>
          <w:b w:val="0"/>
          <w:i w:val="0"/>
          <w:color w:val="000000"/>
          <w:sz w:val="24"/>
          <w:szCs w:val="24"/>
          <w:lang w:val="en-US" w:eastAsia="zh-CN"/>
        </w:rPr>
      </w:pPr>
      <w:r>
        <w:rPr>
          <w:rFonts w:ascii="宋体" w:hAnsi="宋体" w:eastAsia="宋体" w:cs="宋体"/>
          <w:b w:val="0"/>
          <w:i w:val="0"/>
          <w:color w:val="000000"/>
          <w:sz w:val="24"/>
          <w:szCs w:val="24"/>
        </w:rPr>
        <w:t>本项目食堂基准灶头数为</w:t>
      </w:r>
      <w:r>
        <w:rPr>
          <w:rFonts w:hint="eastAsia" w:ascii="TimesNewRomanPSMT" w:hAnsi="TimesNewRomanPSMT" w:eastAsia="宋体" w:cs="TimesNewRomanPSMT"/>
          <w:b w:val="0"/>
          <w:i w:val="0"/>
          <w:color w:val="000000"/>
          <w:sz w:val="24"/>
          <w:szCs w:val="24"/>
          <w:lang w:val="en-US" w:eastAsia="zh-CN"/>
        </w:rPr>
        <w:t>1</w:t>
      </w:r>
      <w:r>
        <w:rPr>
          <w:rFonts w:ascii="宋体" w:hAnsi="宋体" w:eastAsia="宋体" w:cs="宋体"/>
          <w:b w:val="0"/>
          <w:i w:val="0"/>
          <w:color w:val="000000"/>
          <w:sz w:val="24"/>
          <w:szCs w:val="24"/>
        </w:rPr>
        <w:t>个</w:t>
      </w:r>
      <w:r>
        <w:rPr>
          <w:rFonts w:hint="eastAsia" w:ascii="宋体" w:hAnsi="宋体" w:eastAsia="宋体" w:cs="宋体"/>
          <w:b w:val="0"/>
          <w:i w:val="0"/>
          <w:color w:val="000000"/>
          <w:sz w:val="24"/>
          <w:szCs w:val="24"/>
          <w:lang w:eastAsia="zh-CN"/>
        </w:rPr>
        <w:t>，</w:t>
      </w:r>
      <w:r>
        <w:rPr>
          <w:rFonts w:hint="eastAsia" w:ascii="宋体" w:hAnsi="宋体" w:eastAsia="宋体" w:cs="宋体"/>
          <w:b w:val="0"/>
          <w:i w:val="0"/>
          <w:color w:val="000000"/>
          <w:sz w:val="24"/>
          <w:szCs w:val="24"/>
          <w:lang w:val="en-US" w:eastAsia="zh-CN"/>
        </w:rPr>
        <w:t>每天仅部分医院员工用餐，</w:t>
      </w:r>
      <w:r>
        <w:rPr>
          <w:rFonts w:ascii="宋体" w:hAnsi="宋体" w:eastAsia="宋体" w:cs="宋体"/>
          <w:b w:val="0"/>
          <w:i w:val="0"/>
          <w:color w:val="000000"/>
          <w:sz w:val="24"/>
          <w:szCs w:val="24"/>
        </w:rPr>
        <w:t>规模属于小型食堂。</w:t>
      </w:r>
      <w:r>
        <w:rPr>
          <w:rFonts w:hint="eastAsia" w:ascii="宋体" w:hAnsi="宋体" w:eastAsia="宋体" w:cs="宋体"/>
          <w:b w:val="0"/>
          <w:i w:val="0"/>
          <w:color w:val="000000"/>
          <w:sz w:val="24"/>
          <w:szCs w:val="24"/>
          <w:lang w:val="en-US" w:eastAsia="zh-CN"/>
        </w:rPr>
        <w:t>油烟经集气罩收集后由管道送到厨房外低空排放，排口处设有水池用于吸收油烟，对大气环境影响较小。</w:t>
      </w:r>
      <w:r>
        <w:rPr>
          <w:rFonts w:ascii="宋体" w:hAnsi="宋体" w:eastAsia="宋体" w:cs="宋体"/>
          <w:sz w:val="24"/>
          <w:szCs w:val="24"/>
        </w:rPr>
        <w:t xml:space="preserve"> </w:t>
      </w:r>
    </w:p>
    <w:p>
      <w:pPr>
        <w:pStyle w:val="18"/>
        <w:ind w:left="0" w:leftChars="0" w:firstLine="480" w:firstLineChars="200"/>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fr-FR" w:eastAsia="zh-CN" w:bidi="ar-SA"/>
        </w:rPr>
        <w:t>项目废</w:t>
      </w:r>
      <w:r>
        <w:rPr>
          <w:rFonts w:hint="eastAsia" w:ascii="Times New Roman" w:hAnsi="Times New Roman" w:cs="Times New Roman" w:eastAsiaTheme="minorEastAsia"/>
          <w:kern w:val="2"/>
          <w:sz w:val="24"/>
          <w:szCs w:val="24"/>
          <w:lang w:val="en-US" w:eastAsia="zh-CN" w:bidi="ar-SA"/>
        </w:rPr>
        <w:t>气处理情况</w:t>
      </w:r>
      <w:r>
        <w:rPr>
          <w:rFonts w:hint="default" w:ascii="Times New Roman" w:hAnsi="Times New Roman" w:cs="Times New Roman" w:eastAsiaTheme="minorEastAsia"/>
          <w:kern w:val="2"/>
          <w:sz w:val="24"/>
          <w:szCs w:val="24"/>
          <w:lang w:val="fr-FR" w:eastAsia="zh-CN" w:bidi="ar-SA"/>
        </w:rPr>
        <w:t>一览表见表</w:t>
      </w:r>
      <w:r>
        <w:rPr>
          <w:rFonts w:hint="default" w:ascii="Times New Roman" w:hAnsi="Times New Roman" w:cs="Times New Roman" w:eastAsiaTheme="minorEastAsia"/>
          <w:kern w:val="2"/>
          <w:sz w:val="24"/>
          <w:szCs w:val="24"/>
          <w:lang w:val="en-US" w:eastAsia="zh-CN" w:bidi="ar-SA"/>
        </w:rPr>
        <w:t>4-</w:t>
      </w:r>
      <w:r>
        <w:rPr>
          <w:rFonts w:hint="eastAsia" w:ascii="Times New Roman" w:hAnsi="Times New Roman" w:cs="Times New Roman" w:eastAsiaTheme="minorEastAsia"/>
          <w:kern w:val="2"/>
          <w:sz w:val="24"/>
          <w:szCs w:val="24"/>
          <w:lang w:val="en-US" w:eastAsia="zh-CN" w:bidi="ar-SA"/>
        </w:rPr>
        <w:t>2</w:t>
      </w:r>
      <w:r>
        <w:rPr>
          <w:rFonts w:hint="default" w:ascii="Times New Roman" w:hAnsi="Times New Roman" w:cs="Times New Roman" w:eastAsiaTheme="minorEastAsia"/>
          <w:kern w:val="2"/>
          <w:sz w:val="24"/>
          <w:szCs w:val="24"/>
          <w:lang w:val="en-US" w:eastAsia="zh-CN" w:bidi="ar-SA"/>
        </w:rPr>
        <w:t>：</w:t>
      </w:r>
    </w:p>
    <w:p>
      <w:pPr>
        <w:pStyle w:val="18"/>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表4-</w:t>
      </w:r>
      <w:r>
        <w:rPr>
          <w:rFonts w:hint="eastAsia" w:ascii="Times New Roman" w:hAnsi="Times New Roman" w:eastAsia="宋体" w:cs="Times New Roman"/>
          <w:b/>
          <w:bCs/>
          <w:kern w:val="0"/>
          <w:sz w:val="24"/>
          <w:szCs w:val="24"/>
          <w:lang w:val="en-US" w:eastAsia="zh-CN"/>
        </w:rPr>
        <w:t>2</w:t>
      </w:r>
      <w:r>
        <w:rPr>
          <w:rFonts w:hint="default" w:ascii="Times New Roman" w:hAnsi="Times New Roman" w:eastAsia="宋体" w:cs="Times New Roman"/>
          <w:b/>
          <w:bCs/>
          <w:kern w:val="0"/>
          <w:sz w:val="24"/>
          <w:szCs w:val="24"/>
          <w:lang w:val="en-US" w:eastAsia="zh-CN"/>
        </w:rPr>
        <w:t xml:space="preserve"> 项目废</w:t>
      </w:r>
      <w:r>
        <w:rPr>
          <w:rFonts w:hint="eastAsia" w:ascii="Times New Roman" w:hAnsi="Times New Roman" w:eastAsia="宋体" w:cs="Times New Roman"/>
          <w:b/>
          <w:bCs/>
          <w:kern w:val="0"/>
          <w:sz w:val="24"/>
          <w:szCs w:val="24"/>
          <w:lang w:val="en-US" w:eastAsia="zh-CN"/>
        </w:rPr>
        <w:t>气处理情况</w:t>
      </w:r>
      <w:r>
        <w:rPr>
          <w:rFonts w:hint="default" w:ascii="Times New Roman" w:hAnsi="Times New Roman" w:eastAsia="宋体" w:cs="Times New Roman"/>
          <w:b/>
          <w:bCs/>
          <w:kern w:val="0"/>
          <w:sz w:val="24"/>
          <w:szCs w:val="24"/>
          <w:lang w:val="en-US" w:eastAsia="zh-CN"/>
        </w:rPr>
        <w:t>一览表</w:t>
      </w:r>
    </w:p>
    <w:tbl>
      <w:tblPr>
        <w:tblStyle w:val="17"/>
        <w:tblW w:w="818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2088"/>
        <w:gridCol w:w="1887"/>
        <w:gridCol w:w="24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803"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污染源</w:t>
            </w:r>
          </w:p>
        </w:tc>
        <w:tc>
          <w:tcPr>
            <w:tcW w:w="2088"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污染因子</w:t>
            </w:r>
          </w:p>
        </w:tc>
        <w:tc>
          <w:tcPr>
            <w:tcW w:w="1887"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处理措施</w:t>
            </w:r>
          </w:p>
        </w:tc>
        <w:tc>
          <w:tcPr>
            <w:tcW w:w="2407"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排放方式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03"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污水处理设施</w:t>
            </w:r>
          </w:p>
        </w:tc>
        <w:tc>
          <w:tcPr>
            <w:tcW w:w="2088"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恶臭、硫化氢、氨气</w:t>
            </w:r>
          </w:p>
        </w:tc>
        <w:tc>
          <w:tcPr>
            <w:tcW w:w="1887"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地埋式、加盖处理</w:t>
            </w:r>
          </w:p>
        </w:tc>
        <w:tc>
          <w:tcPr>
            <w:tcW w:w="2407"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03"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医疗废物暂存间</w:t>
            </w:r>
          </w:p>
        </w:tc>
        <w:tc>
          <w:tcPr>
            <w:tcW w:w="2088"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恶臭</w:t>
            </w:r>
          </w:p>
        </w:tc>
        <w:tc>
          <w:tcPr>
            <w:tcW w:w="1887"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48小时内转移</w:t>
            </w:r>
          </w:p>
        </w:tc>
        <w:tc>
          <w:tcPr>
            <w:tcW w:w="2407"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03"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w:t>
            </w:r>
          </w:p>
        </w:tc>
        <w:tc>
          <w:tcPr>
            <w:tcW w:w="2088"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油烟</w:t>
            </w:r>
          </w:p>
        </w:tc>
        <w:tc>
          <w:tcPr>
            <w:tcW w:w="1887"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水池吸收</w:t>
            </w:r>
          </w:p>
        </w:tc>
        <w:tc>
          <w:tcPr>
            <w:tcW w:w="2407"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无组织排放</w:t>
            </w:r>
          </w:p>
        </w:tc>
      </w:tr>
    </w:tbl>
    <w:p>
      <w:pPr>
        <w:pStyle w:val="18"/>
        <w:ind w:left="0" w:leftChars="0" w:firstLine="480" w:firstLineChars="20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其中废水处理工艺如下：</w:t>
      </w:r>
    </w:p>
    <w:p>
      <w:pPr>
        <w:pStyle w:val="18"/>
        <w:ind w:left="0" w:leftChars="0" w:firstLine="0" w:firstLineChars="0"/>
        <w:jc w:val="center"/>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drawing>
          <wp:inline distT="0" distB="0" distL="114300" distR="114300">
            <wp:extent cx="4486275" cy="4400550"/>
            <wp:effectExtent l="9525" t="9525" r="19050" b="9525"/>
            <wp:docPr id="43" name="图片 43" descr="1545876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545876751(1)"/>
                    <pic:cNvPicPr>
                      <a:picLocks noChangeAspect="1"/>
                    </pic:cNvPicPr>
                  </pic:nvPicPr>
                  <pic:blipFill>
                    <a:blip r:embed="rId8"/>
                    <a:stretch>
                      <a:fillRect/>
                    </a:stretch>
                  </pic:blipFill>
                  <pic:spPr>
                    <a:xfrm>
                      <a:off x="0" y="0"/>
                      <a:ext cx="4486275" cy="4400550"/>
                    </a:xfrm>
                    <a:prstGeom prst="rect">
                      <a:avLst/>
                    </a:prstGeom>
                    <a:ln>
                      <a:solidFill>
                        <a:schemeClr val="tx1"/>
                      </a:solidFill>
                    </a:ln>
                  </pic:spPr>
                </pic:pic>
              </a:graphicData>
            </a:graphic>
          </wp:inline>
        </w:drawing>
      </w:r>
    </w:p>
    <w:p>
      <w:pPr>
        <w:pStyle w:val="18"/>
        <w:jc w:val="center"/>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图4-1 污水处理设施处理工艺流程图</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25" w:name="_Toc3932"/>
      <w:r>
        <w:rPr>
          <w:rFonts w:hint="default" w:ascii="Times New Roman" w:hAnsi="Times New Roman" w:cs="Times New Roman"/>
        </w:rPr>
        <w:t>4</w:t>
      </w:r>
      <w:r>
        <w:rPr>
          <w:rFonts w:hint="eastAsia" w:ascii="Times New Roman" w:hAnsi="Times New Roman" w:cs="Times New Roman"/>
          <w:lang w:val="en-US" w:eastAsia="zh-CN"/>
        </w:rPr>
        <w:t>.1.</w:t>
      </w:r>
      <w:r>
        <w:rPr>
          <w:rFonts w:hint="default" w:ascii="Times New Roman" w:hAnsi="Times New Roman" w:cs="Times New Roman"/>
        </w:rPr>
        <w:t>3</w:t>
      </w:r>
      <w:r>
        <w:rPr>
          <w:rFonts w:hint="eastAsia" w:ascii="Times New Roman" w:hAnsi="Times New Roman" w:cs="Times New Roman"/>
          <w:lang w:val="en-US" w:eastAsia="zh-CN"/>
        </w:rPr>
        <w:t xml:space="preserve"> </w:t>
      </w:r>
      <w:r>
        <w:rPr>
          <w:rFonts w:hint="default" w:ascii="Times New Roman" w:hAnsi="Times New Roman" w:cs="Times New Roman"/>
        </w:rPr>
        <w:t>噪声</w:t>
      </w:r>
      <w:bookmarkEnd w:id="2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ascii="宋体" w:hAnsi="宋体" w:eastAsia="宋体" w:cs="宋体"/>
          <w:b w:val="0"/>
          <w:i w:val="0"/>
          <w:color w:val="000000"/>
          <w:sz w:val="24"/>
          <w:szCs w:val="24"/>
        </w:rPr>
        <w:t>本项目营运期过程产生的噪声主要包括污水处理设施水泵、空调压缩机、食堂油烟净化风机等产生的设备噪声，就诊人员产生的社会噪声以及机动车启动行驶产生的交通噪声等</w:t>
      </w:r>
      <w:r>
        <w:rPr>
          <w:rFonts w:hint="default" w:ascii="Times New Roman" w:hAnsi="Times New Roman" w:cs="Times New Roman"/>
          <w:sz w:val="24"/>
          <w:szCs w:val="24"/>
        </w:rPr>
        <w:t>。</w:t>
      </w:r>
    </w:p>
    <w:p>
      <w:pPr>
        <w:pStyle w:val="18"/>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fr-FR" w:eastAsia="zh-CN" w:bidi="ar-SA"/>
        </w:rPr>
        <w:t>项目</w:t>
      </w:r>
      <w:r>
        <w:rPr>
          <w:rFonts w:hint="eastAsia" w:ascii="Times New Roman" w:hAnsi="Times New Roman" w:cs="Times New Roman" w:eastAsiaTheme="minorEastAsia"/>
          <w:kern w:val="2"/>
          <w:sz w:val="24"/>
          <w:szCs w:val="24"/>
          <w:lang w:val="en-US" w:eastAsia="zh-CN" w:bidi="ar-SA"/>
        </w:rPr>
        <w:t>噪声处理情况</w:t>
      </w:r>
      <w:r>
        <w:rPr>
          <w:rFonts w:hint="default" w:ascii="Times New Roman" w:hAnsi="Times New Roman" w:cs="Times New Roman" w:eastAsiaTheme="minorEastAsia"/>
          <w:kern w:val="2"/>
          <w:sz w:val="24"/>
          <w:szCs w:val="24"/>
          <w:lang w:val="fr-FR" w:eastAsia="zh-CN" w:bidi="ar-SA"/>
        </w:rPr>
        <w:t>一览表见表</w:t>
      </w:r>
      <w:r>
        <w:rPr>
          <w:rFonts w:hint="default" w:ascii="Times New Roman" w:hAnsi="Times New Roman" w:cs="Times New Roman" w:eastAsiaTheme="minorEastAsia"/>
          <w:kern w:val="2"/>
          <w:sz w:val="24"/>
          <w:szCs w:val="24"/>
          <w:lang w:val="en-US" w:eastAsia="zh-CN" w:bidi="ar-SA"/>
        </w:rPr>
        <w:t>4-</w:t>
      </w:r>
      <w:r>
        <w:rPr>
          <w:rFonts w:hint="eastAsia" w:ascii="Times New Roman" w:hAnsi="Times New Roman" w:cs="Times New Roman" w:eastAsiaTheme="minorEastAsia"/>
          <w:kern w:val="2"/>
          <w:sz w:val="24"/>
          <w:szCs w:val="24"/>
          <w:lang w:val="en-US" w:eastAsia="zh-CN" w:bidi="ar-SA"/>
        </w:rPr>
        <w:t>3</w:t>
      </w:r>
      <w:r>
        <w:rPr>
          <w:rFonts w:hint="default" w:ascii="Times New Roman" w:hAnsi="Times New Roman" w:cs="Times New Roman" w:eastAsiaTheme="minorEastAsia"/>
          <w:kern w:val="2"/>
          <w:sz w:val="24"/>
          <w:szCs w:val="24"/>
          <w:lang w:val="en-US" w:eastAsia="zh-CN" w:bidi="ar-SA"/>
        </w:rPr>
        <w:t>：</w:t>
      </w:r>
    </w:p>
    <w:p>
      <w:pPr>
        <w:pStyle w:val="18"/>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表4-</w:t>
      </w:r>
      <w:r>
        <w:rPr>
          <w:rFonts w:hint="eastAsia" w:ascii="Times New Roman" w:hAnsi="Times New Roman" w:eastAsia="宋体" w:cs="Times New Roman"/>
          <w:b/>
          <w:bCs/>
          <w:kern w:val="0"/>
          <w:sz w:val="24"/>
          <w:szCs w:val="24"/>
          <w:lang w:val="en-US" w:eastAsia="zh-CN"/>
        </w:rPr>
        <w:t>3</w:t>
      </w:r>
      <w:r>
        <w:rPr>
          <w:rFonts w:hint="default" w:ascii="Times New Roman" w:hAnsi="Times New Roman" w:eastAsia="宋体" w:cs="Times New Roman"/>
          <w:b/>
          <w:bCs/>
          <w:kern w:val="0"/>
          <w:sz w:val="24"/>
          <w:szCs w:val="24"/>
          <w:lang w:val="en-US" w:eastAsia="zh-CN"/>
        </w:rPr>
        <w:t xml:space="preserve"> 项目</w:t>
      </w:r>
      <w:r>
        <w:rPr>
          <w:rFonts w:hint="eastAsia" w:ascii="Times New Roman" w:hAnsi="Times New Roman" w:eastAsia="宋体" w:cs="Times New Roman"/>
          <w:b/>
          <w:bCs/>
          <w:kern w:val="0"/>
          <w:sz w:val="24"/>
          <w:szCs w:val="24"/>
          <w:lang w:val="en-US" w:eastAsia="zh-CN"/>
        </w:rPr>
        <w:t>噪声处理情况</w:t>
      </w:r>
      <w:r>
        <w:rPr>
          <w:rFonts w:hint="default" w:ascii="Times New Roman" w:hAnsi="Times New Roman" w:eastAsia="宋体" w:cs="Times New Roman"/>
          <w:b/>
          <w:bCs/>
          <w:kern w:val="0"/>
          <w:sz w:val="24"/>
          <w:szCs w:val="24"/>
          <w:lang w:val="en-US" w:eastAsia="zh-CN"/>
        </w:rPr>
        <w:t>一览表</w:t>
      </w:r>
    </w:p>
    <w:tbl>
      <w:tblPr>
        <w:tblStyle w:val="16"/>
        <w:tblW w:w="7843"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809"/>
        <w:gridCol w:w="2445"/>
        <w:gridCol w:w="21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85" w:type="dxa"/>
            <w:vAlign w:val="center"/>
          </w:tcPr>
          <w:p>
            <w:pPr>
              <w:spacing w:line="320" w:lineRule="exact"/>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主要产噪设备</w:t>
            </w:r>
          </w:p>
        </w:tc>
        <w:tc>
          <w:tcPr>
            <w:tcW w:w="1809" w:type="dxa"/>
            <w:vAlign w:val="center"/>
          </w:tcPr>
          <w:p>
            <w:pPr>
              <w:spacing w:line="320" w:lineRule="exact"/>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噪声源</w:t>
            </w:r>
          </w:p>
        </w:tc>
        <w:tc>
          <w:tcPr>
            <w:tcW w:w="2445" w:type="dxa"/>
            <w:vAlign w:val="center"/>
          </w:tcPr>
          <w:p>
            <w:pPr>
              <w:spacing w:line="320" w:lineRule="exact"/>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zh-CN" w:eastAsia="zh-CN"/>
              </w:rPr>
              <w:t>源强最大声级dB（A）</w:t>
            </w:r>
          </w:p>
        </w:tc>
        <w:tc>
          <w:tcPr>
            <w:tcW w:w="2104" w:type="dxa"/>
            <w:vAlign w:val="center"/>
          </w:tcPr>
          <w:p>
            <w:pPr>
              <w:spacing w:line="320" w:lineRule="exact"/>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zh-CN" w:eastAsia="zh-CN"/>
              </w:rPr>
              <w:t>处理措施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85" w:type="dxa"/>
            <w:vAlign w:val="center"/>
          </w:tcPr>
          <w:p>
            <w:pPr>
              <w:spacing w:line="320" w:lineRule="exact"/>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水泵</w:t>
            </w:r>
          </w:p>
        </w:tc>
        <w:tc>
          <w:tcPr>
            <w:tcW w:w="1809"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污水处理设施</w:t>
            </w:r>
          </w:p>
        </w:tc>
        <w:tc>
          <w:tcPr>
            <w:tcW w:w="244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w:t>
            </w:r>
          </w:p>
        </w:tc>
        <w:tc>
          <w:tcPr>
            <w:tcW w:w="2104"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封闭车间、隔音棉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8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空调压缩机 </w:t>
            </w:r>
          </w:p>
        </w:tc>
        <w:tc>
          <w:tcPr>
            <w:tcW w:w="180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外墙</w:t>
            </w:r>
          </w:p>
        </w:tc>
        <w:tc>
          <w:tcPr>
            <w:tcW w:w="244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w:t>
            </w:r>
          </w:p>
        </w:tc>
        <w:tc>
          <w:tcPr>
            <w:tcW w:w="2104"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隔振、减震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8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就诊人员</w:t>
            </w:r>
          </w:p>
        </w:tc>
        <w:tc>
          <w:tcPr>
            <w:tcW w:w="180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门诊部</w:t>
            </w:r>
          </w:p>
        </w:tc>
        <w:tc>
          <w:tcPr>
            <w:tcW w:w="244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2104"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墙体隔音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8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机动车辆</w:t>
            </w:r>
          </w:p>
        </w:tc>
        <w:tc>
          <w:tcPr>
            <w:tcW w:w="180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来往汽车</w:t>
            </w:r>
          </w:p>
        </w:tc>
        <w:tc>
          <w:tcPr>
            <w:tcW w:w="244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w:t>
            </w:r>
          </w:p>
        </w:tc>
        <w:tc>
          <w:tcPr>
            <w:tcW w:w="2104"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减速、禁鸣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8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抽风机</w:t>
            </w:r>
          </w:p>
        </w:tc>
        <w:tc>
          <w:tcPr>
            <w:tcW w:w="180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w:t>
            </w:r>
          </w:p>
        </w:tc>
        <w:tc>
          <w:tcPr>
            <w:tcW w:w="244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82</w:t>
            </w:r>
          </w:p>
        </w:tc>
        <w:tc>
          <w:tcPr>
            <w:tcW w:w="2104"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隔振、减震</w:t>
            </w:r>
          </w:p>
        </w:tc>
      </w:tr>
    </w:tbl>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26" w:name="_Toc31914"/>
      <w:r>
        <w:rPr>
          <w:rFonts w:hint="default" w:ascii="Times New Roman" w:hAnsi="Times New Roman" w:cs="Times New Roman"/>
        </w:rPr>
        <w:t>4</w:t>
      </w:r>
      <w:r>
        <w:rPr>
          <w:rFonts w:hint="eastAsia" w:ascii="Times New Roman" w:hAnsi="Times New Roman" w:cs="Times New Roman"/>
          <w:lang w:val="en-US" w:eastAsia="zh-CN"/>
        </w:rPr>
        <w:t>.1.</w:t>
      </w:r>
      <w:r>
        <w:rPr>
          <w:rFonts w:hint="default" w:ascii="Times New Roman" w:hAnsi="Times New Roman" w:cs="Times New Roman"/>
        </w:rPr>
        <w:t>4 固体废物</w:t>
      </w:r>
      <w:bookmarkEnd w:id="2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ascii="宋体" w:hAnsi="宋体" w:eastAsia="宋体" w:cs="宋体"/>
          <w:b w:val="0"/>
          <w:i w:val="0"/>
          <w:color w:val="000000"/>
          <w:sz w:val="24"/>
          <w:szCs w:val="24"/>
        </w:rPr>
        <w:t>本项目营运过程中产生的固体废物主要为生活垃圾、医疗废物和污水处理设施污泥</w:t>
      </w:r>
      <w:r>
        <w:rPr>
          <w:rFonts w:hint="default" w:ascii="Times New Roman" w:hAnsi="Times New Roman" w:cs="Times New Roman"/>
          <w:sz w:val="24"/>
          <w:szCs w:val="24"/>
        </w:rPr>
        <w:t>。</w:t>
      </w:r>
    </w:p>
    <w:p>
      <w:pPr>
        <w:pStyle w:val="18"/>
        <w:numPr>
          <w:ilvl w:val="0"/>
          <w:numId w:val="3"/>
        </w:numPr>
        <w:rPr>
          <w:rFonts w:ascii="宋体" w:hAnsi="宋体" w:eastAsia="宋体" w:cs="宋体"/>
          <w:sz w:val="24"/>
          <w:szCs w:val="24"/>
        </w:rPr>
      </w:pPr>
      <w:r>
        <w:rPr>
          <w:rFonts w:ascii="宋体" w:hAnsi="宋体" w:eastAsia="宋体" w:cs="宋体"/>
          <w:b w:val="0"/>
          <w:i w:val="0"/>
          <w:color w:val="000000"/>
          <w:sz w:val="24"/>
          <w:szCs w:val="24"/>
        </w:rPr>
        <w:t>生活垃圾</w:t>
      </w:r>
      <w:r>
        <w:rPr>
          <w:rFonts w:ascii="宋体" w:hAnsi="宋体" w:eastAsia="宋体" w:cs="宋体"/>
          <w:sz w:val="24"/>
          <w:szCs w:val="24"/>
        </w:rPr>
        <w:t xml:space="preserve"> </w:t>
      </w:r>
    </w:p>
    <w:p>
      <w:pPr>
        <w:pStyle w:val="18"/>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本项目不设生活垃圾暂存间，各房间均设有生活垃圾桶，垃圾收集后交由环卫部门处理。</w:t>
      </w:r>
    </w:p>
    <w:p>
      <w:pPr>
        <w:pStyle w:val="18"/>
        <w:numPr>
          <w:ilvl w:val="0"/>
          <w:numId w:val="3"/>
        </w:numPr>
        <w:ind w:left="0" w:leftChars="0" w:firstLine="480" w:firstLineChars="200"/>
        <w:rPr>
          <w:rFonts w:ascii="宋体" w:hAnsi="宋体" w:eastAsia="宋体" w:cs="宋体"/>
          <w:sz w:val="24"/>
          <w:szCs w:val="24"/>
        </w:rPr>
      </w:pPr>
      <w:r>
        <w:rPr>
          <w:rFonts w:ascii="宋体" w:hAnsi="宋体" w:eastAsia="宋体" w:cs="宋体"/>
          <w:b w:val="0"/>
          <w:i w:val="0"/>
          <w:color w:val="000000"/>
          <w:sz w:val="24"/>
          <w:szCs w:val="24"/>
        </w:rPr>
        <w:t>医疗废物</w:t>
      </w:r>
      <w:r>
        <w:rPr>
          <w:rFonts w:ascii="宋体" w:hAnsi="宋体" w:eastAsia="宋体" w:cs="宋体"/>
          <w:sz w:val="24"/>
          <w:szCs w:val="24"/>
        </w:rPr>
        <w:t xml:space="preserve"> </w:t>
      </w:r>
    </w:p>
    <w:p>
      <w:pPr>
        <w:pStyle w:val="18"/>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医疗废物收集后暂存于危废暂存间，定期交由益阳市特许医疗废物集中处理有限公司外运处置。医疗废物每两天转移处置一次。</w:t>
      </w:r>
    </w:p>
    <w:p>
      <w:pPr>
        <w:pStyle w:val="18"/>
        <w:numPr>
          <w:ilvl w:val="0"/>
          <w:numId w:val="3"/>
        </w:numPr>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玻璃（一次性塑料）输液瓶（袋）</w:t>
      </w:r>
    </w:p>
    <w:p>
      <w:pPr>
        <w:pStyle w:val="18"/>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卫生部卫办医发（2005）292号《关于明确医疗废物分类有关问题的通知》，湖南省卫生和计划生育委员会、湖南省环境保护厅、湖南省公安厅湘卫函（2017）429号《关于进一步加强医疗废物管理工作通知》，使用后的各种玻璃（一次性塑料）输液瓶（袋），未被病人血液、体液、排泄物污染的，不属于医疗废物，不必按照医疗废物进行管理。本项目将玻璃（一次性塑料）输液瓶（袋）收集于一般固废暂存间后定期交给湖南久和环保科技有限公司处理。</w:t>
      </w:r>
    </w:p>
    <w:p>
      <w:pPr>
        <w:pStyle w:val="18"/>
        <w:numPr>
          <w:ilvl w:val="0"/>
          <w:numId w:val="3"/>
        </w:numPr>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污水处理设施污泥</w:t>
      </w:r>
    </w:p>
    <w:p>
      <w:pPr>
        <w:pStyle w:val="18"/>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本项目污水处理设施运行过程中产生的污泥也属于危险废物，经消毒后与医疗废物一同交由益阳市特许医疗废物集中处理有限公司外运处置。</w:t>
      </w:r>
    </w:p>
    <w:p>
      <w:pPr>
        <w:pStyle w:val="18"/>
        <w:numPr>
          <w:ilvl w:val="0"/>
          <w:numId w:val="3"/>
        </w:numPr>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食堂餐厨垃圾与隔油池浮油</w:t>
      </w:r>
    </w:p>
    <w:p>
      <w:pPr>
        <w:pStyle w:val="18"/>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食堂餐厨垃圾用塑料桶收集后由周边个体养殖收走做为饲料。浮油由当地专人负责清理、处置。</w:t>
      </w:r>
    </w:p>
    <w:p>
      <w:pPr>
        <w:pStyle w:val="18"/>
        <w:rPr>
          <w:rFonts w:hint="default" w:ascii="Times New Roman" w:hAnsi="Times New Roman" w:cs="Times New Roman" w:eastAsiaTheme="minorEastAsia"/>
          <w:kern w:val="2"/>
          <w:sz w:val="24"/>
          <w:szCs w:val="24"/>
          <w:lang w:val="en-US" w:eastAsia="zh-CN" w:bidi="ar-SA"/>
        </w:rPr>
      </w:pPr>
      <w:bookmarkStart w:id="27" w:name="_Toc28861"/>
      <w:bookmarkStart w:id="28" w:name="_Toc29051"/>
      <w:r>
        <w:rPr>
          <w:rFonts w:hint="default" w:ascii="Times New Roman" w:hAnsi="Times New Roman" w:cs="Times New Roman" w:eastAsiaTheme="minorEastAsia"/>
          <w:kern w:val="2"/>
          <w:sz w:val="24"/>
          <w:szCs w:val="24"/>
          <w:lang w:val="en-US" w:eastAsia="zh-CN" w:bidi="ar-SA"/>
        </w:rPr>
        <w:t>项目固体废物一览表见表4-4：</w:t>
      </w:r>
      <w:bookmarkEnd w:id="27"/>
      <w:bookmarkEnd w:id="28"/>
    </w:p>
    <w:p>
      <w:pPr>
        <w:pStyle w:val="18"/>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表4-4 固体废物一览表</w:t>
      </w:r>
    </w:p>
    <w:tbl>
      <w:tblPr>
        <w:tblStyle w:val="16"/>
        <w:tblW w:w="7843" w:type="dxa"/>
        <w:jc w:val="center"/>
        <w:tblInd w:w="-88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1582"/>
        <w:gridCol w:w="1478"/>
        <w:gridCol w:w="3682"/>
        <w:gridCol w:w="11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454" w:hRule="exact"/>
          <w:jc w:val="center"/>
        </w:trPr>
        <w:tc>
          <w:tcPr>
            <w:tcW w:w="15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default" w:ascii="Times New Roman" w:hAnsi="Times New Roman" w:eastAsia="宋体" w:cs="Times New Roman"/>
                <w:b/>
                <w:bCs/>
                <w:sz w:val="21"/>
                <w:szCs w:val="21"/>
                <w:vertAlign w:val="baseline"/>
                <w:lang w:val="zh-CN" w:eastAsia="zh-CN"/>
              </w:rPr>
              <w:t>主要污染物</w:t>
            </w:r>
          </w:p>
        </w:tc>
        <w:tc>
          <w:tcPr>
            <w:tcW w:w="147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产生量（t/a）</w:t>
            </w:r>
          </w:p>
        </w:tc>
        <w:tc>
          <w:tcPr>
            <w:tcW w:w="36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default" w:ascii="Times New Roman" w:hAnsi="Times New Roman" w:eastAsia="宋体" w:cs="Times New Roman"/>
                <w:b/>
                <w:bCs/>
                <w:sz w:val="21"/>
                <w:szCs w:val="21"/>
                <w:vertAlign w:val="baseline"/>
                <w:lang w:val="zh-CN" w:eastAsia="zh-CN"/>
              </w:rPr>
              <w:t>控制措施</w:t>
            </w:r>
          </w:p>
        </w:tc>
        <w:tc>
          <w:tcPr>
            <w:tcW w:w="1101"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default" w:ascii="Times New Roman" w:hAnsi="Times New Roman" w:eastAsia="宋体" w:cs="Times New Roman"/>
                <w:b/>
                <w:bCs/>
                <w:sz w:val="21"/>
                <w:szCs w:val="21"/>
                <w:vertAlign w:val="baseline"/>
                <w:lang w:val="zh-CN" w:eastAsia="zh-CN"/>
              </w:rPr>
              <w:t>排放方式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425" w:hRule="atLeast"/>
          <w:jc w:val="center"/>
        </w:trPr>
        <w:tc>
          <w:tcPr>
            <w:tcW w:w="15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zh-CN" w:eastAsia="zh-CN"/>
              </w:rPr>
              <w:t>生活垃圾</w:t>
            </w:r>
          </w:p>
        </w:tc>
        <w:tc>
          <w:tcPr>
            <w:tcW w:w="147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38.32</w:t>
            </w:r>
          </w:p>
        </w:tc>
        <w:tc>
          <w:tcPr>
            <w:tcW w:w="36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jc w:val="center"/>
              <w:textAlignment w:val="auto"/>
              <w:outlineLvl w:val="9"/>
              <w:rPr>
                <w:rFonts w:hint="default" w:ascii="Times New Roman" w:hAnsi="Times New Roman" w:eastAsia="宋体" w:cs="Times New Roman"/>
                <w:sz w:val="21"/>
                <w:szCs w:val="21"/>
                <w:vertAlign w:val="baseline"/>
                <w:lang w:val="zh-CN" w:eastAsia="zh-CN"/>
              </w:rPr>
            </w:pPr>
            <w:r>
              <w:rPr>
                <w:rFonts w:hint="default" w:ascii="Times New Roman" w:hAnsi="Times New Roman" w:eastAsia="宋体" w:cs="Times New Roman"/>
                <w:sz w:val="21"/>
                <w:szCs w:val="21"/>
                <w:vertAlign w:val="baseline"/>
                <w:lang w:val="zh-CN" w:eastAsia="zh-CN"/>
              </w:rPr>
              <w:t>垃圾桶，环卫部门清运</w:t>
            </w:r>
          </w:p>
        </w:tc>
        <w:tc>
          <w:tcPr>
            <w:tcW w:w="1101"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425" w:hRule="atLeast"/>
          <w:jc w:val="center"/>
        </w:trPr>
        <w:tc>
          <w:tcPr>
            <w:tcW w:w="15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医疗废物</w:t>
            </w:r>
          </w:p>
        </w:tc>
        <w:tc>
          <w:tcPr>
            <w:tcW w:w="147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3.65</w:t>
            </w:r>
          </w:p>
        </w:tc>
        <w:tc>
          <w:tcPr>
            <w:tcW w:w="3682"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ind w:firstLine="210" w:firstLineChars="10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污泥经消毒后与医疗废物暂存于危废暂存间，定期交由益阳市特许医疗废物集中处理有限公司外运处置</w:t>
            </w:r>
          </w:p>
        </w:tc>
        <w:tc>
          <w:tcPr>
            <w:tcW w:w="1101"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转运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425" w:hRule="atLeast"/>
          <w:jc w:val="center"/>
        </w:trPr>
        <w:tc>
          <w:tcPr>
            <w:tcW w:w="15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污水处理设施底泥</w:t>
            </w:r>
          </w:p>
        </w:tc>
        <w:tc>
          <w:tcPr>
            <w:tcW w:w="147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c>
          <w:tcPr>
            <w:tcW w:w="3682"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ind w:firstLine="210" w:firstLineChars="100"/>
              <w:jc w:val="center"/>
              <w:textAlignment w:val="auto"/>
              <w:outlineLvl w:val="9"/>
              <w:rPr>
                <w:rFonts w:hint="eastAsia" w:ascii="Times New Roman" w:hAnsi="Times New Roman" w:eastAsia="宋体" w:cs="Times New Roman"/>
                <w:sz w:val="21"/>
                <w:szCs w:val="21"/>
                <w:vertAlign w:val="baseline"/>
                <w:lang w:val="en-US" w:eastAsia="zh-CN"/>
              </w:rPr>
            </w:pPr>
          </w:p>
        </w:tc>
        <w:tc>
          <w:tcPr>
            <w:tcW w:w="1101"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转运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425" w:hRule="atLeast"/>
          <w:jc w:val="center"/>
        </w:trPr>
        <w:tc>
          <w:tcPr>
            <w:tcW w:w="15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玻璃（一次性塑料）输液瓶（袋）</w:t>
            </w:r>
          </w:p>
        </w:tc>
        <w:tc>
          <w:tcPr>
            <w:tcW w:w="147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36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ind w:firstLine="210" w:firstLineChars="10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收集于一般固废暂存间后定期交给湖南久和环保科技有限公司处理。</w:t>
            </w:r>
          </w:p>
        </w:tc>
        <w:tc>
          <w:tcPr>
            <w:tcW w:w="1101"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转运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425" w:hRule="atLeast"/>
          <w:jc w:val="center"/>
        </w:trPr>
        <w:tc>
          <w:tcPr>
            <w:tcW w:w="15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餐厨垃圾</w:t>
            </w:r>
          </w:p>
        </w:tc>
        <w:tc>
          <w:tcPr>
            <w:tcW w:w="147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36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ind w:firstLine="210" w:firstLineChars="10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个体养殖户回收</w:t>
            </w:r>
          </w:p>
        </w:tc>
        <w:tc>
          <w:tcPr>
            <w:tcW w:w="1101"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回收</w:t>
            </w:r>
          </w:p>
        </w:tc>
      </w:tr>
    </w:tbl>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29" w:name="_Toc18993"/>
      <w:r>
        <w:rPr>
          <w:rFonts w:hint="default" w:ascii="Times New Roman" w:hAnsi="Times New Roman" w:eastAsia="宋体" w:cs="Times New Roman"/>
          <w:b/>
          <w:sz w:val="30"/>
          <w:szCs w:val="30"/>
          <w:lang w:val="en-US" w:eastAsia="zh-CN"/>
        </w:rPr>
        <w:t>4</w:t>
      </w:r>
      <w:r>
        <w:rPr>
          <w:rFonts w:hint="eastAsia"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val="en-US" w:eastAsia="zh-CN"/>
        </w:rPr>
        <w:t xml:space="preserve"> 环保设施投资</w:t>
      </w:r>
      <w:bookmarkEnd w:id="29"/>
    </w:p>
    <w:p>
      <w:pPr>
        <w:pStyle w:val="18"/>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项目总投资</w:t>
      </w:r>
      <w:r>
        <w:rPr>
          <w:rFonts w:hint="eastAsia" w:ascii="Times New Roman" w:hAnsi="Times New Roman" w:cs="Times New Roman" w:eastAsiaTheme="minorEastAsia"/>
          <w:kern w:val="2"/>
          <w:sz w:val="24"/>
          <w:szCs w:val="24"/>
          <w:lang w:val="en-US" w:eastAsia="zh-CN" w:bidi="ar-SA"/>
        </w:rPr>
        <w:t>500</w:t>
      </w:r>
      <w:r>
        <w:rPr>
          <w:rFonts w:hint="default" w:ascii="Times New Roman" w:hAnsi="Times New Roman" w:cs="Times New Roman" w:eastAsiaTheme="minorEastAsia"/>
          <w:kern w:val="2"/>
          <w:sz w:val="24"/>
          <w:szCs w:val="24"/>
          <w:lang w:val="en-US" w:eastAsia="zh-CN" w:bidi="ar-SA"/>
        </w:rPr>
        <w:t>万元，其中环保投资</w:t>
      </w:r>
      <w:r>
        <w:rPr>
          <w:rFonts w:hint="eastAsia" w:ascii="Times New Roman" w:hAnsi="Times New Roman" w:cs="Times New Roman" w:eastAsiaTheme="minorEastAsia"/>
          <w:kern w:val="2"/>
          <w:sz w:val="24"/>
          <w:szCs w:val="24"/>
          <w:lang w:val="en-US" w:eastAsia="zh-CN" w:bidi="ar-SA"/>
        </w:rPr>
        <w:t>76</w:t>
      </w:r>
      <w:r>
        <w:rPr>
          <w:rFonts w:hint="default" w:ascii="Times New Roman" w:hAnsi="Times New Roman" w:cs="Times New Roman" w:eastAsiaTheme="minorEastAsia"/>
          <w:kern w:val="2"/>
          <w:sz w:val="24"/>
          <w:szCs w:val="24"/>
          <w:lang w:val="en-US" w:eastAsia="zh-CN" w:bidi="ar-SA"/>
        </w:rPr>
        <w:t>万元，占总投资比例的</w:t>
      </w:r>
      <w:r>
        <w:rPr>
          <w:rFonts w:hint="eastAsia" w:ascii="Times New Roman" w:hAnsi="Times New Roman" w:cs="Times New Roman" w:eastAsiaTheme="minorEastAsia"/>
          <w:kern w:val="2"/>
          <w:sz w:val="24"/>
          <w:szCs w:val="24"/>
          <w:lang w:val="en-US" w:eastAsia="zh-CN" w:bidi="ar-SA"/>
        </w:rPr>
        <w:t>15.2</w:t>
      </w:r>
      <w:r>
        <w:rPr>
          <w:rFonts w:hint="default" w:ascii="Times New Roman" w:hAnsi="Times New Roman" w:cs="Times New Roman" w:eastAsiaTheme="minorEastAsia"/>
          <w:kern w:val="2"/>
          <w:sz w:val="24"/>
          <w:szCs w:val="24"/>
          <w:lang w:val="en-US" w:eastAsia="zh-CN" w:bidi="ar-SA"/>
        </w:rPr>
        <w:t>% ，环保投资一览表见表4-</w:t>
      </w:r>
      <w:r>
        <w:rPr>
          <w:rFonts w:hint="eastAsia" w:ascii="Times New Roman" w:hAnsi="Times New Roman" w:cs="Times New Roman" w:eastAsiaTheme="minorEastAsia"/>
          <w:kern w:val="2"/>
          <w:sz w:val="24"/>
          <w:szCs w:val="24"/>
          <w:lang w:val="en-US" w:eastAsia="zh-CN" w:bidi="ar-SA"/>
        </w:rPr>
        <w:t>5</w:t>
      </w:r>
      <w:r>
        <w:rPr>
          <w:rFonts w:hint="default" w:ascii="Times New Roman" w:hAnsi="Times New Roman" w:cs="Times New Roman" w:eastAsiaTheme="minorEastAsia"/>
          <w:kern w:val="2"/>
          <w:sz w:val="24"/>
          <w:szCs w:val="24"/>
          <w:lang w:val="en-US" w:eastAsia="zh-CN" w:bidi="ar-SA"/>
        </w:rPr>
        <w:t>：</w:t>
      </w:r>
    </w:p>
    <w:p>
      <w:pPr>
        <w:pStyle w:val="18"/>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表:4-</w:t>
      </w:r>
      <w:r>
        <w:rPr>
          <w:rFonts w:hint="eastAsia" w:ascii="Times New Roman" w:hAnsi="Times New Roman" w:eastAsia="宋体" w:cs="Times New Roman"/>
          <w:b/>
          <w:bCs/>
          <w:kern w:val="0"/>
          <w:sz w:val="24"/>
          <w:szCs w:val="24"/>
          <w:lang w:val="en-US" w:eastAsia="zh-CN"/>
        </w:rPr>
        <w:t>5</w:t>
      </w:r>
      <w:r>
        <w:rPr>
          <w:rFonts w:hint="default" w:ascii="Times New Roman" w:hAnsi="Times New Roman" w:eastAsia="宋体" w:cs="Times New Roman"/>
          <w:b/>
          <w:bCs/>
          <w:kern w:val="0"/>
          <w:sz w:val="24"/>
          <w:szCs w:val="24"/>
          <w:lang w:val="en-US" w:eastAsia="zh-CN"/>
        </w:rPr>
        <w:t xml:space="preserve"> 环保投资一览表</w:t>
      </w:r>
    </w:p>
    <w:tbl>
      <w:tblPr>
        <w:tblStyle w:val="16"/>
        <w:tblW w:w="769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2772"/>
        <w:gridCol w:w="1849"/>
        <w:gridCol w:w="19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default" w:ascii="Times New Roman" w:hAnsi="Times New Roman" w:eastAsia="宋体" w:cs="Times New Roman"/>
                <w:b/>
                <w:bCs/>
                <w:sz w:val="21"/>
                <w:szCs w:val="21"/>
                <w:vertAlign w:val="baseline"/>
                <w:lang w:val="zh-CN" w:eastAsia="zh-CN"/>
              </w:rPr>
              <w:t>项目</w:t>
            </w:r>
          </w:p>
        </w:tc>
        <w:tc>
          <w:tcPr>
            <w:tcW w:w="277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环评预设</w:t>
            </w:r>
            <w:r>
              <w:rPr>
                <w:rFonts w:hint="default" w:ascii="Times New Roman" w:hAnsi="Times New Roman" w:eastAsia="宋体" w:cs="Times New Roman"/>
                <w:b/>
                <w:bCs/>
                <w:sz w:val="21"/>
                <w:szCs w:val="21"/>
                <w:vertAlign w:val="baseline"/>
                <w:lang w:val="zh-CN" w:eastAsia="zh-CN"/>
              </w:rPr>
              <w:t>环保设施</w:t>
            </w:r>
          </w:p>
        </w:tc>
        <w:tc>
          <w:tcPr>
            <w:tcW w:w="184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预计</w:t>
            </w:r>
            <w:r>
              <w:rPr>
                <w:rFonts w:hint="default" w:ascii="Times New Roman" w:hAnsi="Times New Roman" w:eastAsia="宋体" w:cs="Times New Roman"/>
                <w:b/>
                <w:bCs/>
                <w:sz w:val="21"/>
                <w:szCs w:val="21"/>
                <w:vertAlign w:val="baseline"/>
                <w:lang w:val="zh-CN" w:eastAsia="zh-CN"/>
              </w:rPr>
              <w:t>费用（万元）</w:t>
            </w:r>
          </w:p>
        </w:tc>
        <w:tc>
          <w:tcPr>
            <w:tcW w:w="1934"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实际费用</w:t>
            </w:r>
            <w:r>
              <w:rPr>
                <w:rFonts w:hint="default" w:ascii="Times New Roman" w:hAnsi="Times New Roman" w:eastAsia="宋体" w:cs="Times New Roman"/>
                <w:b/>
                <w:bCs/>
                <w:sz w:val="21"/>
                <w:szCs w:val="21"/>
                <w:vertAlign w:val="baseline"/>
                <w:lang w:val="zh-CN" w:eastAsia="zh-CN"/>
              </w:rPr>
              <w:t>（万元）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13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zh-CN" w:eastAsia="zh-CN"/>
              </w:rPr>
            </w:pPr>
            <w:r>
              <w:rPr>
                <w:rFonts w:hint="default" w:ascii="Times New Roman" w:hAnsi="Times New Roman" w:eastAsia="宋体" w:cs="Times New Roman"/>
                <w:sz w:val="21"/>
                <w:szCs w:val="21"/>
                <w:vertAlign w:val="baseline"/>
                <w:lang w:val="zh-CN" w:eastAsia="zh-CN"/>
              </w:rPr>
              <w:t>废水</w:t>
            </w:r>
          </w:p>
        </w:tc>
        <w:tc>
          <w:tcPr>
            <w:tcW w:w="277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化粪池、隔油池、污水处理设备</w:t>
            </w:r>
          </w:p>
        </w:tc>
        <w:tc>
          <w:tcPr>
            <w:tcW w:w="1849" w:type="dxa"/>
            <w:vMerge w:val="restart"/>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1934"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139" w:type="dxa"/>
            <w:vMerge w:val="restart"/>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en-US" w:eastAsia="zh-CN"/>
              </w:rPr>
              <w:t>废气</w:t>
            </w:r>
          </w:p>
        </w:tc>
        <w:tc>
          <w:tcPr>
            <w:tcW w:w="277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除臭剂、通风</w:t>
            </w:r>
          </w:p>
        </w:tc>
        <w:tc>
          <w:tcPr>
            <w:tcW w:w="184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934"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139" w:type="dxa"/>
            <w:vMerge w:val="continue"/>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pPr>
          </w:p>
        </w:tc>
        <w:tc>
          <w:tcPr>
            <w:tcW w:w="277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排烟管道、吸收水池</w:t>
            </w:r>
          </w:p>
        </w:tc>
        <w:tc>
          <w:tcPr>
            <w:tcW w:w="184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1934"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13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eastAsiaTheme="minorEastAsia"/>
                <w:lang w:val="en-US" w:eastAsia="zh-CN"/>
              </w:rPr>
            </w:pPr>
            <w:r>
              <w:rPr>
                <w:rFonts w:hint="eastAsia"/>
                <w:lang w:val="en-US" w:eastAsia="zh-CN"/>
              </w:rPr>
              <w:t>噪声</w:t>
            </w:r>
          </w:p>
        </w:tc>
        <w:tc>
          <w:tcPr>
            <w:tcW w:w="277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减震、隔声、双层真空隔声玻璃窗、合理布局</w:t>
            </w:r>
          </w:p>
        </w:tc>
        <w:tc>
          <w:tcPr>
            <w:tcW w:w="184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c>
          <w:tcPr>
            <w:tcW w:w="1934"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139" w:type="dxa"/>
            <w:vMerge w:val="restart"/>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eastAsiaTheme="minorEastAsia"/>
                <w:lang w:val="en-US" w:eastAsia="zh-CN"/>
              </w:rPr>
            </w:pPr>
            <w:r>
              <w:rPr>
                <w:rFonts w:hint="eastAsia"/>
                <w:lang w:val="en-US" w:eastAsia="zh-CN"/>
              </w:rPr>
              <w:t>固废处理</w:t>
            </w:r>
          </w:p>
        </w:tc>
        <w:tc>
          <w:tcPr>
            <w:tcW w:w="277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生活垃圾分类收集桶</w:t>
            </w:r>
          </w:p>
        </w:tc>
        <w:tc>
          <w:tcPr>
            <w:tcW w:w="184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934"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139" w:type="dxa"/>
            <w:vMerge w:val="continue"/>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lang w:val="en-US" w:eastAsia="zh-CN"/>
              </w:rPr>
            </w:pPr>
          </w:p>
        </w:tc>
        <w:tc>
          <w:tcPr>
            <w:tcW w:w="277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医疗废物暂存间、污水处理间，灭菌消毒，委托处理</w:t>
            </w:r>
          </w:p>
        </w:tc>
        <w:tc>
          <w:tcPr>
            <w:tcW w:w="184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w:t>
            </w:r>
          </w:p>
        </w:tc>
        <w:tc>
          <w:tcPr>
            <w:tcW w:w="1934"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zh-CN" w:eastAsia="zh-CN"/>
              </w:rPr>
            </w:pPr>
            <w:r>
              <w:rPr>
                <w:rFonts w:hint="default" w:ascii="Times New Roman" w:hAnsi="Times New Roman" w:eastAsia="宋体" w:cs="Times New Roman"/>
                <w:sz w:val="21"/>
                <w:szCs w:val="21"/>
                <w:vertAlign w:val="baseline"/>
                <w:lang w:val="zh-CN" w:eastAsia="zh-CN"/>
              </w:rPr>
              <w:t>合计</w:t>
            </w:r>
          </w:p>
        </w:tc>
        <w:tc>
          <w:tcPr>
            <w:tcW w:w="277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zh-CN" w:eastAsia="zh-CN"/>
              </w:rPr>
            </w:pPr>
            <w:r>
              <w:rPr>
                <w:rFonts w:hint="default" w:ascii="Times New Roman" w:hAnsi="Times New Roman" w:eastAsia="宋体" w:cs="Times New Roman"/>
                <w:sz w:val="21"/>
                <w:szCs w:val="21"/>
                <w:vertAlign w:val="baseline"/>
                <w:lang w:val="zh-CN" w:eastAsia="zh-CN"/>
              </w:rPr>
              <w:t>/</w:t>
            </w:r>
          </w:p>
        </w:tc>
        <w:tc>
          <w:tcPr>
            <w:tcW w:w="184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76</w:t>
            </w:r>
          </w:p>
        </w:tc>
        <w:tc>
          <w:tcPr>
            <w:tcW w:w="1934"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76</w:t>
            </w:r>
          </w:p>
        </w:tc>
      </w:tr>
    </w:tbl>
    <w:p>
      <w:pPr>
        <w:pStyle w:val="18"/>
        <w:rPr>
          <w:rFonts w:hint="default" w:ascii="Times New Roman" w:hAnsi="Times New Roman" w:cs="Times New Roman"/>
          <w:b/>
          <w:bCs/>
          <w:sz w:val="32"/>
          <w:szCs w:val="32"/>
        </w:rPr>
      </w:pPr>
    </w:p>
    <w:p>
      <w:pPr>
        <w:pStyle w:val="18"/>
        <w:rPr>
          <w:rFonts w:hint="default" w:ascii="Times New Roman" w:hAnsi="Times New Roman" w:cs="Times New Roman"/>
          <w:b/>
          <w:bCs/>
          <w:sz w:val="32"/>
          <w:szCs w:val="32"/>
        </w:rPr>
      </w:pPr>
    </w:p>
    <w:p>
      <w:pPr>
        <w:pStyle w:val="18"/>
        <w:rPr>
          <w:rFonts w:hint="default" w:ascii="Times New Roman" w:hAnsi="Times New Roman" w:cs="Times New Roman"/>
          <w:b/>
          <w:bCs/>
          <w:sz w:val="32"/>
          <w:szCs w:val="32"/>
        </w:rPr>
      </w:pPr>
    </w:p>
    <w:p>
      <w:pPr>
        <w:pStyle w:val="18"/>
        <w:rPr>
          <w:rFonts w:hint="default" w:ascii="Times New Roman" w:hAnsi="Times New Roman" w:cs="Times New Roman"/>
          <w:b/>
          <w:bCs/>
          <w:sz w:val="32"/>
          <w:szCs w:val="32"/>
        </w:rPr>
      </w:pPr>
    </w:p>
    <w:p>
      <w:pPr>
        <w:pStyle w:val="18"/>
        <w:rPr>
          <w:rFonts w:hint="default" w:ascii="Times New Roman" w:hAnsi="Times New Roman" w:cs="Times New Roman"/>
          <w:b/>
          <w:bCs/>
          <w:sz w:val="32"/>
          <w:szCs w:val="32"/>
        </w:rPr>
      </w:pPr>
    </w:p>
    <w:p>
      <w:pPr>
        <w:pStyle w:val="18"/>
        <w:rPr>
          <w:rFonts w:hint="default" w:ascii="Times New Roman" w:hAnsi="Times New Roman" w:cs="Times New Roman"/>
          <w:b/>
          <w:bCs/>
          <w:sz w:val="32"/>
          <w:szCs w:val="32"/>
        </w:rPr>
      </w:pPr>
    </w:p>
    <w:p>
      <w:pPr>
        <w:pStyle w:val="18"/>
        <w:rPr>
          <w:rFonts w:hint="default" w:ascii="Times New Roman" w:hAnsi="Times New Roman" w:cs="Times New Roman"/>
          <w:b/>
          <w:bCs/>
          <w:sz w:val="32"/>
          <w:szCs w:val="32"/>
        </w:rPr>
      </w:pPr>
    </w:p>
    <w:p>
      <w:pPr>
        <w:pStyle w:val="18"/>
        <w:rPr>
          <w:rFonts w:hint="default" w:ascii="Times New Roman" w:hAnsi="Times New Roman" w:cs="Times New Roman"/>
          <w:b/>
          <w:bCs/>
          <w:sz w:val="32"/>
          <w:szCs w:val="32"/>
        </w:rPr>
      </w:pPr>
    </w:p>
    <w:p>
      <w:pPr>
        <w:pStyle w:val="18"/>
        <w:rPr>
          <w:rFonts w:hint="default" w:ascii="Times New Roman" w:hAnsi="Times New Roman" w:cs="Times New Roman"/>
          <w:b/>
          <w:bCs/>
          <w:sz w:val="32"/>
          <w:szCs w:val="32"/>
        </w:rPr>
      </w:pPr>
    </w:p>
    <w:p>
      <w:pPr>
        <w:pStyle w:val="18"/>
        <w:rPr>
          <w:rFonts w:hint="default" w:ascii="Times New Roman" w:hAnsi="Times New Roman" w:cs="Times New Roman"/>
          <w:b/>
          <w:bCs/>
          <w:sz w:val="32"/>
          <w:szCs w:val="32"/>
        </w:rPr>
      </w:pPr>
    </w:p>
    <w:p>
      <w:pPr>
        <w:pStyle w:val="18"/>
        <w:rPr>
          <w:rFonts w:hint="default" w:ascii="Times New Roman" w:hAnsi="Times New Roman" w:cs="Times New Roman"/>
          <w:b/>
          <w:bCs/>
          <w:sz w:val="32"/>
          <w:szCs w:val="32"/>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30" w:name="_Toc1526"/>
      <w:r>
        <w:rPr>
          <w:rFonts w:hint="default" w:ascii="Times New Roman" w:hAnsi="Times New Roman" w:eastAsia="宋体" w:cs="Times New Roman"/>
          <w:b/>
        </w:rPr>
        <w:t>5 建设项目环评报告表的主要结论与建议及审批部门审批决定</w:t>
      </w:r>
      <w:bookmarkEnd w:id="30"/>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31" w:name="_Toc30596"/>
      <w:r>
        <w:rPr>
          <w:rFonts w:hint="default" w:ascii="Times New Roman" w:hAnsi="Times New Roman" w:eastAsia="宋体" w:cs="Times New Roman"/>
          <w:b/>
          <w:sz w:val="30"/>
          <w:szCs w:val="30"/>
          <w:lang w:val="en-US" w:eastAsia="zh-CN"/>
        </w:rPr>
        <w:t>5</w:t>
      </w:r>
      <w:r>
        <w:rPr>
          <w:rFonts w:hint="eastAsia" w:ascii="Times New Roman" w:hAnsi="Times New Roman" w:eastAsia="宋体" w:cs="Times New Roman"/>
          <w:b/>
          <w:sz w:val="30"/>
          <w:szCs w:val="30"/>
          <w:lang w:val="en-US" w:eastAsia="zh-CN"/>
        </w:rPr>
        <w:t>.</w:t>
      </w:r>
      <w:r>
        <w:rPr>
          <w:rFonts w:hint="default" w:ascii="Times New Roman" w:hAnsi="Times New Roman" w:eastAsia="宋体" w:cs="Times New Roman"/>
          <w:b/>
          <w:sz w:val="30"/>
          <w:szCs w:val="30"/>
          <w:lang w:val="en-US" w:eastAsia="zh-CN"/>
        </w:rPr>
        <w:t>1 建设项目环评报告表的主要结论与建议</w:t>
      </w:r>
      <w:bookmarkEnd w:id="31"/>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lang w:val="en-US" w:eastAsia="zh-CN"/>
        </w:rPr>
      </w:pPr>
      <w:bookmarkStart w:id="32" w:name="_Toc15989"/>
      <w:r>
        <w:rPr>
          <w:rFonts w:hint="eastAsia" w:ascii="Times New Roman" w:hAnsi="Times New Roman" w:cs="Times New Roman"/>
          <w:lang w:val="en-US" w:eastAsia="zh-CN"/>
        </w:rPr>
        <w:t>5.1.1结论</w:t>
      </w:r>
      <w:bookmarkEnd w:id="3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ascii="宋体" w:hAnsi="宋体" w:eastAsia="宋体" w:cs="宋体"/>
          <w:b w:val="0"/>
          <w:i w:val="0"/>
          <w:color w:val="000000"/>
          <w:sz w:val="24"/>
          <w:szCs w:val="24"/>
        </w:rPr>
        <w:t>安化益汉医院建设项目属于社会福利性项目，项目建设符合国家产业政策和</w:t>
      </w:r>
      <w:r>
        <w:rPr>
          <w:rFonts w:ascii="宋体" w:hAnsi="宋体" w:eastAsia="宋体" w:cs="宋体"/>
          <w:b w:val="0"/>
          <w:i w:val="0"/>
          <w:color w:val="000000"/>
          <w:sz w:val="24"/>
          <w:szCs w:val="24"/>
        </w:rPr>
        <w:br w:type="textWrapping"/>
      </w:r>
      <w:r>
        <w:rPr>
          <w:rFonts w:ascii="宋体" w:hAnsi="宋体" w:eastAsia="宋体" w:cs="宋体"/>
          <w:b w:val="0"/>
          <w:i w:val="0"/>
          <w:color w:val="000000"/>
          <w:sz w:val="24"/>
          <w:szCs w:val="24"/>
        </w:rPr>
        <w:t>地方规划，总平面布局合理，选址可行，无明显的环境制约因素。项目在营运过程中只要充分落实完善好本评价提出的各项环保措施，有效地防治废水、废气、噪声及固体废物带来的污染和危害，确保各项污染物达到国家规定的排放标准，污染物对环境保护目标及周围环境影响较小，项目营运对周边环境的影响可以满足环境功能规划的要求。从环境保护角度分析，本项目的建设是可行的</w:t>
      </w:r>
      <w:r>
        <w:rPr>
          <w:rFonts w:hint="default" w:ascii="Times New Roman" w:hAnsi="Times New Roman" w:cs="Times New Roman"/>
          <w:sz w:val="24"/>
          <w:szCs w:val="24"/>
        </w:rPr>
        <w:t xml:space="preserve">。 </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lang w:val="en-US" w:eastAsia="zh-CN"/>
        </w:rPr>
      </w:pPr>
      <w:bookmarkStart w:id="33" w:name="_Toc14405"/>
      <w:r>
        <w:rPr>
          <w:rFonts w:hint="eastAsia" w:ascii="Times New Roman" w:hAnsi="Times New Roman" w:cs="Times New Roman"/>
          <w:lang w:val="en-US" w:eastAsia="zh-CN"/>
        </w:rPr>
        <w:t>5.1.2建议</w:t>
      </w:r>
      <w:bookmarkEnd w:id="3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i w:val="0"/>
          <w:color w:val="000000"/>
          <w:sz w:val="24"/>
          <w:szCs w:val="24"/>
        </w:rPr>
      </w:pPr>
      <w:r>
        <w:rPr>
          <w:rFonts w:hint="default" w:ascii="Times New Roman" w:hAnsi="Times New Roman" w:eastAsia="宋体" w:cs="Times New Roman"/>
          <w:b w:val="0"/>
          <w:i w:val="0"/>
          <w:color w:val="000000"/>
          <w:sz w:val="24"/>
          <w:szCs w:val="24"/>
          <w:lang w:val="en-US" w:eastAsia="zh-CN"/>
        </w:rPr>
        <w:t>1、</w:t>
      </w:r>
      <w:r>
        <w:rPr>
          <w:rFonts w:hint="default" w:ascii="Times New Roman" w:hAnsi="Times New Roman" w:eastAsia="宋体" w:cs="Times New Roman"/>
          <w:b w:val="0"/>
          <w:i w:val="0"/>
          <w:color w:val="000000"/>
          <w:sz w:val="24"/>
          <w:szCs w:val="24"/>
        </w:rPr>
        <w:t>建设单位必须严格落实完善本环评提出的各项污染治理措施，委托有资质的环保公司设计废水治理方案。</w:t>
      </w:r>
      <w:r>
        <w:rPr>
          <w:rFonts w:hint="default" w:ascii="Times New Roman" w:hAnsi="Times New Roman" w:eastAsia="宋体" w:cs="Times New Roman"/>
          <w:b w:val="0"/>
          <w:i w:val="0"/>
          <w:color w:val="000000"/>
          <w:sz w:val="24"/>
          <w:szCs w:val="24"/>
        </w:rPr>
        <w:br w:type="textWrapping"/>
      </w:r>
      <w:r>
        <w:rPr>
          <w:rFonts w:hint="eastAsia" w:ascii="Times New Roman" w:hAnsi="Times New Roman" w:eastAsia="宋体" w:cs="Times New Roman"/>
          <w:b w:val="0"/>
          <w:i w:val="0"/>
          <w:color w:val="000000"/>
          <w:sz w:val="24"/>
          <w:szCs w:val="24"/>
          <w:lang w:val="en-US" w:eastAsia="zh-CN"/>
        </w:rPr>
        <w:t xml:space="preserve">  </w:t>
      </w:r>
      <w:r>
        <w:rPr>
          <w:rFonts w:hint="default" w:ascii="Times New Roman" w:hAnsi="Times New Roman" w:eastAsia="宋体" w:cs="Times New Roman"/>
          <w:b w:val="0"/>
          <w:i w:val="0"/>
          <w:color w:val="000000"/>
          <w:sz w:val="24"/>
          <w:szCs w:val="24"/>
          <w:lang w:val="en-US" w:eastAsia="zh-CN"/>
        </w:rPr>
        <w:t xml:space="preserve"> </w:t>
      </w:r>
      <w:r>
        <w:rPr>
          <w:rFonts w:hint="eastAsia" w:ascii="Times New Roman" w:hAnsi="Times New Roman" w:eastAsia="宋体" w:cs="Times New Roman"/>
          <w:b w:val="0"/>
          <w:i w:val="0"/>
          <w:color w:val="000000"/>
          <w:sz w:val="24"/>
          <w:szCs w:val="24"/>
          <w:lang w:val="en-US" w:eastAsia="zh-CN"/>
        </w:rPr>
        <w:t xml:space="preserve"> </w:t>
      </w:r>
      <w:r>
        <w:rPr>
          <w:rFonts w:hint="default" w:ascii="Times New Roman" w:hAnsi="Times New Roman" w:eastAsia="宋体" w:cs="Times New Roman"/>
          <w:b w:val="0"/>
          <w:i w:val="0"/>
          <w:color w:val="000000"/>
          <w:sz w:val="24"/>
          <w:szCs w:val="24"/>
        </w:rPr>
        <w:t xml:space="preserve">2、加强废水处理设施管理，确保废水处理设施连续、稳定、有效运行，确保外排废水达标排放。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i w:val="0"/>
          <w:color w:val="000000"/>
          <w:sz w:val="24"/>
          <w:szCs w:val="24"/>
        </w:rPr>
      </w:pPr>
      <w:r>
        <w:rPr>
          <w:rFonts w:hint="default" w:ascii="Times New Roman" w:hAnsi="Times New Roman" w:eastAsia="宋体" w:cs="Times New Roman"/>
          <w:b w:val="0"/>
          <w:i w:val="0"/>
          <w:color w:val="000000"/>
          <w:sz w:val="24"/>
          <w:szCs w:val="24"/>
          <w:lang w:val="en-US" w:eastAsia="zh-CN"/>
        </w:rPr>
        <w:t>3、</w:t>
      </w:r>
      <w:r>
        <w:rPr>
          <w:rFonts w:hint="default" w:ascii="Times New Roman" w:hAnsi="Times New Roman" w:eastAsia="宋体" w:cs="Times New Roman"/>
          <w:b w:val="0"/>
          <w:i w:val="0"/>
          <w:color w:val="000000"/>
          <w:sz w:val="24"/>
          <w:szCs w:val="24"/>
        </w:rPr>
        <w:t>本项目放射性医疗设备的环境影响评价不属于本报告表的评价内容，需建设单位另行委托有资质单位承担，本环评要求建设单位严格落实放射性设备防护、防磁工作，严格执行放射性设备专项环评要求及环保部门批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eastAsia="宋体" w:cs="宋体"/>
          <w:b w:val="0"/>
          <w:i w:val="0"/>
          <w:color w:val="000000"/>
          <w:sz w:val="24"/>
          <w:szCs w:val="24"/>
        </w:rPr>
      </w:pPr>
      <w:r>
        <w:rPr>
          <w:rFonts w:hint="default" w:ascii="Times New Roman" w:hAnsi="Times New Roman" w:eastAsia="宋体" w:cs="Times New Roman"/>
          <w:b w:val="0"/>
          <w:i w:val="0"/>
          <w:color w:val="000000"/>
          <w:sz w:val="24"/>
          <w:szCs w:val="24"/>
          <w:lang w:val="en-US" w:eastAsia="zh-CN"/>
        </w:rPr>
        <w:t>4、</w:t>
      </w:r>
      <w:r>
        <w:rPr>
          <w:rFonts w:ascii="宋体" w:hAnsi="宋体" w:eastAsia="宋体" w:cs="宋体"/>
          <w:b w:val="0"/>
          <w:i w:val="0"/>
          <w:color w:val="000000"/>
          <w:sz w:val="24"/>
          <w:szCs w:val="24"/>
        </w:rPr>
        <w:t>尽量减少危险固体废物的暂存时间，及时运送至委托处理处置的相关公司处理。临时暂存期间应加强管理，暂存场地应有防雨、防渗、防流失等措施。危险废物的转运、处理应根据各项法律法规以及环保部门的具体规定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eastAsia="宋体" w:cs="宋体"/>
          <w:sz w:val="24"/>
          <w:szCs w:val="24"/>
        </w:rPr>
      </w:pPr>
      <w:r>
        <w:rPr>
          <w:rFonts w:hint="default" w:ascii="Times New Roman" w:hAnsi="Times New Roman" w:eastAsia="宋体" w:cs="Times New Roman"/>
          <w:b w:val="0"/>
          <w:i w:val="0"/>
          <w:color w:val="000000"/>
          <w:sz w:val="24"/>
          <w:szCs w:val="24"/>
          <w:lang w:val="en-US" w:eastAsia="zh-CN"/>
        </w:rPr>
        <w:t>5、</w:t>
      </w:r>
      <w:r>
        <w:rPr>
          <w:rFonts w:ascii="宋体" w:hAnsi="宋体" w:eastAsia="宋体" w:cs="宋体"/>
          <w:b w:val="0"/>
          <w:i w:val="0"/>
          <w:color w:val="000000"/>
          <w:sz w:val="24"/>
          <w:szCs w:val="24"/>
        </w:rPr>
        <w:t>建设单位应委托专业评价机构编制本项目突发环境事件应急预案，并予以认真落实。</w:t>
      </w:r>
      <w:r>
        <w:rPr>
          <w:rFonts w:ascii="宋体" w:hAnsi="宋体" w:eastAsia="宋体" w:cs="宋体"/>
          <w:sz w:val="24"/>
          <w:szCs w:val="24"/>
        </w:rPr>
        <w:t xml:space="preserve"> </w:t>
      </w:r>
    </w:p>
    <w:p>
      <w:pPr>
        <w:pStyle w:val="18"/>
        <w:rPr>
          <w:rFonts w:hint="eastAsia" w:eastAsia="宋体"/>
          <w:lang w:val="en-US" w:eastAsia="zh-CN"/>
        </w:rPr>
      </w:pPr>
      <w:r>
        <w:rPr>
          <w:rFonts w:hint="default" w:ascii="Times New Roman" w:hAnsi="Times New Roman" w:eastAsia="宋体" w:cs="Times New Roman"/>
          <w:sz w:val="24"/>
          <w:szCs w:val="24"/>
          <w:lang w:val="en-US" w:eastAsia="zh-CN"/>
        </w:rPr>
        <w:t>6、</w:t>
      </w:r>
      <w:r>
        <w:rPr>
          <w:rFonts w:ascii="宋体" w:hAnsi="宋体" w:eastAsia="宋体" w:cs="宋体"/>
          <w:b w:val="0"/>
          <w:i w:val="0"/>
          <w:color w:val="000000"/>
          <w:sz w:val="24"/>
          <w:szCs w:val="24"/>
        </w:rPr>
        <w:t>本项目基础资料由建设单位提供，并对其准确性负责。建设单位以后若增加本报告表所涉及之外的污染源或对其功能进行改变，则应按要求向有关环保部门进行申报，并按污染控制目标采取相应的污染治理措施。</w:t>
      </w:r>
      <w:r>
        <w:rPr>
          <w:rFonts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rPr>
        <w:t>《</w:t>
      </w:r>
      <w:r>
        <w:rPr>
          <w:rFonts w:hint="eastAsia" w:ascii="Times New Roman" w:hAnsi="Times New Roman" w:eastAsia="宋体" w:cs="Times New Roman"/>
          <w:sz w:val="24"/>
          <w:szCs w:val="24"/>
          <w:lang w:val="en-US" w:eastAsia="zh-CN"/>
        </w:rPr>
        <w:t>安化益汉医院建设项目环境影响报告表</w:t>
      </w:r>
      <w:r>
        <w:rPr>
          <w:rFonts w:hint="default" w:ascii="Times New Roman" w:hAnsi="Times New Roman" w:cs="Times New Roman"/>
          <w:sz w:val="24"/>
          <w:szCs w:val="24"/>
        </w:rPr>
        <w:t>》</w:t>
      </w:r>
      <w:r>
        <w:rPr>
          <w:rFonts w:hint="default" w:ascii="Times New Roman" w:hAnsi="Times New Roman" w:cs="Times New Roman"/>
          <w:sz w:val="24"/>
          <w:szCs w:val="24"/>
          <w:lang w:eastAsia="zh-CN"/>
        </w:rPr>
        <w:t>中对废水、废气、固废和声噪污染防治设施效果的要求见表</w:t>
      </w:r>
      <w:r>
        <w:rPr>
          <w:rFonts w:hint="default" w:ascii="Times New Roman" w:hAnsi="Times New Roman" w:cs="Times New Roman"/>
          <w:sz w:val="24"/>
          <w:szCs w:val="24"/>
          <w:lang w:val="en-US" w:eastAsia="zh-CN"/>
        </w:rPr>
        <w:t>5-1：</w:t>
      </w:r>
    </w:p>
    <w:p>
      <w:pPr>
        <w:pStyle w:val="18"/>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表5-1 项目环评防治措施及要求</w:t>
      </w:r>
    </w:p>
    <w:tbl>
      <w:tblPr>
        <w:tblStyle w:val="16"/>
        <w:tblW w:w="907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299"/>
        <w:gridCol w:w="1530"/>
        <w:gridCol w:w="2550"/>
        <w:gridCol w:w="27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65" w:type="dxa"/>
            <w:tcBorders>
              <w:tl2br w:val="single" w:color="auto" w:sz="4" w:space="0"/>
            </w:tcBorders>
            <w:vAlign w:val="top"/>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zh-CN" w:eastAsia="zh-CN"/>
              </w:rPr>
              <w:t>内容</w:t>
            </w:r>
            <w:r>
              <w:rPr>
                <w:rFonts w:hint="eastAsia" w:ascii="Times New Roman" w:hAnsi="Times New Roman" w:eastAsia="宋体" w:cs="Times New Roman"/>
                <w:b/>
                <w:bCs/>
                <w:sz w:val="21"/>
                <w:szCs w:val="21"/>
                <w:vertAlign w:val="baseline"/>
                <w:lang w:val="en-US" w:eastAsia="zh-CN"/>
              </w:rPr>
              <w:t xml:space="preserve">   </w:t>
            </w:r>
          </w:p>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类型</w:t>
            </w:r>
          </w:p>
        </w:tc>
        <w:tc>
          <w:tcPr>
            <w:tcW w:w="129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排放源</w:t>
            </w:r>
          </w:p>
        </w:tc>
        <w:tc>
          <w:tcPr>
            <w:tcW w:w="153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污染物名称</w:t>
            </w:r>
          </w:p>
        </w:tc>
        <w:tc>
          <w:tcPr>
            <w:tcW w:w="255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防治措施</w:t>
            </w:r>
          </w:p>
        </w:tc>
        <w:tc>
          <w:tcPr>
            <w:tcW w:w="2728"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61" w:hRule="atLeast"/>
          <w:jc w:val="center"/>
        </w:trPr>
        <w:tc>
          <w:tcPr>
            <w:tcW w:w="965" w:type="dxa"/>
            <w:vMerge w:val="restart"/>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zh-CN" w:eastAsia="zh-CN"/>
              </w:rPr>
              <w:t>大气</w:t>
            </w:r>
          </w:p>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zh-CN" w:eastAsia="zh-CN"/>
              </w:rPr>
              <w:t>污染</w:t>
            </w:r>
          </w:p>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zh-CN" w:eastAsia="zh-CN"/>
              </w:rPr>
              <w:t>物</w:t>
            </w:r>
          </w:p>
        </w:tc>
        <w:tc>
          <w:tcPr>
            <w:tcW w:w="129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污水处理设施、医疗废物暂存间</w:t>
            </w:r>
          </w:p>
        </w:tc>
        <w:tc>
          <w:tcPr>
            <w:tcW w:w="153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恶臭</w:t>
            </w:r>
          </w:p>
        </w:tc>
        <w:tc>
          <w:tcPr>
            <w:tcW w:w="255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污水处理设施各池盖板密封，场区绿化、喷洒除臭剂除臭</w:t>
            </w:r>
          </w:p>
        </w:tc>
        <w:tc>
          <w:tcPr>
            <w:tcW w:w="2728"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达到《医疗机构水污染物排放标注》（GB18466-2005）表3标注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65" w:type="dxa"/>
            <w:vMerge w:val="continue"/>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p>
        </w:tc>
        <w:tc>
          <w:tcPr>
            <w:tcW w:w="129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食堂</w:t>
            </w:r>
          </w:p>
        </w:tc>
        <w:tc>
          <w:tcPr>
            <w:tcW w:w="153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油烟</w:t>
            </w:r>
          </w:p>
        </w:tc>
        <w:tc>
          <w:tcPr>
            <w:tcW w:w="255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安装1台油烟净化器，设置高竖向排烟管道</w:t>
            </w:r>
          </w:p>
        </w:tc>
        <w:tc>
          <w:tcPr>
            <w:tcW w:w="2728"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zh-CN" w:eastAsia="zh-CN"/>
              </w:rPr>
              <w:t>《</w:t>
            </w:r>
            <w:r>
              <w:rPr>
                <w:rFonts w:hint="eastAsia" w:ascii="Times New Roman" w:hAnsi="Times New Roman" w:eastAsia="宋体" w:cs="Times New Roman"/>
                <w:sz w:val="21"/>
                <w:szCs w:val="21"/>
                <w:vertAlign w:val="baseline"/>
                <w:lang w:val="en-US" w:eastAsia="zh-CN"/>
              </w:rPr>
              <w:t>饮食业油烟排放标注</w:t>
            </w:r>
            <w:r>
              <w:rPr>
                <w:rFonts w:hint="eastAsia" w:ascii="Times New Roman" w:hAnsi="Times New Roman" w:eastAsia="宋体" w:cs="Times New Roman"/>
                <w:sz w:val="21"/>
                <w:szCs w:val="21"/>
                <w:vertAlign w:val="baseline"/>
                <w:lang w:val="zh-CN" w:eastAsia="zh-CN"/>
              </w:rPr>
              <w:t>》（</w:t>
            </w:r>
            <w:r>
              <w:rPr>
                <w:rFonts w:hint="eastAsia" w:ascii="Times New Roman" w:hAnsi="Times New Roman" w:eastAsia="宋体" w:cs="Times New Roman"/>
                <w:sz w:val="21"/>
                <w:szCs w:val="21"/>
                <w:vertAlign w:val="baseline"/>
                <w:lang w:val="en-US" w:eastAsia="zh-CN"/>
              </w:rPr>
              <w:t>GB18483-2001</w:t>
            </w:r>
            <w:r>
              <w:rPr>
                <w:rFonts w:hint="eastAsia" w:ascii="Times New Roman" w:hAnsi="Times New Roman" w:eastAsia="宋体" w:cs="Times New Roman"/>
                <w:sz w:val="21"/>
                <w:szCs w:val="21"/>
                <w:vertAlign w:val="baseline"/>
                <w:lang w:val="zh-CN" w:eastAsia="zh-CN"/>
              </w:rPr>
              <w:t>）</w:t>
            </w:r>
            <w:r>
              <w:rPr>
                <w:rFonts w:hint="eastAsia" w:ascii="Times New Roman" w:hAnsi="Times New Roman" w:eastAsia="宋体" w:cs="Times New Roman"/>
                <w:sz w:val="21"/>
                <w:szCs w:val="21"/>
                <w:vertAlign w:val="baseline"/>
                <w:lang w:val="en-US" w:eastAsia="zh-CN"/>
              </w:rPr>
              <w:t>中的小型规模标志着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30" w:hRule="atLeast"/>
          <w:jc w:val="center"/>
        </w:trPr>
        <w:tc>
          <w:tcPr>
            <w:tcW w:w="965"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zh-CN" w:eastAsia="zh-CN"/>
              </w:rPr>
              <w:t>水污染</w:t>
            </w:r>
          </w:p>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zh-CN" w:eastAsia="zh-CN"/>
              </w:rPr>
              <w:t>物</w:t>
            </w:r>
          </w:p>
        </w:tc>
        <w:tc>
          <w:tcPr>
            <w:tcW w:w="129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医疗废水</w:t>
            </w:r>
          </w:p>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生活废水</w:t>
            </w:r>
          </w:p>
        </w:tc>
        <w:tc>
          <w:tcPr>
            <w:tcW w:w="153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悬浮物、</w:t>
            </w:r>
            <w:r>
              <w:rPr>
                <w:rFonts w:hint="eastAsia" w:ascii="Times New Roman" w:hAnsi="Times New Roman" w:eastAsia="宋体" w:cs="Times New Roman"/>
                <w:sz w:val="21"/>
                <w:szCs w:val="21"/>
                <w:vertAlign w:val="baseline"/>
                <w:lang w:val="zh-CN" w:eastAsia="zh-CN"/>
              </w:rPr>
              <w:t>化学需氧量 、五日生化需氧量、氨氮、</w:t>
            </w:r>
            <w:r>
              <w:rPr>
                <w:rFonts w:hint="eastAsia" w:ascii="Times New Roman" w:hAnsi="Times New Roman" w:eastAsia="宋体" w:cs="Times New Roman"/>
                <w:sz w:val="21"/>
                <w:szCs w:val="21"/>
                <w:vertAlign w:val="baseline"/>
                <w:lang w:val="en-US" w:eastAsia="zh-CN"/>
              </w:rPr>
              <w:t>动植物油、粪大肠菌群、余氯</w:t>
            </w:r>
          </w:p>
        </w:tc>
        <w:tc>
          <w:tcPr>
            <w:tcW w:w="255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隔油池+化粪池+污水处理设施（调节池+水解酸化池+接触氧化池+沉淀池+二氧化氯消毒+脱氯池，处理规模为25m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vertAlign w:val="baseline"/>
                <w:lang w:val="en-US" w:eastAsia="zh-CN"/>
              </w:rPr>
              <w:t>/d）,厂区污水收集管理等建设，并做好相应的防渗措施</w:t>
            </w:r>
          </w:p>
        </w:tc>
        <w:tc>
          <w:tcPr>
            <w:tcW w:w="2728"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近期达到（GB18466-2005）中“表2综合医疗机构和其它医疗机构水污染物排放限值”标准，远期达到（GB18466-2005）表2中预处理标准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965" w:type="dxa"/>
            <w:vMerge w:val="restart"/>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zh-CN" w:eastAsia="zh-CN"/>
              </w:rPr>
              <w:t>固体</w:t>
            </w:r>
          </w:p>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zh-CN" w:eastAsia="zh-CN"/>
              </w:rPr>
              <w:t>废物</w:t>
            </w:r>
          </w:p>
        </w:tc>
        <w:tc>
          <w:tcPr>
            <w:tcW w:w="1299" w:type="dxa"/>
            <w:tcBorders>
              <w:bottom w:val="single" w:color="auto" w:sz="8"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项目区</w:t>
            </w:r>
          </w:p>
        </w:tc>
        <w:tc>
          <w:tcPr>
            <w:tcW w:w="1530" w:type="dxa"/>
            <w:tcBorders>
              <w:bottom w:val="single" w:color="auto" w:sz="4"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医疗废物</w:t>
            </w:r>
          </w:p>
        </w:tc>
        <w:tc>
          <w:tcPr>
            <w:tcW w:w="2550" w:type="dxa"/>
            <w:vMerge w:val="restart"/>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设置医疗废物暂存间和污水处理间，灭菌消毒，暂存后交由有相关资质单位外运处置，设置国家规定的危险废物和医疗废物警示标识</w:t>
            </w:r>
          </w:p>
        </w:tc>
        <w:tc>
          <w:tcPr>
            <w:tcW w:w="2728" w:type="dxa"/>
            <w:vMerge w:val="restart"/>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资源化</w:t>
            </w:r>
          </w:p>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无害化</w:t>
            </w:r>
          </w:p>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减量化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965" w:type="dxa"/>
            <w:vMerge w:val="continue"/>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p>
        </w:tc>
        <w:tc>
          <w:tcPr>
            <w:tcW w:w="1299" w:type="dxa"/>
            <w:tcBorders>
              <w:bottom w:val="single" w:color="auto" w:sz="8"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污水处理设施</w:t>
            </w:r>
          </w:p>
        </w:tc>
        <w:tc>
          <w:tcPr>
            <w:tcW w:w="1530" w:type="dxa"/>
            <w:tcBorders>
              <w:bottom w:val="single" w:color="auto" w:sz="4"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污泥</w:t>
            </w:r>
          </w:p>
        </w:tc>
        <w:tc>
          <w:tcPr>
            <w:tcW w:w="2550" w:type="dxa"/>
            <w:vMerge w:val="continue"/>
            <w:tcBorders>
              <w:bottom w:val="single" w:color="auto" w:sz="4"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p>
        </w:tc>
        <w:tc>
          <w:tcPr>
            <w:tcW w:w="2728" w:type="dxa"/>
            <w:vMerge w:val="continue"/>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65" w:type="dxa"/>
            <w:vMerge w:val="continue"/>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p>
        </w:tc>
        <w:tc>
          <w:tcPr>
            <w:tcW w:w="1299" w:type="dxa"/>
            <w:tcBorders>
              <w:bottom w:val="single" w:color="auto" w:sz="4"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项目区</w:t>
            </w:r>
          </w:p>
        </w:tc>
        <w:tc>
          <w:tcPr>
            <w:tcW w:w="1530" w:type="dxa"/>
            <w:tcBorders>
              <w:bottom w:val="single" w:color="auto" w:sz="4"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生活垃圾</w:t>
            </w:r>
          </w:p>
        </w:tc>
        <w:tc>
          <w:tcPr>
            <w:tcW w:w="2550" w:type="dxa"/>
            <w:tcBorders>
              <w:bottom w:val="single" w:color="auto" w:sz="4"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设置生活垃圾分类收集桶，分类收集后由环卫部门处理</w:t>
            </w:r>
          </w:p>
        </w:tc>
        <w:tc>
          <w:tcPr>
            <w:tcW w:w="2728" w:type="dxa"/>
            <w:vMerge w:val="continue"/>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965"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zh-CN" w:eastAsia="zh-CN"/>
              </w:rPr>
              <w:t>噪声</w:t>
            </w:r>
          </w:p>
        </w:tc>
        <w:tc>
          <w:tcPr>
            <w:tcW w:w="8107" w:type="dxa"/>
            <w:gridSpan w:val="4"/>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噪声主要来源于污水处理设施水泵等设备噪声以及就诊人员产生的社会噪声，噪声源强在60~82dB（A），经合理布局、隔音、减振、建筑物屏蔽及距离衰减后，使场界噪声达到《工业企业场界环境噪声排放标准》（GB12348-2008）2、4a类标准。</w:t>
            </w:r>
          </w:p>
        </w:tc>
      </w:tr>
    </w:tbl>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34" w:name="_Toc15004"/>
      <w:r>
        <w:rPr>
          <w:rFonts w:hint="default" w:ascii="Times New Roman" w:hAnsi="Times New Roman" w:eastAsia="宋体" w:cs="Times New Roman"/>
          <w:b/>
          <w:sz w:val="30"/>
          <w:szCs w:val="30"/>
          <w:lang w:val="en-US" w:eastAsia="zh-CN"/>
        </w:rPr>
        <w:t>5</w:t>
      </w:r>
      <w:r>
        <w:rPr>
          <w:rFonts w:hint="eastAsia" w:ascii="Times New Roman" w:hAnsi="Times New Roman" w:eastAsia="宋体" w:cs="Times New Roman"/>
          <w:b/>
          <w:sz w:val="30"/>
          <w:szCs w:val="30"/>
          <w:lang w:val="en-US" w:eastAsia="zh-CN"/>
        </w:rPr>
        <w:t>.</w:t>
      </w:r>
      <w:r>
        <w:rPr>
          <w:rFonts w:hint="default" w:ascii="Times New Roman" w:hAnsi="Times New Roman" w:eastAsia="宋体" w:cs="Times New Roman"/>
          <w:b/>
          <w:sz w:val="30"/>
          <w:szCs w:val="30"/>
          <w:lang w:val="en-US" w:eastAsia="zh-CN"/>
        </w:rPr>
        <w:t>2 审批部门审批决定</w:t>
      </w:r>
      <w:bookmarkEnd w:id="3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201</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lang w:val="en-US" w:eastAsia="zh-CN"/>
        </w:rPr>
        <w:t>日</w:t>
      </w:r>
      <w:r>
        <w:rPr>
          <w:rFonts w:hint="eastAsia" w:ascii="Times New Roman" w:hAnsi="Times New Roman" w:cs="Times New Roman"/>
          <w:sz w:val="24"/>
          <w:szCs w:val="24"/>
          <w:lang w:val="en-US" w:eastAsia="zh-CN"/>
        </w:rPr>
        <w:t>安化县环境保护局安环审（表）〔2018〕015号文件《关于安化益汉医院建设项目环境影响报告表的批复》批复要求如下：</w:t>
      </w:r>
    </w:p>
    <w:p>
      <w:pPr>
        <w:pStyle w:val="18"/>
        <w:numPr>
          <w:ilvl w:val="0"/>
          <w:numId w:val="4"/>
        </w:numPr>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加强环境管理，完善环境管理制度，制订切实可行的环境风险应急预案。定期对“废气、废水、废渣”处理设施进行维护和检查，禁止“三废”不经处理直接排放或超标排放。</w:t>
      </w:r>
    </w:p>
    <w:p>
      <w:pPr>
        <w:pStyle w:val="18"/>
        <w:numPr>
          <w:ilvl w:val="0"/>
          <w:numId w:val="4"/>
        </w:numPr>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近期该项目废水进入自建的污水处理设施处理，经污水设施处理后废水排放执行《医疗机构水污染物排放标准》（GB18466-2005）中的“表2综合医疗机构和其他医疗机构水污染物排放限值”中的排放标准。</w:t>
      </w:r>
    </w:p>
    <w:p>
      <w:pPr>
        <w:pStyle w:val="18"/>
        <w:numPr>
          <w:ilvl w:val="0"/>
          <w:numId w:val="0"/>
        </w:numPr>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 xml:space="preserve">    项目远期待城镇污水处理系统完善后，经院内污水处理设施处理后排入安化县污水处理厂管网，经污水处理厂处理后排入资水。经院内污水设施处理后废水排放执行《医疗机构水污染物排放标准》（GB18466-2005）中的“表2综合医疗机构和其他医疗机构水污染物排放标准限值”中的预处理标准。</w:t>
      </w:r>
    </w:p>
    <w:p>
      <w:pPr>
        <w:pStyle w:val="18"/>
        <w:numPr>
          <w:ilvl w:val="0"/>
          <w:numId w:val="4"/>
        </w:numPr>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该项目污水处理站设计为地埋式，可大量减少臭味气体的散发，定期喷洒除臭剂、加强通风后，可有效减少恶臭的影响；建设油烟废气收集通道，经油烟净化设施处理后由食堂屋顶油烟排气筒高空排放；生活垃圾集中收集后由环卫部门及时清运处置。</w:t>
      </w:r>
    </w:p>
    <w:p>
      <w:pPr>
        <w:pStyle w:val="18"/>
        <w:numPr>
          <w:ilvl w:val="0"/>
          <w:numId w:val="4"/>
        </w:numPr>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设置专门的医疗固废储存室，医疗固废暂存间做好防雨、防风、防渗漏、防腐蚀、防扬散等措施，各类固废按要求分类、分区暂存，暂时贮存设施、设备应当定期消毒和清洁；除病理性废物外的其余医疗废物收集暂存于院内医疗废物暂存间内，并定期交由益阳市特许医疗废物集中处理有限公司处置；医疗污水处理站要求定期清掏，产生的污泥属于医疗废物，清掏前进行监测，并对污泥进行消毒处理，达标排放。</w:t>
      </w: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18"/>
        <w:numPr>
          <w:ilvl w:val="0"/>
          <w:numId w:val="0"/>
        </w:numPr>
        <w:rPr>
          <w:rFonts w:hint="default" w:ascii="Times New Roman" w:hAnsi="Times New Roman" w:cs="Times New Roman"/>
          <w:sz w:val="24"/>
          <w:szCs w:val="24"/>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35" w:name="_Toc4404"/>
      <w:r>
        <w:rPr>
          <w:rFonts w:hint="default" w:ascii="Times New Roman" w:hAnsi="Times New Roman" w:eastAsia="宋体" w:cs="Times New Roman"/>
          <w:b/>
        </w:rPr>
        <w:t>6 验收执行标准</w:t>
      </w:r>
      <w:bookmarkEnd w:id="3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依据《安化益汉医院建设项目环境影响报告表》及其环评批复（安环审（表）[2018]015号），监测评价执行以下标准：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该项目废水参照标准见表6-1：</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表</w:t>
      </w:r>
      <w:r>
        <w:rPr>
          <w:rFonts w:hint="eastAsia" w:ascii="Times New Roman" w:hAnsi="Times New Roman" w:eastAsia="宋体" w:cs="Times New Roman"/>
          <w:b/>
          <w:color w:val="000000"/>
          <w:sz w:val="24"/>
          <w:szCs w:val="24"/>
          <w:lang w:val="en-US" w:eastAsia="zh-CN"/>
        </w:rPr>
        <w:t>6</w:t>
      </w:r>
      <w:r>
        <w:rPr>
          <w:rFonts w:hint="default" w:ascii="Times New Roman" w:hAnsi="Times New Roman" w:eastAsia="宋体" w:cs="Times New Roman"/>
          <w:b/>
          <w:color w:val="000000"/>
          <w:sz w:val="24"/>
          <w:szCs w:val="24"/>
          <w:lang w:val="en-US" w:eastAsia="zh-CN"/>
        </w:rPr>
        <w:t>-1  废水标准限值</w:t>
      </w:r>
    </w:p>
    <w:tbl>
      <w:tblPr>
        <w:tblStyle w:val="16"/>
        <w:tblW w:w="854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930"/>
        <w:gridCol w:w="1425"/>
        <w:gridCol w:w="3345"/>
        <w:gridCol w:w="21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jc w:val="center"/>
        </w:trPr>
        <w:tc>
          <w:tcPr>
            <w:tcW w:w="693"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序号</w:t>
            </w:r>
          </w:p>
        </w:tc>
        <w:tc>
          <w:tcPr>
            <w:tcW w:w="93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排放源</w:t>
            </w:r>
          </w:p>
        </w:tc>
        <w:tc>
          <w:tcPr>
            <w:tcW w:w="142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zh-CN" w:eastAsia="zh-CN"/>
                <w14:textFill>
                  <w14:solidFill>
                    <w14:schemeClr w14:val="tx1"/>
                  </w14:solidFill>
                </w14:textFill>
              </w:rPr>
              <w:t>污染物名称</w:t>
            </w:r>
          </w:p>
        </w:tc>
        <w:tc>
          <w:tcPr>
            <w:tcW w:w="334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标准限值（mg/L-</w:t>
            </w:r>
            <w:r>
              <w:rPr>
                <w:rFonts w:hint="eastAsia"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p</w:t>
            </w: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H值</w:t>
            </w:r>
            <w:r>
              <w:rPr>
                <w:rFonts w:hint="eastAsia"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无量纲</w:t>
            </w: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w:t>
            </w:r>
          </w:p>
        </w:tc>
        <w:tc>
          <w:tcPr>
            <w:tcW w:w="214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3"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14:textFill>
                  <w14:solidFill>
                    <w14:schemeClr w14:val="tx1"/>
                  </w14:solidFill>
                </w14:textFill>
              </w:rPr>
              <w:t>1</w:t>
            </w:r>
          </w:p>
        </w:tc>
        <w:tc>
          <w:tcPr>
            <w:tcW w:w="930" w:type="dxa"/>
            <w:vMerge w:val="restart"/>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沉淀池废水</w:t>
            </w:r>
          </w:p>
        </w:tc>
        <w:tc>
          <w:tcPr>
            <w:tcW w:w="142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14:textFill>
                  <w14:solidFill>
                    <w14:schemeClr w14:val="tx1"/>
                  </w14:solidFill>
                </w14:textFill>
              </w:rPr>
              <w:t>pH值</w:t>
            </w:r>
          </w:p>
        </w:tc>
        <w:tc>
          <w:tcPr>
            <w:tcW w:w="334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14:textFill>
                  <w14:solidFill>
                    <w14:schemeClr w14:val="tx1"/>
                  </w14:solidFill>
                </w14:textFill>
              </w:rPr>
              <w:t>6~9</w:t>
            </w:r>
          </w:p>
        </w:tc>
        <w:tc>
          <w:tcPr>
            <w:tcW w:w="2147" w:type="dxa"/>
            <w:vMerge w:val="restart"/>
            <w:tcBorders>
              <w:tl2br w:val="nil"/>
              <w:tr2bl w:val="nil"/>
            </w:tcBorders>
            <w:vAlign w:val="center"/>
          </w:tcPr>
          <w:p>
            <w:pPr>
              <w:keepLines w:val="0"/>
              <w:pageBreakBefore w:val="0"/>
              <w:widowControl/>
              <w:kinsoku/>
              <w:wordWrap/>
              <w:topLinePunct w:val="0"/>
              <w:autoSpaceDE w:val="0"/>
              <w:autoSpaceDN w:val="0"/>
              <w:bidi w:val="0"/>
              <w:adjustRightInd w:val="0"/>
              <w:snapToGrid w:val="0"/>
              <w:spacing w:beforeAutospacing="0" w:after="0" w:afterLines="0" w:afterAutospacing="0" w:line="360" w:lineRule="auto"/>
              <w:jc w:val="center"/>
              <w:rPr>
                <w:rFonts w:hint="default" w:ascii="Times New Roman" w:hAnsi="Times New Roman" w:eastAsia="宋体" w:cs="Times New Roman"/>
                <w:sz w:val="21"/>
                <w:szCs w:val="21"/>
                <w:lang w:val="zh-CN"/>
              </w:rPr>
            </w:pPr>
          </w:p>
          <w:p>
            <w:pPr>
              <w:keepLines w:val="0"/>
              <w:pageBreakBefore w:val="0"/>
              <w:widowControl/>
              <w:kinsoku/>
              <w:wordWrap/>
              <w:topLinePunct w:val="0"/>
              <w:autoSpaceDE w:val="0"/>
              <w:autoSpaceDN w:val="0"/>
              <w:bidi w:val="0"/>
              <w:adjustRightInd w:val="0"/>
              <w:snapToGrid w:val="0"/>
              <w:spacing w:beforeAutospacing="0" w:after="0" w:afterLines="0" w:afterAutospacing="0" w:line="36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zh-CN"/>
              </w:rPr>
              <w:t>《</w:t>
            </w:r>
            <w:r>
              <w:rPr>
                <w:rFonts w:hint="eastAsia" w:ascii="Times New Roman" w:hAnsi="Times New Roman" w:eastAsia="宋体" w:cs="Times New Roman"/>
                <w:sz w:val="21"/>
                <w:szCs w:val="21"/>
                <w:lang w:val="en-US" w:eastAsia="zh-CN"/>
              </w:rPr>
              <w:t>医疗机构水污染物排放标准</w:t>
            </w:r>
            <w:r>
              <w:rPr>
                <w:rFonts w:hint="default" w:ascii="Times New Roman" w:hAnsi="Times New Roman" w:eastAsia="宋体" w:cs="Times New Roman"/>
                <w:sz w:val="21"/>
                <w:szCs w:val="21"/>
                <w:lang w:val="zh-CN"/>
              </w:rPr>
              <w:t>》（GB</w:t>
            </w:r>
            <w:r>
              <w:rPr>
                <w:rFonts w:hint="eastAsia" w:ascii="Times New Roman" w:hAnsi="Times New Roman" w:eastAsia="宋体" w:cs="Times New Roman"/>
                <w:sz w:val="21"/>
                <w:szCs w:val="21"/>
                <w:lang w:val="en-US" w:eastAsia="zh-CN"/>
              </w:rPr>
              <w:t>18466</w:t>
            </w:r>
            <w:r>
              <w:rPr>
                <w:rFonts w:hint="default" w:ascii="Times New Roman" w:hAnsi="Times New Roman" w:eastAsia="宋体" w:cs="Times New Roman"/>
                <w:sz w:val="21"/>
                <w:szCs w:val="21"/>
                <w:lang w:val="zh-CN"/>
              </w:rPr>
              <w:t>-</w:t>
            </w:r>
            <w:r>
              <w:rPr>
                <w:rFonts w:hint="eastAsia" w:ascii="Times New Roman" w:hAnsi="Times New Roman" w:eastAsia="宋体" w:cs="Times New Roman"/>
                <w:sz w:val="21"/>
                <w:szCs w:val="21"/>
                <w:lang w:val="en-US" w:eastAsia="zh-CN"/>
              </w:rPr>
              <w:t>2005</w:t>
            </w:r>
            <w:r>
              <w:rPr>
                <w:rFonts w:hint="default" w:ascii="Times New Roman" w:hAnsi="Times New Roman" w:eastAsia="宋体" w:cs="Times New Roman"/>
                <w:sz w:val="21"/>
                <w:szCs w:val="21"/>
                <w:lang w:val="zh-CN"/>
              </w:rPr>
              <w:t>）表</w:t>
            </w:r>
            <w:r>
              <w:rPr>
                <w:rFonts w:hint="eastAsia" w:ascii="Times New Roman" w:hAnsi="Times New Roman" w:eastAsia="宋体" w:cs="Times New Roman"/>
                <w:sz w:val="21"/>
                <w:szCs w:val="21"/>
                <w:lang w:val="en-US" w:eastAsia="zh-CN"/>
              </w:rPr>
              <w:t>2中预处理标准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3"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14:textFill>
                  <w14:solidFill>
                    <w14:schemeClr w14:val="tx1"/>
                  </w14:solidFill>
                </w14:textFill>
              </w:rPr>
              <w:t>2</w:t>
            </w:r>
          </w:p>
        </w:tc>
        <w:tc>
          <w:tcPr>
            <w:tcW w:w="93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1425"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化学需氧量</w:t>
            </w:r>
          </w:p>
        </w:tc>
        <w:tc>
          <w:tcPr>
            <w:tcW w:w="3345"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250</w:t>
            </w:r>
          </w:p>
        </w:tc>
        <w:tc>
          <w:tcPr>
            <w:tcW w:w="2147" w:type="dxa"/>
            <w:vMerge w:val="continue"/>
            <w:tcBorders>
              <w:tl2br w:val="nil"/>
              <w:tr2bl w:val="nil"/>
            </w:tcBorders>
            <w:vAlign w:val="center"/>
          </w:tcPr>
          <w:p>
            <w:pPr>
              <w:keepLines w:val="0"/>
              <w:pageBreakBefore w:val="0"/>
              <w:widowControl/>
              <w:kinsoku/>
              <w:wordWrap/>
              <w:topLinePunct w:val="0"/>
              <w:bidi w:val="0"/>
              <w:spacing w:beforeAutospacing="0" w:after="0" w:afterLines="0" w:afterAutospacing="0" w:line="360" w:lineRule="auto"/>
              <w:jc w:val="center"/>
              <w:rPr>
                <w:rFonts w:hint="default" w:ascii="Times New Roman" w:hAnsi="Times New Roman" w:eastAsia="宋体" w:cs="Times New Roman"/>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3"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14:textFill>
                  <w14:solidFill>
                    <w14:schemeClr w14:val="tx1"/>
                  </w14:solidFill>
                </w14:textFill>
              </w:rPr>
              <w:t>3</w:t>
            </w:r>
          </w:p>
        </w:tc>
        <w:tc>
          <w:tcPr>
            <w:tcW w:w="93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142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五日生化需氧量</w:t>
            </w:r>
          </w:p>
        </w:tc>
        <w:tc>
          <w:tcPr>
            <w:tcW w:w="3345"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100</w:t>
            </w:r>
          </w:p>
        </w:tc>
        <w:tc>
          <w:tcPr>
            <w:tcW w:w="2147" w:type="dxa"/>
            <w:vMerge w:val="continue"/>
            <w:tcBorders>
              <w:tl2br w:val="nil"/>
              <w:tr2bl w:val="nil"/>
            </w:tcBorders>
            <w:vAlign w:val="center"/>
          </w:tcPr>
          <w:p>
            <w:pPr>
              <w:keepLines w:val="0"/>
              <w:pageBreakBefore w:val="0"/>
              <w:widowControl/>
              <w:kinsoku/>
              <w:wordWrap/>
              <w:topLinePunct w:val="0"/>
              <w:bidi w:val="0"/>
              <w:spacing w:beforeAutospacing="0" w:after="0" w:afterLines="0" w:afterAutospacing="0" w:line="360" w:lineRule="auto"/>
              <w:jc w:val="center"/>
              <w:rPr>
                <w:rFonts w:hint="default" w:ascii="Times New Roman" w:hAnsi="Times New Roman" w:eastAsia="宋体" w:cs="Times New Roman"/>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3"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14:textFill>
                  <w14:solidFill>
                    <w14:schemeClr w14:val="tx1"/>
                  </w14:solidFill>
                </w14:textFill>
              </w:rPr>
              <w:t>4</w:t>
            </w:r>
          </w:p>
        </w:tc>
        <w:tc>
          <w:tcPr>
            <w:tcW w:w="93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1425"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悬浮物</w:t>
            </w:r>
          </w:p>
        </w:tc>
        <w:tc>
          <w:tcPr>
            <w:tcW w:w="3345"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60</w:t>
            </w:r>
          </w:p>
        </w:tc>
        <w:tc>
          <w:tcPr>
            <w:tcW w:w="2147" w:type="dxa"/>
            <w:vMerge w:val="continue"/>
            <w:tcBorders>
              <w:tl2br w:val="nil"/>
              <w:tr2bl w:val="nil"/>
            </w:tcBorders>
            <w:vAlign w:val="center"/>
          </w:tcPr>
          <w:p>
            <w:pPr>
              <w:keepLines w:val="0"/>
              <w:pageBreakBefore w:val="0"/>
              <w:widowControl/>
              <w:kinsoku/>
              <w:wordWrap/>
              <w:topLinePunct w:val="0"/>
              <w:bidi w:val="0"/>
              <w:spacing w:beforeAutospacing="0" w:after="0" w:afterLines="0" w:afterAutospacing="0" w:line="360" w:lineRule="auto"/>
              <w:jc w:val="center"/>
              <w:rPr>
                <w:rFonts w:hint="default" w:ascii="Times New Roman" w:hAnsi="Times New Roman" w:eastAsia="宋体" w:cs="Times New Roman"/>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3"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14:textFill>
                  <w14:solidFill>
                    <w14:schemeClr w14:val="tx1"/>
                  </w14:solidFill>
                </w14:textFill>
              </w:rPr>
              <w:t>5</w:t>
            </w:r>
          </w:p>
        </w:tc>
        <w:tc>
          <w:tcPr>
            <w:tcW w:w="93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142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eastAsia="zh-CN"/>
                <w14:textFill>
                  <w14:solidFill>
                    <w14:schemeClr w14:val="tx1"/>
                  </w14:solidFill>
                </w14:textFill>
              </w:rPr>
              <w:t>动植物油</w:t>
            </w:r>
          </w:p>
        </w:tc>
        <w:tc>
          <w:tcPr>
            <w:tcW w:w="334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w:t>
            </w:r>
          </w:p>
        </w:tc>
        <w:tc>
          <w:tcPr>
            <w:tcW w:w="2147" w:type="dxa"/>
            <w:vMerge w:val="continue"/>
            <w:tcBorders>
              <w:tl2br w:val="nil"/>
              <w:tr2bl w:val="nil"/>
            </w:tcBorders>
            <w:vAlign w:val="center"/>
          </w:tcPr>
          <w:p>
            <w:pPr>
              <w:keepLines w:val="0"/>
              <w:pageBreakBefore w:val="0"/>
              <w:widowControl/>
              <w:kinsoku/>
              <w:wordWrap/>
              <w:topLinePunct w:val="0"/>
              <w:bidi w:val="0"/>
              <w:spacing w:beforeAutospacing="0" w:after="0" w:afterLines="0" w:afterAutospacing="0" w:line="360" w:lineRule="auto"/>
              <w:jc w:val="center"/>
              <w:rPr>
                <w:rFonts w:hint="default" w:ascii="Times New Roman" w:hAnsi="Times New Roman" w:eastAsia="宋体" w:cs="Times New Roman"/>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3"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6</w:t>
            </w:r>
          </w:p>
        </w:tc>
        <w:tc>
          <w:tcPr>
            <w:tcW w:w="93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142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氨氮</w:t>
            </w:r>
          </w:p>
        </w:tc>
        <w:tc>
          <w:tcPr>
            <w:tcW w:w="334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p>
        </w:tc>
        <w:tc>
          <w:tcPr>
            <w:tcW w:w="2147" w:type="dxa"/>
            <w:vMerge w:val="continue"/>
            <w:tcBorders>
              <w:tl2br w:val="nil"/>
              <w:tr2bl w:val="nil"/>
            </w:tcBorders>
            <w:vAlign w:val="center"/>
          </w:tcPr>
          <w:p>
            <w:pPr>
              <w:keepLines w:val="0"/>
              <w:pageBreakBefore w:val="0"/>
              <w:widowControl/>
              <w:kinsoku/>
              <w:wordWrap/>
              <w:topLinePunct w:val="0"/>
              <w:bidi w:val="0"/>
              <w:spacing w:beforeAutospacing="0" w:after="0" w:afterLines="0" w:afterAutospacing="0" w:line="360" w:lineRule="auto"/>
              <w:jc w:val="center"/>
              <w:rPr>
                <w:rFonts w:hint="default" w:ascii="Times New Roman" w:hAnsi="Times New Roman" w:eastAsia="宋体" w:cs="Times New Roman"/>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3"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7</w:t>
            </w:r>
          </w:p>
        </w:tc>
        <w:tc>
          <w:tcPr>
            <w:tcW w:w="93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142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粪大肠菌群</w:t>
            </w:r>
          </w:p>
        </w:tc>
        <w:tc>
          <w:tcPr>
            <w:tcW w:w="3345"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5000</w:t>
            </w:r>
          </w:p>
        </w:tc>
        <w:tc>
          <w:tcPr>
            <w:tcW w:w="2147" w:type="dxa"/>
            <w:vMerge w:val="continue"/>
            <w:tcBorders>
              <w:tl2br w:val="nil"/>
              <w:tr2bl w:val="nil"/>
            </w:tcBorders>
            <w:vAlign w:val="center"/>
          </w:tcPr>
          <w:p>
            <w:pPr>
              <w:keepLines w:val="0"/>
              <w:pageBreakBefore w:val="0"/>
              <w:widowControl/>
              <w:kinsoku/>
              <w:wordWrap/>
              <w:topLinePunct w:val="0"/>
              <w:bidi w:val="0"/>
              <w:spacing w:beforeAutospacing="0" w:after="0" w:afterLines="0" w:afterAutospacing="0" w:line="360" w:lineRule="auto"/>
              <w:jc w:val="center"/>
              <w:rPr>
                <w:rFonts w:hint="default" w:ascii="Times New Roman" w:hAnsi="Times New Roman" w:eastAsia="宋体" w:cs="Times New Roman"/>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3"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8</w:t>
            </w:r>
          </w:p>
        </w:tc>
        <w:tc>
          <w:tcPr>
            <w:tcW w:w="93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142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余氯</w:t>
            </w:r>
          </w:p>
        </w:tc>
        <w:tc>
          <w:tcPr>
            <w:tcW w:w="3345"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p>
        </w:tc>
        <w:tc>
          <w:tcPr>
            <w:tcW w:w="2147" w:type="dxa"/>
            <w:vMerge w:val="continue"/>
            <w:tcBorders>
              <w:tl2br w:val="nil"/>
              <w:tr2bl w:val="nil"/>
            </w:tcBorders>
            <w:vAlign w:val="center"/>
          </w:tcPr>
          <w:p>
            <w:pPr>
              <w:keepLines w:val="0"/>
              <w:pageBreakBefore w:val="0"/>
              <w:widowControl/>
              <w:kinsoku/>
              <w:wordWrap/>
              <w:topLinePunct w:val="0"/>
              <w:bidi w:val="0"/>
              <w:spacing w:beforeAutospacing="0" w:after="0" w:afterLines="0" w:afterAutospacing="0" w:line="360" w:lineRule="auto"/>
              <w:jc w:val="center"/>
              <w:rPr>
                <w:rFonts w:hint="default" w:ascii="Times New Roman" w:hAnsi="Times New Roman" w:eastAsia="宋体" w:cs="Times New Roman"/>
                <w:b/>
                <w:sz w:val="21"/>
                <w:szCs w:val="21"/>
              </w:rPr>
            </w:pPr>
          </w:p>
        </w:tc>
      </w:tr>
    </w:tbl>
    <w:p>
      <w:pPr>
        <w:keepNext w:val="0"/>
        <w:keepLines w:val="0"/>
        <w:pageBreakBefore w:val="0"/>
        <w:widowControl/>
        <w:kinsoku/>
        <w:wordWrap/>
        <w:overflowPunct/>
        <w:topLinePunct w:val="0"/>
        <w:autoSpaceDE/>
        <w:autoSpaceDN/>
        <w:bidi w:val="0"/>
        <w:adjustRightInd w:val="0"/>
        <w:snapToGrid w:val="0"/>
        <w:spacing w:before="150" w:beforeLines="50" w:beforeAutospacing="0" w:after="0" w:afterLines="0" w:afterAutospacing="0" w:line="360" w:lineRule="auto"/>
        <w:textAlignment w:val="auto"/>
        <w:outlineLvl w:val="9"/>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项目废气评价标准见表6-2。</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表6-2  废气评价标准</w:t>
      </w:r>
    </w:p>
    <w:tbl>
      <w:tblPr>
        <w:tblStyle w:val="16"/>
        <w:tblW w:w="848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890"/>
        <w:gridCol w:w="1980"/>
        <w:gridCol w:w="33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314"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类别</w:t>
            </w:r>
          </w:p>
        </w:tc>
        <w:tc>
          <w:tcPr>
            <w:tcW w:w="189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监测项目</w:t>
            </w:r>
          </w:p>
        </w:tc>
        <w:tc>
          <w:tcPr>
            <w:tcW w:w="198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排放浓度（mg/m</w:t>
            </w:r>
            <w:r>
              <w:rPr>
                <w:rFonts w:hint="default" w:ascii="Times New Roman" w:hAnsi="Times New Roman" w:eastAsia="宋体" w:cs="Times New Roman"/>
                <w:b/>
                <w:bCs/>
                <w:color w:val="000000" w:themeColor="text1"/>
                <w:kern w:val="2"/>
                <w:sz w:val="21"/>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w:t>
            </w:r>
          </w:p>
        </w:tc>
        <w:tc>
          <w:tcPr>
            <w:tcW w:w="3302"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14"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无</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组织废气</w:t>
            </w:r>
          </w:p>
        </w:tc>
        <w:tc>
          <w:tcPr>
            <w:tcW w:w="189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氨气</w:t>
            </w:r>
          </w:p>
        </w:tc>
        <w:tc>
          <w:tcPr>
            <w:tcW w:w="198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1.0</w:t>
            </w:r>
          </w:p>
        </w:tc>
        <w:tc>
          <w:tcPr>
            <w:tcW w:w="3302" w:type="dxa"/>
            <w:vMerge w:val="restart"/>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sz w:val="21"/>
                <w:szCs w:val="21"/>
                <w:lang w:val="en-US" w:eastAsia="zh-CN"/>
              </w:rPr>
              <w:t>医疗机构水污染物排放标准</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default" w:ascii="Times New Roman" w:hAnsi="Times New Roman" w:eastAsia="宋体" w:cs="Times New Roman"/>
                <w:sz w:val="21"/>
                <w:szCs w:val="21"/>
                <w:lang w:val="zh-CN"/>
              </w:rPr>
              <w:t>GB</w:t>
            </w:r>
            <w:r>
              <w:rPr>
                <w:rFonts w:hint="eastAsia" w:ascii="Times New Roman" w:hAnsi="Times New Roman" w:eastAsia="宋体" w:cs="Times New Roman"/>
                <w:sz w:val="21"/>
                <w:szCs w:val="21"/>
                <w:lang w:val="en-US" w:eastAsia="zh-CN"/>
              </w:rPr>
              <w:t>18466</w:t>
            </w:r>
            <w:r>
              <w:rPr>
                <w:rFonts w:hint="default" w:ascii="Times New Roman" w:hAnsi="Times New Roman" w:eastAsia="宋体" w:cs="Times New Roman"/>
                <w:sz w:val="21"/>
                <w:szCs w:val="21"/>
                <w:lang w:val="zh-CN"/>
              </w:rPr>
              <w:t>-</w:t>
            </w:r>
            <w:r>
              <w:rPr>
                <w:rFonts w:hint="eastAsia" w:ascii="Times New Roman" w:hAnsi="Times New Roman" w:eastAsia="宋体" w:cs="Times New Roman"/>
                <w:sz w:val="21"/>
                <w:szCs w:val="21"/>
                <w:lang w:val="en-US" w:eastAsia="zh-CN"/>
              </w:rPr>
              <w:t>2005</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）表3标准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1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89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硫化氢</w:t>
            </w:r>
          </w:p>
        </w:tc>
        <w:tc>
          <w:tcPr>
            <w:tcW w:w="198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0.03</w:t>
            </w:r>
          </w:p>
        </w:tc>
        <w:tc>
          <w:tcPr>
            <w:tcW w:w="3302"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1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890"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臭气浓度</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（无量纲）</w:t>
            </w:r>
          </w:p>
        </w:tc>
        <w:tc>
          <w:tcPr>
            <w:tcW w:w="198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10</w:t>
            </w:r>
          </w:p>
        </w:tc>
        <w:tc>
          <w:tcPr>
            <w:tcW w:w="3302"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val="0"/>
        <w:snapToGrid w:val="0"/>
        <w:spacing w:before="150" w:beforeLines="50" w:beforeAutospacing="0" w:after="0" w:afterLines="0" w:afterAutospacing="0" w:line="360" w:lineRule="auto"/>
        <w:textAlignment w:val="auto"/>
        <w:outlineLvl w:val="9"/>
        <w:rPr>
          <w:rFonts w:hint="eastAsia" w:ascii="Times New Roman" w:hAnsi="Times New Roman" w:eastAsia="宋体" w:cs="Times New Roman"/>
          <w:b/>
          <w:color w:val="000000"/>
          <w:sz w:val="24"/>
          <w:szCs w:val="24"/>
          <w:lang w:val="en-US" w:eastAsia="zh-CN"/>
        </w:rPr>
      </w:pPr>
      <w:r>
        <w:rPr>
          <w:rFonts w:hint="eastAsia" w:ascii="Times New Roman" w:hAnsi="Times New Roman" w:eastAsia="宋体" w:cs="Times New Roman"/>
          <w:color w:val="000000"/>
          <w:sz w:val="24"/>
          <w:szCs w:val="24"/>
          <w:lang w:val="en-US" w:eastAsia="zh-CN" w:bidi="ar-SA"/>
        </w:rPr>
        <w:t>项目噪声评价标准见表6-3。</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表6-3  噪声评价标准</w:t>
      </w:r>
    </w:p>
    <w:tbl>
      <w:tblPr>
        <w:tblStyle w:val="16"/>
        <w:tblW w:w="8241" w:type="dxa"/>
        <w:jc w:val="center"/>
        <w:tblInd w:w="-219"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159"/>
        <w:gridCol w:w="920"/>
        <w:gridCol w:w="921"/>
        <w:gridCol w:w="37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455" w:type="dxa"/>
            <w:vMerge w:val="restart"/>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类别</w:t>
            </w:r>
          </w:p>
        </w:tc>
        <w:tc>
          <w:tcPr>
            <w:tcW w:w="1159" w:type="dxa"/>
            <w:vMerge w:val="restart"/>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监测项目</w:t>
            </w:r>
          </w:p>
        </w:tc>
        <w:tc>
          <w:tcPr>
            <w:tcW w:w="1841" w:type="dxa"/>
            <w:gridSpan w:val="2"/>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标准值（dB（A））</w:t>
            </w:r>
          </w:p>
        </w:tc>
        <w:tc>
          <w:tcPr>
            <w:tcW w:w="3786" w:type="dxa"/>
            <w:vMerge w:val="restart"/>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55" w:type="dxa"/>
            <w:vMerge w:val="continue"/>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1159" w:type="dxa"/>
            <w:vMerge w:val="continue"/>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920" w:type="dxa"/>
            <w:vMerge w:val="restart"/>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昼间</w:t>
            </w:r>
          </w:p>
        </w:tc>
        <w:tc>
          <w:tcPr>
            <w:tcW w:w="921" w:type="dxa"/>
            <w:vMerge w:val="restart"/>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夜间</w:t>
            </w:r>
          </w:p>
        </w:tc>
        <w:tc>
          <w:tcPr>
            <w:tcW w:w="3786" w:type="dxa"/>
            <w:vMerge w:val="continue"/>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55" w:type="dxa"/>
            <w:vMerge w:val="continue"/>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1159" w:type="dxa"/>
            <w:vMerge w:val="continue"/>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920" w:type="dxa"/>
            <w:vMerge w:val="continue"/>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921" w:type="dxa"/>
            <w:vMerge w:val="continue"/>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3786" w:type="dxa"/>
            <w:vMerge w:val="continue"/>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455"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厂界噪声</w:t>
            </w:r>
          </w:p>
        </w:tc>
        <w:tc>
          <w:tcPr>
            <w:tcW w:w="1159"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Leq</w:t>
            </w:r>
          </w:p>
        </w:tc>
        <w:tc>
          <w:tcPr>
            <w:tcW w:w="920"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w:t>
            </w:r>
          </w:p>
        </w:tc>
        <w:tc>
          <w:tcPr>
            <w:tcW w:w="921"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w:t>
            </w:r>
          </w:p>
        </w:tc>
        <w:tc>
          <w:tcPr>
            <w:tcW w:w="3786"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工业企业厂界环境噪声排放标准</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》（GB</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12348</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类标准要求</w:t>
            </w: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36" w:name="_Toc11718"/>
      <w:r>
        <w:rPr>
          <w:rFonts w:hint="default" w:ascii="Times New Roman" w:hAnsi="Times New Roman" w:eastAsia="宋体" w:cs="Times New Roman"/>
          <w:b/>
        </w:rPr>
        <w:t>7 验收监测内容</w:t>
      </w:r>
      <w:bookmarkEnd w:id="36"/>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37" w:name="_Toc2930"/>
      <w:r>
        <w:rPr>
          <w:rFonts w:hint="default" w:ascii="Times New Roman" w:hAnsi="Times New Roman" w:eastAsia="宋体" w:cs="Times New Roman"/>
          <w:b/>
          <w:sz w:val="30"/>
          <w:szCs w:val="30"/>
          <w:lang w:val="en-US" w:eastAsia="zh-CN"/>
        </w:rPr>
        <w:t>7.1 废水</w:t>
      </w:r>
      <w:bookmarkEnd w:id="3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zh-CN"/>
        </w:rPr>
      </w:pPr>
      <w:r>
        <w:rPr>
          <w:rFonts w:hint="eastAsia" w:ascii="Times New Roman" w:hAnsi="Times New Roman" w:cs="Times New Roman"/>
          <w:sz w:val="24"/>
          <w:szCs w:val="24"/>
          <w:lang w:val="zh-CN"/>
        </w:rPr>
        <w:t>废水</w:t>
      </w:r>
      <w:r>
        <w:rPr>
          <w:rFonts w:hint="default" w:ascii="Times New Roman" w:hAnsi="Times New Roman" w:cs="Times New Roman"/>
          <w:sz w:val="24"/>
          <w:szCs w:val="24"/>
          <w:lang w:val="zh-CN"/>
        </w:rPr>
        <w:t>监测项目、点位及频率见表7-</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zh-CN"/>
        </w:rPr>
        <w:t>。</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zh-CN" w:eastAsia="zh-CN"/>
        </w:rPr>
      </w:pPr>
      <w:r>
        <w:rPr>
          <w:rFonts w:hint="eastAsia" w:ascii="Times New Roman" w:hAnsi="Times New Roman" w:eastAsia="宋体" w:cs="Times New Roman"/>
          <w:b/>
          <w:color w:val="000000"/>
          <w:sz w:val="24"/>
          <w:szCs w:val="24"/>
          <w:lang w:val="zh-CN" w:eastAsia="zh-CN"/>
        </w:rPr>
        <w:t>表</w:t>
      </w:r>
      <w:r>
        <w:rPr>
          <w:rFonts w:hint="eastAsia" w:ascii="Times New Roman" w:hAnsi="Times New Roman" w:eastAsia="宋体" w:cs="Times New Roman"/>
          <w:b/>
          <w:color w:val="000000"/>
          <w:sz w:val="24"/>
          <w:szCs w:val="24"/>
          <w:lang w:val="en-US" w:eastAsia="zh-CN"/>
        </w:rPr>
        <w:t xml:space="preserve">7-1 </w:t>
      </w:r>
      <w:r>
        <w:rPr>
          <w:rFonts w:hint="eastAsia" w:ascii="Times New Roman" w:hAnsi="Times New Roman" w:eastAsia="宋体" w:cs="Times New Roman"/>
          <w:b/>
          <w:color w:val="000000"/>
          <w:sz w:val="24"/>
          <w:szCs w:val="24"/>
          <w:lang w:val="zh-CN" w:eastAsia="zh-CN"/>
        </w:rPr>
        <w:t>废水监测内容</w:t>
      </w:r>
    </w:p>
    <w:tbl>
      <w:tblPr>
        <w:tblStyle w:val="16"/>
        <w:tblW w:w="908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0"/>
        <w:gridCol w:w="1067"/>
        <w:gridCol w:w="3285"/>
        <w:gridCol w:w="1230"/>
        <w:gridCol w:w="27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730"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类别</w:t>
            </w:r>
          </w:p>
        </w:tc>
        <w:tc>
          <w:tcPr>
            <w:tcW w:w="1067"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监测点位</w:t>
            </w:r>
          </w:p>
        </w:tc>
        <w:tc>
          <w:tcPr>
            <w:tcW w:w="3285"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监测项目</w:t>
            </w:r>
          </w:p>
        </w:tc>
        <w:tc>
          <w:tcPr>
            <w:tcW w:w="1230"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监测频次</w:t>
            </w:r>
          </w:p>
        </w:tc>
        <w:tc>
          <w:tcPr>
            <w:tcW w:w="2772"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30" w:type="dxa"/>
            <w:vAlign w:val="center"/>
          </w:tcPr>
          <w:p>
            <w:pPr>
              <w:snapToGrid w:val="0"/>
              <w:jc w:val="center"/>
              <w:rPr>
                <w:rFonts w:ascii="Times New Roman" w:hAnsi="Times New Roman"/>
                <w:szCs w:val="21"/>
              </w:rPr>
            </w:pPr>
            <w:r>
              <w:rPr>
                <w:rFonts w:hint="eastAsia" w:ascii="Times New Roman" w:hAnsi="Times New Roman"/>
                <w:szCs w:val="21"/>
              </w:rPr>
              <w:t>废水</w:t>
            </w:r>
          </w:p>
        </w:tc>
        <w:tc>
          <w:tcPr>
            <w:tcW w:w="1067" w:type="dxa"/>
            <w:vAlign w:val="center"/>
          </w:tcPr>
          <w:p>
            <w:pPr>
              <w:snapToGrid w:val="0"/>
              <w:spacing w:line="300" w:lineRule="exact"/>
              <w:jc w:val="center"/>
              <w:rPr>
                <w:rFonts w:ascii="Times New Roman" w:hAnsi="Times New Roman"/>
                <w:szCs w:val="21"/>
              </w:rPr>
            </w:pPr>
            <w:r>
              <w:rPr>
                <w:rFonts w:hint="eastAsia" w:ascii="Times New Roman" w:hAnsi="Times New Roman"/>
                <w:szCs w:val="21"/>
                <w:lang w:val="en-US" w:eastAsia="zh-CN"/>
              </w:rPr>
              <w:t>废水总排口W</w:t>
            </w:r>
            <w:r>
              <w:rPr>
                <w:rFonts w:hint="eastAsia" w:ascii="Times New Roman" w:hAnsi="Times New Roman"/>
                <w:szCs w:val="21"/>
              </w:rPr>
              <w:t>1</w:t>
            </w:r>
          </w:p>
        </w:tc>
        <w:tc>
          <w:tcPr>
            <w:tcW w:w="3285" w:type="dxa"/>
            <w:vAlign w:val="center"/>
          </w:tcPr>
          <w:p>
            <w:pPr>
              <w:snapToGrid w:val="0"/>
              <w:jc w:val="center"/>
              <w:rPr>
                <w:rFonts w:hint="eastAsia" w:ascii="Times New Roman" w:hAnsi="Times New Roman" w:eastAsiaTheme="minorEastAsia"/>
                <w:szCs w:val="21"/>
                <w:lang w:val="en-US" w:eastAsia="zh-CN"/>
              </w:rPr>
            </w:pPr>
            <w:r>
              <w:rPr>
                <w:rFonts w:ascii="Times New Roman" w:hAnsi="Times New Roman"/>
                <w:szCs w:val="21"/>
              </w:rPr>
              <w:t>pH值、</w:t>
            </w:r>
            <w:r>
              <w:rPr>
                <w:rFonts w:hint="eastAsia" w:ascii="Times New Roman" w:hAnsi="Times New Roman"/>
                <w:szCs w:val="21"/>
                <w:lang w:val="en-US" w:eastAsia="zh-CN"/>
              </w:rPr>
              <w:t>化学需氧量</w:t>
            </w:r>
            <w:r>
              <w:rPr>
                <w:rFonts w:ascii="Times New Roman" w:hAnsi="Times New Roman"/>
                <w:szCs w:val="21"/>
              </w:rPr>
              <w:t>、</w:t>
            </w:r>
            <w:r>
              <w:rPr>
                <w:rFonts w:hint="eastAsia" w:ascii="Times New Roman" w:hAnsi="Times New Roman"/>
                <w:szCs w:val="21"/>
                <w:lang w:val="en-US" w:eastAsia="zh-CN"/>
              </w:rPr>
              <w:t>五日生化需氧量</w:t>
            </w:r>
            <w:r>
              <w:rPr>
                <w:rFonts w:ascii="Times New Roman" w:hAnsi="Times New Roman"/>
                <w:szCs w:val="21"/>
              </w:rPr>
              <w:t>、</w:t>
            </w:r>
            <w:r>
              <w:rPr>
                <w:rFonts w:hint="eastAsia" w:ascii="Times New Roman" w:hAnsi="Times New Roman"/>
                <w:szCs w:val="21"/>
                <w:lang w:val="en-US" w:eastAsia="zh-CN"/>
              </w:rPr>
              <w:t>氨氮</w:t>
            </w:r>
            <w:r>
              <w:rPr>
                <w:rFonts w:ascii="Times New Roman" w:hAnsi="Times New Roman"/>
                <w:szCs w:val="21"/>
              </w:rPr>
              <w:t>、</w:t>
            </w:r>
            <w:r>
              <w:rPr>
                <w:rFonts w:hint="eastAsia" w:ascii="Times New Roman" w:hAnsi="Times New Roman"/>
                <w:szCs w:val="21"/>
                <w:lang w:val="en-US" w:eastAsia="zh-CN"/>
              </w:rPr>
              <w:t>悬浮物</w:t>
            </w:r>
            <w:r>
              <w:rPr>
                <w:rFonts w:ascii="Times New Roman" w:hAnsi="Times New Roman"/>
                <w:szCs w:val="21"/>
              </w:rPr>
              <w:t>、动植物油</w:t>
            </w:r>
            <w:r>
              <w:rPr>
                <w:rFonts w:hint="eastAsia" w:ascii="Times New Roman" w:hAnsi="Times New Roman"/>
                <w:szCs w:val="21"/>
                <w:lang w:eastAsia="zh-CN"/>
              </w:rPr>
              <w:t>、</w:t>
            </w:r>
            <w:r>
              <w:rPr>
                <w:rFonts w:hint="eastAsia" w:ascii="Times New Roman" w:hAnsi="Times New Roman"/>
                <w:szCs w:val="21"/>
                <w:lang w:val="en-US" w:eastAsia="zh-CN"/>
              </w:rPr>
              <w:t>粪大肠菌群、余氯</w:t>
            </w:r>
          </w:p>
        </w:tc>
        <w:tc>
          <w:tcPr>
            <w:tcW w:w="1230" w:type="dxa"/>
            <w:vAlign w:val="center"/>
          </w:tcPr>
          <w:p>
            <w:pPr>
              <w:snapToGrid w:val="0"/>
              <w:jc w:val="center"/>
              <w:rPr>
                <w:rFonts w:ascii="Times New Roman" w:hAnsi="Times New Roman"/>
                <w:szCs w:val="21"/>
              </w:rPr>
            </w:pPr>
            <w:r>
              <w:rPr>
                <w:rFonts w:ascii="Times New Roman" w:hAnsi="Times New Roman"/>
                <w:szCs w:val="21"/>
              </w:rPr>
              <w:t>3次/天，</w:t>
            </w:r>
          </w:p>
          <w:p>
            <w:pPr>
              <w:snapToGrid w:val="0"/>
              <w:jc w:val="center"/>
              <w:rPr>
                <w:rFonts w:ascii="Times New Roman" w:hAnsi="Times New Roman"/>
                <w:szCs w:val="21"/>
              </w:rPr>
            </w:pPr>
            <w:r>
              <w:rPr>
                <w:rFonts w:ascii="Times New Roman" w:hAnsi="Times New Roman"/>
                <w:szCs w:val="21"/>
              </w:rPr>
              <w:t>连续2天</w:t>
            </w:r>
          </w:p>
        </w:tc>
        <w:tc>
          <w:tcPr>
            <w:tcW w:w="2772" w:type="dxa"/>
            <w:vAlign w:val="center"/>
          </w:tcPr>
          <w:p>
            <w:pPr>
              <w:snapToGrid w:val="0"/>
              <w:jc w:val="center"/>
              <w:rPr>
                <w:rFonts w:ascii="Times New Roman" w:hAnsi="Times New Roman"/>
                <w:szCs w:val="21"/>
              </w:rPr>
            </w:pPr>
            <w:r>
              <w:rPr>
                <w:rFonts w:hint="default" w:ascii="Times New Roman" w:hAnsi="Times New Roman" w:eastAsia="宋体" w:cs="Times New Roman"/>
                <w:sz w:val="21"/>
                <w:szCs w:val="21"/>
                <w:lang w:val="zh-CN"/>
              </w:rPr>
              <w:t>《</w:t>
            </w:r>
            <w:r>
              <w:rPr>
                <w:rFonts w:hint="eastAsia" w:ascii="Times New Roman" w:hAnsi="Times New Roman" w:eastAsia="宋体" w:cs="Times New Roman"/>
                <w:sz w:val="21"/>
                <w:szCs w:val="21"/>
                <w:lang w:val="en-US" w:eastAsia="zh-CN"/>
              </w:rPr>
              <w:t>医疗机构水污染物排放标准</w:t>
            </w:r>
            <w:r>
              <w:rPr>
                <w:rFonts w:hint="default" w:ascii="Times New Roman" w:hAnsi="Times New Roman" w:eastAsia="宋体" w:cs="Times New Roman"/>
                <w:sz w:val="21"/>
                <w:szCs w:val="21"/>
                <w:lang w:val="zh-CN"/>
              </w:rPr>
              <w:t>》（GB</w:t>
            </w:r>
            <w:r>
              <w:rPr>
                <w:rFonts w:hint="eastAsia" w:ascii="Times New Roman" w:hAnsi="Times New Roman" w:eastAsia="宋体" w:cs="Times New Roman"/>
                <w:sz w:val="21"/>
                <w:szCs w:val="21"/>
                <w:lang w:val="en-US" w:eastAsia="zh-CN"/>
              </w:rPr>
              <w:t>18466</w:t>
            </w:r>
            <w:r>
              <w:rPr>
                <w:rFonts w:hint="default" w:ascii="Times New Roman" w:hAnsi="Times New Roman" w:eastAsia="宋体" w:cs="Times New Roman"/>
                <w:sz w:val="21"/>
                <w:szCs w:val="21"/>
                <w:lang w:val="zh-CN"/>
              </w:rPr>
              <w:t>-</w:t>
            </w:r>
            <w:r>
              <w:rPr>
                <w:rFonts w:hint="eastAsia" w:ascii="Times New Roman" w:hAnsi="Times New Roman" w:eastAsia="宋体" w:cs="Times New Roman"/>
                <w:sz w:val="21"/>
                <w:szCs w:val="21"/>
                <w:lang w:val="en-US" w:eastAsia="zh-CN"/>
              </w:rPr>
              <w:t>2005</w:t>
            </w:r>
            <w:r>
              <w:rPr>
                <w:rFonts w:hint="default" w:ascii="Times New Roman" w:hAnsi="Times New Roman" w:eastAsia="宋体" w:cs="Times New Roman"/>
                <w:sz w:val="21"/>
                <w:szCs w:val="21"/>
                <w:lang w:val="zh-CN"/>
              </w:rPr>
              <w:t>）表</w:t>
            </w:r>
            <w:r>
              <w:rPr>
                <w:rFonts w:hint="eastAsia" w:ascii="Times New Roman" w:hAnsi="Times New Roman" w:eastAsia="宋体" w:cs="Times New Roman"/>
                <w:sz w:val="21"/>
                <w:szCs w:val="21"/>
                <w:lang w:val="en-US" w:eastAsia="zh-CN"/>
              </w:rPr>
              <w:t>2中预处理标准</w:t>
            </w:r>
          </w:p>
        </w:tc>
      </w:tr>
    </w:tbl>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38" w:name="_Toc23291"/>
      <w:r>
        <w:rPr>
          <w:rFonts w:hint="default" w:ascii="Times New Roman" w:hAnsi="Times New Roman" w:eastAsia="宋体" w:cs="Times New Roman"/>
          <w:b/>
          <w:sz w:val="30"/>
          <w:szCs w:val="30"/>
          <w:lang w:val="en-US" w:eastAsia="zh-CN"/>
        </w:rPr>
        <w:t>7.2 废气</w:t>
      </w:r>
      <w:bookmarkEnd w:id="3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zh-CN"/>
        </w:rPr>
      </w:pPr>
      <w:r>
        <w:rPr>
          <w:rFonts w:hint="eastAsia" w:ascii="Times New Roman" w:hAnsi="Times New Roman" w:cs="Times New Roman"/>
          <w:sz w:val="24"/>
          <w:szCs w:val="24"/>
          <w:lang w:val="zh-CN"/>
        </w:rPr>
        <w:t>废气监测项目、点位及频率见表7-</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val="zh-CN"/>
        </w:rPr>
        <w:t>。</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zh-CN" w:eastAsia="zh-CN"/>
        </w:rPr>
      </w:pPr>
      <w:r>
        <w:rPr>
          <w:rFonts w:hint="eastAsia" w:ascii="Times New Roman" w:hAnsi="Times New Roman" w:eastAsia="宋体" w:cs="Times New Roman"/>
          <w:b/>
          <w:color w:val="000000"/>
          <w:sz w:val="24"/>
          <w:szCs w:val="24"/>
          <w:lang w:val="zh-CN" w:eastAsia="zh-CN"/>
        </w:rPr>
        <w:t>表7-</w:t>
      </w:r>
      <w:r>
        <w:rPr>
          <w:rFonts w:hint="eastAsia" w:ascii="Times New Roman" w:hAnsi="Times New Roman" w:eastAsia="宋体" w:cs="Times New Roman"/>
          <w:b/>
          <w:color w:val="000000"/>
          <w:sz w:val="24"/>
          <w:szCs w:val="24"/>
          <w:lang w:val="en-US" w:eastAsia="zh-CN"/>
        </w:rPr>
        <w:t>2</w:t>
      </w:r>
      <w:r>
        <w:rPr>
          <w:rFonts w:hint="eastAsia" w:ascii="Times New Roman" w:hAnsi="Times New Roman" w:eastAsia="宋体" w:cs="Times New Roman"/>
          <w:b/>
          <w:color w:val="000000"/>
          <w:sz w:val="24"/>
          <w:szCs w:val="24"/>
          <w:lang w:val="zh-CN" w:eastAsia="zh-CN"/>
        </w:rPr>
        <w:t xml:space="preserve"> 废气监测内容</w:t>
      </w:r>
    </w:p>
    <w:tbl>
      <w:tblPr>
        <w:tblStyle w:val="16"/>
        <w:tblW w:w="908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16"/>
        <w:gridCol w:w="2025"/>
        <w:gridCol w:w="1586"/>
        <w:gridCol w:w="1455"/>
        <w:gridCol w:w="31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916"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类别</w:t>
            </w:r>
          </w:p>
        </w:tc>
        <w:tc>
          <w:tcPr>
            <w:tcW w:w="2025"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监测点位</w:t>
            </w:r>
          </w:p>
        </w:tc>
        <w:tc>
          <w:tcPr>
            <w:tcW w:w="1586"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监测项目</w:t>
            </w:r>
          </w:p>
        </w:tc>
        <w:tc>
          <w:tcPr>
            <w:tcW w:w="1455"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监测频次</w:t>
            </w:r>
          </w:p>
        </w:tc>
        <w:tc>
          <w:tcPr>
            <w:tcW w:w="3102"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42" w:hRule="atLeast"/>
        </w:trPr>
        <w:tc>
          <w:tcPr>
            <w:tcW w:w="916" w:type="dxa"/>
            <w:vAlign w:val="center"/>
          </w:tcPr>
          <w:p>
            <w:pPr>
              <w:snapToGrid w:val="0"/>
              <w:jc w:val="center"/>
              <w:rPr>
                <w:rFonts w:ascii="Times New Roman" w:hAnsi="Times New Roman"/>
                <w:szCs w:val="21"/>
              </w:rPr>
            </w:pPr>
            <w:r>
              <w:rPr>
                <w:rFonts w:hint="eastAsia" w:ascii="Times New Roman" w:hAnsi="Times New Roman"/>
                <w:szCs w:val="21"/>
                <w:lang w:val="en-US" w:eastAsia="zh-CN"/>
              </w:rPr>
              <w:t>无</w:t>
            </w:r>
            <w:r>
              <w:rPr>
                <w:rFonts w:hint="eastAsia" w:ascii="Times New Roman" w:hAnsi="Times New Roman"/>
                <w:szCs w:val="21"/>
              </w:rPr>
              <w:t>组织废气</w:t>
            </w:r>
          </w:p>
        </w:tc>
        <w:tc>
          <w:tcPr>
            <w:tcW w:w="2025" w:type="dxa"/>
            <w:vAlign w:val="center"/>
          </w:tcPr>
          <w:p>
            <w:pPr>
              <w:snapToGrid w:val="0"/>
              <w:spacing w:line="300" w:lineRule="exact"/>
              <w:jc w:val="center"/>
              <w:rPr>
                <w:rFonts w:hint="eastAsia" w:ascii="Times New Roman" w:hAnsi="Times New Roman" w:eastAsiaTheme="minorEastAsia"/>
                <w:szCs w:val="21"/>
                <w:lang w:val="en-US" w:eastAsia="zh-CN"/>
              </w:rPr>
            </w:pPr>
            <w:r>
              <w:rPr>
                <w:rFonts w:hint="eastAsia" w:ascii="Times New Roman" w:hAnsi="Times New Roman"/>
                <w:szCs w:val="21"/>
                <w:lang w:val="en-US" w:eastAsia="zh-CN"/>
              </w:rPr>
              <w:t>污水处理间门口G</w:t>
            </w:r>
            <w:r>
              <w:rPr>
                <w:rFonts w:hint="eastAsia" w:ascii="Times New Roman" w:hAnsi="Times New Roman"/>
                <w:szCs w:val="21"/>
              </w:rPr>
              <w:t>1</w:t>
            </w:r>
            <w:r>
              <w:rPr>
                <w:rFonts w:hint="eastAsia" w:ascii="Times New Roman" w:hAnsi="Times New Roman"/>
                <w:szCs w:val="21"/>
                <w:lang w:eastAsia="zh-CN"/>
              </w:rPr>
              <w:t>、</w:t>
            </w:r>
            <w:r>
              <w:rPr>
                <w:rFonts w:hint="eastAsia" w:ascii="Times New Roman" w:hAnsi="Times New Roman"/>
                <w:szCs w:val="21"/>
                <w:lang w:val="en-US" w:eastAsia="zh-CN"/>
              </w:rPr>
              <w:t>危废暂存间门口G2、下方向G3</w:t>
            </w:r>
          </w:p>
        </w:tc>
        <w:tc>
          <w:tcPr>
            <w:tcW w:w="1586" w:type="dxa"/>
            <w:vAlign w:val="center"/>
          </w:tcPr>
          <w:p>
            <w:pPr>
              <w:snapToGrid w:val="0"/>
              <w:jc w:val="center"/>
              <w:rPr>
                <w:rFonts w:hint="eastAsia" w:ascii="Times New Roman" w:hAnsi="Times New Roman" w:eastAsiaTheme="minorEastAsia"/>
                <w:szCs w:val="21"/>
                <w:lang w:val="en-US" w:eastAsia="zh-CN"/>
              </w:rPr>
            </w:pPr>
            <w:r>
              <w:rPr>
                <w:rFonts w:hint="eastAsia" w:ascii="Times New Roman" w:hAnsi="Times New Roman"/>
                <w:szCs w:val="21"/>
                <w:lang w:val="en-US" w:eastAsia="zh-CN"/>
              </w:rPr>
              <w:t>氨气</w:t>
            </w:r>
            <w:r>
              <w:rPr>
                <w:rFonts w:hint="eastAsia" w:ascii="Times New Roman" w:hAnsi="Times New Roman"/>
                <w:szCs w:val="21"/>
              </w:rPr>
              <w:t>、</w:t>
            </w:r>
            <w:r>
              <w:rPr>
                <w:rFonts w:hint="eastAsia" w:ascii="Times New Roman" w:hAnsi="Times New Roman"/>
                <w:szCs w:val="21"/>
                <w:lang w:val="en-US" w:eastAsia="zh-CN"/>
              </w:rPr>
              <w:t>硫化氢</w:t>
            </w:r>
            <w:r>
              <w:rPr>
                <w:rFonts w:hint="eastAsia" w:ascii="Times New Roman" w:hAnsi="Times New Roman"/>
                <w:szCs w:val="21"/>
              </w:rPr>
              <w:t>、</w:t>
            </w:r>
            <w:r>
              <w:rPr>
                <w:rFonts w:hint="eastAsia" w:ascii="Times New Roman" w:hAnsi="Times New Roman"/>
                <w:szCs w:val="21"/>
                <w:lang w:val="en-US" w:eastAsia="zh-CN"/>
              </w:rPr>
              <w:t>臭气浓度</w:t>
            </w:r>
          </w:p>
        </w:tc>
        <w:tc>
          <w:tcPr>
            <w:tcW w:w="1455" w:type="dxa"/>
            <w:vAlign w:val="center"/>
          </w:tcPr>
          <w:p>
            <w:pPr>
              <w:snapToGrid w:val="0"/>
              <w:jc w:val="center"/>
              <w:rPr>
                <w:rFonts w:ascii="Times New Roman" w:hAnsi="Times New Roman"/>
                <w:szCs w:val="21"/>
              </w:rPr>
            </w:pPr>
            <w:r>
              <w:rPr>
                <w:rFonts w:ascii="Times New Roman" w:hAnsi="Times New Roman"/>
                <w:szCs w:val="21"/>
              </w:rPr>
              <w:t>3次/天，</w:t>
            </w:r>
          </w:p>
          <w:p>
            <w:pPr>
              <w:snapToGrid w:val="0"/>
              <w:jc w:val="center"/>
              <w:rPr>
                <w:rFonts w:ascii="Times New Roman" w:hAnsi="Times New Roman"/>
                <w:szCs w:val="21"/>
              </w:rPr>
            </w:pPr>
            <w:r>
              <w:rPr>
                <w:rFonts w:ascii="Times New Roman" w:hAnsi="Times New Roman"/>
                <w:szCs w:val="21"/>
              </w:rPr>
              <w:t>连续2天</w:t>
            </w:r>
          </w:p>
        </w:tc>
        <w:tc>
          <w:tcPr>
            <w:tcW w:w="3102"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sz w:val="21"/>
                <w:szCs w:val="21"/>
                <w:lang w:val="en-US" w:eastAsia="zh-CN"/>
              </w:rPr>
              <w:t>医疗机构水污染物排放标准</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p>
          <w:p>
            <w:pPr>
              <w:snapToGrid w:val="0"/>
              <w:jc w:val="center"/>
              <w:rPr>
                <w:rFonts w:hint="eastAsia" w:ascii="Times New Roman" w:hAnsi="Times New Roman" w:eastAsiaTheme="minorEastAsia"/>
                <w:szCs w:val="21"/>
                <w:lang w:val="en-US" w:eastAsia="zh-CN"/>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default" w:ascii="Times New Roman" w:hAnsi="Times New Roman" w:eastAsia="宋体" w:cs="Times New Roman"/>
                <w:sz w:val="21"/>
                <w:szCs w:val="21"/>
                <w:lang w:val="zh-CN"/>
              </w:rPr>
              <w:t>GB</w:t>
            </w:r>
            <w:r>
              <w:rPr>
                <w:rFonts w:hint="eastAsia" w:ascii="Times New Roman" w:hAnsi="Times New Roman" w:eastAsia="宋体" w:cs="Times New Roman"/>
                <w:sz w:val="21"/>
                <w:szCs w:val="21"/>
                <w:lang w:val="en-US" w:eastAsia="zh-CN"/>
              </w:rPr>
              <w:t>18466</w:t>
            </w:r>
            <w:r>
              <w:rPr>
                <w:rFonts w:hint="default" w:ascii="Times New Roman" w:hAnsi="Times New Roman" w:eastAsia="宋体" w:cs="Times New Roman"/>
                <w:sz w:val="21"/>
                <w:szCs w:val="21"/>
                <w:lang w:val="zh-CN"/>
              </w:rPr>
              <w:t>-</w:t>
            </w:r>
            <w:r>
              <w:rPr>
                <w:rFonts w:hint="eastAsia" w:ascii="Times New Roman" w:hAnsi="Times New Roman" w:eastAsia="宋体" w:cs="Times New Roman"/>
                <w:sz w:val="21"/>
                <w:szCs w:val="21"/>
                <w:lang w:val="en-US" w:eastAsia="zh-CN"/>
              </w:rPr>
              <w:t>2005</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）表3标准</w:t>
            </w:r>
          </w:p>
        </w:tc>
      </w:tr>
    </w:tbl>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39" w:name="_Toc27303"/>
      <w:r>
        <w:rPr>
          <w:rFonts w:hint="default" w:ascii="Times New Roman" w:hAnsi="Times New Roman" w:eastAsia="宋体" w:cs="Times New Roman"/>
          <w:b/>
          <w:sz w:val="30"/>
          <w:szCs w:val="30"/>
          <w:lang w:val="en-US" w:eastAsia="zh-CN"/>
        </w:rPr>
        <w:t>7.3 厂界噪声监测</w:t>
      </w:r>
      <w:bookmarkEnd w:id="3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zh-CN"/>
        </w:rPr>
      </w:pPr>
      <w:r>
        <w:rPr>
          <w:rFonts w:hint="eastAsia" w:ascii="Times New Roman" w:hAnsi="Times New Roman" w:cs="Times New Roman"/>
          <w:sz w:val="24"/>
          <w:szCs w:val="24"/>
          <w:lang w:val="zh-CN"/>
        </w:rPr>
        <w:t>噪声监测项目、点位及频率见表7-3。</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zh-CN" w:eastAsia="zh-CN"/>
        </w:rPr>
      </w:pPr>
      <w:bookmarkStart w:id="40" w:name="_Toc211096939"/>
      <w:r>
        <w:rPr>
          <w:rFonts w:hint="eastAsia" w:ascii="Times New Roman" w:hAnsi="Times New Roman" w:eastAsia="宋体" w:cs="Times New Roman"/>
          <w:b/>
          <w:color w:val="000000"/>
          <w:sz w:val="24"/>
          <w:szCs w:val="24"/>
          <w:lang w:val="zh-CN" w:eastAsia="zh-CN"/>
        </w:rPr>
        <w:t>表7-3 噪声监测内容</w:t>
      </w:r>
    </w:p>
    <w:tbl>
      <w:tblPr>
        <w:tblStyle w:val="16"/>
        <w:tblW w:w="906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0"/>
        <w:gridCol w:w="1725"/>
        <w:gridCol w:w="2711"/>
        <w:gridCol w:w="1810"/>
        <w:gridCol w:w="20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740" w:type="dxa"/>
            <w:vAlign w:val="center"/>
          </w:tcPr>
          <w:p>
            <w:pPr>
              <w:snapToGrid w:val="0"/>
              <w:jc w:val="center"/>
              <w:rPr>
                <w:rFonts w:ascii="Times New Roman" w:hAnsi="Times New Roman"/>
                <w:b/>
                <w:szCs w:val="21"/>
              </w:rPr>
            </w:pPr>
            <w:r>
              <w:rPr>
                <w:rFonts w:ascii="Times New Roman" w:hAnsi="Times New Roman"/>
                <w:b/>
                <w:szCs w:val="21"/>
              </w:rPr>
              <w:t>类别</w:t>
            </w:r>
          </w:p>
        </w:tc>
        <w:tc>
          <w:tcPr>
            <w:tcW w:w="1725" w:type="dxa"/>
            <w:vAlign w:val="center"/>
          </w:tcPr>
          <w:p>
            <w:pPr>
              <w:snapToGrid w:val="0"/>
              <w:jc w:val="center"/>
              <w:rPr>
                <w:rFonts w:ascii="Times New Roman" w:hAnsi="Times New Roman"/>
                <w:b/>
                <w:szCs w:val="21"/>
              </w:rPr>
            </w:pPr>
            <w:r>
              <w:rPr>
                <w:rFonts w:ascii="Times New Roman" w:hAnsi="Times New Roman"/>
                <w:b/>
                <w:szCs w:val="21"/>
              </w:rPr>
              <w:t>监测点位</w:t>
            </w:r>
          </w:p>
        </w:tc>
        <w:tc>
          <w:tcPr>
            <w:tcW w:w="2711" w:type="dxa"/>
            <w:vAlign w:val="center"/>
          </w:tcPr>
          <w:p>
            <w:pPr>
              <w:snapToGrid w:val="0"/>
              <w:jc w:val="center"/>
              <w:rPr>
                <w:rFonts w:ascii="Times New Roman" w:hAnsi="Times New Roman"/>
                <w:b/>
                <w:szCs w:val="21"/>
              </w:rPr>
            </w:pPr>
            <w:r>
              <w:rPr>
                <w:rFonts w:ascii="Times New Roman" w:hAnsi="Times New Roman"/>
                <w:b/>
                <w:szCs w:val="21"/>
              </w:rPr>
              <w:t>监测项目</w:t>
            </w:r>
          </w:p>
        </w:tc>
        <w:tc>
          <w:tcPr>
            <w:tcW w:w="1810" w:type="dxa"/>
            <w:vAlign w:val="center"/>
          </w:tcPr>
          <w:p>
            <w:pPr>
              <w:snapToGrid w:val="0"/>
              <w:jc w:val="center"/>
              <w:rPr>
                <w:rFonts w:ascii="Times New Roman" w:hAnsi="Times New Roman"/>
                <w:b/>
                <w:szCs w:val="21"/>
              </w:rPr>
            </w:pPr>
            <w:r>
              <w:rPr>
                <w:rFonts w:ascii="Times New Roman" w:hAnsi="Times New Roman"/>
                <w:b/>
                <w:szCs w:val="21"/>
              </w:rPr>
              <w:t>监测频次</w:t>
            </w:r>
          </w:p>
        </w:tc>
        <w:tc>
          <w:tcPr>
            <w:tcW w:w="2083" w:type="dxa"/>
            <w:vAlign w:val="center"/>
          </w:tcPr>
          <w:p>
            <w:pPr>
              <w:snapToGrid w:val="0"/>
              <w:jc w:val="center"/>
              <w:rPr>
                <w:rFonts w:ascii="Times New Roman" w:hAnsi="Times New Roman"/>
                <w:b/>
                <w:szCs w:val="21"/>
              </w:rPr>
            </w:pPr>
            <w:r>
              <w:rPr>
                <w:rFonts w:hint="eastAsia" w:ascii="Times New Roman" w:hAnsi="Times New Roman"/>
                <w:b/>
                <w:szCs w:val="21"/>
              </w:rPr>
              <w:t>执行标准</w:t>
            </w:r>
          </w:p>
        </w:tc>
      </w:tr>
      <w:bookmarkEnd w:id="40"/>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40" w:type="dxa"/>
            <w:vMerge w:val="restart"/>
            <w:vAlign w:val="center"/>
          </w:tcPr>
          <w:p>
            <w:pPr>
              <w:snapToGrid w:val="0"/>
              <w:spacing w:beforeLines="20" w:afterLines="20"/>
              <w:jc w:val="center"/>
              <w:rPr>
                <w:rFonts w:ascii="Times New Roman" w:hAnsi="Times New Roman"/>
                <w:spacing w:val="-4"/>
                <w:szCs w:val="21"/>
              </w:rPr>
            </w:pPr>
            <w:r>
              <w:rPr>
                <w:rFonts w:ascii="Times New Roman" w:hAnsi="Times New Roman"/>
                <w:spacing w:val="-4"/>
                <w:szCs w:val="21"/>
              </w:rPr>
              <w:t>噪声</w:t>
            </w:r>
          </w:p>
        </w:tc>
        <w:tc>
          <w:tcPr>
            <w:tcW w:w="1725" w:type="dxa"/>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东侧</w:t>
            </w:r>
            <w:r>
              <w:rPr>
                <w:rFonts w:hint="eastAsia" w:ascii="Times New Roman" w:hAnsi="Times New Roman"/>
                <w:spacing w:val="-4"/>
                <w:szCs w:val="21"/>
                <w:lang w:val="en-US" w:eastAsia="zh-CN"/>
              </w:rPr>
              <w:t>N</w:t>
            </w:r>
            <w:r>
              <w:rPr>
                <w:rFonts w:hint="eastAsia" w:ascii="Times New Roman" w:hAnsi="Times New Roman"/>
                <w:spacing w:val="-4"/>
                <w:szCs w:val="21"/>
              </w:rPr>
              <w:t>1</w:t>
            </w:r>
          </w:p>
        </w:tc>
        <w:tc>
          <w:tcPr>
            <w:tcW w:w="2711" w:type="dxa"/>
            <w:vMerge w:val="restart"/>
            <w:vAlign w:val="center"/>
          </w:tcPr>
          <w:p>
            <w:pPr>
              <w:snapToGrid w:val="0"/>
              <w:jc w:val="center"/>
              <w:rPr>
                <w:rFonts w:ascii="Times New Roman" w:hAnsi="Times New Roman"/>
                <w:spacing w:val="-4"/>
                <w:szCs w:val="21"/>
              </w:rPr>
            </w:pPr>
            <w:r>
              <w:rPr>
                <w:rFonts w:ascii="Times New Roman" w:hAnsi="Times New Roman"/>
                <w:spacing w:val="-4"/>
                <w:szCs w:val="21"/>
              </w:rPr>
              <w:t>厂界环境噪声</w:t>
            </w:r>
          </w:p>
        </w:tc>
        <w:tc>
          <w:tcPr>
            <w:tcW w:w="1810" w:type="dxa"/>
            <w:vMerge w:val="restart"/>
            <w:vAlign w:val="center"/>
          </w:tcPr>
          <w:p>
            <w:pPr>
              <w:snapToGrid w:val="0"/>
              <w:jc w:val="center"/>
              <w:rPr>
                <w:rFonts w:ascii="Times New Roman" w:hAnsi="Times New Roman"/>
                <w:spacing w:val="-4"/>
                <w:szCs w:val="21"/>
              </w:rPr>
            </w:pPr>
            <w:r>
              <w:rPr>
                <w:rFonts w:ascii="Times New Roman" w:hAnsi="Times New Roman"/>
                <w:spacing w:val="-4"/>
                <w:szCs w:val="21"/>
              </w:rPr>
              <w:t xml:space="preserve">2次（昼、夜）/天， </w:t>
            </w:r>
          </w:p>
          <w:p>
            <w:pPr>
              <w:snapToGrid w:val="0"/>
              <w:jc w:val="center"/>
              <w:rPr>
                <w:rFonts w:ascii="Times New Roman" w:hAnsi="Times New Roman"/>
                <w:spacing w:val="-4"/>
                <w:szCs w:val="21"/>
              </w:rPr>
            </w:pPr>
            <w:r>
              <w:rPr>
                <w:rFonts w:ascii="Times New Roman" w:hAnsi="Times New Roman"/>
                <w:spacing w:val="-4"/>
                <w:szCs w:val="21"/>
              </w:rPr>
              <w:t>连续2天</w:t>
            </w:r>
          </w:p>
        </w:tc>
        <w:tc>
          <w:tcPr>
            <w:tcW w:w="2083" w:type="dxa"/>
            <w:vMerge w:val="restart"/>
            <w:vAlign w:val="center"/>
          </w:tcPr>
          <w:p>
            <w:pPr>
              <w:snapToGrid w:val="0"/>
              <w:jc w:val="center"/>
              <w:rPr>
                <w:rFonts w:ascii="Times New Roman" w:hAnsi="Times New Roman"/>
                <w:spacing w:val="-4"/>
                <w:szCs w:val="21"/>
              </w:rPr>
            </w:pPr>
            <w:r>
              <w:rPr>
                <w:rFonts w:ascii="Times New Roman" w:hAnsi="Times New Roman"/>
                <w:spacing w:val="-6"/>
                <w:szCs w:val="21"/>
              </w:rPr>
              <w:t>《工业企业厂界环境噪声排放标准》</w:t>
            </w:r>
            <w:r>
              <w:rPr>
                <w:rFonts w:ascii="Times New Roman" w:hAnsi="Times New Roman"/>
                <w:szCs w:val="21"/>
              </w:rPr>
              <w:t>（GB12348-2008）</w:t>
            </w:r>
            <w:r>
              <w:rPr>
                <w:rFonts w:hint="eastAsia" w:ascii="Times New Roman" w:hAnsi="Times New Roman"/>
                <w:szCs w:val="21"/>
              </w:rPr>
              <w:t>2类标准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40" w:type="dxa"/>
            <w:vMerge w:val="continue"/>
            <w:vAlign w:val="center"/>
          </w:tcPr>
          <w:p>
            <w:pPr>
              <w:snapToGrid w:val="0"/>
              <w:spacing w:beforeLines="20" w:afterLines="20"/>
              <w:jc w:val="center"/>
              <w:rPr>
                <w:rFonts w:ascii="Times New Roman" w:hAnsi="Times New Roman"/>
                <w:spacing w:val="-4"/>
                <w:szCs w:val="21"/>
              </w:rPr>
            </w:pPr>
          </w:p>
        </w:tc>
        <w:tc>
          <w:tcPr>
            <w:tcW w:w="1725" w:type="dxa"/>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南侧</w:t>
            </w:r>
            <w:r>
              <w:rPr>
                <w:rFonts w:hint="eastAsia" w:ascii="Times New Roman" w:hAnsi="Times New Roman"/>
                <w:spacing w:val="-4"/>
                <w:szCs w:val="21"/>
                <w:lang w:val="en-US" w:eastAsia="zh-CN"/>
              </w:rPr>
              <w:t>N</w:t>
            </w:r>
            <w:r>
              <w:rPr>
                <w:rFonts w:hint="eastAsia" w:ascii="Times New Roman" w:hAnsi="Times New Roman"/>
                <w:spacing w:val="-4"/>
                <w:szCs w:val="21"/>
              </w:rPr>
              <w:t>2</w:t>
            </w:r>
          </w:p>
        </w:tc>
        <w:tc>
          <w:tcPr>
            <w:tcW w:w="2711" w:type="dxa"/>
            <w:vMerge w:val="continue"/>
            <w:vAlign w:val="center"/>
          </w:tcPr>
          <w:p>
            <w:pPr>
              <w:snapToGrid w:val="0"/>
              <w:jc w:val="center"/>
              <w:rPr>
                <w:rFonts w:ascii="Times New Roman" w:hAnsi="Times New Roman"/>
                <w:spacing w:val="-4"/>
                <w:szCs w:val="21"/>
              </w:rPr>
            </w:pPr>
          </w:p>
        </w:tc>
        <w:tc>
          <w:tcPr>
            <w:tcW w:w="1810" w:type="dxa"/>
            <w:vMerge w:val="continue"/>
            <w:vAlign w:val="center"/>
          </w:tcPr>
          <w:p>
            <w:pPr>
              <w:snapToGrid w:val="0"/>
              <w:jc w:val="center"/>
              <w:rPr>
                <w:rFonts w:ascii="Times New Roman" w:hAnsi="Times New Roman"/>
                <w:spacing w:val="-4"/>
                <w:szCs w:val="21"/>
              </w:rPr>
            </w:pPr>
          </w:p>
        </w:tc>
        <w:tc>
          <w:tcPr>
            <w:tcW w:w="2083" w:type="dxa"/>
            <w:vMerge w:val="continue"/>
            <w:vAlign w:val="center"/>
          </w:tcPr>
          <w:p>
            <w:pPr>
              <w:snapToGrid w:val="0"/>
              <w:jc w:val="center"/>
              <w:rPr>
                <w:rFonts w:ascii="Times New Roman" w:hAnsi="Times New Roman"/>
                <w:spacing w:val="-4"/>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40" w:type="dxa"/>
            <w:vMerge w:val="continue"/>
            <w:vAlign w:val="center"/>
          </w:tcPr>
          <w:p>
            <w:pPr>
              <w:snapToGrid w:val="0"/>
              <w:spacing w:beforeLines="20" w:afterLines="20"/>
              <w:jc w:val="center"/>
              <w:rPr>
                <w:rFonts w:ascii="Times New Roman" w:hAnsi="Times New Roman"/>
                <w:spacing w:val="-4"/>
                <w:szCs w:val="21"/>
              </w:rPr>
            </w:pPr>
          </w:p>
        </w:tc>
        <w:tc>
          <w:tcPr>
            <w:tcW w:w="1725" w:type="dxa"/>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西侧</w:t>
            </w:r>
            <w:r>
              <w:rPr>
                <w:rFonts w:hint="eastAsia" w:ascii="Times New Roman" w:hAnsi="Times New Roman"/>
                <w:spacing w:val="-4"/>
                <w:szCs w:val="21"/>
                <w:lang w:val="en-US" w:eastAsia="zh-CN"/>
              </w:rPr>
              <w:t>N</w:t>
            </w:r>
            <w:r>
              <w:rPr>
                <w:rFonts w:hint="eastAsia" w:ascii="Times New Roman" w:hAnsi="Times New Roman"/>
                <w:spacing w:val="-4"/>
                <w:szCs w:val="21"/>
              </w:rPr>
              <w:t>3</w:t>
            </w:r>
          </w:p>
        </w:tc>
        <w:tc>
          <w:tcPr>
            <w:tcW w:w="2711" w:type="dxa"/>
            <w:vMerge w:val="continue"/>
            <w:vAlign w:val="center"/>
          </w:tcPr>
          <w:p>
            <w:pPr>
              <w:snapToGrid w:val="0"/>
              <w:jc w:val="center"/>
              <w:rPr>
                <w:rFonts w:ascii="Times New Roman" w:hAnsi="Times New Roman"/>
                <w:spacing w:val="-4"/>
                <w:szCs w:val="21"/>
              </w:rPr>
            </w:pPr>
          </w:p>
        </w:tc>
        <w:tc>
          <w:tcPr>
            <w:tcW w:w="1810" w:type="dxa"/>
            <w:vMerge w:val="continue"/>
            <w:vAlign w:val="center"/>
          </w:tcPr>
          <w:p>
            <w:pPr>
              <w:snapToGrid w:val="0"/>
              <w:jc w:val="center"/>
              <w:rPr>
                <w:rFonts w:ascii="Times New Roman" w:hAnsi="Times New Roman"/>
                <w:spacing w:val="-4"/>
                <w:szCs w:val="21"/>
              </w:rPr>
            </w:pPr>
          </w:p>
        </w:tc>
        <w:tc>
          <w:tcPr>
            <w:tcW w:w="2083" w:type="dxa"/>
            <w:vMerge w:val="continue"/>
            <w:vAlign w:val="center"/>
          </w:tcPr>
          <w:p>
            <w:pPr>
              <w:snapToGrid w:val="0"/>
              <w:jc w:val="center"/>
              <w:rPr>
                <w:rFonts w:ascii="Times New Roman" w:hAnsi="Times New Roman"/>
                <w:spacing w:val="-4"/>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40" w:type="dxa"/>
            <w:vMerge w:val="continue"/>
            <w:vAlign w:val="center"/>
          </w:tcPr>
          <w:p>
            <w:pPr>
              <w:snapToGrid w:val="0"/>
              <w:spacing w:beforeLines="20" w:afterLines="20"/>
              <w:jc w:val="center"/>
              <w:rPr>
                <w:rFonts w:ascii="Times New Roman" w:hAnsi="Times New Roman"/>
                <w:spacing w:val="-4"/>
                <w:szCs w:val="21"/>
              </w:rPr>
            </w:pPr>
          </w:p>
        </w:tc>
        <w:tc>
          <w:tcPr>
            <w:tcW w:w="1725" w:type="dxa"/>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北侧</w:t>
            </w:r>
            <w:r>
              <w:rPr>
                <w:rFonts w:hint="eastAsia" w:ascii="Times New Roman" w:hAnsi="Times New Roman"/>
                <w:spacing w:val="-4"/>
                <w:szCs w:val="21"/>
                <w:lang w:val="en-US" w:eastAsia="zh-CN"/>
              </w:rPr>
              <w:t>N</w:t>
            </w:r>
            <w:r>
              <w:rPr>
                <w:rFonts w:hint="eastAsia" w:ascii="Times New Roman" w:hAnsi="Times New Roman"/>
                <w:spacing w:val="-4"/>
                <w:szCs w:val="21"/>
              </w:rPr>
              <w:t>4</w:t>
            </w:r>
          </w:p>
        </w:tc>
        <w:tc>
          <w:tcPr>
            <w:tcW w:w="2711" w:type="dxa"/>
            <w:vMerge w:val="continue"/>
            <w:vAlign w:val="center"/>
          </w:tcPr>
          <w:p>
            <w:pPr>
              <w:snapToGrid w:val="0"/>
              <w:jc w:val="center"/>
              <w:rPr>
                <w:rFonts w:ascii="Times New Roman" w:hAnsi="Times New Roman"/>
                <w:spacing w:val="-4"/>
                <w:szCs w:val="21"/>
              </w:rPr>
            </w:pPr>
          </w:p>
        </w:tc>
        <w:tc>
          <w:tcPr>
            <w:tcW w:w="1810" w:type="dxa"/>
            <w:vMerge w:val="continue"/>
            <w:vAlign w:val="center"/>
          </w:tcPr>
          <w:p>
            <w:pPr>
              <w:snapToGrid w:val="0"/>
              <w:jc w:val="center"/>
              <w:rPr>
                <w:rFonts w:ascii="Times New Roman" w:hAnsi="Times New Roman"/>
                <w:spacing w:val="-4"/>
                <w:szCs w:val="21"/>
              </w:rPr>
            </w:pPr>
          </w:p>
        </w:tc>
        <w:tc>
          <w:tcPr>
            <w:tcW w:w="2083" w:type="dxa"/>
            <w:vMerge w:val="continue"/>
            <w:vAlign w:val="center"/>
          </w:tcPr>
          <w:p>
            <w:pPr>
              <w:snapToGrid w:val="0"/>
              <w:jc w:val="center"/>
              <w:rPr>
                <w:rFonts w:ascii="Times New Roman" w:hAnsi="Times New Roman"/>
                <w:spacing w:val="-4"/>
                <w:szCs w:val="21"/>
              </w:rPr>
            </w:pPr>
          </w:p>
        </w:tc>
      </w:tr>
    </w:tbl>
    <w:p>
      <w:pPr>
        <w:pStyle w:val="2"/>
        <w:rPr>
          <w:rFonts w:hint="default"/>
        </w:rPr>
      </w:pPr>
    </w:p>
    <w:p>
      <w:pPr>
        <w:pStyle w:val="2"/>
        <w:rPr>
          <w:rFonts w:hint="default"/>
        </w:rPr>
      </w:pPr>
    </w:p>
    <w:p>
      <w:pPr>
        <w:rPr>
          <w:rFonts w:hint="default"/>
        </w:rPr>
      </w:pPr>
    </w:p>
    <w:p>
      <w:pPr>
        <w:pStyle w:val="18"/>
        <w:rPr>
          <w:rFonts w:hint="default"/>
        </w:rPr>
      </w:pPr>
    </w:p>
    <w:p>
      <w:pPr>
        <w:pStyle w:val="18"/>
        <w:rPr>
          <w:rFonts w:hint="default"/>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41" w:name="_Toc22779"/>
      <w:r>
        <w:rPr>
          <w:rFonts w:hint="default" w:ascii="Times New Roman" w:hAnsi="Times New Roman" w:eastAsia="宋体" w:cs="Times New Roman"/>
          <w:b/>
        </w:rPr>
        <w:t>8 质量保证及质量控制</w:t>
      </w:r>
      <w:bookmarkEnd w:id="41"/>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42" w:name="_Toc11626"/>
      <w:r>
        <w:rPr>
          <w:rFonts w:hint="default" w:ascii="Times New Roman" w:hAnsi="Times New Roman" w:eastAsia="宋体" w:cs="Times New Roman"/>
          <w:b/>
          <w:sz w:val="30"/>
          <w:szCs w:val="30"/>
          <w:lang w:val="en-US" w:eastAsia="zh-CN"/>
        </w:rPr>
        <w:t>8.1 监测分析方法</w:t>
      </w:r>
      <w:r>
        <w:rPr>
          <w:rFonts w:hint="eastAsia" w:ascii="Times New Roman" w:hAnsi="Times New Roman" w:cs="Times New Roman"/>
          <w:b/>
          <w:sz w:val="30"/>
          <w:szCs w:val="30"/>
          <w:lang w:val="en-US" w:eastAsia="zh-CN"/>
        </w:rPr>
        <w:t>及监测仪器</w:t>
      </w:r>
      <w:bookmarkEnd w:id="42"/>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zh-CN" w:eastAsia="zh-CN"/>
        </w:rPr>
      </w:pPr>
      <w:r>
        <w:rPr>
          <w:rFonts w:hint="eastAsia" w:ascii="Times New Roman" w:hAnsi="Times New Roman" w:eastAsia="宋体" w:cs="Times New Roman"/>
          <w:b/>
          <w:color w:val="000000"/>
          <w:sz w:val="24"/>
          <w:szCs w:val="24"/>
          <w:lang w:val="zh-CN" w:eastAsia="zh-CN"/>
        </w:rPr>
        <w:t>表8-1 监测分析方法一览表</w:t>
      </w:r>
    </w:p>
    <w:tbl>
      <w:tblPr>
        <w:tblStyle w:val="16"/>
        <w:tblW w:w="9051"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5"/>
        <w:gridCol w:w="1103"/>
        <w:gridCol w:w="3064"/>
        <w:gridCol w:w="2625"/>
        <w:gridCol w:w="13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noWrap w:val="0"/>
            <w:vAlign w:val="center"/>
          </w:tcPr>
          <w:p>
            <w:pPr>
              <w:spacing w:line="260" w:lineRule="exact"/>
              <w:jc w:val="center"/>
              <w:rPr>
                <w:rFonts w:hint="eastAsia" w:ascii="宋体" w:hAnsi="宋体" w:eastAsia="宋体" w:cs="宋体"/>
                <w:b/>
                <w:szCs w:val="21"/>
              </w:rPr>
            </w:pPr>
            <w:r>
              <w:rPr>
                <w:rFonts w:hint="eastAsia" w:ascii="宋体" w:hAnsi="宋体" w:eastAsia="宋体" w:cs="宋体"/>
                <w:b/>
                <w:szCs w:val="21"/>
              </w:rPr>
              <w:t>类别</w:t>
            </w:r>
          </w:p>
        </w:tc>
        <w:tc>
          <w:tcPr>
            <w:tcW w:w="1103" w:type="dxa"/>
            <w:noWrap w:val="0"/>
            <w:vAlign w:val="center"/>
          </w:tcPr>
          <w:p>
            <w:pPr>
              <w:spacing w:line="260" w:lineRule="exact"/>
              <w:jc w:val="center"/>
              <w:rPr>
                <w:rFonts w:hint="eastAsia" w:ascii="宋体" w:hAnsi="宋体" w:eastAsia="宋体" w:cs="宋体"/>
                <w:b/>
                <w:szCs w:val="21"/>
              </w:rPr>
            </w:pPr>
            <w:r>
              <w:rPr>
                <w:rFonts w:hint="eastAsia" w:ascii="宋体" w:hAnsi="宋体" w:eastAsia="宋体" w:cs="宋体"/>
                <w:b/>
                <w:szCs w:val="21"/>
              </w:rPr>
              <w:t>监测项目</w:t>
            </w:r>
          </w:p>
        </w:tc>
        <w:tc>
          <w:tcPr>
            <w:tcW w:w="3064" w:type="dxa"/>
            <w:noWrap w:val="0"/>
            <w:vAlign w:val="center"/>
          </w:tcPr>
          <w:p>
            <w:pPr>
              <w:spacing w:line="260" w:lineRule="exact"/>
              <w:jc w:val="center"/>
              <w:rPr>
                <w:rFonts w:hint="eastAsia" w:ascii="宋体" w:hAnsi="宋体" w:eastAsia="宋体" w:cs="宋体"/>
                <w:b/>
                <w:szCs w:val="21"/>
              </w:rPr>
            </w:pPr>
            <w:r>
              <w:rPr>
                <w:rFonts w:hint="eastAsia" w:ascii="宋体" w:hAnsi="宋体" w:eastAsia="宋体" w:cs="宋体"/>
                <w:b/>
                <w:szCs w:val="21"/>
              </w:rPr>
              <w:t>监测标准及编号</w:t>
            </w:r>
          </w:p>
        </w:tc>
        <w:tc>
          <w:tcPr>
            <w:tcW w:w="2625" w:type="dxa"/>
            <w:noWrap w:val="0"/>
            <w:vAlign w:val="center"/>
          </w:tcPr>
          <w:p>
            <w:pPr>
              <w:spacing w:line="260" w:lineRule="exact"/>
              <w:jc w:val="center"/>
              <w:rPr>
                <w:rFonts w:hint="eastAsia" w:ascii="宋体" w:hAnsi="宋体" w:eastAsia="宋体" w:cs="宋体"/>
                <w:b/>
                <w:szCs w:val="21"/>
              </w:rPr>
            </w:pPr>
            <w:r>
              <w:rPr>
                <w:rFonts w:hint="eastAsia" w:ascii="宋体" w:hAnsi="宋体" w:eastAsia="宋体" w:cs="宋体"/>
                <w:b/>
                <w:szCs w:val="21"/>
              </w:rPr>
              <w:t>仪器名称及编号</w:t>
            </w:r>
          </w:p>
        </w:tc>
        <w:tc>
          <w:tcPr>
            <w:tcW w:w="1354" w:type="dxa"/>
            <w:noWrap w:val="0"/>
            <w:vAlign w:val="center"/>
          </w:tcPr>
          <w:p>
            <w:pPr>
              <w:spacing w:line="260" w:lineRule="exact"/>
              <w:jc w:val="center"/>
              <w:rPr>
                <w:rFonts w:hint="eastAsia" w:ascii="宋体" w:hAnsi="宋体" w:eastAsia="宋体" w:cs="宋体"/>
                <w:b/>
                <w:szCs w:val="21"/>
              </w:rPr>
            </w:pPr>
            <w:r>
              <w:rPr>
                <w:rFonts w:hint="eastAsia" w:ascii="宋体" w:hAnsi="宋体" w:eastAsia="宋体" w:cs="宋体"/>
                <w:b/>
                <w:szCs w:val="21"/>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restart"/>
            <w:noWrap w:val="0"/>
            <w:vAlign w:val="center"/>
          </w:tcPr>
          <w:p>
            <w:pPr>
              <w:spacing w:line="260" w:lineRule="exac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废水</w:t>
            </w:r>
          </w:p>
        </w:tc>
        <w:tc>
          <w:tcPr>
            <w:tcW w:w="1103" w:type="dxa"/>
            <w:tcBorders>
              <w:bottom w:val="single" w:color="auto" w:sz="4" w:space="0"/>
            </w:tcBorders>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pH值</w:t>
            </w:r>
          </w:p>
        </w:tc>
        <w:tc>
          <w:tcPr>
            <w:tcW w:w="306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水质 pH的测定 玻璃电极法</w:t>
            </w:r>
          </w:p>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(GB</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6920-1986)</w:t>
            </w:r>
          </w:p>
        </w:tc>
        <w:tc>
          <w:tcPr>
            <w:tcW w:w="2625"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FE20KpH计，JKJC-010</w:t>
            </w:r>
          </w:p>
        </w:tc>
        <w:tc>
          <w:tcPr>
            <w:tcW w:w="1354"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0.01</w:t>
            </w:r>
          </w:p>
          <w:p>
            <w:pPr>
              <w:spacing w:line="260" w:lineRule="exact"/>
              <w:jc w:val="center"/>
              <w:rPr>
                <w:rFonts w:hint="default" w:ascii="Times New Roman" w:hAnsi="Times New Roman" w:cs="Times New Roman"/>
                <w:szCs w:val="21"/>
              </w:rPr>
            </w:pPr>
            <w:r>
              <w:rPr>
                <w:rFonts w:hint="default" w:ascii="Times New Roman" w:hAnsi="Times New Roman" w:cs="Times New Roman"/>
                <w:szCs w:val="21"/>
                <w:lang w:val="en-US" w:eastAsia="zh-CN"/>
              </w:rPr>
              <w:t>（无量纲）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continue"/>
            <w:noWrap w:val="0"/>
            <w:vAlign w:val="center"/>
          </w:tcPr>
          <w:p>
            <w:pPr>
              <w:spacing w:line="260" w:lineRule="exact"/>
              <w:jc w:val="center"/>
              <w:rPr>
                <w:rFonts w:hint="default" w:ascii="Times New Roman" w:hAnsi="Times New Roman" w:cs="Times New Roman"/>
                <w:szCs w:val="21"/>
              </w:rPr>
            </w:pPr>
          </w:p>
        </w:tc>
        <w:tc>
          <w:tcPr>
            <w:tcW w:w="1103" w:type="dxa"/>
            <w:tcBorders>
              <w:bottom w:val="single" w:color="auto" w:sz="4" w:space="0"/>
            </w:tcBorders>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化学需氧量</w:t>
            </w:r>
          </w:p>
        </w:tc>
        <w:tc>
          <w:tcPr>
            <w:tcW w:w="306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水质 化学需氧量的测定 重铬酸盐法(HJ828-2017)</w:t>
            </w:r>
          </w:p>
        </w:tc>
        <w:tc>
          <w:tcPr>
            <w:tcW w:w="2625"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KH</w:t>
            </w:r>
            <w:r>
              <w:rPr>
                <w:rFonts w:hint="eastAsia" w:ascii="Times New Roman" w:hAnsi="Times New Roman" w:cs="Times New Roman"/>
                <w:szCs w:val="21"/>
                <w:lang w:eastAsia="zh-CN"/>
              </w:rPr>
              <w:t>化学需氧量</w:t>
            </w:r>
            <w:r>
              <w:rPr>
                <w:rFonts w:hint="default" w:ascii="Times New Roman" w:hAnsi="Times New Roman" w:cs="Times New Roman"/>
                <w:szCs w:val="21"/>
              </w:rPr>
              <w:t>消解器JKJC-FZ-051</w:t>
            </w:r>
          </w:p>
        </w:tc>
        <w:tc>
          <w:tcPr>
            <w:tcW w:w="1354" w:type="dxa"/>
            <w:noWrap w:val="0"/>
            <w:vAlign w:val="center"/>
          </w:tcPr>
          <w:p>
            <w:pPr>
              <w:spacing w:line="260" w:lineRule="exact"/>
              <w:jc w:val="center"/>
              <w:rPr>
                <w:rFonts w:hint="default" w:ascii="Times New Roman" w:hAnsi="Times New Roman" w:cs="Times New Roman"/>
                <w:szCs w:val="21"/>
              </w:rPr>
            </w:pPr>
            <w:r>
              <w:rPr>
                <w:rFonts w:hint="eastAsia" w:ascii="Times New Roman" w:hAnsi="Times New Roman" w:cs="Times New Roman"/>
                <w:szCs w:val="21"/>
                <w:lang w:val="en-US" w:eastAsia="zh-CN"/>
              </w:rPr>
              <w:t>4</w:t>
            </w:r>
            <w:r>
              <w:rPr>
                <w:rFonts w:hint="default" w:ascii="Times New Roman" w:hAnsi="Times New Roman" w:cs="Times New Roman"/>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continue"/>
            <w:noWrap w:val="0"/>
            <w:vAlign w:val="center"/>
          </w:tcPr>
          <w:p>
            <w:pPr>
              <w:spacing w:line="260" w:lineRule="exact"/>
              <w:jc w:val="center"/>
              <w:rPr>
                <w:rFonts w:hint="default" w:ascii="Times New Roman" w:hAnsi="Times New Roman" w:cs="Times New Roman"/>
                <w:szCs w:val="21"/>
              </w:rPr>
            </w:pPr>
          </w:p>
        </w:tc>
        <w:tc>
          <w:tcPr>
            <w:tcW w:w="1103" w:type="dxa"/>
            <w:tcBorders>
              <w:bottom w:val="single" w:color="auto" w:sz="4" w:space="0"/>
            </w:tcBorders>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五日生化需氧量</w:t>
            </w:r>
          </w:p>
        </w:tc>
        <w:tc>
          <w:tcPr>
            <w:tcW w:w="3064" w:type="dxa"/>
            <w:noWrap w:val="0"/>
            <w:vAlign w:val="center"/>
          </w:tcPr>
          <w:p>
            <w:pPr>
              <w:spacing w:line="26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水质</w:t>
            </w:r>
            <w:r>
              <w:rPr>
                <w:rFonts w:hint="default" w:ascii="Times New Roman" w:hAnsi="Times New Roman" w:cs="Times New Roman"/>
                <w:szCs w:val="21"/>
                <w:lang w:val="en-US" w:eastAsia="zh-CN"/>
              </w:rPr>
              <w:t xml:space="preserve"> 五日</w:t>
            </w:r>
            <w:r>
              <w:rPr>
                <w:rFonts w:hint="eastAsia" w:ascii="Times New Roman" w:hAnsi="Times New Roman" w:cs="Times New Roman"/>
                <w:szCs w:val="21"/>
                <w:lang w:val="en-US" w:eastAsia="zh-CN"/>
              </w:rPr>
              <w:t>生化</w:t>
            </w:r>
            <w:r>
              <w:rPr>
                <w:rFonts w:hint="default" w:ascii="Times New Roman" w:hAnsi="Times New Roman" w:cs="Times New Roman"/>
                <w:szCs w:val="21"/>
                <w:lang w:val="en-US" w:eastAsia="zh-CN"/>
              </w:rPr>
              <w:t>需氧量(</w:t>
            </w:r>
            <w:r>
              <w:rPr>
                <w:rFonts w:hint="eastAsia" w:ascii="Times New Roman" w:hAnsi="Times New Roman" w:cs="Times New Roman"/>
                <w:szCs w:val="21"/>
                <w:lang w:val="en-US" w:eastAsia="zh-CN"/>
              </w:rPr>
              <w:t>五日生化需氧量</w:t>
            </w:r>
            <w:r>
              <w:rPr>
                <w:rFonts w:hint="default" w:ascii="Times New Roman" w:hAnsi="Times New Roman" w:cs="Times New Roman"/>
                <w:szCs w:val="21"/>
                <w:lang w:val="en-US" w:eastAsia="zh-CN"/>
              </w:rPr>
              <w:t>)的测定  稀释与接种法</w:t>
            </w:r>
          </w:p>
          <w:p>
            <w:pPr>
              <w:spacing w:line="260" w:lineRule="exact"/>
              <w:jc w:val="center"/>
              <w:rPr>
                <w:rFonts w:hint="default" w:ascii="Times New Roman" w:hAnsi="Times New Roman" w:cs="Times New Roman"/>
                <w:szCs w:val="21"/>
              </w:rPr>
            </w:pP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HJ 505-2009</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 xml:space="preserve">                                                                                                          </w:t>
            </w:r>
          </w:p>
        </w:tc>
        <w:tc>
          <w:tcPr>
            <w:tcW w:w="2625"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LRH-150F生化培养箱JKJC-051</w:t>
            </w:r>
          </w:p>
        </w:tc>
        <w:tc>
          <w:tcPr>
            <w:tcW w:w="1354" w:type="dxa"/>
            <w:noWrap w:val="0"/>
            <w:vAlign w:val="center"/>
          </w:tcPr>
          <w:p>
            <w:pPr>
              <w:spacing w:line="260" w:lineRule="exact"/>
              <w:jc w:val="center"/>
              <w:rPr>
                <w:rFonts w:hint="default" w:ascii="Times New Roman" w:hAnsi="Times New Roman" w:cs="Times New Roman"/>
                <w:szCs w:val="21"/>
              </w:rPr>
            </w:pPr>
            <w:r>
              <w:rPr>
                <w:rFonts w:hint="eastAsia" w:ascii="Times New Roman" w:hAnsi="Times New Roman" w:cs="Times New Roman"/>
                <w:szCs w:val="21"/>
                <w:lang w:val="en-US" w:eastAsia="zh-CN"/>
              </w:rPr>
              <w:t>0.5</w:t>
            </w:r>
            <w:r>
              <w:rPr>
                <w:rFonts w:hint="default" w:ascii="Times New Roman" w:hAnsi="Times New Roman" w:cs="Times New Roman"/>
                <w:szCs w:val="21"/>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continue"/>
            <w:noWrap w:val="0"/>
            <w:vAlign w:val="center"/>
          </w:tcPr>
          <w:p>
            <w:pPr>
              <w:spacing w:line="260" w:lineRule="exact"/>
              <w:jc w:val="center"/>
              <w:rPr>
                <w:rFonts w:hint="default" w:ascii="Times New Roman" w:hAnsi="Times New Roman" w:cs="Times New Roman"/>
                <w:szCs w:val="21"/>
              </w:rPr>
            </w:pPr>
          </w:p>
        </w:tc>
        <w:tc>
          <w:tcPr>
            <w:tcW w:w="1103" w:type="dxa"/>
            <w:tcBorders>
              <w:bottom w:val="single" w:color="auto" w:sz="4" w:space="0"/>
            </w:tcBorders>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氨氮</w:t>
            </w:r>
          </w:p>
        </w:tc>
        <w:tc>
          <w:tcPr>
            <w:tcW w:w="3064" w:type="dxa"/>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水质 氨氮的测定 </w:t>
            </w:r>
          </w:p>
          <w:p>
            <w:pPr>
              <w:pStyle w:val="24"/>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default" w:ascii="Times New Roman" w:hAnsi="Times New Roman" w:cs="Times New Roman"/>
                <w:szCs w:val="21"/>
              </w:rPr>
            </w:pPr>
            <w:r>
              <w:rPr>
                <w:rFonts w:hint="default" w:ascii="Times New Roman" w:hAnsi="Times New Roman" w:eastAsia="宋体" w:cs="Times New Roman"/>
                <w:sz w:val="21"/>
                <w:szCs w:val="21"/>
                <w:highlight w:val="none"/>
              </w:rPr>
              <w:t>纳氏试剂分光光度法(HJ</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535-2009)</w:t>
            </w:r>
          </w:p>
        </w:tc>
        <w:tc>
          <w:tcPr>
            <w:tcW w:w="2625" w:type="dxa"/>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UV-5100紫外</w:t>
            </w:r>
          </w:p>
          <w:p>
            <w:pPr>
              <w:pStyle w:val="24"/>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default" w:ascii="Times New Roman" w:hAnsi="Times New Roman" w:cs="Times New Roman"/>
                <w:szCs w:val="21"/>
              </w:rPr>
            </w:pPr>
            <w:r>
              <w:rPr>
                <w:rFonts w:hint="default" w:ascii="Times New Roman" w:hAnsi="Times New Roman" w:eastAsia="宋体" w:cs="Times New Roman"/>
                <w:sz w:val="21"/>
                <w:szCs w:val="21"/>
                <w:highlight w:val="none"/>
              </w:rPr>
              <w:t>可见分光光度计，JKJC-007</w:t>
            </w:r>
          </w:p>
        </w:tc>
        <w:tc>
          <w:tcPr>
            <w:tcW w:w="1354" w:type="dxa"/>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default" w:ascii="Times New Roman" w:hAnsi="Times New Roman" w:cs="Times New Roman"/>
                <w:szCs w:val="21"/>
              </w:rPr>
            </w:pPr>
            <w:r>
              <w:rPr>
                <w:rFonts w:hint="default" w:ascii="Times New Roman" w:hAnsi="Times New Roman" w:eastAsia="宋体" w:cs="Times New Roman"/>
                <w:b w:val="0"/>
                <w:bCs/>
                <w:sz w:val="21"/>
                <w:szCs w:val="21"/>
                <w:vertAlign w:val="baseline"/>
                <w:lang w:val="en-US" w:eastAsia="zh-CN"/>
              </w:rPr>
              <w:t>0.025mg/L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continue"/>
            <w:noWrap w:val="0"/>
            <w:vAlign w:val="center"/>
          </w:tcPr>
          <w:p>
            <w:pPr>
              <w:spacing w:line="260" w:lineRule="exact"/>
              <w:jc w:val="center"/>
              <w:rPr>
                <w:rFonts w:hint="default" w:ascii="Times New Roman" w:hAnsi="Times New Roman" w:cs="Times New Roman"/>
                <w:szCs w:val="21"/>
              </w:rPr>
            </w:pPr>
          </w:p>
        </w:tc>
        <w:tc>
          <w:tcPr>
            <w:tcW w:w="1103" w:type="dxa"/>
            <w:tcBorders>
              <w:bottom w:val="single" w:color="auto" w:sz="4" w:space="0"/>
            </w:tcBorders>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悬浮物</w:t>
            </w:r>
          </w:p>
        </w:tc>
        <w:tc>
          <w:tcPr>
            <w:tcW w:w="306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水质 悬浮物的测定 重量法(GB11901-1989)</w:t>
            </w:r>
          </w:p>
        </w:tc>
        <w:tc>
          <w:tcPr>
            <w:tcW w:w="2625"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LE204E电子天平JKJC-009</w:t>
            </w:r>
          </w:p>
        </w:tc>
        <w:tc>
          <w:tcPr>
            <w:tcW w:w="1354" w:type="dxa"/>
            <w:noWrap w:val="0"/>
            <w:vAlign w:val="center"/>
          </w:tcPr>
          <w:p>
            <w:pPr>
              <w:spacing w:line="260" w:lineRule="exact"/>
              <w:jc w:val="center"/>
              <w:rPr>
                <w:rFonts w:hint="default" w:ascii="Times New Roman" w:hAnsi="Times New Roman" w:cs="Times New Roman"/>
                <w:szCs w:val="21"/>
              </w:rPr>
            </w:pPr>
            <w:r>
              <w:rPr>
                <w:rFonts w:hint="eastAsia" w:ascii="Times New Roman" w:hAnsi="Times New Roman" w:cs="Times New Roman"/>
                <w:szCs w:val="21"/>
                <w:lang w:val="en-US" w:eastAsia="zh-CN"/>
              </w:rPr>
              <w:t>4</w:t>
            </w:r>
            <w:r>
              <w:rPr>
                <w:rFonts w:hint="default" w:ascii="Times New Roman" w:hAnsi="Times New Roman" w:cs="Times New Roman"/>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continue"/>
            <w:noWrap w:val="0"/>
            <w:vAlign w:val="center"/>
          </w:tcPr>
          <w:p>
            <w:pPr>
              <w:spacing w:line="260" w:lineRule="exact"/>
              <w:jc w:val="center"/>
              <w:rPr>
                <w:rFonts w:hint="default" w:ascii="Times New Roman" w:hAnsi="Times New Roman" w:cs="Times New Roman"/>
                <w:szCs w:val="21"/>
              </w:rPr>
            </w:pPr>
          </w:p>
        </w:tc>
        <w:tc>
          <w:tcPr>
            <w:tcW w:w="1103" w:type="dxa"/>
            <w:tcBorders>
              <w:bottom w:val="single" w:color="auto" w:sz="4" w:space="0"/>
            </w:tcBorders>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动植物油</w:t>
            </w:r>
          </w:p>
        </w:tc>
        <w:tc>
          <w:tcPr>
            <w:tcW w:w="3064" w:type="dxa"/>
            <w:noWrap w:val="0"/>
            <w:vAlign w:val="center"/>
          </w:tcPr>
          <w:p>
            <w:pPr>
              <w:spacing w:line="26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水质</w:t>
            </w:r>
            <w:r>
              <w:rPr>
                <w:rFonts w:hint="default" w:ascii="Times New Roman" w:hAnsi="Times New Roman" w:cs="Times New Roman"/>
                <w:szCs w:val="21"/>
                <w:lang w:val="en-US" w:eastAsia="zh-CN"/>
              </w:rPr>
              <w:t xml:space="preserve"> </w:t>
            </w:r>
            <w:r>
              <w:rPr>
                <w:rFonts w:hint="eastAsia" w:ascii="Times New Roman" w:hAnsi="Times New Roman" w:cs="Times New Roman"/>
                <w:szCs w:val="21"/>
                <w:lang w:val="en-US" w:eastAsia="zh-CN"/>
              </w:rPr>
              <w:t>石油类和动植物油的测定</w:t>
            </w:r>
            <w:r>
              <w:rPr>
                <w:rFonts w:hint="default" w:ascii="Times New Roman" w:hAnsi="Times New Roman" w:cs="Times New Roman"/>
                <w:szCs w:val="21"/>
                <w:lang w:val="en-US" w:eastAsia="zh-CN"/>
              </w:rPr>
              <w:t xml:space="preserve"> </w:t>
            </w:r>
          </w:p>
          <w:p>
            <w:pPr>
              <w:spacing w:line="260" w:lineRule="exact"/>
              <w:jc w:val="center"/>
              <w:rPr>
                <w:rFonts w:hint="default" w:ascii="Times New Roman" w:hAnsi="Times New Roman" w:cs="Times New Roman"/>
                <w:szCs w:val="21"/>
              </w:rPr>
            </w:pPr>
            <w:r>
              <w:rPr>
                <w:rFonts w:hint="eastAsia" w:ascii="Times New Roman" w:hAnsi="Times New Roman" w:cs="Times New Roman"/>
                <w:szCs w:val="21"/>
                <w:lang w:val="en-US" w:eastAsia="zh-CN"/>
              </w:rPr>
              <w:t>红外分光光度法（</w:t>
            </w:r>
            <w:r>
              <w:rPr>
                <w:rFonts w:hint="default" w:ascii="Times New Roman" w:hAnsi="Times New Roman" w:cs="Times New Roman"/>
                <w:szCs w:val="21"/>
                <w:lang w:val="en-US" w:eastAsia="zh-CN"/>
              </w:rPr>
              <w:t>HJ 637-2012</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 xml:space="preserve">    </w:t>
            </w:r>
          </w:p>
        </w:tc>
        <w:tc>
          <w:tcPr>
            <w:tcW w:w="2625"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lang w:val="en-US" w:eastAsia="zh-CN"/>
              </w:rPr>
              <w:t>MAI-50G</w:t>
            </w:r>
            <w:r>
              <w:rPr>
                <w:rFonts w:hint="eastAsia" w:ascii="Times New Roman" w:hAnsi="Times New Roman" w:cs="Times New Roman"/>
                <w:szCs w:val="21"/>
                <w:lang w:val="en-US" w:eastAsia="zh-CN"/>
              </w:rPr>
              <w:t>红外测油仪</w:t>
            </w:r>
            <w:r>
              <w:rPr>
                <w:rFonts w:hint="default" w:ascii="Times New Roman" w:hAnsi="Times New Roman" w:cs="Times New Roman"/>
                <w:szCs w:val="21"/>
                <w:lang w:val="en-US" w:eastAsia="zh-CN"/>
              </w:rPr>
              <w:t>JKJC-006</w:t>
            </w:r>
          </w:p>
        </w:tc>
        <w:tc>
          <w:tcPr>
            <w:tcW w:w="135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lang w:val="en-US" w:eastAsia="zh-CN"/>
              </w:rPr>
              <w:t>0.01mg/L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continue"/>
            <w:noWrap w:val="0"/>
            <w:vAlign w:val="center"/>
          </w:tcPr>
          <w:p>
            <w:pPr>
              <w:spacing w:line="260" w:lineRule="exact"/>
              <w:jc w:val="center"/>
              <w:rPr>
                <w:rFonts w:hint="default" w:ascii="Times New Roman" w:hAnsi="Times New Roman" w:cs="Times New Roman"/>
                <w:szCs w:val="21"/>
              </w:rPr>
            </w:pPr>
          </w:p>
        </w:tc>
        <w:tc>
          <w:tcPr>
            <w:tcW w:w="1103" w:type="dxa"/>
            <w:tcBorders>
              <w:bottom w:val="single" w:color="auto" w:sz="4" w:space="0"/>
            </w:tcBorders>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余氯</w:t>
            </w:r>
          </w:p>
        </w:tc>
        <w:tc>
          <w:tcPr>
            <w:tcW w:w="3064" w:type="dxa"/>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水质 游离氯和总氯的测定 N,N-二乙基-1,4-苯二胺分光光度法 HJ 586-2010</w:t>
            </w:r>
          </w:p>
        </w:tc>
        <w:tc>
          <w:tcPr>
            <w:tcW w:w="2625"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UV-5100紫外可见分光光度计,JKJC-007,天平</w:t>
            </w:r>
          </w:p>
        </w:tc>
        <w:tc>
          <w:tcPr>
            <w:tcW w:w="1354"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0.03mg/L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restart"/>
            <w:tcBorders>
              <w:top w:val="single" w:color="auto" w:sz="4" w:space="0"/>
            </w:tcBorders>
            <w:noWrap w:val="0"/>
            <w:vAlign w:val="center"/>
          </w:tcPr>
          <w:p>
            <w:pPr>
              <w:spacing w:line="260" w:lineRule="exact"/>
              <w:jc w:val="center"/>
              <w:rPr>
                <w:rFonts w:hint="default" w:ascii="Times New Roman" w:hAnsi="Times New Roman" w:cs="Times New Roman"/>
                <w:szCs w:val="21"/>
              </w:rPr>
            </w:pPr>
            <w:r>
              <w:rPr>
                <w:rFonts w:hint="eastAsia" w:ascii="Times New Roman" w:hAnsi="Times New Roman" w:cs="Times New Roman"/>
                <w:szCs w:val="21"/>
                <w:lang w:val="en-US" w:eastAsia="zh-CN"/>
              </w:rPr>
              <w:t>无</w:t>
            </w:r>
            <w:r>
              <w:rPr>
                <w:rFonts w:hint="default" w:ascii="Times New Roman" w:hAnsi="Times New Roman" w:cs="Times New Roman"/>
                <w:szCs w:val="21"/>
              </w:rPr>
              <w:t>组织废气</w:t>
            </w:r>
          </w:p>
        </w:tc>
        <w:tc>
          <w:tcPr>
            <w:tcW w:w="1103" w:type="dxa"/>
            <w:tcBorders>
              <w:top w:val="single" w:color="auto" w:sz="4" w:space="0"/>
            </w:tcBorders>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氨气</w:t>
            </w:r>
          </w:p>
        </w:tc>
        <w:tc>
          <w:tcPr>
            <w:tcW w:w="3064"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环境空气和废气 氨的测定 纳氏试剂分光光度法 HJ 533-2009</w:t>
            </w:r>
          </w:p>
        </w:tc>
        <w:tc>
          <w:tcPr>
            <w:tcW w:w="2625"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UV-5100紫外可见分光光度计，JKJC-007</w:t>
            </w:r>
          </w:p>
        </w:tc>
        <w:tc>
          <w:tcPr>
            <w:tcW w:w="1354"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0.01mg/m</w:t>
            </w:r>
            <w:r>
              <w:rPr>
                <w:rFonts w:hint="default" w:ascii="Times New Roman" w:hAnsi="Times New Roman" w:cs="Times New Roman"/>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continue"/>
            <w:noWrap w:val="0"/>
            <w:vAlign w:val="center"/>
          </w:tcPr>
          <w:p>
            <w:pPr>
              <w:spacing w:line="260" w:lineRule="exact"/>
              <w:jc w:val="center"/>
              <w:rPr>
                <w:rFonts w:hint="default" w:ascii="Times New Roman" w:hAnsi="Times New Roman" w:cs="Times New Roman"/>
                <w:szCs w:val="21"/>
              </w:rPr>
            </w:pPr>
          </w:p>
        </w:tc>
        <w:tc>
          <w:tcPr>
            <w:tcW w:w="1103" w:type="dxa"/>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硫化氢</w:t>
            </w:r>
          </w:p>
        </w:tc>
        <w:tc>
          <w:tcPr>
            <w:tcW w:w="3064"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污染源废气  亚甲基蓝分光光度法《空气和废气监测分析方法》（第四版-增补版）国家环境保护总局（2003年）</w:t>
            </w:r>
          </w:p>
        </w:tc>
        <w:tc>
          <w:tcPr>
            <w:tcW w:w="2625"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UV-5100紫外可见分光光度计,JKJC-007</w:t>
            </w:r>
          </w:p>
        </w:tc>
        <w:tc>
          <w:tcPr>
            <w:tcW w:w="1354"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0.001mg/m</w:t>
            </w:r>
            <w:r>
              <w:rPr>
                <w:rFonts w:hint="default" w:ascii="Times New Roman" w:hAnsi="Times New Roman" w:cs="Times New Roman"/>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continue"/>
            <w:noWrap w:val="0"/>
            <w:vAlign w:val="center"/>
          </w:tcPr>
          <w:p>
            <w:pPr>
              <w:spacing w:line="260" w:lineRule="exact"/>
              <w:jc w:val="center"/>
              <w:rPr>
                <w:rFonts w:hint="default" w:ascii="Times New Roman" w:hAnsi="Times New Roman" w:cs="Times New Roman"/>
                <w:szCs w:val="21"/>
              </w:rPr>
            </w:pPr>
          </w:p>
        </w:tc>
        <w:tc>
          <w:tcPr>
            <w:tcW w:w="1103" w:type="dxa"/>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臭气浓度</w:t>
            </w:r>
          </w:p>
        </w:tc>
        <w:tc>
          <w:tcPr>
            <w:tcW w:w="3064"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空气质量 恶臭的测定 三点比较式臭袋法 GB/T 14675-1993</w:t>
            </w:r>
          </w:p>
        </w:tc>
        <w:tc>
          <w:tcPr>
            <w:tcW w:w="2625"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气袋</w:t>
            </w:r>
          </w:p>
        </w:tc>
        <w:tc>
          <w:tcPr>
            <w:tcW w:w="1354" w:type="dxa"/>
            <w:noWrap w:val="0"/>
            <w:vAlign w:val="center"/>
          </w:tcPr>
          <w:p>
            <w:pPr>
              <w:spacing w:line="2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噪声</w:t>
            </w:r>
          </w:p>
        </w:tc>
        <w:tc>
          <w:tcPr>
            <w:tcW w:w="1103"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厂界环境噪声</w:t>
            </w:r>
          </w:p>
        </w:tc>
        <w:tc>
          <w:tcPr>
            <w:tcW w:w="306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pacing w:val="-6"/>
                <w:szCs w:val="21"/>
              </w:rPr>
              <w:t>工业企业厂界环境噪声排放标准</w:t>
            </w:r>
            <w:r>
              <w:rPr>
                <w:rFonts w:hint="default" w:ascii="Times New Roman" w:hAnsi="Times New Roman" w:cs="Times New Roman"/>
                <w:szCs w:val="21"/>
              </w:rPr>
              <w:t>（GB12348-2008）</w:t>
            </w:r>
          </w:p>
        </w:tc>
        <w:tc>
          <w:tcPr>
            <w:tcW w:w="2625" w:type="dxa"/>
            <w:noWrap w:val="0"/>
            <w:vAlign w:val="center"/>
          </w:tcPr>
          <w:p>
            <w:pPr>
              <w:spacing w:line="260" w:lineRule="exact"/>
              <w:ind w:firstLine="420" w:firstLineChars="200"/>
              <w:jc w:val="center"/>
              <w:rPr>
                <w:rFonts w:hint="default" w:ascii="Times New Roman" w:hAnsi="Times New Roman" w:cs="Times New Roman"/>
                <w:szCs w:val="21"/>
              </w:rPr>
            </w:pPr>
            <w:r>
              <w:rPr>
                <w:rFonts w:hint="default" w:ascii="Times New Roman" w:hAnsi="Times New Roman" w:cs="Times New Roman"/>
                <w:szCs w:val="21"/>
              </w:rPr>
              <w:t>AWA5688</w:t>
            </w:r>
          </w:p>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多功能声级计，JKJC-107</w:t>
            </w:r>
          </w:p>
        </w:tc>
        <w:tc>
          <w:tcPr>
            <w:tcW w:w="135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w:t>
            </w:r>
          </w:p>
        </w:tc>
      </w:tr>
    </w:tbl>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2"/>
          <w:szCs w:val="32"/>
          <w:lang w:val="en-US" w:eastAsia="zh-CN"/>
        </w:rPr>
      </w:pPr>
      <w:bookmarkStart w:id="43" w:name="_Toc10504"/>
      <w:bookmarkStart w:id="44" w:name="_Toc11147"/>
      <w:bookmarkStart w:id="45" w:name="_Toc165031101"/>
      <w:r>
        <w:rPr>
          <w:rFonts w:hint="default" w:ascii="Times New Roman" w:hAnsi="Times New Roman" w:eastAsia="宋体" w:cs="Times New Roman"/>
          <w:b/>
          <w:sz w:val="32"/>
          <w:szCs w:val="32"/>
          <w:lang w:val="en-US" w:eastAsia="zh-CN"/>
        </w:rPr>
        <w:t>8.</w:t>
      </w:r>
      <w:r>
        <w:rPr>
          <w:rFonts w:hint="eastAsia" w:ascii="Times New Roman" w:hAnsi="Times New Roman" w:eastAsia="宋体" w:cs="Times New Roman"/>
          <w:b/>
          <w:sz w:val="32"/>
          <w:szCs w:val="32"/>
          <w:lang w:val="en-US" w:eastAsia="zh-CN"/>
        </w:rPr>
        <w:t>2</w:t>
      </w:r>
      <w:r>
        <w:rPr>
          <w:rFonts w:hint="default" w:ascii="Times New Roman" w:hAnsi="Times New Roman" w:eastAsia="宋体" w:cs="Times New Roman"/>
          <w:b/>
          <w:sz w:val="32"/>
          <w:szCs w:val="32"/>
          <w:lang w:val="en-US" w:eastAsia="zh-CN"/>
        </w:rPr>
        <w:t xml:space="preserve"> </w:t>
      </w:r>
      <w:bookmarkEnd w:id="43"/>
      <w:r>
        <w:rPr>
          <w:rFonts w:hint="eastAsia" w:ascii="Times New Roman" w:hAnsi="Times New Roman" w:eastAsia="宋体" w:cs="Times New Roman"/>
          <w:b/>
          <w:sz w:val="32"/>
          <w:szCs w:val="32"/>
          <w:lang w:val="en-US" w:eastAsia="zh-CN"/>
        </w:rPr>
        <w:t>气体监测分析过程中的质量保证和质量控制</w:t>
      </w:r>
      <w:bookmarkEnd w:id="44"/>
      <w:bookmarkEnd w:id="4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（1）尽量避免被测排放物中共存污染物对分析的交叉干扰。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（2）被测排放物的浓度在仪器量程的有效范围（即30%～70%之间）。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rPr>
      </w:pPr>
      <w:r>
        <w:rPr>
          <w:rFonts w:hint="default" w:ascii="Times New Roman" w:hAnsi="Times New Roman" w:cs="Times New Roman"/>
          <w:sz w:val="24"/>
          <w:szCs w:val="24"/>
        </w:rPr>
        <w:t>（3）烟尘采样器在进入现场前应对采样器流量计、流速计等进行校核。烟气监测（分析）仪器</w:t>
      </w:r>
      <w:r>
        <w:rPr>
          <w:rFonts w:hint="eastAsia" w:ascii="Times New Roman" w:hAnsi="Times New Roman" w:cs="Times New Roman"/>
          <w:sz w:val="24"/>
          <w:szCs w:val="24"/>
        </w:rPr>
        <w:t>在测试前按监测因子分别用标准气体和流量计对其进行校核（标定），在测试时应保证其采样流量的准确。附烟气监测校核质控表。现场监测保证2名监测人员参加，监测人员均持证上岗。</w:t>
      </w:r>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46" w:name="_Toc29129"/>
      <w:bookmarkStart w:id="47" w:name="_Toc1276326230"/>
      <w:r>
        <w:rPr>
          <w:rFonts w:hint="default" w:ascii="Times New Roman" w:hAnsi="Times New Roman" w:eastAsia="宋体" w:cs="Times New Roman"/>
          <w:b/>
          <w:sz w:val="30"/>
          <w:szCs w:val="30"/>
          <w:lang w:val="en-US" w:eastAsia="zh-CN"/>
        </w:rPr>
        <w:t>8.</w:t>
      </w:r>
      <w:r>
        <w:rPr>
          <w:rFonts w:hint="eastAsia"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val="en-US" w:eastAsia="zh-CN"/>
        </w:rPr>
        <w:t xml:space="preserve"> </w:t>
      </w:r>
      <w:r>
        <w:rPr>
          <w:rFonts w:hint="eastAsia" w:ascii="Times New Roman" w:hAnsi="Times New Roman" w:eastAsia="宋体" w:cs="Times New Roman"/>
          <w:b/>
          <w:sz w:val="30"/>
          <w:szCs w:val="30"/>
          <w:lang w:val="en-US" w:eastAsia="zh-CN"/>
        </w:rPr>
        <w:t>噪声监测分析过程中的质量保证和质量控制</w:t>
      </w:r>
      <w:bookmarkEnd w:id="46"/>
      <w:bookmarkEnd w:id="4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声级计在测试前后用标准发生源进行校准，灵敏度相差不大0.5dB(A)。监测时测量仪器配置防风罩，风速＞5m/s停止测试，现场监测保证2名监测人员参加，监测人员均持证上岗。</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default" w:ascii="Times New Roman" w:hAnsi="Times New Roman" w:eastAsia="宋体" w:cs="Times New Roman"/>
          <w:b/>
          <w:color w:val="000000"/>
          <w:sz w:val="24"/>
          <w:szCs w:val="24"/>
          <w:lang w:val="zh-CN" w:eastAsia="zh-CN"/>
        </w:rPr>
      </w:pPr>
      <w:r>
        <w:rPr>
          <w:rFonts w:hint="default" w:ascii="Times New Roman" w:hAnsi="Times New Roman" w:eastAsia="宋体" w:cs="Times New Roman"/>
          <w:b/>
          <w:color w:val="000000"/>
          <w:sz w:val="24"/>
          <w:szCs w:val="24"/>
          <w:lang w:val="zh-CN" w:eastAsia="zh-CN"/>
        </w:rPr>
        <w:t>表</w:t>
      </w:r>
      <w:r>
        <w:rPr>
          <w:rFonts w:hint="eastAsia" w:ascii="Times New Roman" w:hAnsi="Times New Roman" w:eastAsia="宋体" w:cs="Times New Roman"/>
          <w:b/>
          <w:color w:val="000000"/>
          <w:sz w:val="24"/>
          <w:szCs w:val="24"/>
          <w:lang w:val="en-US" w:eastAsia="zh-CN"/>
        </w:rPr>
        <w:t>8</w:t>
      </w:r>
      <w:r>
        <w:rPr>
          <w:rFonts w:hint="default" w:ascii="Times New Roman" w:hAnsi="Times New Roman" w:eastAsia="宋体" w:cs="Times New Roman"/>
          <w:b/>
          <w:color w:val="000000"/>
          <w:sz w:val="24"/>
          <w:szCs w:val="24"/>
          <w:lang w:val="zh-CN" w:eastAsia="zh-CN"/>
        </w:rPr>
        <w:t>-</w:t>
      </w:r>
      <w:r>
        <w:rPr>
          <w:rFonts w:hint="eastAsia" w:ascii="Times New Roman" w:hAnsi="Times New Roman" w:eastAsia="宋体" w:cs="Times New Roman"/>
          <w:b/>
          <w:color w:val="000000"/>
          <w:sz w:val="24"/>
          <w:szCs w:val="24"/>
          <w:lang w:val="en-US" w:eastAsia="zh-CN"/>
        </w:rPr>
        <w:t>2</w:t>
      </w:r>
      <w:r>
        <w:rPr>
          <w:rFonts w:hint="default" w:ascii="Times New Roman" w:hAnsi="Times New Roman" w:eastAsia="宋体" w:cs="Times New Roman"/>
          <w:b/>
          <w:color w:val="000000"/>
          <w:sz w:val="24"/>
          <w:szCs w:val="24"/>
          <w:lang w:val="zh-CN" w:eastAsia="zh-CN"/>
        </w:rPr>
        <w:t xml:space="preserve">  噪声测量前、后仪器校准结果</w:t>
      </w:r>
    </w:p>
    <w:tbl>
      <w:tblPr>
        <w:tblStyle w:val="16"/>
        <w:tblW w:w="8290" w:type="dxa"/>
        <w:jc w:val="center"/>
        <w:tblInd w:w="1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1197"/>
        <w:gridCol w:w="1187"/>
        <w:gridCol w:w="1128"/>
        <w:gridCol w:w="23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29"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测量日期</w:t>
            </w:r>
          </w:p>
        </w:tc>
        <w:tc>
          <w:tcPr>
            <w:tcW w:w="3512" w:type="dxa"/>
            <w:gridSpan w:val="3"/>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校准声级（dB）A</w:t>
            </w:r>
          </w:p>
        </w:tc>
        <w:tc>
          <w:tcPr>
            <w:tcW w:w="2349"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备 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29"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19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测量前</w:t>
            </w:r>
          </w:p>
        </w:tc>
        <w:tc>
          <w:tcPr>
            <w:tcW w:w="118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测量后</w:t>
            </w:r>
          </w:p>
        </w:tc>
        <w:tc>
          <w:tcPr>
            <w:tcW w:w="1128"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差值</w:t>
            </w:r>
          </w:p>
        </w:tc>
        <w:tc>
          <w:tcPr>
            <w:tcW w:w="2349"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29"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昼夜</w:t>
            </w:r>
          </w:p>
        </w:tc>
        <w:tc>
          <w:tcPr>
            <w:tcW w:w="119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w:t>
            </w:r>
          </w:p>
        </w:tc>
        <w:tc>
          <w:tcPr>
            <w:tcW w:w="118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94.0</w:t>
            </w:r>
          </w:p>
        </w:tc>
        <w:tc>
          <w:tcPr>
            <w:tcW w:w="1128"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w:t>
            </w:r>
          </w:p>
        </w:tc>
        <w:tc>
          <w:tcPr>
            <w:tcW w:w="2349"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测量前、后校准声级差值小于0.5 dB（A），测量数据有效。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29"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昼夜</w:t>
            </w:r>
          </w:p>
        </w:tc>
        <w:tc>
          <w:tcPr>
            <w:tcW w:w="119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93.</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9</w:t>
            </w:r>
          </w:p>
        </w:tc>
        <w:tc>
          <w:tcPr>
            <w:tcW w:w="118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4.0</w:t>
            </w:r>
          </w:p>
        </w:tc>
        <w:tc>
          <w:tcPr>
            <w:tcW w:w="1128"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w:t>
            </w:r>
          </w:p>
        </w:tc>
        <w:tc>
          <w:tcPr>
            <w:tcW w:w="23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default" w:ascii="Times New Roman" w:hAnsi="Times New Roman" w:eastAsia="宋体" w:cs="Times New Roman"/>
                <w:sz w:val="21"/>
                <w:szCs w:val="21"/>
              </w:rPr>
            </w:pPr>
          </w:p>
        </w:tc>
      </w:tr>
    </w:tbl>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48" w:name="_Toc1119"/>
      <w:r>
        <w:rPr>
          <w:rFonts w:hint="default" w:ascii="Times New Roman" w:hAnsi="Times New Roman" w:eastAsia="宋体" w:cs="Times New Roman"/>
          <w:b/>
          <w:sz w:val="30"/>
          <w:szCs w:val="30"/>
          <w:lang w:val="en-US" w:eastAsia="zh-CN"/>
        </w:rPr>
        <w:t>8.</w:t>
      </w:r>
      <w:r>
        <w:rPr>
          <w:rFonts w:hint="eastAsia" w:ascii="Times New Roman" w:hAnsi="Times New Roman" w:cs="Times New Roman"/>
          <w:b/>
          <w:sz w:val="30"/>
          <w:szCs w:val="30"/>
          <w:lang w:val="en-US" w:eastAsia="zh-CN"/>
        </w:rPr>
        <w:t>4废水</w:t>
      </w:r>
      <w:r>
        <w:rPr>
          <w:rFonts w:hint="eastAsia" w:ascii="Times New Roman" w:hAnsi="Times New Roman" w:eastAsia="宋体" w:cs="Times New Roman"/>
          <w:b/>
          <w:sz w:val="30"/>
          <w:szCs w:val="30"/>
          <w:lang w:val="en-US" w:eastAsia="zh-CN"/>
        </w:rPr>
        <w:t>监测分析过程中的质量保证和质量控制</w:t>
      </w:r>
      <w:bookmarkEnd w:id="4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、采样人员严格遵守采样操作规程，认真填写采样记录，按规定保存、运输样品。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、监测分析采用国家有关部门颁布的标准分析方法或推荐方法；监测人员经考核合格并持有上岗证，所有仪器、量具均经过计量部门检定合格并在有效期内。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eastAsia="zh-CN"/>
        </w:rPr>
      </w:pP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、样品测定过程中进行平行、加标样和质控样测</w:t>
      </w:r>
      <w:r>
        <w:rPr>
          <w:rFonts w:hint="eastAsia"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、监测分析方法采用国家颁布的标准分析方法，监测人员经过考核并持有合格证书，所有监测仪器经计量部门检定并在有效期内。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、监测数据严格实行三级审核制。</w:t>
      </w:r>
      <w:bookmarkStart w:id="49" w:name="_Toc478028100"/>
    </w:p>
    <w:bookmarkEnd w:id="49"/>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实验室分析人员按国家或行业标准分析方法对样品进行分析，水质样品每批抽取10%的自控平行样及带质控样。质控标样、平行样分析结果见</w:t>
      </w:r>
      <w:r>
        <w:rPr>
          <w:rFonts w:hint="eastAsia" w:ascii="Times New Roman" w:hAnsi="Times New Roman" w:cs="Times New Roman"/>
          <w:sz w:val="24"/>
          <w:szCs w:val="24"/>
          <w:lang w:eastAsia="zh-CN"/>
        </w:rPr>
        <w:t>表</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default" w:ascii="Times New Roman" w:hAnsi="Times New Roman" w:eastAsia="宋体" w:cs="Times New Roman"/>
          <w:b/>
          <w:color w:val="000000"/>
          <w:sz w:val="24"/>
          <w:szCs w:val="24"/>
          <w:lang w:val="zh-CN" w:eastAsia="zh-CN"/>
        </w:rPr>
      </w:pPr>
      <w:r>
        <w:rPr>
          <w:rFonts w:hint="default" w:ascii="Times New Roman" w:hAnsi="Times New Roman" w:eastAsia="宋体" w:cs="Times New Roman"/>
          <w:b/>
          <w:color w:val="000000"/>
          <w:sz w:val="24"/>
          <w:szCs w:val="24"/>
          <w:lang w:val="zh-CN" w:eastAsia="zh-CN"/>
        </w:rPr>
        <w:t>表</w:t>
      </w:r>
      <w:r>
        <w:rPr>
          <w:rFonts w:hint="eastAsia" w:ascii="Times New Roman" w:hAnsi="Times New Roman" w:eastAsia="宋体" w:cs="Times New Roman"/>
          <w:b/>
          <w:color w:val="000000"/>
          <w:sz w:val="24"/>
          <w:szCs w:val="24"/>
          <w:lang w:val="en-US" w:eastAsia="zh-CN"/>
        </w:rPr>
        <w:t>8</w:t>
      </w:r>
      <w:r>
        <w:rPr>
          <w:rFonts w:hint="default" w:ascii="Times New Roman" w:hAnsi="Times New Roman" w:eastAsia="宋体" w:cs="Times New Roman"/>
          <w:b/>
          <w:color w:val="000000"/>
          <w:sz w:val="24"/>
          <w:szCs w:val="24"/>
          <w:lang w:val="zh-CN" w:eastAsia="zh-CN"/>
        </w:rPr>
        <w:t>-</w:t>
      </w:r>
      <w:r>
        <w:rPr>
          <w:rFonts w:hint="eastAsia" w:ascii="Times New Roman" w:hAnsi="Times New Roman" w:eastAsia="宋体" w:cs="Times New Roman"/>
          <w:b/>
          <w:color w:val="000000"/>
          <w:sz w:val="24"/>
          <w:szCs w:val="24"/>
          <w:lang w:val="en-US" w:eastAsia="zh-CN"/>
        </w:rPr>
        <w:t>3</w:t>
      </w:r>
      <w:r>
        <w:rPr>
          <w:rFonts w:hint="default" w:ascii="Times New Roman" w:hAnsi="Times New Roman" w:eastAsia="宋体" w:cs="Times New Roman"/>
          <w:b/>
          <w:color w:val="000000"/>
          <w:sz w:val="24"/>
          <w:szCs w:val="24"/>
          <w:lang w:val="zh-CN" w:eastAsia="zh-CN"/>
        </w:rPr>
        <w:t>平行样、质控样分析结果统计与评价</w:t>
      </w:r>
    </w:p>
    <w:tbl>
      <w:tblPr>
        <w:tblStyle w:val="16"/>
        <w:tblW w:w="8583" w:type="dxa"/>
        <w:jc w:val="center"/>
        <w:tblInd w:w="489"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080"/>
        <w:gridCol w:w="1920"/>
        <w:gridCol w:w="712"/>
        <w:gridCol w:w="658"/>
        <w:gridCol w:w="55"/>
        <w:gridCol w:w="885"/>
        <w:gridCol w:w="1065"/>
        <w:gridCol w:w="675"/>
        <w:gridCol w:w="6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583" w:type="dxa"/>
            <w:gridSpan w:val="10"/>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平行样分析结果统计与评价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2"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项目</w:t>
            </w:r>
          </w:p>
        </w:tc>
        <w:tc>
          <w:tcPr>
            <w:tcW w:w="108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分析</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日期</w:t>
            </w:r>
          </w:p>
        </w:tc>
        <w:tc>
          <w:tcPr>
            <w:tcW w:w="192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样品编码</w:t>
            </w:r>
          </w:p>
        </w:tc>
        <w:tc>
          <w:tcPr>
            <w:tcW w:w="1425" w:type="dxa"/>
            <w:gridSpan w:val="3"/>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分析结果</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(mg/L)</w:t>
            </w:r>
          </w:p>
        </w:tc>
        <w:tc>
          <w:tcPr>
            <w:tcW w:w="8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相对偏差(%)</w:t>
            </w:r>
          </w:p>
        </w:tc>
        <w:tc>
          <w:tcPr>
            <w:tcW w:w="106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允许相对偏差(%)</w:t>
            </w:r>
          </w:p>
        </w:tc>
        <w:tc>
          <w:tcPr>
            <w:tcW w:w="67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结果评价</w:t>
            </w:r>
          </w:p>
        </w:tc>
        <w:tc>
          <w:tcPr>
            <w:tcW w:w="631"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2"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化学需氧量</w:t>
            </w:r>
          </w:p>
        </w:tc>
        <w:tc>
          <w:tcPr>
            <w:tcW w:w="108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日</w:t>
            </w:r>
          </w:p>
        </w:tc>
        <w:tc>
          <w:tcPr>
            <w:tcW w:w="1920" w:type="dxa"/>
            <w:tcBorders>
              <w:tl2br w:val="nil"/>
              <w:tr2bl w:val="nil"/>
            </w:tcBorders>
            <w:vAlign w:val="center"/>
          </w:tcPr>
          <w:p>
            <w:pPr>
              <w:pStyle w:val="24"/>
              <w:widowControl w:val="0"/>
              <w:adjustRightInd/>
              <w:snapToGrid/>
              <w:spacing w:after="0" w:afterLines="-2147483648"/>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YH181221W</w:t>
            </w:r>
            <w:r>
              <w:rPr>
                <w:rFonts w:hint="eastAsia" w:ascii="Times New Roman" w:hAnsi="Times New Roman" w:eastAsia="宋体" w:cs="Times New Roman"/>
                <w:color w:val="000000" w:themeColor="text1"/>
                <w:kern w:val="2"/>
                <w:sz w:val="21"/>
                <w:szCs w:val="24"/>
                <w:highlight w:val="none"/>
                <w:vertAlign w:val="subscript"/>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0101</w:t>
            </w:r>
          </w:p>
        </w:tc>
        <w:tc>
          <w:tcPr>
            <w:tcW w:w="712"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86</w:t>
            </w:r>
          </w:p>
        </w:tc>
        <w:tc>
          <w:tcPr>
            <w:tcW w:w="713"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82</w:t>
            </w:r>
          </w:p>
        </w:tc>
        <w:tc>
          <w:tcPr>
            <w:tcW w:w="8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2.4</w:t>
            </w:r>
          </w:p>
        </w:tc>
        <w:tc>
          <w:tcPr>
            <w:tcW w:w="1065"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≤10</w:t>
            </w:r>
          </w:p>
        </w:tc>
        <w:tc>
          <w:tcPr>
            <w:tcW w:w="67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合格</w:t>
            </w:r>
          </w:p>
        </w:tc>
        <w:tc>
          <w:tcPr>
            <w:tcW w:w="631"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实验</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室平行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2"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日</w:t>
            </w:r>
          </w:p>
        </w:tc>
        <w:tc>
          <w:tcPr>
            <w:tcW w:w="1920" w:type="dxa"/>
            <w:tcBorders>
              <w:tl2br w:val="nil"/>
              <w:tr2bl w:val="nil"/>
            </w:tcBorders>
            <w:vAlign w:val="center"/>
          </w:tcPr>
          <w:p>
            <w:pPr>
              <w:widowControl w:val="0"/>
              <w:adjustRightInd/>
              <w:snapToGrid/>
              <w:spacing w:after="0" w:afterLines="-2147483648"/>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YH181222W</w:t>
            </w:r>
            <w:r>
              <w:rPr>
                <w:rFonts w:hint="eastAsia" w:ascii="Times New Roman" w:hAnsi="Times New Roman" w:eastAsia="宋体" w:cs="Times New Roman"/>
                <w:color w:val="000000" w:themeColor="text1"/>
                <w:kern w:val="2"/>
                <w:sz w:val="21"/>
                <w:szCs w:val="24"/>
                <w:highlight w:val="none"/>
                <w:vertAlign w:val="subscript"/>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0101</w:t>
            </w:r>
          </w:p>
        </w:tc>
        <w:tc>
          <w:tcPr>
            <w:tcW w:w="712"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84</w:t>
            </w:r>
          </w:p>
        </w:tc>
        <w:tc>
          <w:tcPr>
            <w:tcW w:w="713"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86</w:t>
            </w:r>
          </w:p>
        </w:tc>
        <w:tc>
          <w:tcPr>
            <w:tcW w:w="8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p>
        </w:tc>
        <w:tc>
          <w:tcPr>
            <w:tcW w:w="106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7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合格</w:t>
            </w:r>
          </w:p>
        </w:tc>
        <w:tc>
          <w:tcPr>
            <w:tcW w:w="631"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2"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氨氮</w:t>
            </w:r>
          </w:p>
        </w:tc>
        <w:tc>
          <w:tcPr>
            <w:tcW w:w="10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日</w:t>
            </w:r>
          </w:p>
        </w:tc>
        <w:tc>
          <w:tcPr>
            <w:tcW w:w="1920" w:type="dxa"/>
            <w:tcBorders>
              <w:tl2br w:val="nil"/>
              <w:tr2bl w:val="nil"/>
            </w:tcBorders>
            <w:vAlign w:val="center"/>
          </w:tcPr>
          <w:p>
            <w:pPr>
              <w:widowControl w:val="0"/>
              <w:adjustRightInd/>
              <w:snapToGrid/>
              <w:spacing w:after="0" w:afterLines="-2147483648"/>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YH181221W</w:t>
            </w:r>
            <w:r>
              <w:rPr>
                <w:rFonts w:hint="eastAsia" w:ascii="Times New Roman" w:hAnsi="Times New Roman" w:eastAsia="宋体" w:cs="Times New Roman"/>
                <w:color w:val="000000" w:themeColor="text1"/>
                <w:kern w:val="2"/>
                <w:sz w:val="21"/>
                <w:szCs w:val="24"/>
                <w:highlight w:val="none"/>
                <w:vertAlign w:val="subscript"/>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0201</w:t>
            </w:r>
          </w:p>
        </w:tc>
        <w:tc>
          <w:tcPr>
            <w:tcW w:w="712"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11.8</w:t>
            </w:r>
          </w:p>
        </w:tc>
        <w:tc>
          <w:tcPr>
            <w:tcW w:w="713"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12.2</w:t>
            </w:r>
          </w:p>
        </w:tc>
        <w:tc>
          <w:tcPr>
            <w:tcW w:w="8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2.5</w:t>
            </w:r>
          </w:p>
        </w:tc>
        <w:tc>
          <w:tcPr>
            <w:tcW w:w="106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7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合格</w:t>
            </w:r>
          </w:p>
        </w:tc>
        <w:tc>
          <w:tcPr>
            <w:tcW w:w="631"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2"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日</w:t>
            </w:r>
          </w:p>
        </w:tc>
        <w:tc>
          <w:tcPr>
            <w:tcW w:w="1920" w:type="dxa"/>
            <w:tcBorders>
              <w:tl2br w:val="nil"/>
              <w:tr2bl w:val="nil"/>
            </w:tcBorders>
            <w:vAlign w:val="center"/>
          </w:tcPr>
          <w:p>
            <w:pPr>
              <w:widowControl w:val="0"/>
              <w:adjustRightInd/>
              <w:snapToGrid/>
              <w:spacing w:after="0" w:afterLines="-2147483648"/>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YH181222W</w:t>
            </w:r>
            <w:r>
              <w:rPr>
                <w:rFonts w:hint="eastAsia" w:ascii="Times New Roman" w:hAnsi="Times New Roman" w:eastAsia="宋体" w:cs="Times New Roman"/>
                <w:color w:val="000000" w:themeColor="text1"/>
                <w:kern w:val="2"/>
                <w:sz w:val="21"/>
                <w:szCs w:val="24"/>
                <w:highlight w:val="none"/>
                <w:vertAlign w:val="subscript"/>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0101</w:t>
            </w:r>
          </w:p>
        </w:tc>
        <w:tc>
          <w:tcPr>
            <w:tcW w:w="712"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10.1</w:t>
            </w:r>
          </w:p>
        </w:tc>
        <w:tc>
          <w:tcPr>
            <w:tcW w:w="713"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10.3</w:t>
            </w:r>
          </w:p>
        </w:tc>
        <w:tc>
          <w:tcPr>
            <w:tcW w:w="8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1.0</w:t>
            </w:r>
          </w:p>
        </w:tc>
        <w:tc>
          <w:tcPr>
            <w:tcW w:w="106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7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合格</w:t>
            </w:r>
          </w:p>
        </w:tc>
        <w:tc>
          <w:tcPr>
            <w:tcW w:w="631"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83" w:type="dxa"/>
            <w:gridSpan w:val="10"/>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val="0"/>
              <w:spacing w:beforeAutospacing="0" w:after="0" w:afterLines="0" w:afterAutospacing="0" w:line="240" w:lineRule="auto"/>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质控样分析结果统计与评价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2"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项目</w:t>
            </w:r>
          </w:p>
        </w:tc>
        <w:tc>
          <w:tcPr>
            <w:tcW w:w="108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分析</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日期</w:t>
            </w:r>
          </w:p>
        </w:tc>
        <w:tc>
          <w:tcPr>
            <w:tcW w:w="192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批号</w:t>
            </w:r>
          </w:p>
        </w:tc>
        <w:tc>
          <w:tcPr>
            <w:tcW w:w="1370"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标准值及不确定度(mg/L)</w:t>
            </w:r>
          </w:p>
        </w:tc>
        <w:tc>
          <w:tcPr>
            <w:tcW w:w="2005" w:type="dxa"/>
            <w:gridSpan w:val="3"/>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分析结果</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(mg/L)</w:t>
            </w:r>
          </w:p>
        </w:tc>
        <w:tc>
          <w:tcPr>
            <w:tcW w:w="1306"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结果评价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2"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化学需氧量</w:t>
            </w:r>
          </w:p>
        </w:tc>
        <w:tc>
          <w:tcPr>
            <w:tcW w:w="108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日</w:t>
            </w:r>
          </w:p>
        </w:tc>
        <w:tc>
          <w:tcPr>
            <w:tcW w:w="192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200247</w:t>
            </w:r>
          </w:p>
        </w:tc>
        <w:tc>
          <w:tcPr>
            <w:tcW w:w="1370"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58.8±5.1</w:t>
            </w:r>
          </w:p>
        </w:tc>
        <w:tc>
          <w:tcPr>
            <w:tcW w:w="2005" w:type="dxa"/>
            <w:gridSpan w:val="3"/>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57</w:t>
            </w:r>
          </w:p>
        </w:tc>
        <w:tc>
          <w:tcPr>
            <w:tcW w:w="1306"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2"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日</w:t>
            </w:r>
          </w:p>
        </w:tc>
        <w:tc>
          <w:tcPr>
            <w:tcW w:w="192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200247</w:t>
            </w:r>
          </w:p>
        </w:tc>
        <w:tc>
          <w:tcPr>
            <w:tcW w:w="1370"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58.8±5.1</w:t>
            </w:r>
          </w:p>
        </w:tc>
        <w:tc>
          <w:tcPr>
            <w:tcW w:w="2005" w:type="dxa"/>
            <w:gridSpan w:val="3"/>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59</w:t>
            </w:r>
          </w:p>
        </w:tc>
        <w:tc>
          <w:tcPr>
            <w:tcW w:w="1306"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2"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氨氮</w:t>
            </w:r>
          </w:p>
        </w:tc>
        <w:tc>
          <w:tcPr>
            <w:tcW w:w="10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日</w:t>
            </w:r>
          </w:p>
        </w:tc>
        <w:tc>
          <w:tcPr>
            <w:tcW w:w="192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1741</w:t>
            </w:r>
          </w:p>
        </w:tc>
        <w:tc>
          <w:tcPr>
            <w:tcW w:w="1370"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1.25±0.06</w:t>
            </w:r>
          </w:p>
        </w:tc>
        <w:tc>
          <w:tcPr>
            <w:tcW w:w="2005" w:type="dxa"/>
            <w:gridSpan w:val="3"/>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1.27</w:t>
            </w:r>
          </w:p>
        </w:tc>
        <w:tc>
          <w:tcPr>
            <w:tcW w:w="1306"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2"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日</w:t>
            </w:r>
          </w:p>
        </w:tc>
        <w:tc>
          <w:tcPr>
            <w:tcW w:w="192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1741</w:t>
            </w:r>
          </w:p>
        </w:tc>
        <w:tc>
          <w:tcPr>
            <w:tcW w:w="1370"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1.25±0.06</w:t>
            </w:r>
          </w:p>
        </w:tc>
        <w:tc>
          <w:tcPr>
            <w:tcW w:w="2005" w:type="dxa"/>
            <w:gridSpan w:val="3"/>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1.28</w:t>
            </w:r>
          </w:p>
        </w:tc>
        <w:tc>
          <w:tcPr>
            <w:tcW w:w="1306" w:type="dxa"/>
            <w:gridSpan w:val="2"/>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2"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质控样来源</w:t>
            </w:r>
          </w:p>
        </w:tc>
        <w:tc>
          <w:tcPr>
            <w:tcW w:w="7681" w:type="dxa"/>
            <w:gridSpan w:val="9"/>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环境保护部标准样品研究所</w:t>
            </w:r>
          </w:p>
        </w:tc>
      </w:tr>
    </w:tbl>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lang w:val="en-US" w:eastAsia="zh-CN"/>
        </w:rPr>
      </w:pPr>
      <w:bookmarkStart w:id="50" w:name="_Toc26398"/>
      <w:r>
        <w:rPr>
          <w:rFonts w:hint="default" w:ascii="Times New Roman" w:hAnsi="Times New Roman" w:eastAsia="宋体" w:cs="Times New Roman"/>
          <w:b/>
          <w:lang w:val="en-US" w:eastAsia="zh-CN"/>
        </w:rPr>
        <w:t>9 验收监测结果</w:t>
      </w:r>
      <w:bookmarkEnd w:id="50"/>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51" w:name="_Toc20496"/>
      <w:r>
        <w:rPr>
          <w:rFonts w:hint="default" w:ascii="Times New Roman" w:hAnsi="Times New Roman" w:eastAsia="宋体" w:cs="Times New Roman"/>
          <w:b/>
          <w:sz w:val="30"/>
          <w:szCs w:val="30"/>
          <w:lang w:val="en-US" w:eastAsia="zh-CN"/>
        </w:rPr>
        <w:t>9.1 生产工况</w:t>
      </w:r>
      <w:bookmarkEnd w:id="5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zh-CN"/>
        </w:rPr>
      </w:pPr>
      <w:r>
        <w:rPr>
          <w:rFonts w:hint="eastAsia" w:ascii="Times New Roman" w:hAnsi="Times New Roman" w:cs="Times New Roman"/>
          <w:sz w:val="24"/>
          <w:szCs w:val="24"/>
          <w:lang w:val="zh-CN"/>
        </w:rPr>
        <w:t>验收监测期间</w:t>
      </w:r>
      <w:r>
        <w:rPr>
          <w:rFonts w:hint="default" w:ascii="Times New Roman" w:hAnsi="Times New Roman" w:cs="Times New Roman"/>
          <w:sz w:val="24"/>
          <w:szCs w:val="24"/>
          <w:lang w:val="zh-CN"/>
        </w:rPr>
        <w:t>，我公司对该项目进行了现场监测，监测期间全厂设备、环保设施运行正常</w:t>
      </w:r>
      <w:r>
        <w:rPr>
          <w:rFonts w:hint="eastAsia" w:ascii="Times New Roman" w:hAnsi="Times New Roman" w:cs="Times New Roman"/>
          <w:sz w:val="24"/>
          <w:szCs w:val="24"/>
          <w:lang w:val="zh-CN"/>
        </w:rPr>
        <w:t>，符合环保验收的要求。</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表9-1监测期间工况表</w:t>
      </w:r>
    </w:p>
    <w:tbl>
      <w:tblPr>
        <w:tblStyle w:val="17"/>
        <w:tblW w:w="852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840" w:type="dxa"/>
            <w:vMerge w:val="restar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w:t>
            </w:r>
          </w:p>
        </w:tc>
        <w:tc>
          <w:tcPr>
            <w:tcW w:w="5682" w:type="dxa"/>
            <w:gridSpan w:val="2"/>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840"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2841" w:type="dxa"/>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2018.12.21</w:t>
            </w:r>
          </w:p>
        </w:tc>
        <w:tc>
          <w:tcPr>
            <w:tcW w:w="2841" w:type="dxa"/>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2018.12.22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840" w:type="dxa"/>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实际使用情况（张）</w:t>
            </w:r>
          </w:p>
        </w:tc>
        <w:tc>
          <w:tcPr>
            <w:tcW w:w="2841" w:type="dxa"/>
            <w:noWrap w:val="0"/>
            <w:vAlign w:val="center"/>
          </w:tcPr>
          <w:p>
            <w:pPr>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86</w:t>
            </w:r>
          </w:p>
        </w:tc>
        <w:tc>
          <w:tcPr>
            <w:tcW w:w="2841" w:type="dxa"/>
            <w:noWrap w:val="0"/>
            <w:vAlign w:val="center"/>
          </w:tcPr>
          <w:p>
            <w:pPr>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840" w:type="dxa"/>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总床位</w:t>
            </w:r>
            <w:r>
              <w:rPr>
                <w:rFonts w:hint="eastAsia" w:ascii="Times New Roman" w:hAnsi="Times New Roman" w:cs="Times New Roman"/>
                <w:sz w:val="21"/>
                <w:szCs w:val="21"/>
                <w:vertAlign w:val="baseline"/>
                <w:lang w:val="en-US" w:eastAsia="zh-CN"/>
              </w:rPr>
              <w:t>（张）</w:t>
            </w:r>
          </w:p>
        </w:tc>
        <w:tc>
          <w:tcPr>
            <w:tcW w:w="5682" w:type="dxa"/>
            <w:gridSpan w:val="2"/>
            <w:noWrap w:val="0"/>
            <w:vAlign w:val="center"/>
          </w:tcPr>
          <w:p>
            <w:pPr>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840" w:type="dxa"/>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使用负荷（%）</w:t>
            </w:r>
          </w:p>
        </w:tc>
        <w:tc>
          <w:tcPr>
            <w:tcW w:w="2841" w:type="dxa"/>
            <w:noWrap w:val="0"/>
            <w:vAlign w:val="center"/>
          </w:tcPr>
          <w:p>
            <w:pPr>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95.5</w:t>
            </w:r>
          </w:p>
        </w:tc>
        <w:tc>
          <w:tcPr>
            <w:tcW w:w="2841" w:type="dxa"/>
            <w:noWrap w:val="0"/>
            <w:vAlign w:val="center"/>
          </w:tcPr>
          <w:p>
            <w:pPr>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96.7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522" w:type="dxa"/>
            <w:gridSpan w:val="3"/>
            <w:noWrap w:val="0"/>
            <w:vAlign w:val="center"/>
          </w:tcPr>
          <w:p>
            <w:pPr>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备注</w:t>
            </w:r>
            <w:r>
              <w:rPr>
                <w:rFonts w:hint="eastAsia" w:ascii="Times New Roman" w:hAnsi="Times New Roman" w:cs="Times New Roman"/>
                <w:sz w:val="21"/>
                <w:szCs w:val="21"/>
                <w:vertAlign w:val="baseline"/>
                <w:lang w:val="en-US" w:eastAsia="zh-CN"/>
              </w:rPr>
              <w:t>：年运行365天。</w:t>
            </w:r>
          </w:p>
        </w:tc>
      </w:tr>
    </w:tbl>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52" w:name="_Toc32668"/>
      <w:r>
        <w:rPr>
          <w:rFonts w:hint="default" w:ascii="Times New Roman" w:hAnsi="Times New Roman" w:eastAsia="宋体" w:cs="Times New Roman"/>
          <w:b/>
          <w:sz w:val="30"/>
          <w:szCs w:val="30"/>
          <w:lang w:val="en-US" w:eastAsia="zh-CN"/>
        </w:rPr>
        <w:t>9.2 污染物达标排放监测结果</w:t>
      </w:r>
      <w:bookmarkEnd w:id="52"/>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53" w:name="_Toc6142"/>
      <w:r>
        <w:rPr>
          <w:rFonts w:hint="default" w:ascii="Times New Roman" w:hAnsi="Times New Roman" w:cs="Times New Roman"/>
        </w:rPr>
        <w:t>9.2.1 废水</w:t>
      </w:r>
      <w:bookmarkEnd w:id="5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项目</w:t>
      </w:r>
      <w:r>
        <w:rPr>
          <w:rFonts w:hint="eastAsia" w:ascii="Times New Roman" w:hAnsi="Times New Roman" w:cs="Times New Roman"/>
          <w:sz w:val="24"/>
          <w:szCs w:val="24"/>
          <w:lang w:val="en-US" w:eastAsia="zh-CN"/>
        </w:rPr>
        <w:t>地表水</w:t>
      </w:r>
      <w:r>
        <w:rPr>
          <w:rFonts w:hint="eastAsia" w:ascii="Times New Roman" w:hAnsi="Times New Roman" w:cs="Times New Roman"/>
          <w:sz w:val="24"/>
          <w:szCs w:val="24"/>
          <w:lang w:eastAsia="zh-CN"/>
        </w:rPr>
        <w:t>监测结果一览表见表</w:t>
      </w:r>
      <w:r>
        <w:rPr>
          <w:rFonts w:hint="eastAsia" w:ascii="Times New Roman" w:hAnsi="Times New Roman" w:cs="Times New Roman"/>
          <w:sz w:val="24"/>
          <w:szCs w:val="24"/>
          <w:lang w:val="en-US" w:eastAsia="zh-CN"/>
        </w:rPr>
        <w:t>9-2：</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zh-CN" w:eastAsia="zh-CN"/>
        </w:rPr>
        <w:t>表</w:t>
      </w:r>
      <w:r>
        <w:rPr>
          <w:rFonts w:hint="eastAsia" w:ascii="Times New Roman" w:hAnsi="Times New Roman" w:eastAsia="宋体" w:cs="Times New Roman"/>
          <w:b/>
          <w:color w:val="000000"/>
          <w:sz w:val="24"/>
          <w:szCs w:val="24"/>
          <w:lang w:val="en-US" w:eastAsia="zh-CN"/>
        </w:rPr>
        <w:t>9</w:t>
      </w:r>
      <w:r>
        <w:rPr>
          <w:rFonts w:hint="default" w:ascii="Times New Roman" w:hAnsi="Times New Roman" w:eastAsia="宋体" w:cs="Times New Roman"/>
          <w:b/>
          <w:color w:val="000000"/>
          <w:sz w:val="24"/>
          <w:szCs w:val="24"/>
          <w:lang w:val="zh-CN" w:eastAsia="zh-CN"/>
        </w:rPr>
        <w:t>-</w:t>
      </w:r>
      <w:r>
        <w:rPr>
          <w:rFonts w:hint="eastAsia" w:ascii="Times New Roman" w:hAnsi="Times New Roman" w:eastAsia="宋体" w:cs="Times New Roman"/>
          <w:b/>
          <w:color w:val="000000"/>
          <w:sz w:val="24"/>
          <w:szCs w:val="24"/>
          <w:lang w:val="en-US" w:eastAsia="zh-CN"/>
        </w:rPr>
        <w:t>2</w:t>
      </w:r>
      <w:r>
        <w:rPr>
          <w:rFonts w:hint="eastAsia" w:ascii="Times New Roman" w:hAnsi="Times New Roman" w:eastAsia="宋体" w:cs="Times New Roman"/>
          <w:b/>
          <w:color w:val="000000"/>
          <w:sz w:val="24"/>
          <w:szCs w:val="24"/>
          <w:lang w:val="zh-CN" w:eastAsia="zh-CN"/>
        </w:rPr>
        <w:t>项目</w:t>
      </w:r>
      <w:r>
        <w:rPr>
          <w:rFonts w:hint="eastAsia" w:ascii="Times New Roman" w:hAnsi="Times New Roman" w:eastAsia="宋体" w:cs="Times New Roman"/>
          <w:b/>
          <w:color w:val="000000"/>
          <w:sz w:val="24"/>
          <w:szCs w:val="24"/>
          <w:lang w:val="en-US" w:eastAsia="zh-CN"/>
        </w:rPr>
        <w:t>地表水</w:t>
      </w:r>
      <w:r>
        <w:rPr>
          <w:rFonts w:hint="eastAsia" w:ascii="Times New Roman" w:hAnsi="Times New Roman" w:eastAsia="宋体" w:cs="Times New Roman"/>
          <w:b/>
          <w:color w:val="000000"/>
          <w:sz w:val="24"/>
          <w:szCs w:val="24"/>
          <w:lang w:val="zh-CN" w:eastAsia="zh-CN"/>
        </w:rPr>
        <w:t>监测结果一览表</w:t>
      </w:r>
    </w:p>
    <w:tbl>
      <w:tblPr>
        <w:tblStyle w:val="16"/>
        <w:tblW w:w="8533" w:type="dxa"/>
        <w:jc w:val="center"/>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0"/>
        <w:gridCol w:w="690"/>
        <w:gridCol w:w="944"/>
        <w:gridCol w:w="945"/>
        <w:gridCol w:w="747"/>
        <w:gridCol w:w="648"/>
        <w:gridCol w:w="846"/>
        <w:gridCol w:w="747"/>
        <w:gridCol w:w="747"/>
        <w:gridCol w:w="747"/>
        <w:gridCol w:w="748"/>
        <w:gridCol w:w="1"/>
        <w:gridCol w:w="2"/>
        <w:gridCol w:w="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gridAfter w:val="2"/>
          <w:wAfter w:w="3" w:type="dxa"/>
          <w:trHeight w:val="425" w:hRule="atLeast"/>
          <w:tblHeader/>
          <w:jc w:val="center"/>
        </w:trPr>
        <w:tc>
          <w:tcPr>
            <w:tcW w:w="720" w:type="dxa"/>
            <w:vMerge w:val="restart"/>
            <w:vAlign w:val="center"/>
          </w:tcPr>
          <w:p>
            <w:pPr>
              <w:adjustRightInd w:val="0"/>
              <w:snapToGrid w:val="0"/>
              <w:spacing w:line="240" w:lineRule="exact"/>
              <w:jc w:val="center"/>
              <w:rPr>
                <w:rFonts w:hint="default" w:ascii="Times New Roman" w:hAnsi="Times New Roman" w:cs="Times New Roman"/>
                <w:b/>
                <w:szCs w:val="21"/>
              </w:rPr>
            </w:pPr>
            <w:r>
              <w:rPr>
                <w:rFonts w:hint="default" w:ascii="Times New Roman" w:hAnsi="Times New Roman" w:cs="Times New Roman"/>
                <w:b/>
                <w:szCs w:val="21"/>
              </w:rPr>
              <w:t>监测点位</w:t>
            </w:r>
          </w:p>
        </w:tc>
        <w:tc>
          <w:tcPr>
            <w:tcW w:w="1634" w:type="dxa"/>
            <w:gridSpan w:val="2"/>
            <w:vMerge w:val="restart"/>
            <w:vAlign w:val="center"/>
          </w:tcPr>
          <w:p>
            <w:pPr>
              <w:adjustRightInd w:val="0"/>
              <w:snapToGrid w:val="0"/>
              <w:spacing w:line="240" w:lineRule="exact"/>
              <w:jc w:val="center"/>
              <w:rPr>
                <w:rFonts w:hint="default" w:ascii="Times New Roman" w:hAnsi="Times New Roman" w:cs="Times New Roman"/>
                <w:b/>
                <w:szCs w:val="21"/>
              </w:rPr>
            </w:pPr>
            <w:r>
              <w:rPr>
                <w:rFonts w:hint="default" w:ascii="Times New Roman" w:hAnsi="Times New Roman" w:cs="Times New Roman"/>
                <w:b/>
                <w:szCs w:val="21"/>
              </w:rPr>
              <w:t>监测日期</w:t>
            </w:r>
            <w:r>
              <w:rPr>
                <w:rFonts w:hint="eastAsia" w:ascii="Times New Roman" w:hAnsi="Times New Roman" w:cs="Times New Roman"/>
                <w:b/>
                <w:szCs w:val="21"/>
                <w:lang w:eastAsia="zh-CN"/>
              </w:rPr>
              <w:t>及频次</w:t>
            </w:r>
          </w:p>
        </w:tc>
        <w:tc>
          <w:tcPr>
            <w:tcW w:w="6176" w:type="dxa"/>
            <w:gridSpan w:val="9"/>
            <w:vAlign w:val="center"/>
          </w:tcPr>
          <w:p>
            <w:pPr>
              <w:spacing w:line="240" w:lineRule="exact"/>
              <w:jc w:val="center"/>
              <w:rPr>
                <w:rFonts w:hint="default" w:ascii="Times New Roman" w:hAnsi="Times New Roman" w:cs="Times New Roman"/>
                <w:b/>
                <w:szCs w:val="21"/>
              </w:rPr>
            </w:pPr>
            <w:r>
              <w:rPr>
                <w:rFonts w:hint="default" w:ascii="Times New Roman" w:hAnsi="Times New Roman" w:cs="Times New Roman"/>
                <w:b/>
                <w:szCs w:val="21"/>
              </w:rPr>
              <w:t>监测结果（mg/L，pH值：无量纲）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20" w:hRule="atLeast"/>
          <w:tblHeader/>
          <w:jc w:val="center"/>
        </w:trPr>
        <w:tc>
          <w:tcPr>
            <w:tcW w:w="720" w:type="dxa"/>
            <w:vMerge w:val="continue"/>
            <w:vAlign w:val="center"/>
          </w:tcPr>
          <w:p>
            <w:pPr>
              <w:adjustRightInd w:val="0"/>
              <w:snapToGrid w:val="0"/>
              <w:spacing w:line="240" w:lineRule="exact"/>
              <w:jc w:val="center"/>
              <w:rPr>
                <w:rFonts w:hint="default" w:ascii="Times New Roman" w:hAnsi="Times New Roman" w:cs="Times New Roman"/>
                <w:b/>
                <w:szCs w:val="21"/>
              </w:rPr>
            </w:pPr>
          </w:p>
        </w:tc>
        <w:tc>
          <w:tcPr>
            <w:tcW w:w="1634" w:type="dxa"/>
            <w:gridSpan w:val="2"/>
            <w:vMerge w:val="continue"/>
            <w:vAlign w:val="center"/>
          </w:tcPr>
          <w:p>
            <w:pPr>
              <w:adjustRightInd w:val="0"/>
              <w:snapToGrid w:val="0"/>
              <w:spacing w:line="240" w:lineRule="exact"/>
              <w:jc w:val="center"/>
              <w:rPr>
                <w:rFonts w:hint="default" w:ascii="Times New Roman" w:hAnsi="Times New Roman" w:cs="Times New Roman"/>
                <w:b/>
                <w:szCs w:val="21"/>
              </w:rPr>
            </w:pPr>
          </w:p>
        </w:tc>
        <w:tc>
          <w:tcPr>
            <w:tcW w:w="945" w:type="dxa"/>
            <w:vAlign w:val="center"/>
          </w:tcPr>
          <w:p>
            <w:pPr>
              <w:spacing w:line="240" w:lineRule="exact"/>
              <w:jc w:val="center"/>
              <w:rPr>
                <w:rFonts w:hint="default" w:ascii="Times New Roman" w:hAnsi="Times New Roman" w:cs="Times New Roman"/>
                <w:b/>
                <w:szCs w:val="21"/>
              </w:rPr>
            </w:pPr>
            <w:r>
              <w:rPr>
                <w:rFonts w:hint="default" w:ascii="Times New Roman" w:hAnsi="Times New Roman" w:cs="Times New Roman"/>
                <w:b/>
                <w:szCs w:val="21"/>
              </w:rPr>
              <w:t>pH值</w:t>
            </w:r>
          </w:p>
        </w:tc>
        <w:tc>
          <w:tcPr>
            <w:tcW w:w="747" w:type="dxa"/>
            <w:vAlign w:val="center"/>
          </w:tcPr>
          <w:p>
            <w:pPr>
              <w:spacing w:line="240" w:lineRule="exact"/>
              <w:jc w:val="center"/>
              <w:rPr>
                <w:rFonts w:hint="eastAsia" w:ascii="Times New Roman" w:hAnsi="Times New Roman" w:cs="Times New Roman" w:eastAsiaTheme="minorEastAsia"/>
                <w:b/>
                <w:szCs w:val="21"/>
                <w:lang w:eastAsia="zh-CN"/>
              </w:rPr>
            </w:pPr>
            <w:r>
              <w:rPr>
                <w:rFonts w:hint="eastAsia" w:ascii="Times New Roman" w:hAnsi="Times New Roman" w:cs="Times New Roman"/>
                <w:b/>
                <w:szCs w:val="21"/>
                <w:lang w:val="en-US" w:eastAsia="zh-CN"/>
              </w:rPr>
              <w:t>化学需氧量</w:t>
            </w:r>
          </w:p>
        </w:tc>
        <w:tc>
          <w:tcPr>
            <w:tcW w:w="648" w:type="dxa"/>
            <w:vAlign w:val="center"/>
          </w:tcPr>
          <w:p>
            <w:pPr>
              <w:spacing w:line="240" w:lineRule="exact"/>
              <w:jc w:val="center"/>
              <w:rPr>
                <w:rFonts w:hint="eastAsia" w:ascii="Times New Roman" w:hAnsi="Times New Roman" w:cs="Times New Roman" w:eastAsiaTheme="minorEastAsia"/>
                <w:b/>
                <w:szCs w:val="21"/>
                <w:lang w:val="en-US" w:eastAsia="zh-CN"/>
              </w:rPr>
            </w:pPr>
            <w:r>
              <w:rPr>
                <w:rFonts w:hint="eastAsia" w:ascii="Times New Roman" w:hAnsi="Times New Roman" w:cs="Times New Roman"/>
                <w:b/>
                <w:szCs w:val="21"/>
                <w:lang w:val="en-US" w:eastAsia="zh-CN"/>
              </w:rPr>
              <w:t>氨氮</w:t>
            </w:r>
          </w:p>
        </w:tc>
        <w:tc>
          <w:tcPr>
            <w:tcW w:w="846" w:type="dxa"/>
            <w:vAlign w:val="center"/>
          </w:tcPr>
          <w:p>
            <w:pPr>
              <w:spacing w:line="240" w:lineRule="exact"/>
              <w:jc w:val="center"/>
              <w:rPr>
                <w:rFonts w:hint="eastAsia" w:ascii="Times New Roman" w:hAnsi="Times New Roman" w:cs="Times New Roman" w:eastAsiaTheme="minorEastAsia"/>
                <w:b/>
                <w:szCs w:val="21"/>
                <w:lang w:val="en-US" w:eastAsia="zh-CN"/>
              </w:rPr>
            </w:pPr>
            <w:r>
              <w:rPr>
                <w:rFonts w:hint="eastAsia" w:ascii="Times New Roman" w:hAnsi="Times New Roman" w:cs="Times New Roman"/>
                <w:b/>
                <w:szCs w:val="21"/>
                <w:lang w:val="en-US" w:eastAsia="zh-CN"/>
              </w:rPr>
              <w:t>五日生化需氧量</w:t>
            </w:r>
          </w:p>
        </w:tc>
        <w:tc>
          <w:tcPr>
            <w:tcW w:w="747" w:type="dxa"/>
            <w:tcBorders>
              <w:right w:val="single" w:color="auto" w:sz="4" w:space="0"/>
            </w:tcBorders>
            <w:vAlign w:val="center"/>
          </w:tcPr>
          <w:p>
            <w:pPr>
              <w:spacing w:line="240" w:lineRule="exact"/>
              <w:jc w:val="center"/>
              <w:rPr>
                <w:rFonts w:hint="eastAsia" w:ascii="Times New Roman" w:hAnsi="Times New Roman" w:cs="Times New Roman" w:eastAsiaTheme="minorEastAsia"/>
                <w:b/>
                <w:szCs w:val="21"/>
                <w:lang w:eastAsia="zh-CN"/>
              </w:rPr>
            </w:pPr>
            <w:r>
              <w:rPr>
                <w:rFonts w:hint="eastAsia" w:ascii="Times New Roman" w:hAnsi="Times New Roman" w:cs="Times New Roman"/>
                <w:b/>
                <w:szCs w:val="21"/>
                <w:lang w:val="en-US" w:eastAsia="zh-CN"/>
              </w:rPr>
              <w:t>悬浮物</w:t>
            </w:r>
          </w:p>
        </w:tc>
        <w:tc>
          <w:tcPr>
            <w:tcW w:w="747" w:type="dxa"/>
            <w:tcBorders>
              <w:left w:val="single" w:color="auto" w:sz="4" w:space="0"/>
            </w:tcBorders>
            <w:vAlign w:val="center"/>
          </w:tcPr>
          <w:p>
            <w:pPr>
              <w:spacing w:line="240" w:lineRule="exact"/>
              <w:jc w:val="center"/>
              <w:rPr>
                <w:rFonts w:hint="eastAsia" w:ascii="Times New Roman" w:hAnsi="Times New Roman" w:cs="Times New Roman"/>
                <w:b/>
                <w:szCs w:val="21"/>
                <w:lang w:val="en-US" w:eastAsia="zh-CN"/>
              </w:rPr>
            </w:pPr>
            <w:r>
              <w:rPr>
                <w:rFonts w:hint="eastAsia" w:ascii="Times New Roman" w:hAnsi="Times New Roman" w:cs="Times New Roman"/>
                <w:b/>
                <w:szCs w:val="21"/>
                <w:lang w:val="en-US" w:eastAsia="zh-CN"/>
              </w:rPr>
              <w:t>动植物油</w:t>
            </w:r>
          </w:p>
        </w:tc>
        <w:tc>
          <w:tcPr>
            <w:tcW w:w="747" w:type="dxa"/>
            <w:tcBorders>
              <w:left w:val="single" w:color="auto" w:sz="4" w:space="0"/>
            </w:tcBorders>
            <w:vAlign w:val="center"/>
          </w:tcPr>
          <w:p>
            <w:pPr>
              <w:spacing w:line="240" w:lineRule="exact"/>
              <w:jc w:val="center"/>
              <w:rPr>
                <w:rFonts w:hint="eastAsia" w:ascii="Times New Roman" w:hAnsi="Times New Roman" w:cs="Times New Roman"/>
                <w:b/>
                <w:szCs w:val="21"/>
                <w:lang w:val="en-US" w:eastAsia="zh-CN"/>
              </w:rPr>
            </w:pPr>
            <w:r>
              <w:rPr>
                <w:rFonts w:hint="eastAsia" w:ascii="Times New Roman" w:hAnsi="Times New Roman" w:cs="Times New Roman"/>
                <w:b/>
                <w:szCs w:val="21"/>
                <w:lang w:val="en-US" w:eastAsia="zh-CN"/>
              </w:rPr>
              <w:t>余氯</w:t>
            </w:r>
          </w:p>
        </w:tc>
        <w:tc>
          <w:tcPr>
            <w:tcW w:w="752" w:type="dxa"/>
            <w:gridSpan w:val="4"/>
            <w:tcBorders>
              <w:left w:val="single" w:color="auto" w:sz="4" w:space="0"/>
            </w:tcBorders>
            <w:vAlign w:val="center"/>
          </w:tcPr>
          <w:p>
            <w:pPr>
              <w:spacing w:line="240" w:lineRule="exact"/>
              <w:jc w:val="center"/>
              <w:rPr>
                <w:rFonts w:hint="eastAsia" w:ascii="Times New Roman" w:hAnsi="Times New Roman" w:cs="Times New Roman"/>
                <w:b/>
                <w:szCs w:val="21"/>
                <w:lang w:val="en-US" w:eastAsia="zh-CN"/>
              </w:rPr>
            </w:pPr>
            <w:r>
              <w:rPr>
                <w:rFonts w:hint="eastAsia" w:ascii="Times New Roman" w:hAnsi="Times New Roman" w:cs="Times New Roman"/>
                <w:b/>
                <w:szCs w:val="21"/>
                <w:lang w:val="en-US" w:eastAsia="zh-CN"/>
              </w:rPr>
              <w:t>粪大肠菌群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425" w:hRule="atLeast"/>
          <w:jc w:val="center"/>
        </w:trPr>
        <w:tc>
          <w:tcPr>
            <w:tcW w:w="720" w:type="dxa"/>
            <w:vMerge w:val="restart"/>
            <w:vAlign w:val="center"/>
          </w:tcPr>
          <w:p>
            <w:pPr>
              <w:snapToGrid w:val="0"/>
              <w:spacing w:line="300" w:lineRule="exact"/>
              <w:jc w:val="center"/>
              <w:rPr>
                <w:rFonts w:hint="eastAsia"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W1废水总排口</w:t>
            </w:r>
          </w:p>
        </w:tc>
        <w:tc>
          <w:tcPr>
            <w:tcW w:w="690" w:type="dxa"/>
            <w:vMerge w:val="restart"/>
            <w:vAlign w:val="center"/>
          </w:tcPr>
          <w:p>
            <w:pPr>
              <w:adjustRightInd w:val="0"/>
              <w:snapToGrid w:val="0"/>
              <w:spacing w:line="260" w:lineRule="exact"/>
              <w:jc w:val="center"/>
              <w:rPr>
                <w:rFonts w:hint="default" w:ascii="Times New Roman" w:hAnsi="Times New Roman" w:cs="Times New Roman"/>
                <w:spacing w:val="-11"/>
                <w:szCs w:val="21"/>
              </w:rPr>
            </w:pPr>
            <w:r>
              <w:rPr>
                <w:rFonts w:hint="default" w:ascii="Times New Roman" w:hAnsi="Times New Roman" w:cs="Times New Roman"/>
                <w:spacing w:val="-11"/>
                <w:szCs w:val="21"/>
              </w:rPr>
              <w:t>201</w:t>
            </w:r>
            <w:r>
              <w:rPr>
                <w:rFonts w:hint="eastAsia" w:ascii="Times New Roman" w:hAnsi="Times New Roman" w:cs="Times New Roman"/>
                <w:spacing w:val="-11"/>
                <w:szCs w:val="21"/>
                <w:lang w:val="en-US" w:eastAsia="zh-CN"/>
              </w:rPr>
              <w:t>8.12.21</w:t>
            </w:r>
          </w:p>
        </w:tc>
        <w:tc>
          <w:tcPr>
            <w:tcW w:w="944"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第</w:t>
            </w:r>
            <w:r>
              <w:rPr>
                <w:rFonts w:hint="eastAsia" w:ascii="Times New Roman" w:hAnsi="Times New Roman" w:cs="Times New Roman"/>
                <w:szCs w:val="21"/>
                <w:lang w:val="en-US" w:eastAsia="zh-CN"/>
              </w:rPr>
              <w:t>1</w:t>
            </w:r>
            <w:r>
              <w:rPr>
                <w:rFonts w:hint="default" w:ascii="Times New Roman" w:hAnsi="Times New Roman" w:cs="Times New Roman"/>
                <w:szCs w:val="21"/>
              </w:rPr>
              <w:t>次</w:t>
            </w:r>
          </w:p>
        </w:tc>
        <w:tc>
          <w:tcPr>
            <w:tcW w:w="945" w:type="dxa"/>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7.12</w:t>
            </w:r>
          </w:p>
        </w:tc>
        <w:tc>
          <w:tcPr>
            <w:tcW w:w="747" w:type="dxa"/>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84</w:t>
            </w:r>
          </w:p>
        </w:tc>
        <w:tc>
          <w:tcPr>
            <w:tcW w:w="648" w:type="dxa"/>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 xml:space="preserve">11.3 </w:t>
            </w:r>
          </w:p>
        </w:tc>
        <w:tc>
          <w:tcPr>
            <w:tcW w:w="846" w:type="dxa"/>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17.5</w:t>
            </w:r>
          </w:p>
        </w:tc>
        <w:tc>
          <w:tcPr>
            <w:tcW w:w="747" w:type="dxa"/>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47</w:t>
            </w:r>
          </w:p>
        </w:tc>
        <w:tc>
          <w:tcPr>
            <w:tcW w:w="747"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0.46</w:t>
            </w:r>
          </w:p>
        </w:tc>
        <w:tc>
          <w:tcPr>
            <w:tcW w:w="747"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1.13</w:t>
            </w:r>
          </w:p>
        </w:tc>
        <w:tc>
          <w:tcPr>
            <w:tcW w:w="751" w:type="dxa"/>
            <w:gridSpan w:val="3"/>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i w:val="0"/>
                <w:color w:val="000000"/>
                <w:kern w:val="0"/>
                <w:sz w:val="21"/>
                <w:szCs w:val="21"/>
                <w:u w:val="none"/>
                <w:lang w:val="en-US" w:eastAsia="zh-CN" w:bidi="ar"/>
              </w:rPr>
              <w:t>1700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425" w:hRule="atLeast"/>
          <w:jc w:val="center"/>
        </w:trPr>
        <w:tc>
          <w:tcPr>
            <w:tcW w:w="720" w:type="dxa"/>
            <w:vMerge w:val="continue"/>
            <w:vAlign w:val="center"/>
          </w:tcPr>
          <w:p>
            <w:pPr>
              <w:pStyle w:val="26"/>
              <w:snapToGrid w:val="0"/>
              <w:spacing w:line="240" w:lineRule="exact"/>
              <w:rPr>
                <w:rFonts w:hint="default" w:ascii="Times New Roman" w:hAnsi="Times New Roman" w:cs="Times New Roman"/>
                <w:color w:val="000000"/>
              </w:rPr>
            </w:pPr>
          </w:p>
        </w:tc>
        <w:tc>
          <w:tcPr>
            <w:tcW w:w="690" w:type="dxa"/>
            <w:vMerge w:val="continue"/>
            <w:vAlign w:val="center"/>
          </w:tcPr>
          <w:p>
            <w:pPr>
              <w:adjustRightInd w:val="0"/>
              <w:snapToGrid w:val="0"/>
              <w:spacing w:line="260" w:lineRule="exact"/>
              <w:jc w:val="center"/>
              <w:rPr>
                <w:rFonts w:hint="default" w:ascii="Times New Roman" w:hAnsi="Times New Roman" w:cs="Times New Roman"/>
                <w:szCs w:val="21"/>
              </w:rPr>
            </w:pPr>
          </w:p>
        </w:tc>
        <w:tc>
          <w:tcPr>
            <w:tcW w:w="944"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第</w:t>
            </w:r>
            <w:r>
              <w:rPr>
                <w:rFonts w:hint="eastAsia" w:ascii="Times New Roman" w:hAnsi="Times New Roman" w:cs="Times New Roman"/>
                <w:szCs w:val="21"/>
                <w:lang w:val="en-US" w:eastAsia="zh-CN"/>
              </w:rPr>
              <w:t>2</w:t>
            </w:r>
            <w:r>
              <w:rPr>
                <w:rFonts w:hint="default" w:ascii="Times New Roman" w:hAnsi="Times New Roman" w:cs="Times New Roman"/>
                <w:szCs w:val="21"/>
              </w:rPr>
              <w:t>次</w:t>
            </w:r>
          </w:p>
        </w:tc>
        <w:tc>
          <w:tcPr>
            <w:tcW w:w="945" w:type="dxa"/>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7.08</w:t>
            </w:r>
          </w:p>
        </w:tc>
        <w:tc>
          <w:tcPr>
            <w:tcW w:w="747" w:type="dxa"/>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87</w:t>
            </w:r>
          </w:p>
        </w:tc>
        <w:tc>
          <w:tcPr>
            <w:tcW w:w="648" w:type="dxa"/>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 xml:space="preserve">12.1 </w:t>
            </w:r>
          </w:p>
        </w:tc>
        <w:tc>
          <w:tcPr>
            <w:tcW w:w="846" w:type="dxa"/>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color w:val="000000"/>
                <w:kern w:val="0"/>
                <w:sz w:val="22"/>
                <w:szCs w:val="22"/>
                <w:u w:val="none"/>
                <w:lang w:val="en-US" w:eastAsia="zh-CN" w:bidi="ar"/>
              </w:rPr>
              <w:t>18.2</w:t>
            </w:r>
          </w:p>
        </w:tc>
        <w:tc>
          <w:tcPr>
            <w:tcW w:w="747" w:type="dxa"/>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42</w:t>
            </w:r>
          </w:p>
        </w:tc>
        <w:tc>
          <w:tcPr>
            <w:tcW w:w="747"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0.48</w:t>
            </w:r>
          </w:p>
        </w:tc>
        <w:tc>
          <w:tcPr>
            <w:tcW w:w="747"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1.25</w:t>
            </w:r>
          </w:p>
        </w:tc>
        <w:tc>
          <w:tcPr>
            <w:tcW w:w="751" w:type="dxa"/>
            <w:gridSpan w:val="3"/>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1300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425" w:hRule="atLeast"/>
          <w:jc w:val="center"/>
        </w:trPr>
        <w:tc>
          <w:tcPr>
            <w:tcW w:w="720" w:type="dxa"/>
            <w:vMerge w:val="continue"/>
            <w:vAlign w:val="center"/>
          </w:tcPr>
          <w:p>
            <w:pPr>
              <w:pStyle w:val="26"/>
              <w:snapToGrid w:val="0"/>
              <w:spacing w:line="240" w:lineRule="exact"/>
              <w:rPr>
                <w:rFonts w:hint="default" w:ascii="Times New Roman" w:hAnsi="Times New Roman" w:cs="Times New Roman"/>
                <w:color w:val="000000"/>
              </w:rPr>
            </w:pPr>
          </w:p>
        </w:tc>
        <w:tc>
          <w:tcPr>
            <w:tcW w:w="690" w:type="dxa"/>
            <w:vMerge w:val="continue"/>
            <w:vAlign w:val="center"/>
          </w:tcPr>
          <w:p>
            <w:pPr>
              <w:adjustRightInd w:val="0"/>
              <w:snapToGrid w:val="0"/>
              <w:spacing w:line="260" w:lineRule="exact"/>
              <w:jc w:val="center"/>
              <w:rPr>
                <w:rFonts w:hint="default" w:ascii="Times New Roman" w:hAnsi="Times New Roman" w:cs="Times New Roman"/>
                <w:szCs w:val="21"/>
              </w:rPr>
            </w:pPr>
          </w:p>
        </w:tc>
        <w:tc>
          <w:tcPr>
            <w:tcW w:w="944"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第</w:t>
            </w:r>
            <w:r>
              <w:rPr>
                <w:rFonts w:hint="eastAsia" w:ascii="Times New Roman" w:hAnsi="Times New Roman" w:cs="Times New Roman"/>
                <w:szCs w:val="21"/>
                <w:lang w:val="en-US" w:eastAsia="zh-CN"/>
              </w:rPr>
              <w:t>3</w:t>
            </w:r>
            <w:r>
              <w:rPr>
                <w:rFonts w:hint="default" w:ascii="Times New Roman" w:hAnsi="Times New Roman" w:cs="Times New Roman"/>
                <w:szCs w:val="21"/>
              </w:rPr>
              <w:t>次</w:t>
            </w:r>
          </w:p>
        </w:tc>
        <w:tc>
          <w:tcPr>
            <w:tcW w:w="945" w:type="dxa"/>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7.15</w:t>
            </w:r>
          </w:p>
        </w:tc>
        <w:tc>
          <w:tcPr>
            <w:tcW w:w="747" w:type="dxa"/>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79</w:t>
            </w:r>
          </w:p>
        </w:tc>
        <w:tc>
          <w:tcPr>
            <w:tcW w:w="648" w:type="dxa"/>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 xml:space="preserve">10.8 </w:t>
            </w:r>
          </w:p>
        </w:tc>
        <w:tc>
          <w:tcPr>
            <w:tcW w:w="846" w:type="dxa"/>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17.7</w:t>
            </w:r>
          </w:p>
        </w:tc>
        <w:tc>
          <w:tcPr>
            <w:tcW w:w="747" w:type="dxa"/>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44</w:t>
            </w:r>
          </w:p>
        </w:tc>
        <w:tc>
          <w:tcPr>
            <w:tcW w:w="747"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0.47</w:t>
            </w:r>
          </w:p>
        </w:tc>
        <w:tc>
          <w:tcPr>
            <w:tcW w:w="747"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1.11</w:t>
            </w:r>
          </w:p>
        </w:tc>
        <w:tc>
          <w:tcPr>
            <w:tcW w:w="751" w:type="dxa"/>
            <w:gridSpan w:val="3"/>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1400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720" w:type="dxa"/>
            <w:vMerge w:val="continue"/>
            <w:vAlign w:val="center"/>
          </w:tcPr>
          <w:p>
            <w:pPr>
              <w:pStyle w:val="26"/>
              <w:snapToGrid w:val="0"/>
              <w:spacing w:line="240" w:lineRule="exact"/>
              <w:rPr>
                <w:rFonts w:hint="default" w:ascii="Times New Roman" w:hAnsi="Times New Roman" w:cs="Times New Roman"/>
                <w:color w:val="000000"/>
              </w:rPr>
            </w:pPr>
          </w:p>
        </w:tc>
        <w:tc>
          <w:tcPr>
            <w:tcW w:w="1634" w:type="dxa"/>
            <w:gridSpan w:val="2"/>
            <w:vAlign w:val="center"/>
          </w:tcPr>
          <w:p>
            <w:pPr>
              <w:adjustRightInd w:val="0"/>
              <w:snapToGrid w:val="0"/>
              <w:spacing w:line="240" w:lineRule="exact"/>
              <w:jc w:val="center"/>
              <w:rPr>
                <w:rFonts w:hint="default" w:ascii="Times New Roman" w:hAnsi="Times New Roman" w:cs="Times New Roman"/>
                <w:color w:val="000099"/>
                <w:szCs w:val="21"/>
              </w:rPr>
            </w:pPr>
            <w:r>
              <w:rPr>
                <w:rFonts w:hint="default" w:ascii="Times New Roman" w:hAnsi="Times New Roman" w:cs="Times New Roman"/>
                <w:szCs w:val="21"/>
              </w:rPr>
              <w:t>日均值</w:t>
            </w:r>
            <w:r>
              <w:rPr>
                <w:rFonts w:hint="eastAsia" w:ascii="Times New Roman" w:hAnsi="Times New Roman" w:cs="Times New Roman"/>
                <w:szCs w:val="21"/>
                <w:lang w:eastAsia="zh-CN"/>
              </w:rPr>
              <w:t>或</w:t>
            </w:r>
            <w:r>
              <w:rPr>
                <w:rFonts w:hint="default" w:ascii="Times New Roman" w:hAnsi="Times New Roman" w:cs="Times New Roman"/>
                <w:szCs w:val="21"/>
              </w:rPr>
              <w:t>范围</w:t>
            </w:r>
          </w:p>
        </w:tc>
        <w:tc>
          <w:tcPr>
            <w:tcW w:w="945" w:type="dxa"/>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 w:val="18"/>
                <w:szCs w:val="18"/>
                <w:lang w:val="en-US" w:eastAsia="zh-CN"/>
              </w:rPr>
              <w:t>7.08~7.15</w:t>
            </w:r>
          </w:p>
        </w:tc>
        <w:tc>
          <w:tcPr>
            <w:tcW w:w="747" w:type="dxa"/>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83</w:t>
            </w:r>
          </w:p>
        </w:tc>
        <w:tc>
          <w:tcPr>
            <w:tcW w:w="648" w:type="dxa"/>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11.4</w:t>
            </w:r>
          </w:p>
        </w:tc>
        <w:tc>
          <w:tcPr>
            <w:tcW w:w="846" w:type="dxa"/>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17.8</w:t>
            </w:r>
          </w:p>
        </w:tc>
        <w:tc>
          <w:tcPr>
            <w:tcW w:w="747" w:type="dxa"/>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44 </w:t>
            </w:r>
          </w:p>
        </w:tc>
        <w:tc>
          <w:tcPr>
            <w:tcW w:w="747" w:type="dxa"/>
            <w:tcBorders>
              <w:left w:val="single" w:color="auto" w:sz="4" w:space="0"/>
            </w:tcBorders>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0.47</w:t>
            </w:r>
          </w:p>
        </w:tc>
        <w:tc>
          <w:tcPr>
            <w:tcW w:w="747" w:type="dxa"/>
            <w:tcBorders>
              <w:left w:val="single" w:color="auto" w:sz="4" w:space="0"/>
            </w:tcBorders>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1.16</w:t>
            </w:r>
          </w:p>
        </w:tc>
        <w:tc>
          <w:tcPr>
            <w:tcW w:w="752" w:type="dxa"/>
            <w:gridSpan w:val="4"/>
            <w:tcBorders>
              <w:left w:val="single" w:color="auto" w:sz="4" w:space="0"/>
            </w:tcBorders>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425" w:hRule="atLeast"/>
          <w:jc w:val="center"/>
        </w:trPr>
        <w:tc>
          <w:tcPr>
            <w:tcW w:w="720" w:type="dxa"/>
            <w:vMerge w:val="continue"/>
            <w:vAlign w:val="center"/>
          </w:tcPr>
          <w:p>
            <w:pPr>
              <w:snapToGrid w:val="0"/>
              <w:spacing w:line="300" w:lineRule="exact"/>
              <w:jc w:val="center"/>
              <w:rPr>
                <w:rFonts w:hint="default" w:ascii="Times New Roman" w:hAnsi="Times New Roman" w:cs="Times New Roman"/>
                <w:color w:val="000000"/>
              </w:rPr>
            </w:pPr>
          </w:p>
        </w:tc>
        <w:tc>
          <w:tcPr>
            <w:tcW w:w="690" w:type="dxa"/>
            <w:vMerge w:val="restart"/>
            <w:vAlign w:val="center"/>
          </w:tcPr>
          <w:p>
            <w:pPr>
              <w:adjustRightInd w:val="0"/>
              <w:snapToGrid w:val="0"/>
              <w:spacing w:line="260" w:lineRule="exact"/>
              <w:jc w:val="center"/>
              <w:rPr>
                <w:rFonts w:hint="eastAsia" w:ascii="Times New Roman" w:hAnsi="Times New Roman" w:cs="Times New Roman"/>
                <w:spacing w:val="-11"/>
                <w:szCs w:val="21"/>
                <w:lang w:val="en-US" w:eastAsia="zh-CN"/>
              </w:rPr>
            </w:pPr>
            <w:r>
              <w:rPr>
                <w:rFonts w:hint="eastAsia" w:ascii="Times New Roman" w:hAnsi="Times New Roman" w:cs="Times New Roman"/>
                <w:spacing w:val="-11"/>
                <w:szCs w:val="21"/>
                <w:lang w:val="en-US" w:eastAsia="zh-CN"/>
              </w:rPr>
              <w:t>2018.12.22</w:t>
            </w:r>
          </w:p>
        </w:tc>
        <w:tc>
          <w:tcPr>
            <w:tcW w:w="944"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第</w:t>
            </w:r>
            <w:r>
              <w:rPr>
                <w:rFonts w:hint="eastAsia" w:ascii="Times New Roman" w:hAnsi="Times New Roman" w:cs="Times New Roman"/>
                <w:szCs w:val="21"/>
                <w:lang w:val="en-US" w:eastAsia="zh-CN"/>
              </w:rPr>
              <w:t>1</w:t>
            </w:r>
            <w:r>
              <w:rPr>
                <w:rFonts w:hint="default" w:ascii="Times New Roman" w:hAnsi="Times New Roman" w:cs="Times New Roman"/>
                <w:szCs w:val="21"/>
              </w:rPr>
              <w:t>次</w:t>
            </w:r>
          </w:p>
        </w:tc>
        <w:tc>
          <w:tcPr>
            <w:tcW w:w="945"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7.13</w:t>
            </w:r>
          </w:p>
        </w:tc>
        <w:tc>
          <w:tcPr>
            <w:tcW w:w="747"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85</w:t>
            </w:r>
          </w:p>
        </w:tc>
        <w:tc>
          <w:tcPr>
            <w:tcW w:w="648"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 xml:space="preserve">10.2 </w:t>
            </w:r>
          </w:p>
        </w:tc>
        <w:tc>
          <w:tcPr>
            <w:tcW w:w="846"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18.1</w:t>
            </w:r>
          </w:p>
        </w:tc>
        <w:tc>
          <w:tcPr>
            <w:tcW w:w="747" w:type="dxa"/>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46</w:t>
            </w:r>
          </w:p>
        </w:tc>
        <w:tc>
          <w:tcPr>
            <w:tcW w:w="747" w:type="dxa"/>
            <w:tcBorders>
              <w:lef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0.46</w:t>
            </w:r>
          </w:p>
        </w:tc>
        <w:tc>
          <w:tcPr>
            <w:tcW w:w="747" w:type="dxa"/>
            <w:tcBorders>
              <w:lef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1.22</w:t>
            </w:r>
          </w:p>
        </w:tc>
        <w:tc>
          <w:tcPr>
            <w:tcW w:w="751" w:type="dxa"/>
            <w:gridSpan w:val="3"/>
            <w:tcBorders>
              <w:lef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i w:val="0"/>
                <w:color w:val="000000"/>
                <w:kern w:val="0"/>
                <w:sz w:val="21"/>
                <w:szCs w:val="21"/>
                <w:u w:val="none"/>
                <w:lang w:val="en-US" w:eastAsia="zh-CN" w:bidi="ar"/>
              </w:rPr>
              <w:t>1800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425" w:hRule="atLeast"/>
          <w:jc w:val="center"/>
        </w:trPr>
        <w:tc>
          <w:tcPr>
            <w:tcW w:w="720" w:type="dxa"/>
            <w:vMerge w:val="continue"/>
            <w:vAlign w:val="center"/>
          </w:tcPr>
          <w:p>
            <w:pPr>
              <w:pStyle w:val="26"/>
              <w:snapToGrid w:val="0"/>
              <w:spacing w:line="240" w:lineRule="exact"/>
              <w:rPr>
                <w:rFonts w:hint="default" w:ascii="Times New Roman" w:hAnsi="Times New Roman" w:cs="Times New Roman"/>
              </w:rPr>
            </w:pPr>
          </w:p>
        </w:tc>
        <w:tc>
          <w:tcPr>
            <w:tcW w:w="690" w:type="dxa"/>
            <w:vMerge w:val="continue"/>
            <w:vAlign w:val="center"/>
          </w:tcPr>
          <w:p>
            <w:pPr>
              <w:adjustRightInd w:val="0"/>
              <w:snapToGrid w:val="0"/>
              <w:spacing w:line="260" w:lineRule="exact"/>
              <w:jc w:val="center"/>
              <w:rPr>
                <w:rFonts w:hint="default" w:ascii="Times New Roman" w:hAnsi="Times New Roman" w:cs="Times New Roman"/>
                <w:szCs w:val="21"/>
              </w:rPr>
            </w:pPr>
          </w:p>
        </w:tc>
        <w:tc>
          <w:tcPr>
            <w:tcW w:w="944"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第</w:t>
            </w:r>
            <w:r>
              <w:rPr>
                <w:rFonts w:hint="eastAsia" w:ascii="Times New Roman" w:hAnsi="Times New Roman" w:cs="Times New Roman"/>
                <w:szCs w:val="21"/>
                <w:lang w:val="en-US" w:eastAsia="zh-CN"/>
              </w:rPr>
              <w:t>2</w:t>
            </w:r>
            <w:r>
              <w:rPr>
                <w:rFonts w:hint="default" w:ascii="Times New Roman" w:hAnsi="Times New Roman" w:cs="Times New Roman"/>
                <w:szCs w:val="21"/>
              </w:rPr>
              <w:t>次</w:t>
            </w:r>
          </w:p>
        </w:tc>
        <w:tc>
          <w:tcPr>
            <w:tcW w:w="945"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7.06</w:t>
            </w:r>
          </w:p>
        </w:tc>
        <w:tc>
          <w:tcPr>
            <w:tcW w:w="747"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81</w:t>
            </w:r>
          </w:p>
        </w:tc>
        <w:tc>
          <w:tcPr>
            <w:tcW w:w="648"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 xml:space="preserve">11.4 </w:t>
            </w:r>
          </w:p>
        </w:tc>
        <w:tc>
          <w:tcPr>
            <w:tcW w:w="846"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17.6</w:t>
            </w:r>
          </w:p>
        </w:tc>
        <w:tc>
          <w:tcPr>
            <w:tcW w:w="747" w:type="dxa"/>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43</w:t>
            </w:r>
          </w:p>
        </w:tc>
        <w:tc>
          <w:tcPr>
            <w:tcW w:w="747" w:type="dxa"/>
            <w:tcBorders>
              <w:lef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0.48</w:t>
            </w:r>
          </w:p>
        </w:tc>
        <w:tc>
          <w:tcPr>
            <w:tcW w:w="747" w:type="dxa"/>
            <w:tcBorders>
              <w:lef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1.27</w:t>
            </w:r>
          </w:p>
        </w:tc>
        <w:tc>
          <w:tcPr>
            <w:tcW w:w="751" w:type="dxa"/>
            <w:gridSpan w:val="3"/>
            <w:tcBorders>
              <w:lef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425" w:hRule="atLeast"/>
          <w:jc w:val="center"/>
        </w:trPr>
        <w:tc>
          <w:tcPr>
            <w:tcW w:w="720" w:type="dxa"/>
            <w:vMerge w:val="continue"/>
            <w:vAlign w:val="center"/>
          </w:tcPr>
          <w:p>
            <w:pPr>
              <w:pStyle w:val="26"/>
              <w:snapToGrid w:val="0"/>
              <w:spacing w:line="240" w:lineRule="exact"/>
              <w:rPr>
                <w:rFonts w:hint="default" w:ascii="Times New Roman" w:hAnsi="Times New Roman" w:cs="Times New Roman"/>
              </w:rPr>
            </w:pPr>
          </w:p>
        </w:tc>
        <w:tc>
          <w:tcPr>
            <w:tcW w:w="690" w:type="dxa"/>
            <w:vMerge w:val="continue"/>
            <w:vAlign w:val="center"/>
          </w:tcPr>
          <w:p>
            <w:pPr>
              <w:adjustRightInd w:val="0"/>
              <w:snapToGrid w:val="0"/>
              <w:spacing w:line="260" w:lineRule="exact"/>
              <w:jc w:val="center"/>
              <w:rPr>
                <w:rFonts w:hint="default" w:ascii="Times New Roman" w:hAnsi="Times New Roman" w:cs="Times New Roman"/>
                <w:szCs w:val="21"/>
              </w:rPr>
            </w:pPr>
          </w:p>
        </w:tc>
        <w:tc>
          <w:tcPr>
            <w:tcW w:w="944"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第</w:t>
            </w:r>
            <w:r>
              <w:rPr>
                <w:rFonts w:hint="eastAsia" w:ascii="Times New Roman" w:hAnsi="Times New Roman" w:cs="Times New Roman"/>
                <w:szCs w:val="21"/>
                <w:lang w:val="en-US" w:eastAsia="zh-CN"/>
              </w:rPr>
              <w:t>3</w:t>
            </w:r>
            <w:r>
              <w:rPr>
                <w:rFonts w:hint="default" w:ascii="Times New Roman" w:hAnsi="Times New Roman" w:cs="Times New Roman"/>
                <w:szCs w:val="21"/>
              </w:rPr>
              <w:t>次</w:t>
            </w:r>
          </w:p>
        </w:tc>
        <w:tc>
          <w:tcPr>
            <w:tcW w:w="945"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7.11</w:t>
            </w:r>
          </w:p>
        </w:tc>
        <w:tc>
          <w:tcPr>
            <w:tcW w:w="747"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77</w:t>
            </w:r>
          </w:p>
        </w:tc>
        <w:tc>
          <w:tcPr>
            <w:tcW w:w="648"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 xml:space="preserve">10.7 </w:t>
            </w:r>
          </w:p>
        </w:tc>
        <w:tc>
          <w:tcPr>
            <w:tcW w:w="846"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17.3</w:t>
            </w:r>
          </w:p>
        </w:tc>
        <w:tc>
          <w:tcPr>
            <w:tcW w:w="747" w:type="dxa"/>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50</w:t>
            </w:r>
          </w:p>
        </w:tc>
        <w:tc>
          <w:tcPr>
            <w:tcW w:w="747" w:type="dxa"/>
            <w:tcBorders>
              <w:lef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2"/>
                <w:szCs w:val="22"/>
                <w:u w:val="none"/>
                <w:lang w:val="en-US" w:eastAsia="zh-CN" w:bidi="ar"/>
              </w:rPr>
              <w:t>0.49</w:t>
            </w:r>
          </w:p>
        </w:tc>
        <w:tc>
          <w:tcPr>
            <w:tcW w:w="747" w:type="dxa"/>
            <w:tcBorders>
              <w:lef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1.34</w:t>
            </w:r>
          </w:p>
        </w:tc>
        <w:tc>
          <w:tcPr>
            <w:tcW w:w="751" w:type="dxa"/>
            <w:gridSpan w:val="3"/>
            <w:tcBorders>
              <w:lef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720" w:type="dxa"/>
            <w:vMerge w:val="continue"/>
            <w:vAlign w:val="center"/>
          </w:tcPr>
          <w:p>
            <w:pPr>
              <w:pStyle w:val="26"/>
              <w:snapToGrid w:val="0"/>
              <w:spacing w:line="240" w:lineRule="exact"/>
              <w:rPr>
                <w:rFonts w:hint="default" w:ascii="Times New Roman" w:hAnsi="Times New Roman" w:cs="Times New Roman"/>
              </w:rPr>
            </w:pPr>
          </w:p>
        </w:tc>
        <w:tc>
          <w:tcPr>
            <w:tcW w:w="1634" w:type="dxa"/>
            <w:gridSpan w:val="2"/>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日均值</w:t>
            </w:r>
            <w:r>
              <w:rPr>
                <w:rFonts w:hint="eastAsia" w:ascii="Times New Roman" w:hAnsi="Times New Roman" w:cs="Times New Roman"/>
                <w:szCs w:val="21"/>
                <w:lang w:eastAsia="zh-CN"/>
              </w:rPr>
              <w:t>或</w:t>
            </w:r>
            <w:r>
              <w:rPr>
                <w:rFonts w:hint="default" w:ascii="Times New Roman" w:hAnsi="Times New Roman" w:cs="Times New Roman"/>
                <w:szCs w:val="21"/>
              </w:rPr>
              <w:t>范围</w:t>
            </w:r>
          </w:p>
        </w:tc>
        <w:tc>
          <w:tcPr>
            <w:tcW w:w="945" w:type="dxa"/>
            <w:vAlign w:val="center"/>
          </w:tcPr>
          <w:p>
            <w:pPr>
              <w:widowControl/>
              <w:jc w:val="center"/>
              <w:textAlignment w:val="bottom"/>
              <w:rPr>
                <w:rFonts w:hint="eastAsia" w:ascii="Times New Roman" w:hAnsi="Times New Roman" w:eastAsia="宋体" w:cs="Times New Roman"/>
                <w:szCs w:val="21"/>
                <w:lang w:val="en-US" w:eastAsia="zh-CN"/>
              </w:rPr>
            </w:pPr>
            <w:r>
              <w:rPr>
                <w:rFonts w:hint="eastAsia" w:ascii="Times New Roman" w:hAnsi="Times New Roman" w:eastAsia="宋体" w:cs="Times New Roman"/>
                <w:sz w:val="18"/>
                <w:szCs w:val="18"/>
                <w:lang w:val="en-US" w:eastAsia="zh-CN"/>
              </w:rPr>
              <w:t>7.06~7.13</w:t>
            </w:r>
          </w:p>
        </w:tc>
        <w:tc>
          <w:tcPr>
            <w:tcW w:w="747" w:type="dxa"/>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81</w:t>
            </w:r>
          </w:p>
        </w:tc>
        <w:tc>
          <w:tcPr>
            <w:tcW w:w="648" w:type="dxa"/>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10.8</w:t>
            </w:r>
          </w:p>
        </w:tc>
        <w:tc>
          <w:tcPr>
            <w:tcW w:w="846" w:type="dxa"/>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17.7</w:t>
            </w:r>
          </w:p>
        </w:tc>
        <w:tc>
          <w:tcPr>
            <w:tcW w:w="747" w:type="dxa"/>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46 </w:t>
            </w:r>
          </w:p>
        </w:tc>
        <w:tc>
          <w:tcPr>
            <w:tcW w:w="747" w:type="dxa"/>
            <w:tcBorders>
              <w:left w:val="single" w:color="auto" w:sz="4" w:space="0"/>
            </w:tcBorders>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0.48</w:t>
            </w:r>
          </w:p>
        </w:tc>
        <w:tc>
          <w:tcPr>
            <w:tcW w:w="747" w:type="dxa"/>
            <w:tcBorders>
              <w:left w:val="single" w:color="auto" w:sz="4" w:space="0"/>
            </w:tcBorders>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1.28</w:t>
            </w:r>
          </w:p>
        </w:tc>
        <w:tc>
          <w:tcPr>
            <w:tcW w:w="752" w:type="dxa"/>
            <w:gridSpan w:val="4"/>
            <w:tcBorders>
              <w:left w:val="single" w:color="auto" w:sz="4" w:space="0"/>
            </w:tcBorders>
            <w:vAlign w:val="center"/>
          </w:tcPr>
          <w:p>
            <w:pPr>
              <w:widowControl/>
              <w:jc w:val="center"/>
              <w:textAlignment w:val="bottom"/>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2354" w:type="dxa"/>
            <w:gridSpan w:val="3"/>
            <w:vAlign w:val="center"/>
          </w:tcPr>
          <w:p>
            <w:pPr>
              <w:tabs>
                <w:tab w:val="left" w:pos="3987"/>
              </w:tabs>
              <w:spacing w:line="240" w:lineRule="exact"/>
              <w:jc w:val="center"/>
              <w:rPr>
                <w:rFonts w:hint="default" w:ascii="Times New Roman" w:hAnsi="Times New Roman" w:cs="Times New Roman"/>
                <w:szCs w:val="21"/>
              </w:rPr>
            </w:pPr>
            <w:r>
              <w:rPr>
                <w:rFonts w:hint="default" w:ascii="Times New Roman" w:hAnsi="Times New Roman" w:cs="Times New Roman"/>
                <w:szCs w:val="21"/>
              </w:rPr>
              <w:t>标准限值</w:t>
            </w:r>
          </w:p>
        </w:tc>
        <w:tc>
          <w:tcPr>
            <w:tcW w:w="945" w:type="dxa"/>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6~9</w:t>
            </w:r>
          </w:p>
        </w:tc>
        <w:tc>
          <w:tcPr>
            <w:tcW w:w="747" w:type="dxa"/>
            <w:vAlign w:val="center"/>
          </w:tcPr>
          <w:p>
            <w:pPr>
              <w:spacing w:line="240" w:lineRule="exact"/>
              <w:jc w:val="center"/>
              <w:rPr>
                <w:rFonts w:hint="default" w:ascii="Times New Roman" w:hAnsi="Times New Roman" w:cs="Times New Roman"/>
                <w:szCs w:val="21"/>
                <w:lang w:val="en-US"/>
              </w:rPr>
            </w:pPr>
            <w:r>
              <w:rPr>
                <w:rFonts w:hint="eastAsia" w:ascii="Times New Roman" w:hAnsi="Times New Roman" w:cs="Times New Roman"/>
                <w:szCs w:val="21"/>
                <w:lang w:val="en-US" w:eastAsia="zh-CN"/>
              </w:rPr>
              <w:t>250</w:t>
            </w:r>
          </w:p>
        </w:tc>
        <w:tc>
          <w:tcPr>
            <w:tcW w:w="648" w:type="dxa"/>
            <w:vAlign w:val="center"/>
          </w:tcPr>
          <w:p>
            <w:pPr>
              <w:spacing w:line="240" w:lineRule="exact"/>
              <w:jc w:val="center"/>
              <w:rPr>
                <w:rFonts w:hint="eastAsia" w:ascii="Times New Roman" w:hAnsi="Times New Roman" w:eastAsia="宋体" w:cs="Times New Roman"/>
                <w:szCs w:val="21"/>
                <w:lang w:eastAsia="zh-CN"/>
              </w:rPr>
            </w:pPr>
            <w:r>
              <w:rPr>
                <w:rFonts w:hint="eastAsia" w:ascii="Times New Roman" w:hAnsi="Times New Roman" w:cs="Times New Roman"/>
                <w:szCs w:val="21"/>
                <w:lang w:val="en-US" w:eastAsia="zh-CN"/>
              </w:rPr>
              <w:t>—</w:t>
            </w:r>
          </w:p>
        </w:tc>
        <w:tc>
          <w:tcPr>
            <w:tcW w:w="846" w:type="dxa"/>
            <w:vAlign w:val="center"/>
          </w:tcPr>
          <w:p>
            <w:pPr>
              <w:spacing w:line="240" w:lineRule="exact"/>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100</w:t>
            </w:r>
          </w:p>
        </w:tc>
        <w:tc>
          <w:tcPr>
            <w:tcW w:w="747" w:type="dxa"/>
            <w:tcBorders>
              <w:right w:val="single" w:color="auto" w:sz="4" w:space="0"/>
            </w:tcBorders>
            <w:vAlign w:val="center"/>
          </w:tcPr>
          <w:p>
            <w:pPr>
              <w:spacing w:line="24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747" w:type="dxa"/>
            <w:tcBorders>
              <w:left w:val="single" w:color="auto" w:sz="4" w:space="0"/>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20</w:t>
            </w:r>
          </w:p>
        </w:tc>
        <w:tc>
          <w:tcPr>
            <w:tcW w:w="747" w:type="dxa"/>
            <w:tcBorders>
              <w:left w:val="single" w:color="auto" w:sz="4" w:space="0"/>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c>
          <w:tcPr>
            <w:tcW w:w="752" w:type="dxa"/>
            <w:gridSpan w:val="4"/>
            <w:tcBorders>
              <w:left w:val="single" w:color="auto" w:sz="4" w:space="0"/>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5000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gridAfter w:val="3"/>
          <w:wAfter w:w="4" w:type="dxa"/>
          <w:trHeight w:val="397" w:hRule="atLeast"/>
          <w:jc w:val="center"/>
        </w:trPr>
        <w:tc>
          <w:tcPr>
            <w:tcW w:w="8529" w:type="dxa"/>
            <w:gridSpan w:val="11"/>
            <w:vAlign w:val="center"/>
          </w:tcPr>
          <w:p>
            <w:pPr>
              <w:ind w:left="-107" w:leftChars="-51"/>
              <w:jc w:val="left"/>
              <w:rPr>
                <w:rFonts w:hint="default"/>
              </w:rPr>
            </w:pPr>
            <w:r>
              <w:rPr>
                <w:rFonts w:hint="default"/>
              </w:rPr>
              <w:t>备注：</w:t>
            </w:r>
            <w:r>
              <w:rPr>
                <w:rFonts w:hint="eastAsia"/>
                <w:lang w:val="en-US" w:eastAsia="zh-CN"/>
              </w:rPr>
              <w:t>1、</w:t>
            </w:r>
            <w:r>
              <w:rPr>
                <w:rFonts w:hint="default"/>
              </w:rPr>
              <w:t>标准</w:t>
            </w:r>
            <w:r>
              <w:rPr>
                <w:rFonts w:hint="eastAsia"/>
                <w:lang w:val="en-US" w:eastAsia="zh-CN"/>
              </w:rPr>
              <w:t>参照</w:t>
            </w:r>
            <w:r>
              <w:rPr>
                <w:rFonts w:ascii="Times New Roman" w:hAnsi="Times New Roman"/>
              </w:rPr>
              <w:t>《</w:t>
            </w:r>
            <w:r>
              <w:rPr>
                <w:rFonts w:hint="eastAsia" w:ascii="Times New Roman" w:hAnsi="Times New Roman"/>
                <w:lang w:val="en-US" w:eastAsia="zh-CN"/>
              </w:rPr>
              <w:t>医疗机构水污染物排放标准</w:t>
            </w:r>
            <w:r>
              <w:rPr>
                <w:rFonts w:ascii="Times New Roman" w:hAnsi="Times New Roman"/>
              </w:rPr>
              <w:t>》（GB</w:t>
            </w:r>
            <w:r>
              <w:rPr>
                <w:rFonts w:hint="eastAsia" w:ascii="Times New Roman" w:hAnsi="Times New Roman"/>
                <w:lang w:val="en-US" w:eastAsia="zh-CN"/>
              </w:rPr>
              <w:t>18466</w:t>
            </w:r>
            <w:r>
              <w:rPr>
                <w:rFonts w:ascii="Times New Roman" w:hAnsi="Times New Roman"/>
              </w:rPr>
              <w:t>-</w:t>
            </w:r>
            <w:r>
              <w:rPr>
                <w:rFonts w:hint="eastAsia" w:ascii="Times New Roman" w:hAnsi="Times New Roman"/>
                <w:lang w:val="en-US" w:eastAsia="zh-CN"/>
              </w:rPr>
              <w:t>2005</w:t>
            </w:r>
            <w:r>
              <w:rPr>
                <w:rFonts w:ascii="Times New Roman" w:hAnsi="Times New Roman"/>
              </w:rPr>
              <w:t>）表</w:t>
            </w:r>
            <w:r>
              <w:rPr>
                <w:rFonts w:hint="eastAsia" w:ascii="Times New Roman" w:hAnsi="Times New Roman"/>
                <w:lang w:val="en-US" w:eastAsia="zh-CN"/>
              </w:rPr>
              <w:t>2</w:t>
            </w:r>
            <w:r>
              <w:rPr>
                <w:rFonts w:hint="default"/>
              </w:rPr>
              <w:t>中</w:t>
            </w:r>
            <w:r>
              <w:rPr>
                <w:rFonts w:hint="eastAsia"/>
                <w:lang w:val="en-US" w:eastAsia="zh-CN"/>
              </w:rPr>
              <w:t>预处理</w:t>
            </w:r>
            <w:r>
              <w:rPr>
                <w:rFonts w:hint="default"/>
              </w:rPr>
              <w:t>标准</w:t>
            </w:r>
            <w:r>
              <w:rPr>
                <w:rFonts w:hint="eastAsia"/>
                <w:lang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rPr>
        <w:t>由上表可知，验收监测期间，</w:t>
      </w:r>
      <w:r>
        <w:rPr>
          <w:rFonts w:hint="eastAsia" w:ascii="Times New Roman" w:hAnsi="Times New Roman" w:cs="Times New Roman"/>
          <w:sz w:val="24"/>
          <w:szCs w:val="24"/>
          <w:lang w:val="en-US" w:eastAsia="zh-CN"/>
        </w:rPr>
        <w:t>废水经处理后各项目监测指标均符合</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医疗机构水污染物排放标准</w:t>
      </w:r>
      <w:r>
        <w:rPr>
          <w:rFonts w:hint="default" w:ascii="Times New Roman" w:hAnsi="Times New Roman" w:cs="Times New Roman"/>
          <w:sz w:val="24"/>
          <w:szCs w:val="24"/>
        </w:rPr>
        <w:t>》 （GB</w:t>
      </w:r>
      <w:r>
        <w:rPr>
          <w:rFonts w:hint="eastAsia" w:ascii="Times New Roman" w:hAnsi="Times New Roman" w:cs="Times New Roman"/>
          <w:sz w:val="24"/>
          <w:szCs w:val="24"/>
          <w:lang w:val="en-US" w:eastAsia="zh-CN"/>
        </w:rPr>
        <w:t>18466</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2005</w:t>
      </w:r>
      <w:r>
        <w:rPr>
          <w:rFonts w:hint="default" w:ascii="Times New Roman" w:hAnsi="Times New Roman" w:cs="Times New Roman"/>
          <w:sz w:val="24"/>
          <w:szCs w:val="24"/>
        </w:rPr>
        <w:t>）表</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中</w:t>
      </w:r>
      <w:r>
        <w:rPr>
          <w:rFonts w:hint="eastAsia" w:ascii="Times New Roman" w:hAnsi="Times New Roman" w:cs="Times New Roman"/>
          <w:sz w:val="24"/>
          <w:szCs w:val="24"/>
          <w:lang w:val="en-US" w:eastAsia="zh-CN"/>
        </w:rPr>
        <w:t>预处理</w:t>
      </w:r>
      <w:r>
        <w:rPr>
          <w:rFonts w:hint="default" w:ascii="Times New Roman" w:hAnsi="Times New Roman" w:cs="Times New Roman"/>
          <w:sz w:val="24"/>
          <w:szCs w:val="24"/>
        </w:rPr>
        <w:t>标准</w:t>
      </w:r>
      <w:r>
        <w:rPr>
          <w:rFonts w:hint="eastAsia" w:ascii="Times New Roman" w:hAnsi="Times New Roman" w:cs="Times New Roman"/>
          <w:sz w:val="24"/>
          <w:szCs w:val="24"/>
          <w:lang w:val="en-US" w:eastAsia="zh-CN"/>
        </w:rPr>
        <w:t>。</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54" w:name="_Toc26425"/>
      <w:r>
        <w:rPr>
          <w:rFonts w:hint="default" w:ascii="Times New Roman" w:hAnsi="Times New Roman" w:cs="Times New Roman"/>
        </w:rPr>
        <w:t>9.2.2  废气</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Times New Roman" w:hAnsi="Times New Roman" w:eastAsia="宋体" w:cs="Times New Roman"/>
          <w:color w:val="000000"/>
          <w:sz w:val="24"/>
          <w:szCs w:val="24"/>
          <w:lang w:val="en-US" w:eastAsia="zh-CN" w:bidi="ar-SA"/>
        </w:rPr>
      </w:pPr>
      <w:r>
        <w:rPr>
          <w:rFonts w:hint="eastAsia" w:ascii="宋体" w:hAnsi="宋体" w:eastAsia="宋体" w:cs="宋体"/>
          <w:sz w:val="24"/>
          <w:szCs w:val="24"/>
          <w:lang w:val="en-US" w:eastAsia="zh-CN"/>
        </w:rPr>
        <w:t xml:space="preserve">      </w:t>
      </w:r>
      <w:r>
        <w:rPr>
          <w:rFonts w:hint="eastAsia" w:ascii="Times New Roman" w:hAnsi="Times New Roman" w:eastAsia="宋体" w:cs="Times New Roman"/>
          <w:sz w:val="24"/>
          <w:szCs w:val="24"/>
          <w:lang w:eastAsia="zh-CN"/>
        </w:rPr>
        <w:t>项目无组织废气监测时间为</w:t>
      </w:r>
      <w:r>
        <w:rPr>
          <w:rFonts w:hint="default" w:ascii="Times New Roman" w:hAnsi="Times New Roman" w:eastAsia="宋体" w:cs="Times New Roman"/>
          <w:color w:val="000000"/>
          <w:sz w:val="24"/>
          <w:szCs w:val="24"/>
          <w:lang w:val="en-US" w:eastAsia="zh-CN" w:bidi="ar-SA"/>
        </w:rPr>
        <w:t>2018年</w:t>
      </w:r>
      <w:r>
        <w:rPr>
          <w:rFonts w:hint="eastAsia" w:ascii="Times New Roman" w:hAnsi="Times New Roman" w:eastAsia="宋体" w:cs="Times New Roman"/>
          <w:color w:val="000000"/>
          <w:sz w:val="24"/>
          <w:szCs w:val="24"/>
          <w:lang w:val="en-US" w:eastAsia="zh-CN" w:bidi="ar-SA"/>
        </w:rPr>
        <w:t>12</w:t>
      </w:r>
      <w:r>
        <w:rPr>
          <w:rFonts w:hint="default" w:ascii="Times New Roman" w:hAnsi="Times New Roman" w:eastAsia="宋体" w:cs="Times New Roman"/>
          <w:color w:val="000000"/>
          <w:sz w:val="24"/>
          <w:szCs w:val="24"/>
          <w:lang w:val="en-US" w:eastAsia="zh-CN" w:bidi="ar-SA"/>
        </w:rPr>
        <w:t>月</w:t>
      </w:r>
      <w:r>
        <w:rPr>
          <w:rFonts w:hint="eastAsia" w:ascii="Times New Roman" w:hAnsi="Times New Roman" w:eastAsia="宋体" w:cs="Times New Roman"/>
          <w:color w:val="000000"/>
          <w:sz w:val="24"/>
          <w:szCs w:val="24"/>
          <w:lang w:val="en-US" w:eastAsia="zh-CN" w:bidi="ar-SA"/>
        </w:rPr>
        <w:t>21</w:t>
      </w:r>
      <w:r>
        <w:rPr>
          <w:rFonts w:hint="default" w:ascii="Times New Roman" w:hAnsi="Times New Roman" w:eastAsia="宋体" w:cs="Times New Roman"/>
          <w:color w:val="000000"/>
          <w:sz w:val="24"/>
          <w:szCs w:val="24"/>
          <w:lang w:val="en-US" w:eastAsia="zh-CN" w:bidi="ar-SA"/>
        </w:rPr>
        <w:t>日至2018年</w:t>
      </w:r>
      <w:r>
        <w:rPr>
          <w:rFonts w:hint="eastAsia" w:ascii="Times New Roman" w:hAnsi="Times New Roman" w:eastAsia="宋体" w:cs="Times New Roman"/>
          <w:color w:val="000000"/>
          <w:sz w:val="24"/>
          <w:szCs w:val="24"/>
          <w:lang w:val="en-US" w:eastAsia="zh-CN" w:bidi="ar-SA"/>
        </w:rPr>
        <w:t>12</w:t>
      </w:r>
      <w:r>
        <w:rPr>
          <w:rFonts w:hint="default" w:ascii="Times New Roman" w:hAnsi="Times New Roman" w:eastAsia="宋体" w:cs="Times New Roman"/>
          <w:color w:val="000000"/>
          <w:sz w:val="24"/>
          <w:szCs w:val="24"/>
          <w:lang w:val="en-US" w:eastAsia="zh-CN" w:bidi="ar-SA"/>
        </w:rPr>
        <w:t>月</w:t>
      </w:r>
      <w:r>
        <w:rPr>
          <w:rFonts w:hint="eastAsia" w:ascii="Times New Roman" w:hAnsi="Times New Roman" w:eastAsia="宋体" w:cs="Times New Roman"/>
          <w:color w:val="000000"/>
          <w:sz w:val="24"/>
          <w:szCs w:val="24"/>
          <w:lang w:val="en-US" w:eastAsia="zh-CN" w:bidi="ar-SA"/>
        </w:rPr>
        <w:t>22</w:t>
      </w:r>
      <w:r>
        <w:rPr>
          <w:rFonts w:hint="default" w:ascii="Times New Roman" w:hAnsi="Times New Roman" w:eastAsia="宋体" w:cs="Times New Roman"/>
          <w:color w:val="000000"/>
          <w:sz w:val="24"/>
          <w:szCs w:val="24"/>
          <w:lang w:val="en-US" w:eastAsia="zh-CN" w:bidi="ar-SA"/>
        </w:rPr>
        <w:t>日</w:t>
      </w:r>
      <w:r>
        <w:rPr>
          <w:rFonts w:hint="eastAsia" w:ascii="Times New Roman" w:hAnsi="Times New Roman" w:eastAsia="宋体" w:cs="Times New Roman"/>
          <w:color w:val="000000"/>
          <w:sz w:val="24"/>
          <w:szCs w:val="24"/>
          <w:lang w:val="en-US" w:eastAsia="zh-CN" w:bidi="ar-SA"/>
        </w:rPr>
        <w:t>，监测期间气象参数一览表见表9-3：</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rPr>
          <w:rFonts w:hint="eastAsia" w:ascii="Times New Roman" w:hAnsi="Times New Roman" w:eastAsia="宋体" w:cs="Times New Roman"/>
          <w:b/>
          <w:color w:val="000000"/>
          <w:sz w:val="24"/>
          <w:szCs w:val="24"/>
          <w:lang w:val="en-US" w:eastAsia="zh-CN"/>
        </w:rPr>
      </w:pPr>
      <w:bookmarkStart w:id="55" w:name="_Toc20216"/>
      <w:bookmarkStart w:id="56" w:name="_Toc18542"/>
      <w:r>
        <w:rPr>
          <w:rFonts w:hint="eastAsia" w:ascii="Times New Roman" w:hAnsi="Times New Roman" w:eastAsia="宋体" w:cs="Times New Roman"/>
          <w:b/>
          <w:color w:val="000000"/>
          <w:sz w:val="24"/>
          <w:szCs w:val="24"/>
          <w:lang w:val="en-US" w:eastAsia="zh-CN"/>
        </w:rPr>
        <w:t>表9-3 监测期间气象参数一览表</w:t>
      </w:r>
      <w:bookmarkEnd w:id="55"/>
      <w:bookmarkEnd w:id="56"/>
    </w:p>
    <w:tbl>
      <w:tblPr>
        <w:tblStyle w:val="16"/>
        <w:tblW w:w="828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357"/>
        <w:gridCol w:w="1357"/>
        <w:gridCol w:w="1548"/>
        <w:gridCol w:w="1236"/>
        <w:gridCol w:w="14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56"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时间</w:t>
            </w: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点位</w:t>
            </w: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气温℃</w:t>
            </w:r>
          </w:p>
        </w:tc>
        <w:tc>
          <w:tcPr>
            <w:tcW w:w="1548"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气压（kpa）</w:t>
            </w:r>
          </w:p>
        </w:tc>
        <w:tc>
          <w:tcPr>
            <w:tcW w:w="1236"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风向</w:t>
            </w:r>
          </w:p>
        </w:tc>
        <w:tc>
          <w:tcPr>
            <w:tcW w:w="1426"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风速（m/s）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restart"/>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2018.12.21</w:t>
            </w: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G1</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12.7</w:t>
            </w:r>
          </w:p>
        </w:tc>
        <w:tc>
          <w:tcPr>
            <w:tcW w:w="154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100.6</w:t>
            </w:r>
          </w:p>
        </w:tc>
        <w:tc>
          <w:tcPr>
            <w:tcW w:w="123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北风</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continue"/>
            <w:tcBorders>
              <w:tl2br w:val="nil"/>
              <w:tr2bl w:val="nil"/>
            </w:tcBorders>
            <w:vAlign w:val="center"/>
          </w:tcPr>
          <w:p>
            <w:pPr>
              <w:pStyle w:val="24"/>
              <w:widowControl w:val="0"/>
              <w:adjustRightInd/>
              <w:snapToGrid/>
              <w:spacing w:after="0" w:afterLines="-2147483648"/>
            </w:pP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G2</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12.9</w:t>
            </w:r>
          </w:p>
        </w:tc>
        <w:tc>
          <w:tcPr>
            <w:tcW w:w="154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100.6</w:t>
            </w:r>
          </w:p>
        </w:tc>
        <w:tc>
          <w:tcPr>
            <w:tcW w:w="123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北风</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continue"/>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G3</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13.2</w:t>
            </w:r>
          </w:p>
        </w:tc>
        <w:tc>
          <w:tcPr>
            <w:tcW w:w="154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100.6</w:t>
            </w:r>
          </w:p>
        </w:tc>
        <w:tc>
          <w:tcPr>
            <w:tcW w:w="123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北风</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restart"/>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2018.12.22</w:t>
            </w: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G1</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10.5</w:t>
            </w:r>
          </w:p>
        </w:tc>
        <w:tc>
          <w:tcPr>
            <w:tcW w:w="154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100.7</w:t>
            </w:r>
          </w:p>
        </w:tc>
        <w:tc>
          <w:tcPr>
            <w:tcW w:w="123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北风</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continue"/>
            <w:tcBorders>
              <w:tl2br w:val="nil"/>
              <w:tr2bl w:val="nil"/>
            </w:tcBorders>
            <w:vAlign w:val="center"/>
          </w:tcPr>
          <w:p>
            <w:pPr>
              <w:pStyle w:val="24"/>
              <w:widowControl w:val="0"/>
              <w:adjustRightInd/>
              <w:snapToGrid/>
              <w:spacing w:after="0" w:afterLines="-2147483648"/>
            </w:pP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G2</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10.3</w:t>
            </w:r>
          </w:p>
        </w:tc>
        <w:tc>
          <w:tcPr>
            <w:tcW w:w="154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100.7</w:t>
            </w:r>
          </w:p>
        </w:tc>
        <w:tc>
          <w:tcPr>
            <w:tcW w:w="123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北风</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continue"/>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G3</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10.6</w:t>
            </w:r>
          </w:p>
        </w:tc>
        <w:tc>
          <w:tcPr>
            <w:tcW w:w="154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100.7</w:t>
            </w:r>
          </w:p>
        </w:tc>
        <w:tc>
          <w:tcPr>
            <w:tcW w:w="123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北风</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0.5</w:t>
            </w:r>
          </w:p>
        </w:tc>
      </w:tr>
    </w:tbl>
    <w:p>
      <w:pPr>
        <w:keepNext w:val="0"/>
        <w:keepLines w:val="0"/>
        <w:pageBreakBefore w:val="0"/>
        <w:widowControl/>
        <w:kinsoku/>
        <w:wordWrap/>
        <w:overflowPunct/>
        <w:topLinePunct w:val="0"/>
        <w:autoSpaceDE/>
        <w:autoSpaceDN/>
        <w:bidi w:val="0"/>
        <w:adjustRightInd w:val="0"/>
        <w:snapToGrid w:val="0"/>
        <w:spacing w:before="300" w:beforeLines="100" w:beforeAutospacing="0" w:after="0" w:afterLines="0" w:afterAutospacing="0" w:line="360" w:lineRule="auto"/>
        <w:ind w:firstLine="480" w:firstLineChars="200"/>
        <w:textAlignment w:val="auto"/>
        <w:outlineLvl w:val="9"/>
        <w:rPr>
          <w:rFonts w:hint="eastAsia" w:ascii="Times New Roman" w:hAnsi="Times New Roman" w:eastAsia="宋体" w:cs="Times New Roman"/>
          <w:sz w:val="24"/>
          <w:szCs w:val="24"/>
          <w:lang w:val="en-US" w:eastAsia="zh-CN"/>
        </w:rPr>
      </w:pPr>
      <w:bookmarkStart w:id="57" w:name="_Toc3859"/>
      <w:bookmarkStart w:id="58" w:name="_Toc14852"/>
      <w:r>
        <w:rPr>
          <w:rFonts w:hint="eastAsia" w:ascii="Times New Roman" w:hAnsi="Times New Roman" w:eastAsia="宋体" w:cs="Times New Roman"/>
          <w:sz w:val="24"/>
          <w:szCs w:val="24"/>
          <w:lang w:val="en-US" w:eastAsia="zh-CN"/>
        </w:rPr>
        <w:t>项目无组织废气监测结果一览表见表</w:t>
      </w:r>
      <w:r>
        <w:rPr>
          <w:rFonts w:hint="default"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lang w:val="en-US" w:eastAsia="zh-CN"/>
        </w:rPr>
        <w:t>4：</w:t>
      </w:r>
      <w:bookmarkEnd w:id="57"/>
      <w:bookmarkEnd w:id="58"/>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ind w:firstLine="482" w:firstLineChars="200"/>
        <w:jc w:val="center"/>
        <w:textAlignment w:val="auto"/>
        <w:rPr>
          <w:rFonts w:hint="default" w:ascii="Times New Roman" w:hAnsi="Times New Roman" w:eastAsia="宋体" w:cs="Times New Roman"/>
          <w:b/>
          <w:bCs/>
          <w:color w:val="auto"/>
          <w:sz w:val="24"/>
          <w:szCs w:val="24"/>
          <w:lang w:val="en-US" w:eastAsia="zh-CN"/>
        </w:rPr>
      </w:pPr>
      <w:bookmarkStart w:id="59" w:name="_Toc3024"/>
      <w:bookmarkStart w:id="60" w:name="_Toc3838"/>
      <w:r>
        <w:rPr>
          <w:rFonts w:hint="default" w:ascii="Times New Roman" w:hAnsi="Times New Roman" w:eastAsia="宋体" w:cs="Times New Roman"/>
          <w:b/>
          <w:bCs/>
          <w:color w:val="auto"/>
          <w:sz w:val="24"/>
          <w:szCs w:val="24"/>
          <w:lang w:val="en-US" w:eastAsia="zh-CN"/>
        </w:rPr>
        <w:t>表9-</w:t>
      </w:r>
      <w:r>
        <w:rPr>
          <w:rFonts w:hint="eastAsia" w:ascii="Times New Roman" w:hAnsi="Times New Roman" w:eastAsia="宋体" w:cs="Times New Roman"/>
          <w:b/>
          <w:bCs/>
          <w:color w:val="auto"/>
          <w:sz w:val="24"/>
          <w:szCs w:val="24"/>
          <w:lang w:val="en-US" w:eastAsia="zh-CN"/>
        </w:rPr>
        <w:t xml:space="preserve">4 </w:t>
      </w:r>
      <w:r>
        <w:rPr>
          <w:rFonts w:hint="default" w:ascii="Times New Roman" w:hAnsi="Times New Roman" w:eastAsia="宋体" w:cs="Times New Roman"/>
          <w:b/>
          <w:bCs/>
          <w:color w:val="auto"/>
          <w:sz w:val="24"/>
          <w:szCs w:val="24"/>
          <w:lang w:eastAsia="zh-CN"/>
        </w:rPr>
        <w:t>无</w:t>
      </w:r>
      <w:r>
        <w:rPr>
          <w:rFonts w:hint="default" w:ascii="Times New Roman" w:hAnsi="Times New Roman" w:eastAsia="宋体" w:cs="Times New Roman"/>
          <w:b/>
          <w:bCs/>
          <w:color w:val="auto"/>
          <w:sz w:val="24"/>
          <w:szCs w:val="24"/>
        </w:rPr>
        <w:t>组织废气监测结果一览表</w:t>
      </w:r>
      <w:bookmarkEnd w:id="59"/>
      <w:bookmarkEnd w:id="60"/>
      <w:r>
        <w:rPr>
          <w:rFonts w:hint="default" w:ascii="Times New Roman" w:hAnsi="Times New Roman" w:eastAsia="宋体" w:cs="Times New Roman"/>
          <w:b/>
          <w:bCs/>
          <w:color w:val="auto"/>
          <w:sz w:val="24"/>
          <w:szCs w:val="24"/>
        </w:rPr>
        <w:t xml:space="preserve">  </w:t>
      </w:r>
    </w:p>
    <w:tbl>
      <w:tblPr>
        <w:tblStyle w:val="16"/>
        <w:tblW w:w="770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294"/>
        <w:gridCol w:w="1005"/>
        <w:gridCol w:w="1485"/>
        <w:gridCol w:w="1485"/>
        <w:gridCol w:w="14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49" w:type="dxa"/>
            <w:gridSpan w:val="3"/>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点位</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/日期/频次</w:t>
            </w:r>
          </w:p>
        </w:tc>
        <w:tc>
          <w:tcPr>
            <w:tcW w:w="4455"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240" w:lineRule="exact"/>
              <w:jc w:val="center"/>
              <w:textAlignment w:val="auto"/>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监测结果(</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mc:AlternateContent>
                <mc:Choice Requires="wps">
                  <w:drawing>
                    <wp:anchor distT="0" distB="0" distL="114300" distR="114300" simplePos="0" relativeHeight="251810816" behindDoc="0" locked="0" layoutInCell="1" allowOverlap="1">
                      <wp:simplePos x="0" y="0"/>
                      <wp:positionH relativeFrom="column">
                        <wp:posOffset>-342900</wp:posOffset>
                      </wp:positionH>
                      <wp:positionV relativeFrom="paragraph">
                        <wp:posOffset>327660</wp:posOffset>
                      </wp:positionV>
                      <wp:extent cx="635"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pt;margin-top:25.8pt;height:0pt;width:0.05pt;z-index:251810816;mso-width-relative:page;mso-height-relative:page;" filled="f" stroked="t" coordsize="21600,21600" o:gfxdata="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XvJzNgAAAAJAQAADwAAAAAAAAAB&#10;ACAAAAAiAAAAZHJzL2Rvd25yZXYueG1sUEsBAhQAFAAAAAgAh07iQNQeqKXXAQAAkgMAAA4AAAAA&#10;AAAAAQAgAAAAJwEAAGRycy9lMm9Eb2MueG1sUEsFBgAAAAAGAAYAWQEAAHAFAAAAAA==&#10;">
                      <v:fill on="f" focussize="0,0"/>
                      <v:stroke color="#000000" joinstyle="round"/>
                      <v:imagedata o:title=""/>
                      <o:lock v:ext="edit" aspectratio="f"/>
                    </v:line>
                  </w:pict>
                </mc:Fallback>
              </mc:AlternateConten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单位：浓度mg/m</w:t>
            </w:r>
            <w:r>
              <w:rPr>
                <w:rFonts w:hint="default" w:ascii="Times New Roman" w:hAnsi="Times New Roman" w:eastAsia="宋体" w:cs="Times New Roman"/>
                <w:color w:val="000000" w:themeColor="text1"/>
                <w:kern w:val="2"/>
                <w:sz w:val="21"/>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，臭气浓度无量纲</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49" w:type="dxa"/>
            <w:gridSpan w:val="3"/>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4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氨气</w:t>
            </w:r>
          </w:p>
        </w:tc>
        <w:tc>
          <w:tcPr>
            <w:tcW w:w="14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硫化氢</w:t>
            </w:r>
          </w:p>
        </w:tc>
        <w:tc>
          <w:tcPr>
            <w:tcW w:w="14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臭气浓度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G1</w:t>
            </w:r>
          </w:p>
        </w:tc>
        <w:tc>
          <w:tcPr>
            <w:tcW w:w="1294"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21</w:t>
            </w:r>
          </w:p>
        </w:tc>
        <w:tc>
          <w:tcPr>
            <w:tcW w:w="100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第一次</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0.13</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0.003</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次</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0.15</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0.003</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第三次</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0.12</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0.002</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22</w:t>
            </w: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一</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次</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0.09</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0.004</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次</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0.11</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0.002</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第三次</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0.08</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0.003</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G2</w:t>
            </w:r>
          </w:p>
        </w:tc>
        <w:tc>
          <w:tcPr>
            <w:tcW w:w="1294"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21</w:t>
            </w:r>
          </w:p>
        </w:tc>
        <w:tc>
          <w:tcPr>
            <w:tcW w:w="100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第一次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0.16</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0.006</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0.19</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0.004</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第三次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0.14</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0.005</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22</w:t>
            </w: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一</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0.13</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0.007</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0.15</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0.005</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第三次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0.12</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0.006</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G3</w:t>
            </w:r>
          </w:p>
        </w:tc>
        <w:tc>
          <w:tcPr>
            <w:tcW w:w="1294"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21</w:t>
            </w:r>
          </w:p>
        </w:tc>
        <w:tc>
          <w:tcPr>
            <w:tcW w:w="100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第一次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0.15</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0.005</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0.17</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0.006</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第三次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0.19</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0.005</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22</w:t>
            </w: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一</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0.11</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0.006</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0.14</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0.005</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294"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005" w:type="dxa"/>
            <w:tcBorders>
              <w:tl2br w:val="nil"/>
              <w:tr2bl w:val="nil"/>
            </w:tcBorders>
            <w:vAlign w:val="center"/>
          </w:tcPr>
          <w:p>
            <w:pPr>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第三次</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0.13</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0.007</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w:t>
            </w:r>
            <w:r>
              <w:rPr>
                <w:rStyle w:val="32"/>
                <w:rFonts w:eastAsia="宋体"/>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3249" w:type="dxa"/>
            <w:gridSpan w:val="3"/>
            <w:tcBorders>
              <w:tl2br w:val="nil"/>
              <w:tr2bl w:val="nil"/>
            </w:tcBorders>
            <w:vAlign w:val="center"/>
          </w:tcPr>
          <w:p>
            <w:pPr>
              <w:widowControl w:val="0"/>
              <w:adjustRightInd/>
              <w:snapToGrid/>
              <w:spacing w:after="0" w:afterLines="-2147483648"/>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标准限值</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eastAsia="宋体" w:cs="Times New Roman"/>
                <w:b/>
                <w:bCs/>
                <w:i w:val="0"/>
                <w:color w:val="000000"/>
                <w:kern w:val="0"/>
                <w:sz w:val="21"/>
                <w:szCs w:val="21"/>
                <w:u w:val="none"/>
                <w:lang w:val="en-US" w:eastAsia="zh-CN" w:bidi="ar"/>
              </w:rPr>
              <w:t>1.0</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eastAsia="宋体" w:cs="Times New Roman"/>
                <w:b/>
                <w:bCs/>
                <w:i w:val="0"/>
                <w:color w:val="000000"/>
                <w:kern w:val="0"/>
                <w:sz w:val="21"/>
                <w:szCs w:val="21"/>
                <w:u w:val="none"/>
                <w:lang w:val="en-US" w:eastAsia="zh-CN" w:bidi="ar"/>
              </w:rPr>
              <w:t>0.03</w:t>
            </w:r>
          </w:p>
        </w:tc>
        <w:tc>
          <w:tcPr>
            <w:tcW w:w="148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eastAsia="宋体" w:cs="Times New Roman"/>
                <w:b/>
                <w:bCs/>
                <w:i w:val="0"/>
                <w:color w:val="000000"/>
                <w:kern w:val="0"/>
                <w:sz w:val="21"/>
                <w:szCs w:val="21"/>
                <w:u w:val="none"/>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3249" w:type="dxa"/>
            <w:gridSpan w:val="3"/>
            <w:tcBorders>
              <w:tl2br w:val="nil"/>
              <w:tr2bl w:val="nil"/>
            </w:tcBorders>
            <w:vAlign w:val="center"/>
          </w:tcPr>
          <w:p>
            <w:pPr>
              <w:widowControl w:val="0"/>
              <w:adjustRightInd/>
              <w:snapToGrid/>
              <w:spacing w:after="0" w:afterLines="-2147483648"/>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是否达标</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eastAsia="宋体" w:cs="Times New Roman"/>
                <w:b/>
                <w:bCs/>
                <w:i w:val="0"/>
                <w:color w:val="000000"/>
                <w:kern w:val="0"/>
                <w:sz w:val="21"/>
                <w:szCs w:val="21"/>
                <w:u w:val="none"/>
                <w:lang w:val="en-US" w:eastAsia="zh-CN" w:bidi="ar"/>
              </w:rPr>
              <w:t>达标</w:t>
            </w:r>
          </w:p>
        </w:tc>
        <w:tc>
          <w:tcPr>
            <w:tcW w:w="14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eastAsia="宋体" w:cs="Times New Roman"/>
                <w:b/>
                <w:bCs/>
                <w:i w:val="0"/>
                <w:color w:val="000000"/>
                <w:kern w:val="0"/>
                <w:sz w:val="21"/>
                <w:szCs w:val="21"/>
                <w:u w:val="none"/>
                <w:lang w:val="en-US" w:eastAsia="zh-CN" w:bidi="ar"/>
              </w:rPr>
              <w:t>达标</w:t>
            </w:r>
          </w:p>
        </w:tc>
        <w:tc>
          <w:tcPr>
            <w:tcW w:w="1485"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u w:val="none"/>
                <w:lang w:val="en-US" w:eastAsia="zh-CN" w:bidi="ar"/>
              </w:rPr>
            </w:pPr>
            <w:r>
              <w:rPr>
                <w:rFonts w:hint="eastAsia" w:ascii="Times New Roman" w:hAnsi="Times New Roman" w:eastAsia="宋体" w:cs="Times New Roman"/>
                <w:b/>
                <w:bCs/>
                <w:i w:val="0"/>
                <w:color w:val="000000"/>
                <w:kern w:val="0"/>
                <w:sz w:val="21"/>
                <w:szCs w:val="21"/>
                <w:u w:val="none"/>
                <w:lang w:val="en-US" w:eastAsia="zh-CN"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704" w:type="dxa"/>
            <w:gridSpan w:val="6"/>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备注</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cs="Times New Roman"/>
                <w:szCs w:val="21"/>
                <w:lang w:val="en-US" w:eastAsia="zh-CN"/>
              </w:rPr>
              <w:t>参照</w:t>
            </w:r>
            <w:r>
              <w:rPr>
                <w:rFonts w:ascii="Times New Roman" w:hAnsi="Times New Roman"/>
              </w:rPr>
              <w:t>《</w:t>
            </w:r>
            <w:r>
              <w:rPr>
                <w:rFonts w:hint="eastAsia" w:ascii="Times New Roman" w:hAnsi="Times New Roman"/>
                <w:lang w:val="en-US" w:eastAsia="zh-CN"/>
              </w:rPr>
              <w:t>医疗机构水污染物排放标准</w:t>
            </w:r>
            <w:r>
              <w:rPr>
                <w:rFonts w:ascii="Times New Roman" w:hAnsi="Times New Roman"/>
              </w:rPr>
              <w:t>》（GB</w:t>
            </w:r>
            <w:r>
              <w:rPr>
                <w:rFonts w:hint="eastAsia" w:ascii="Times New Roman" w:hAnsi="Times New Roman"/>
                <w:lang w:val="en-US" w:eastAsia="zh-CN"/>
              </w:rPr>
              <w:t>18466</w:t>
            </w:r>
            <w:r>
              <w:rPr>
                <w:rFonts w:ascii="Times New Roman" w:hAnsi="Times New Roman"/>
              </w:rPr>
              <w:t>-</w:t>
            </w:r>
            <w:r>
              <w:rPr>
                <w:rFonts w:hint="eastAsia" w:ascii="Times New Roman" w:hAnsi="Times New Roman"/>
                <w:lang w:val="en-US" w:eastAsia="zh-CN"/>
              </w:rPr>
              <w:t>2005</w:t>
            </w:r>
            <w:r>
              <w:rPr>
                <w:rFonts w:ascii="Times New Roman" w:hAnsi="Times New Roman"/>
              </w:rPr>
              <w:t>）</w:t>
            </w:r>
            <w:r>
              <w:rPr>
                <w:rFonts w:hint="eastAsia" w:ascii="Times New Roman" w:hAnsi="Times New Roman"/>
                <w:szCs w:val="21"/>
                <w:lang w:val="en-US" w:eastAsia="zh-CN"/>
              </w:rPr>
              <w:t>表3中标准限值</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p>
        </w:tc>
      </w:tr>
    </w:tbl>
    <w:p>
      <w:pPr>
        <w:keepNext w:val="0"/>
        <w:keepLines w:val="0"/>
        <w:pageBreakBefore w:val="0"/>
        <w:widowControl/>
        <w:kinsoku/>
        <w:wordWrap/>
        <w:overflowPunct/>
        <w:topLinePunct w:val="0"/>
        <w:autoSpaceDE/>
        <w:autoSpaceDN/>
        <w:bidi w:val="0"/>
        <w:adjustRightInd w:val="0"/>
        <w:snapToGrid w:val="0"/>
        <w:spacing w:before="157" w:beforeLines="50" w:beforeAutospacing="0" w:after="0" w:afterLines="0" w:afterAutospacing="0" w:line="360" w:lineRule="auto"/>
        <w:ind w:firstLine="480" w:firstLineChars="200"/>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由表9-</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可知：验收监测期间，该项目无组织废气监测点位中：</w:t>
      </w:r>
      <w:r>
        <w:rPr>
          <w:rFonts w:hint="eastAsia" w:ascii="Times New Roman" w:hAnsi="Times New Roman" w:eastAsia="宋体" w:cs="Times New Roman"/>
          <w:sz w:val="24"/>
          <w:szCs w:val="24"/>
          <w:lang w:val="en-US" w:eastAsia="zh-CN"/>
        </w:rPr>
        <w:t>氨气</w:t>
      </w:r>
      <w:r>
        <w:rPr>
          <w:rFonts w:hint="eastAsia" w:ascii="Times New Roman" w:hAnsi="Times New Roman" w:eastAsia="宋体" w:cs="Times New Roman"/>
          <w:sz w:val="24"/>
          <w:szCs w:val="24"/>
          <w:lang w:eastAsia="zh-CN"/>
        </w:rPr>
        <w:t>最大浓度为</w:t>
      </w:r>
      <w:r>
        <w:rPr>
          <w:rFonts w:hint="eastAsia" w:ascii="Times New Roman" w:hAnsi="Times New Roman" w:eastAsia="宋体" w:cs="Times New Roman"/>
          <w:color w:val="auto"/>
          <w:sz w:val="24"/>
          <w:szCs w:val="24"/>
          <w:lang w:val="en-US" w:eastAsia="zh-CN"/>
        </w:rPr>
        <w:t>0.19</w:t>
      </w:r>
      <w:r>
        <w:rPr>
          <w:rFonts w:hint="eastAsia" w:ascii="Times New Roman" w:hAnsi="Times New Roman" w:eastAsia="宋体" w:cs="Times New Roman"/>
          <w:sz w:val="24"/>
          <w:szCs w:val="24"/>
          <w:lang w:eastAsia="zh-CN"/>
        </w:rPr>
        <w:t>mg/m</w:t>
      </w:r>
      <w:r>
        <w:rPr>
          <w:rFonts w:hint="eastAsia" w:ascii="Times New Roman" w:hAnsi="Times New Roman" w:eastAsia="宋体" w:cs="Times New Roman"/>
          <w:sz w:val="24"/>
          <w:szCs w:val="24"/>
          <w:vertAlign w:val="superscript"/>
          <w:lang w:eastAsia="zh-CN"/>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sz w:val="24"/>
          <w:szCs w:val="24"/>
          <w:vertAlign w:val="baseline"/>
          <w:lang w:val="en-US" w:eastAsia="zh-CN"/>
        </w:rPr>
        <w:t>硫化氢的最大浓度为</w:t>
      </w:r>
      <w:r>
        <w:rPr>
          <w:rFonts w:hint="eastAsia" w:ascii="Times New Roman" w:hAnsi="Times New Roman" w:eastAsia="宋体" w:cs="Times New Roman"/>
          <w:color w:val="auto"/>
          <w:sz w:val="24"/>
          <w:szCs w:val="24"/>
          <w:lang w:val="en-US" w:eastAsia="zh-CN"/>
        </w:rPr>
        <w:t>0.007</w:t>
      </w:r>
      <w:r>
        <w:rPr>
          <w:rFonts w:hint="eastAsia" w:ascii="Times New Roman" w:hAnsi="Times New Roman" w:eastAsia="宋体" w:cs="Times New Roman"/>
          <w:sz w:val="24"/>
          <w:szCs w:val="24"/>
          <w:lang w:eastAsia="zh-CN"/>
        </w:rPr>
        <w:t>mg/m</w:t>
      </w:r>
      <w:r>
        <w:rPr>
          <w:rFonts w:hint="eastAsia" w:ascii="Times New Roman" w:hAnsi="Times New Roman" w:eastAsia="宋体" w:cs="Times New Roman"/>
          <w:sz w:val="24"/>
          <w:szCs w:val="24"/>
          <w:vertAlign w:val="superscript"/>
          <w:lang w:eastAsia="zh-CN"/>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sz w:val="24"/>
          <w:szCs w:val="24"/>
          <w:vertAlign w:val="baseline"/>
          <w:lang w:val="en-US" w:eastAsia="zh-CN"/>
        </w:rPr>
        <w:t>臭气浓度均小于10，</w:t>
      </w:r>
      <w:r>
        <w:rPr>
          <w:rFonts w:hint="eastAsia" w:ascii="Times New Roman" w:hAnsi="Times New Roman" w:eastAsia="宋体" w:cs="Times New Roman"/>
          <w:sz w:val="24"/>
          <w:szCs w:val="24"/>
          <w:lang w:eastAsia="zh-CN"/>
        </w:rPr>
        <w:t>符合《</w:t>
      </w:r>
      <w:r>
        <w:rPr>
          <w:rFonts w:hint="eastAsia" w:ascii="Times New Roman" w:hAnsi="Times New Roman" w:eastAsia="宋体" w:cs="Times New Roman"/>
          <w:sz w:val="24"/>
          <w:szCs w:val="24"/>
          <w:lang w:val="en-US" w:eastAsia="zh-CN"/>
        </w:rPr>
        <w:t>医疗机构水污染物排放标准</w:t>
      </w:r>
      <w:r>
        <w:rPr>
          <w:rFonts w:hint="eastAsia" w:ascii="Times New Roman" w:hAnsi="Times New Roman" w:eastAsia="宋体" w:cs="Times New Roman"/>
          <w:sz w:val="24"/>
          <w:szCs w:val="24"/>
          <w:lang w:eastAsia="zh-CN"/>
        </w:rPr>
        <w:t>》（GB</w:t>
      </w:r>
      <w:r>
        <w:rPr>
          <w:rFonts w:hint="eastAsia" w:ascii="Times New Roman" w:hAnsi="Times New Roman" w:eastAsia="宋体" w:cs="Times New Roman"/>
          <w:sz w:val="24"/>
          <w:szCs w:val="24"/>
          <w:lang w:val="en-US" w:eastAsia="zh-CN"/>
        </w:rPr>
        <w:t>18466</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2005</w:t>
      </w:r>
      <w:r>
        <w:rPr>
          <w:rFonts w:hint="eastAsia" w:ascii="Times New Roman" w:hAnsi="Times New Roman" w:eastAsia="宋体" w:cs="Times New Roman"/>
          <w:sz w:val="24"/>
          <w:szCs w:val="24"/>
          <w:lang w:eastAsia="zh-CN"/>
        </w:rPr>
        <w:t>）表3中的标准限值。</w:t>
      </w:r>
    </w:p>
    <w:p>
      <w:pPr>
        <w:pStyle w:val="3"/>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61" w:name="_Toc18450"/>
      <w:r>
        <w:rPr>
          <w:rFonts w:hint="default" w:ascii="Times New Roman" w:hAnsi="Times New Roman" w:cs="Times New Roman"/>
        </w:rPr>
        <w:t>9.2.3 厂界噪声</w:t>
      </w:r>
      <w:bookmarkEnd w:id="6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bookmarkStart w:id="62" w:name="_Toc6579"/>
      <w:bookmarkStart w:id="63" w:name="_Toc15706"/>
      <w:r>
        <w:rPr>
          <w:rFonts w:hint="eastAsia" w:ascii="Times New Roman" w:hAnsi="Times New Roman" w:cs="Times New Roman"/>
          <w:sz w:val="24"/>
          <w:szCs w:val="24"/>
          <w:lang w:eastAsia="zh-CN"/>
        </w:rPr>
        <w:t>项目噪声监测结果见表</w:t>
      </w:r>
      <w:r>
        <w:rPr>
          <w:rFonts w:hint="default" w:ascii="Times New Roman" w:hAnsi="Times New Roman" w:cs="Times New Roman"/>
          <w:sz w:val="24"/>
          <w:szCs w:val="24"/>
          <w:lang w:val="en-US" w:eastAsia="zh-CN"/>
        </w:rPr>
        <w:t>9-</w:t>
      </w:r>
      <w:r>
        <w:rPr>
          <w:rFonts w:hint="eastAsia" w:ascii="Times New Roman" w:hAnsi="Times New Roman" w:cs="Times New Roman"/>
          <w:sz w:val="24"/>
          <w:szCs w:val="24"/>
          <w:lang w:val="en-US" w:eastAsia="zh-CN"/>
        </w:rPr>
        <w:t>5：</w:t>
      </w:r>
      <w:bookmarkEnd w:id="62"/>
      <w:bookmarkEnd w:id="63"/>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default" w:ascii="Times New Roman" w:hAnsi="Times New Roman" w:eastAsia="宋体" w:cs="Times New Roman"/>
          <w:b/>
          <w:color w:val="000000"/>
          <w:sz w:val="24"/>
          <w:szCs w:val="24"/>
          <w:lang w:val="zh-CN" w:eastAsia="zh-CN"/>
        </w:rPr>
      </w:pPr>
      <w:r>
        <w:rPr>
          <w:rFonts w:hint="default" w:ascii="Times New Roman" w:hAnsi="Times New Roman" w:eastAsia="宋体" w:cs="Times New Roman"/>
          <w:b/>
          <w:color w:val="000000"/>
          <w:sz w:val="24"/>
          <w:szCs w:val="24"/>
          <w:lang w:val="zh-CN" w:eastAsia="zh-CN"/>
        </w:rPr>
        <w:t>表</w:t>
      </w:r>
      <w:r>
        <w:rPr>
          <w:rFonts w:hint="eastAsia" w:ascii="Times New Roman" w:hAnsi="Times New Roman" w:eastAsia="宋体" w:cs="Times New Roman"/>
          <w:b/>
          <w:color w:val="000000"/>
          <w:sz w:val="24"/>
          <w:szCs w:val="24"/>
          <w:lang w:val="en-US" w:eastAsia="zh-CN"/>
        </w:rPr>
        <w:t>9</w:t>
      </w:r>
      <w:r>
        <w:rPr>
          <w:rFonts w:hint="default" w:ascii="Times New Roman" w:hAnsi="Times New Roman" w:eastAsia="宋体" w:cs="Times New Roman"/>
          <w:b/>
          <w:color w:val="000000"/>
          <w:sz w:val="24"/>
          <w:szCs w:val="24"/>
          <w:lang w:val="zh-CN" w:eastAsia="zh-CN"/>
        </w:rPr>
        <w:t>-</w:t>
      </w:r>
      <w:r>
        <w:rPr>
          <w:rFonts w:hint="eastAsia" w:ascii="Times New Roman" w:hAnsi="Times New Roman" w:eastAsia="宋体" w:cs="Times New Roman"/>
          <w:b/>
          <w:color w:val="000000"/>
          <w:sz w:val="24"/>
          <w:szCs w:val="24"/>
          <w:lang w:val="en-US" w:eastAsia="zh-CN"/>
        </w:rPr>
        <w:t>5</w:t>
      </w:r>
      <w:r>
        <w:rPr>
          <w:rFonts w:hint="default" w:ascii="Times New Roman" w:hAnsi="Times New Roman" w:eastAsia="宋体" w:cs="Times New Roman"/>
          <w:b/>
          <w:color w:val="000000"/>
          <w:sz w:val="24"/>
          <w:szCs w:val="24"/>
          <w:lang w:val="zh-CN" w:eastAsia="zh-CN"/>
        </w:rPr>
        <w:t xml:space="preserve"> 噪声监测结果    单位dB(A)</w:t>
      </w:r>
    </w:p>
    <w:tbl>
      <w:tblPr>
        <w:tblStyle w:val="16"/>
        <w:tblW w:w="830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065"/>
        <w:gridCol w:w="1140"/>
        <w:gridCol w:w="825"/>
        <w:gridCol w:w="825"/>
        <w:gridCol w:w="1540"/>
        <w:gridCol w:w="1541"/>
        <w:gridCol w:w="6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测点编号</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测点位置</w:t>
            </w:r>
          </w:p>
        </w:tc>
        <w:tc>
          <w:tcPr>
            <w:tcW w:w="11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监测时间</w:t>
            </w:r>
          </w:p>
        </w:tc>
        <w:tc>
          <w:tcPr>
            <w:tcW w:w="16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噪声测量结果Leq（A）</w:t>
            </w:r>
          </w:p>
        </w:tc>
        <w:tc>
          <w:tcPr>
            <w:tcW w:w="3081"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《工业企业厂界噪声排放标准》（GB12348-200</w:t>
            </w:r>
            <w:r>
              <w:rPr>
                <w:rFonts w:hint="eastAsia" w:ascii="Times New Roman" w:hAnsi="Times New Roman" w:eastAsia="宋体" w:cs="Times New Roman"/>
                <w:bCs/>
                <w:sz w:val="21"/>
                <w:szCs w:val="21"/>
                <w:lang w:val="en-US" w:eastAsia="zh-CN"/>
              </w:rPr>
              <w:t>8</w:t>
            </w:r>
            <w:r>
              <w:rPr>
                <w:rFonts w:hint="default" w:ascii="Times New Roman" w:hAnsi="Times New Roman" w:eastAsia="宋体" w:cs="Times New Roman"/>
                <w:bCs/>
                <w:sz w:val="21"/>
                <w:szCs w:val="21"/>
              </w:rPr>
              <w:t>）</w:t>
            </w:r>
            <w:r>
              <w:rPr>
                <w:rFonts w:hint="eastAsia" w:ascii="Times New Roman" w:hAnsi="Times New Roman" w:eastAsia="宋体" w:cs="Times New Roman"/>
                <w:bCs/>
                <w:sz w:val="21"/>
                <w:szCs w:val="21"/>
                <w:lang w:val="en-US" w:eastAsia="zh-CN"/>
              </w:rPr>
              <w:t>2</w:t>
            </w:r>
            <w:r>
              <w:rPr>
                <w:rFonts w:hint="default" w:ascii="Times New Roman" w:hAnsi="Times New Roman" w:eastAsia="宋体" w:cs="Times New Roman"/>
                <w:bCs/>
                <w:sz w:val="21"/>
                <w:szCs w:val="21"/>
              </w:rPr>
              <w:t>类标准</w:t>
            </w:r>
          </w:p>
        </w:tc>
        <w:tc>
          <w:tcPr>
            <w:tcW w:w="67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p>
        </w:tc>
        <w:tc>
          <w:tcPr>
            <w:tcW w:w="11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夜间</w:t>
            </w:r>
          </w:p>
        </w:tc>
        <w:tc>
          <w:tcPr>
            <w:tcW w:w="15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15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夜间</w:t>
            </w:r>
          </w:p>
        </w:tc>
        <w:tc>
          <w:tcPr>
            <w:tcW w:w="6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N1</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厂界东</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58.7</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45.6</w:t>
            </w:r>
          </w:p>
        </w:tc>
        <w:tc>
          <w:tcPr>
            <w:tcW w:w="15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w:t>
            </w:r>
            <w:r>
              <w:rPr>
                <w:rFonts w:hint="eastAsia" w:ascii="Times New Roman" w:hAnsi="Times New Roman" w:eastAsia="宋体" w:cs="Times New Roman"/>
                <w:sz w:val="21"/>
                <w:szCs w:val="21"/>
                <w:lang w:val="en-US" w:eastAsia="zh-CN"/>
              </w:rPr>
              <w:t>0</w:t>
            </w:r>
          </w:p>
        </w:tc>
        <w:tc>
          <w:tcPr>
            <w:tcW w:w="154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val="en-US" w:eastAsia="zh-CN"/>
              </w:rPr>
              <w:t>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57.5</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46.4 </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N2</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厂界南</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56.3</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45.7</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57.1</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44.2</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N3</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厂界西</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55.4</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43.5</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54.7</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44.3</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N4</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厂界北</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53.8</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44.1</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54.3</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43.6</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综上所述，验收期间，项目厂界昼间最大等效噪声值为</w:t>
      </w:r>
      <w:r>
        <w:rPr>
          <w:rFonts w:hint="eastAsia" w:ascii="Times New Roman" w:hAnsi="Times New Roman" w:cs="Times New Roman"/>
          <w:sz w:val="24"/>
          <w:szCs w:val="24"/>
          <w:lang w:val="en-US" w:eastAsia="zh-CN"/>
        </w:rPr>
        <w:t>58.7</w:t>
      </w:r>
      <w:r>
        <w:rPr>
          <w:rFonts w:hint="default" w:ascii="Times New Roman" w:hAnsi="Times New Roman" w:cs="Times New Roman"/>
          <w:sz w:val="24"/>
          <w:szCs w:val="24"/>
          <w:lang w:val="en-US" w:eastAsia="zh-CN"/>
        </w:rPr>
        <w:t>dB（A），夜间最大等效噪声值为</w:t>
      </w:r>
      <w:r>
        <w:rPr>
          <w:rFonts w:hint="eastAsia" w:ascii="Times New Roman" w:hAnsi="Times New Roman" w:cs="Times New Roman"/>
          <w:sz w:val="24"/>
          <w:szCs w:val="24"/>
          <w:lang w:val="en-US" w:eastAsia="zh-CN"/>
        </w:rPr>
        <w:t>46.4</w:t>
      </w:r>
      <w:r>
        <w:rPr>
          <w:rFonts w:hint="default" w:ascii="Times New Roman" w:hAnsi="Times New Roman" w:cs="Times New Roman"/>
          <w:sz w:val="24"/>
          <w:szCs w:val="24"/>
          <w:lang w:val="en-US" w:eastAsia="zh-CN"/>
        </w:rPr>
        <w:t>dB（A）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满足《工业企业厂界噪声排放标准》（GB12348-200</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类标准</w:t>
      </w:r>
      <w:r>
        <w:rPr>
          <w:rFonts w:hint="default" w:ascii="Times New Roman" w:hAnsi="Times New Roman" w:cs="Times New Roman"/>
          <w:sz w:val="24"/>
          <w:szCs w:val="24"/>
        </w:rPr>
        <w:t>。</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64" w:name="_Toc13018"/>
      <w:r>
        <w:rPr>
          <w:rFonts w:hint="default" w:ascii="Times New Roman" w:hAnsi="Times New Roman" w:cs="Times New Roman"/>
        </w:rPr>
        <w:t>9.2</w:t>
      </w:r>
      <w:r>
        <w:rPr>
          <w:rFonts w:hint="eastAsia" w:ascii="Times New Roman" w:hAnsi="Times New Roman" w:cs="Times New Roman"/>
          <w:lang w:val="en-US" w:eastAsia="zh-CN"/>
        </w:rPr>
        <w:t xml:space="preserve">.4 </w:t>
      </w:r>
      <w:r>
        <w:rPr>
          <w:rFonts w:hint="default" w:ascii="Times New Roman" w:hAnsi="Times New Roman" w:cs="Times New Roman"/>
        </w:rPr>
        <w:t>污染物排放总量核算</w:t>
      </w:r>
      <w:bookmarkEnd w:id="64"/>
    </w:p>
    <w:p>
      <w:pPr>
        <w:pStyle w:val="27"/>
        <w:keepNext w:val="0"/>
        <w:keepLines w:val="0"/>
        <w:pageBreakBefore w:val="0"/>
        <w:widowControl w:val="0"/>
        <w:kinsoku/>
        <w:wordWrap/>
        <w:overflowPunct/>
        <w:topLinePunct w:val="0"/>
        <w:autoSpaceDE/>
        <w:autoSpaceDN/>
        <w:bidi w:val="0"/>
        <w:adjustRightInd/>
        <w:snapToGrid/>
        <w:spacing w:after="0" w:line="500" w:lineRule="exact"/>
        <w:ind w:left="0" w:leftChars="0" w:right="0" w:rightChars="0"/>
        <w:textAlignment w:val="auto"/>
        <w:outlineLvl w:val="9"/>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val="en-US" w:eastAsia="zh-CN"/>
        </w:rPr>
        <w:t>化学需氧量、氨氮</w:t>
      </w:r>
      <w:r>
        <w:rPr>
          <w:rFonts w:hint="default" w:ascii="Times New Roman" w:hAnsi="Times New Roman" w:eastAsia="宋体" w:cs="Times New Roman"/>
          <w:highlight w:val="none"/>
          <w:lang w:eastAsia="zh-CN"/>
        </w:rPr>
        <w:t>为总量控制指标，</w:t>
      </w:r>
      <w:r>
        <w:rPr>
          <w:rFonts w:hint="default" w:ascii="Times New Roman" w:hAnsi="Times New Roman" w:eastAsia="宋体" w:cs="Times New Roman"/>
          <w:highlight w:val="none"/>
        </w:rPr>
        <w:t>依据项目废</w:t>
      </w:r>
      <w:r>
        <w:rPr>
          <w:rFonts w:hint="eastAsia" w:ascii="Times New Roman" w:hAnsi="Times New Roman" w:eastAsia="宋体" w:cs="Times New Roman"/>
          <w:highlight w:val="none"/>
          <w:lang w:val="en-US" w:eastAsia="zh-CN"/>
        </w:rPr>
        <w:t>水</w:t>
      </w:r>
      <w:r>
        <w:rPr>
          <w:rFonts w:hint="default" w:ascii="Times New Roman" w:hAnsi="Times New Roman" w:eastAsia="宋体" w:cs="Times New Roman"/>
          <w:highlight w:val="none"/>
        </w:rPr>
        <w:t>排放</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量7632.15</w:t>
      </w:r>
      <w:r>
        <w:rPr>
          <w:rFonts w:hint="default" w:ascii="Times New Roman" w:hAnsi="Times New Roman" w:eastAsia="宋体" w:cs="Times New Roman"/>
          <w:highlight w:val="none"/>
        </w:rPr>
        <w:t>t/a</w:t>
      </w:r>
      <w:r>
        <w:rPr>
          <w:rFonts w:hint="default" w:ascii="Times New Roman" w:hAnsi="Times New Roman" w:eastAsia="宋体" w:cs="Times New Roman"/>
          <w:highlight w:val="none"/>
          <w:lang w:eastAsia="zh-CN"/>
        </w:rPr>
        <w:t>和本次验收监测结果，</w:t>
      </w:r>
      <w:r>
        <w:rPr>
          <w:rFonts w:hint="default" w:ascii="Times New Roman" w:hAnsi="Times New Roman" w:eastAsia="宋体" w:cs="Times New Roman"/>
          <w:highlight w:val="none"/>
        </w:rPr>
        <w:t>计算排放总量，分析结果详见表9</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6</w:t>
      </w:r>
      <w:r>
        <w:rPr>
          <w:rFonts w:hint="eastAsia" w:cs="Times New Roman"/>
          <w:highlight w:val="none"/>
          <w:lang w:eastAsia="zh-CN"/>
        </w:rPr>
        <w:t>：</w:t>
      </w:r>
    </w:p>
    <w:p>
      <w:pPr>
        <w:pStyle w:val="28"/>
        <w:keepNext w:val="0"/>
        <w:keepLines w:val="0"/>
        <w:pageBreakBefore w:val="0"/>
        <w:widowControl w:val="0"/>
        <w:kinsoku/>
        <w:wordWrap/>
        <w:overflowPunct/>
        <w:topLinePunct w:val="0"/>
        <w:autoSpaceDE/>
        <w:autoSpaceDN/>
        <w:bidi w:val="0"/>
        <w:adjustRightInd/>
        <w:snapToGrid/>
        <w:spacing w:after="80" w:line="500" w:lineRule="exact"/>
        <w:ind w:left="0" w:leftChars="0" w:right="0" w:rightChars="0"/>
        <w:textAlignment w:val="auto"/>
        <w:outlineLvl w:val="9"/>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表9-</w:t>
      </w:r>
      <w:r>
        <w:rPr>
          <w:rFonts w:hint="eastAsia" w:cs="Times New Roman"/>
          <w:b/>
          <w:bCs/>
          <w:highlight w:val="none"/>
          <w:lang w:val="en-US" w:eastAsia="zh-CN"/>
        </w:rPr>
        <w:t>6</w:t>
      </w:r>
      <w:r>
        <w:rPr>
          <w:rFonts w:hint="default" w:ascii="Times New Roman" w:hAnsi="Times New Roman" w:eastAsia="宋体" w:cs="Times New Roman"/>
          <w:b/>
          <w:bCs/>
          <w:highlight w:val="none"/>
        </w:rPr>
        <w:t>废水排口污染物排放总量分析</w:t>
      </w:r>
    </w:p>
    <w:tbl>
      <w:tblPr>
        <w:tblStyle w:val="16"/>
        <w:tblW w:w="93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9"/>
        <w:gridCol w:w="1990"/>
        <w:gridCol w:w="2016"/>
        <w:gridCol w:w="1541"/>
        <w:gridCol w:w="1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1959"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污染物名称</w:t>
            </w:r>
          </w:p>
        </w:tc>
        <w:tc>
          <w:tcPr>
            <w:tcW w:w="1990"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废</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水</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排放量</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/a）</w:t>
            </w:r>
          </w:p>
        </w:tc>
        <w:tc>
          <w:tcPr>
            <w:tcW w:w="2016"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 xml:space="preserve"> 排放浓度（mg/L）</w:t>
            </w:r>
          </w:p>
        </w:tc>
        <w:tc>
          <w:tcPr>
            <w:tcW w:w="1541"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排放量</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（t/a）</w:t>
            </w:r>
          </w:p>
        </w:tc>
        <w:tc>
          <w:tcPr>
            <w:tcW w:w="1814"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总量控制建议指标（t/a）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959"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highlight w:val="none"/>
                <w:lang w:val="en-US" w:eastAsia="zh-CN"/>
              </w:rPr>
              <w:t>化学需氧量</w:t>
            </w:r>
          </w:p>
        </w:tc>
        <w:tc>
          <w:tcPr>
            <w:tcW w:w="1990" w:type="dxa"/>
            <w:vMerge w:val="restart"/>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7632.15</w:t>
            </w:r>
          </w:p>
        </w:tc>
        <w:tc>
          <w:tcPr>
            <w:tcW w:w="2016"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83</w:t>
            </w:r>
          </w:p>
        </w:tc>
        <w:tc>
          <w:tcPr>
            <w:tcW w:w="1541"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0.633</w:t>
            </w:r>
          </w:p>
        </w:tc>
        <w:tc>
          <w:tcPr>
            <w:tcW w:w="1814"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959"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highlight w:val="none"/>
                <w:lang w:val="en-US" w:eastAsia="zh-CN"/>
              </w:rPr>
              <w:t>氨氮</w:t>
            </w:r>
          </w:p>
        </w:tc>
        <w:tc>
          <w:tcPr>
            <w:tcW w:w="1990" w:type="dxa"/>
            <w:vMerge w:val="continue"/>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2016"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11.4</w:t>
            </w:r>
          </w:p>
        </w:tc>
        <w:tc>
          <w:tcPr>
            <w:tcW w:w="1541"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0.087</w:t>
            </w:r>
          </w:p>
        </w:tc>
        <w:tc>
          <w:tcPr>
            <w:tcW w:w="1814"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959"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备注</w:t>
            </w:r>
          </w:p>
        </w:tc>
        <w:tc>
          <w:tcPr>
            <w:tcW w:w="7361" w:type="dxa"/>
            <w:gridSpan w:val="4"/>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污染物排放浓度以监测期间废水排口监测结果日均值最大值计。</w:t>
            </w:r>
          </w:p>
        </w:tc>
      </w:tr>
    </w:tbl>
    <w:p>
      <w:pPr>
        <w:pStyle w:val="27"/>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rPr>
        <w:t>由</w:t>
      </w:r>
      <w:r>
        <w:rPr>
          <w:rFonts w:hint="default" w:ascii="Times New Roman" w:hAnsi="Times New Roman" w:eastAsia="宋体" w:cs="Times New Roman"/>
          <w:highlight w:val="none"/>
          <w:lang w:eastAsia="zh-CN"/>
        </w:rPr>
        <w:t>上表</w:t>
      </w:r>
      <w:r>
        <w:rPr>
          <w:rFonts w:hint="default" w:ascii="Times New Roman" w:hAnsi="Times New Roman" w:eastAsia="宋体" w:cs="Times New Roman"/>
          <w:highlight w:val="none"/>
        </w:rPr>
        <w:t>可知：项目总量控制指标</w:t>
      </w:r>
      <w:r>
        <w:rPr>
          <w:rFonts w:hint="eastAsia" w:ascii="Times New Roman" w:hAnsi="Times New Roman" w:eastAsia="宋体" w:cs="Times New Roman"/>
          <w:highlight w:val="none"/>
          <w:lang w:val="en-US" w:eastAsia="zh-CN"/>
        </w:rPr>
        <w:t>化学需氧量</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氨氮</w:t>
      </w:r>
      <w:r>
        <w:rPr>
          <w:rFonts w:hint="default" w:ascii="Times New Roman" w:hAnsi="Times New Roman" w:eastAsia="宋体" w:cs="Times New Roman"/>
          <w:highlight w:val="none"/>
        </w:rPr>
        <w:t>的排放总量分别为</w:t>
      </w:r>
      <w:r>
        <w:rPr>
          <w:rFonts w:hint="default"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663</w:t>
      </w:r>
      <w:r>
        <w:rPr>
          <w:rFonts w:hint="default" w:ascii="Times New Roman" w:hAnsi="Times New Roman" w:cs="Times New Roman"/>
          <w:color w:val="auto"/>
          <w:highlight w:val="none"/>
          <w:lang w:val="en-US" w:eastAsia="zh-CN"/>
        </w:rPr>
        <w:t>t</w:t>
      </w:r>
      <w:r>
        <w:rPr>
          <w:rFonts w:hint="default" w:ascii="Times New Roman" w:hAnsi="Times New Roman" w:eastAsia="宋体" w:cs="Times New Roman"/>
          <w:color w:val="auto"/>
          <w:highlight w:val="none"/>
        </w:rPr>
        <w:t>/a、0.</w:t>
      </w:r>
      <w:r>
        <w:rPr>
          <w:rFonts w:hint="eastAsia" w:ascii="Times New Roman" w:hAnsi="Times New Roman" w:eastAsia="宋体" w:cs="Times New Roman"/>
          <w:color w:val="auto"/>
          <w:highlight w:val="none"/>
          <w:lang w:val="en-US" w:eastAsia="zh-CN"/>
        </w:rPr>
        <w:t>087</w:t>
      </w:r>
      <w:r>
        <w:rPr>
          <w:rFonts w:hint="default" w:ascii="Times New Roman" w:hAnsi="Times New Roman" w:eastAsia="宋体" w:cs="Times New Roman"/>
          <w:color w:val="auto"/>
          <w:highlight w:val="none"/>
        </w:rPr>
        <w:t>t/a</w:t>
      </w:r>
      <w:r>
        <w:rPr>
          <w:rFonts w:hint="eastAsia" w:ascii="Times New Roman" w:hAnsi="Times New Roman" w:eastAsia="宋体" w:cs="Times New Roman"/>
          <w:color w:val="auto"/>
          <w:highlight w:val="none"/>
          <w:vertAlign w:val="baseline"/>
          <w:lang w:val="en-US" w:eastAsia="zh-CN"/>
        </w:rPr>
        <w:t>。（化学需氧量=7632.15×83×10</w:t>
      </w:r>
      <w:r>
        <w:rPr>
          <w:rFonts w:hint="eastAsia" w:ascii="Times New Roman" w:hAnsi="Times New Roman" w:eastAsia="宋体" w:cs="Times New Roman"/>
          <w:color w:val="auto"/>
          <w:highlight w:val="none"/>
          <w:vertAlign w:val="superscript"/>
          <w:lang w:val="en-US" w:eastAsia="zh-CN"/>
        </w:rPr>
        <w:t>-6</w:t>
      </w:r>
      <w:r>
        <w:rPr>
          <w:rFonts w:hint="eastAsia" w:ascii="Times New Roman" w:hAnsi="Times New Roman" w:eastAsia="宋体" w:cs="Times New Roman"/>
          <w:color w:val="auto"/>
          <w:highlight w:val="none"/>
          <w:vertAlign w:val="baseline"/>
          <w:lang w:val="en-US" w:eastAsia="zh-CN"/>
        </w:rPr>
        <w:t>t/a=0.663t/a；氨氮=7632.15×11.4×10</w:t>
      </w:r>
      <w:r>
        <w:rPr>
          <w:rFonts w:hint="eastAsia" w:ascii="Times New Roman" w:hAnsi="Times New Roman" w:eastAsia="宋体" w:cs="Times New Roman"/>
          <w:color w:val="auto"/>
          <w:highlight w:val="none"/>
          <w:vertAlign w:val="superscript"/>
          <w:lang w:val="en-US" w:eastAsia="zh-CN"/>
        </w:rPr>
        <w:t>-6</w:t>
      </w:r>
      <w:r>
        <w:rPr>
          <w:rFonts w:hint="eastAsia" w:ascii="Times New Roman" w:hAnsi="Times New Roman" w:eastAsia="宋体" w:cs="Times New Roman"/>
          <w:color w:val="auto"/>
          <w:highlight w:val="none"/>
          <w:vertAlign w:val="baseline"/>
          <w:lang w:val="en-US" w:eastAsia="zh-CN"/>
        </w:rPr>
        <w:t>t/a=0.087t/a）</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lang w:val="en-US" w:eastAsia="zh-CN"/>
        </w:rPr>
      </w:pPr>
      <w:bookmarkStart w:id="65" w:name="_Toc4216"/>
      <w:bookmarkStart w:id="66" w:name="_Toc11805_WPSOffice_Level1"/>
      <w:bookmarkStart w:id="67" w:name="_Toc10741_WPSOffice_Level1"/>
      <w:bookmarkStart w:id="68" w:name="_Toc8120"/>
      <w:bookmarkStart w:id="69" w:name="_Toc10340"/>
      <w:bookmarkStart w:id="70" w:name="_Toc4274_WPSOffice_Level1"/>
      <w:bookmarkStart w:id="71" w:name="_Toc27479"/>
      <w:bookmarkStart w:id="72" w:name="_Toc9340"/>
      <w:r>
        <w:rPr>
          <w:rFonts w:hint="eastAsia" w:ascii="Times New Roman" w:hAnsi="Times New Roman" w:eastAsia="宋体" w:cs="Times New Roman"/>
          <w:b/>
          <w:lang w:val="en-US" w:eastAsia="zh-CN"/>
        </w:rPr>
        <w:t>10环评批复落实情况检查</w:t>
      </w:r>
      <w:bookmarkEnd w:id="65"/>
      <w:bookmarkEnd w:id="66"/>
      <w:bookmarkEnd w:id="67"/>
      <w:bookmarkEnd w:id="68"/>
      <w:bookmarkEnd w:id="69"/>
      <w:bookmarkEnd w:id="70"/>
      <w:bookmarkEnd w:id="71"/>
      <w:bookmarkEnd w:id="7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安化县环境保护局《关于安化益汉医院建设项目环境影响报告表的批复》安环审（表）〔2018〕015号文件批复要求如下：</w:t>
      </w:r>
    </w:p>
    <w:p>
      <w:pPr>
        <w:pStyle w:val="28"/>
        <w:keepNext w:val="0"/>
        <w:keepLines w:val="0"/>
        <w:pageBreakBefore w:val="0"/>
        <w:widowControl w:val="0"/>
        <w:kinsoku/>
        <w:wordWrap/>
        <w:overflowPunct/>
        <w:topLinePunct w:val="0"/>
        <w:autoSpaceDE/>
        <w:autoSpaceDN/>
        <w:bidi w:val="0"/>
        <w:adjustRightInd/>
        <w:snapToGrid/>
        <w:spacing w:after="80" w:line="500" w:lineRule="exact"/>
        <w:ind w:left="0" w:leftChars="0" w:right="0" w:rightChars="0"/>
        <w:textAlignment w:val="auto"/>
        <w:outlineLvl w:val="9"/>
        <w:rPr>
          <w:rFonts w:hint="eastAsia" w:ascii="Times New Roman" w:hAnsi="Times New Roman" w:eastAsia="宋体" w:cs="Times New Roman"/>
          <w:b/>
          <w:bCs/>
          <w:highlight w:val="none"/>
        </w:rPr>
      </w:pPr>
      <w:r>
        <w:rPr>
          <w:rFonts w:hint="eastAsia" w:ascii="Times New Roman" w:hAnsi="Times New Roman" w:eastAsia="宋体" w:cs="Times New Roman"/>
          <w:b/>
          <w:bCs/>
          <w:highlight w:val="none"/>
        </w:rPr>
        <w:t>表</w:t>
      </w:r>
      <w:r>
        <w:rPr>
          <w:rFonts w:hint="eastAsia" w:ascii="Times New Roman" w:hAnsi="Times New Roman" w:eastAsia="宋体" w:cs="Times New Roman"/>
          <w:b/>
          <w:bCs/>
          <w:highlight w:val="none"/>
          <w:lang w:val="en-US" w:eastAsia="zh-CN"/>
        </w:rPr>
        <w:t>10</w:t>
      </w:r>
      <w:r>
        <w:rPr>
          <w:rFonts w:hint="eastAsia" w:ascii="Times New Roman" w:hAnsi="Times New Roman" w:eastAsia="宋体" w:cs="Times New Roman"/>
          <w:b/>
          <w:bCs/>
          <w:highlight w:val="none"/>
        </w:rPr>
        <w:t>-1  环评批复现场落实情况表</w:t>
      </w:r>
    </w:p>
    <w:tbl>
      <w:tblPr>
        <w:tblStyle w:val="16"/>
        <w:tblW w:w="92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
        <w:gridCol w:w="4214"/>
        <w:gridCol w:w="3634"/>
        <w:gridCol w:w="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497" w:type="dxa"/>
            <w:tcBorders>
              <w:right w:val="single" w:color="auto" w:sz="2" w:space="0"/>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序号</w:t>
            </w:r>
          </w:p>
        </w:tc>
        <w:tc>
          <w:tcPr>
            <w:tcW w:w="4214" w:type="dxa"/>
            <w:tcBorders>
              <w:left w:val="single" w:color="auto" w:sz="2" w:space="0"/>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环评批复要求</w:t>
            </w:r>
          </w:p>
        </w:tc>
        <w:tc>
          <w:tcPr>
            <w:tcW w:w="3634"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实际执行情况</w:t>
            </w:r>
          </w:p>
        </w:tc>
        <w:tc>
          <w:tcPr>
            <w:tcW w:w="903"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497" w:type="dxa"/>
            <w:tcBorders>
              <w:right w:val="single" w:color="auto" w:sz="2" w:space="0"/>
            </w:tcBorders>
            <w:vAlign w:val="center"/>
          </w:tcPr>
          <w:p>
            <w:pPr>
              <w:pStyle w:val="24"/>
              <w:widowControl w:val="0"/>
              <w:adjustRightInd/>
              <w:snapToGrid/>
              <w:spacing w:after="0" w:afterLines="-2147483648"/>
              <w:ind w:firstLine="420" w:firstLineChars="200"/>
              <w:jc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11</w:t>
            </w:r>
          </w:p>
        </w:tc>
        <w:tc>
          <w:tcPr>
            <w:tcW w:w="4214" w:type="dxa"/>
            <w:tcBorders>
              <w:left w:val="single" w:color="auto" w:sz="2" w:space="0"/>
            </w:tcBorders>
            <w:vAlign w:val="center"/>
          </w:tcPr>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加强环境管理，完善环境管理制度，制订切实可行的环境风险应急预案。定期对“废气、废水、废渣”处理设施进行维护和检查，禁止“三废”不经处理直接排放或超标排放。</w:t>
            </w:r>
          </w:p>
        </w:tc>
        <w:tc>
          <w:tcPr>
            <w:tcW w:w="3634" w:type="dxa"/>
            <w:vAlign w:val="center"/>
          </w:tcPr>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本项目加强了环境管理工作，完善了环境管理制度。并定期对“废气、废水、废渣”处理设施进行维护和检查，“三废”均做到达标排放。</w:t>
            </w:r>
          </w:p>
        </w:tc>
        <w:tc>
          <w:tcPr>
            <w:tcW w:w="903" w:type="dxa"/>
            <w:vAlign w:val="center"/>
          </w:tcPr>
          <w:p>
            <w:pPr>
              <w:pStyle w:val="24"/>
              <w:widowControl w:val="0"/>
              <w:adjustRightInd/>
              <w:snapToGrid/>
              <w:spacing w:after="0" w:afterLines="-2147483648"/>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本项目暂未编制应急预案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497" w:type="dxa"/>
            <w:tcBorders>
              <w:right w:val="single" w:color="auto" w:sz="2" w:space="0"/>
            </w:tcBorders>
            <w:vAlign w:val="center"/>
          </w:tcPr>
          <w:p>
            <w:pPr>
              <w:pStyle w:val="24"/>
              <w:widowControl w:val="0"/>
              <w:adjustRightInd/>
              <w:snapToGrid/>
              <w:spacing w:after="0" w:afterLines="-2147483648"/>
              <w:ind w:firstLine="420" w:firstLineChars="200"/>
              <w:jc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22</w:t>
            </w:r>
          </w:p>
        </w:tc>
        <w:tc>
          <w:tcPr>
            <w:tcW w:w="4214" w:type="dxa"/>
            <w:tcBorders>
              <w:left w:val="single" w:color="auto" w:sz="2" w:space="0"/>
            </w:tcBorders>
            <w:vAlign w:val="center"/>
          </w:tcPr>
          <w:p>
            <w:pPr>
              <w:pStyle w:val="24"/>
              <w:widowControl w:val="0"/>
              <w:adjustRightInd/>
              <w:snapToGrid/>
              <w:spacing w:after="0" w:afterLines="-2147483648"/>
              <w:ind w:firstLine="420" w:firstLineChars="200"/>
              <w:jc w:val="both"/>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近期该项目废水进入自建的污水处理设施处理，经污水设施处理后废水排放执行《医疗机构水污染物排放标准》（GB18466-2005）中的“表2综合医疗机构和其他医疗机构水污染物排放限值”中的排放标准。</w:t>
            </w:r>
          </w:p>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 xml:space="preserve">    项目远期待城镇污水处理系统完善后，经院内污水处理设施处理后排入安化县污水处理厂管网，经污水处理厂处理后排入资水。经院内污水设施处理后废水排放执行《医疗机构水污染物排放标准》（GB18466-2005）中的“表2综合医疗机构和其他医疗机构水污染物排放标准限值”中的预处理标准。</w:t>
            </w:r>
          </w:p>
        </w:tc>
        <w:tc>
          <w:tcPr>
            <w:tcW w:w="3634" w:type="dxa"/>
            <w:vAlign w:val="center"/>
          </w:tcPr>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安化县污水处理厂已建成并投入使用，本项目废水经自建污水处理设施处理后排入安化县污水处理厂管网。</w:t>
            </w:r>
          </w:p>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经检测，院内污水设施处理后排口废水达到《医疗机构水污染物排放标准》（GB18466-2005）中的“表2综合医疗机构和其他医疗机构水污染物排放标准限值”中的预处理标准。</w:t>
            </w:r>
          </w:p>
        </w:tc>
        <w:tc>
          <w:tcPr>
            <w:tcW w:w="903" w:type="dxa"/>
            <w:vAlign w:val="center"/>
          </w:tcPr>
          <w:p>
            <w:pPr>
              <w:pStyle w:val="24"/>
              <w:widowControl w:val="0"/>
              <w:adjustRightInd/>
              <w:snapToGrid/>
              <w:spacing w:after="0" w:afterLines="-2147483648"/>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本项目废水经处理后排入安化县污水处理厂管网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497" w:type="dxa"/>
            <w:tcBorders>
              <w:right w:val="single" w:color="auto" w:sz="2" w:space="0"/>
            </w:tcBorders>
            <w:vAlign w:val="center"/>
          </w:tcPr>
          <w:p>
            <w:pPr>
              <w:pStyle w:val="24"/>
              <w:widowControl w:val="0"/>
              <w:adjustRightInd/>
              <w:snapToGrid/>
              <w:spacing w:after="0" w:afterLines="-2147483648"/>
              <w:ind w:firstLine="420" w:firstLineChars="200"/>
              <w:jc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33</w:t>
            </w:r>
          </w:p>
        </w:tc>
        <w:tc>
          <w:tcPr>
            <w:tcW w:w="4214" w:type="dxa"/>
            <w:tcBorders>
              <w:left w:val="single" w:color="auto" w:sz="2" w:space="0"/>
            </w:tcBorders>
            <w:vAlign w:val="center"/>
          </w:tcPr>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该项目污水处理站设计为地埋式，可大量减少臭味气体的散发，定期喷洒除臭剂、加强通风后，可有效减少恶臭的影响；建设油烟废气收集通道，经油烟净化设施处理后由食堂屋顶油烟排气筒高空排放；生活垃圾集中收集后由环卫部门及时清运处置。</w:t>
            </w:r>
          </w:p>
        </w:tc>
        <w:tc>
          <w:tcPr>
            <w:tcW w:w="3634" w:type="dxa"/>
            <w:vAlign w:val="center"/>
          </w:tcPr>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本项目污水处理设施化粪池、调节池等设在地下，加盖处理。消毒池、消氯池等均为一体式密闭灌，并安装在密闭房间内。几乎无恶臭等气体散发。油烟集气罩收集后由管道连接到食堂外低空排放，排口设有水池吸收油烟。生活垃圾集中收集后由环卫部门及时清运处置。</w:t>
            </w:r>
          </w:p>
        </w:tc>
        <w:tc>
          <w:tcPr>
            <w:tcW w:w="903" w:type="dxa"/>
            <w:vAlign w:val="center"/>
          </w:tcPr>
          <w:p>
            <w:pPr>
              <w:pStyle w:val="24"/>
              <w:widowControl w:val="0"/>
              <w:adjustRightInd/>
              <w:snapToGrid/>
              <w:spacing w:after="0" w:afterLines="-2147483648"/>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油烟经水吸收后对周边环境影响较小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497" w:type="dxa"/>
            <w:tcBorders>
              <w:right w:val="single" w:color="auto" w:sz="2" w:space="0"/>
            </w:tcBorders>
            <w:vAlign w:val="center"/>
          </w:tcPr>
          <w:p>
            <w:pPr>
              <w:pStyle w:val="24"/>
              <w:widowControl w:val="0"/>
              <w:adjustRightInd/>
              <w:snapToGrid/>
              <w:spacing w:after="0" w:afterLines="-2147483648"/>
              <w:ind w:firstLine="420" w:firstLineChars="200"/>
              <w:jc w:val="cente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44</w:t>
            </w:r>
          </w:p>
        </w:tc>
        <w:tc>
          <w:tcPr>
            <w:tcW w:w="4214" w:type="dxa"/>
            <w:tcBorders>
              <w:left w:val="single" w:color="auto" w:sz="2" w:space="0"/>
            </w:tcBorders>
            <w:vAlign w:val="center"/>
          </w:tcPr>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设置专门的医疗固废储存室，医疗固废暂存间做好防雨、防风、防渗漏、防腐蚀、防扬散等措施，各类固废按要求分类、分区暂存，暂时贮存设施、设备应当定期消毒和清洁；除病理性废物外的其余医疗废物收集暂存于院内医疗废物暂存间内，并定期交由益阳市特许医疗废物集中处理有限公司处置；医疗污水处理站要求定期清掏，产生的污泥属于医疗废物，清掏前进行监测，并对污泥进行消毒处理，达标排放。</w:t>
            </w:r>
          </w:p>
        </w:tc>
        <w:tc>
          <w:tcPr>
            <w:tcW w:w="3634" w:type="dxa"/>
            <w:vAlign w:val="center"/>
          </w:tcPr>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本项目设置有专门的医疗固废储存室，医疗固废暂存间做好了防雨、防风、防渗漏、防腐蚀、防扬散等措施，各类固废按要求分类、分区暂存，暂时贮存设施、设备定期消毒和清洁。</w:t>
            </w:r>
          </w:p>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收集后的医疗固废和消毒处理后的污水处理站底泥均交由益阳市特许医疗废物集中处理有限公司处置。</w:t>
            </w:r>
          </w:p>
        </w:tc>
        <w:tc>
          <w:tcPr>
            <w:tcW w:w="903" w:type="dxa"/>
            <w:vAlign w:val="center"/>
          </w:tcPr>
          <w:p>
            <w:pPr>
              <w:pStyle w:val="24"/>
              <w:widowControl w:val="0"/>
              <w:adjustRightInd/>
              <w:snapToGrid/>
              <w:spacing w:after="0" w:afterLines="-2147483648"/>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已落实</w:t>
            </w: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lang w:val="en-US" w:eastAsia="zh-CN"/>
        </w:rPr>
      </w:pPr>
      <w:bookmarkStart w:id="73" w:name="_Toc4589"/>
      <w:r>
        <w:rPr>
          <w:rFonts w:hint="default" w:ascii="Times New Roman" w:hAnsi="Times New Roman" w:eastAsia="宋体" w:cs="Times New Roman"/>
          <w:b/>
          <w:lang w:val="en-US" w:eastAsia="zh-CN"/>
        </w:rPr>
        <w:t>1</w:t>
      </w:r>
      <w:r>
        <w:rPr>
          <w:rFonts w:hint="eastAsia" w:ascii="Times New Roman" w:hAnsi="Times New Roman" w:eastAsia="宋体" w:cs="Times New Roman"/>
          <w:b/>
          <w:lang w:val="en-US" w:eastAsia="zh-CN"/>
        </w:rPr>
        <w:t>1</w:t>
      </w:r>
      <w:r>
        <w:rPr>
          <w:rFonts w:hint="default" w:ascii="Times New Roman" w:hAnsi="Times New Roman" w:eastAsia="宋体" w:cs="Times New Roman"/>
          <w:b/>
          <w:lang w:val="en-US" w:eastAsia="zh-CN"/>
        </w:rPr>
        <w:t xml:space="preserve"> 验收监测结论</w:t>
      </w:r>
      <w:bookmarkEnd w:id="73"/>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74" w:name="_Toc478028113"/>
      <w:bookmarkStart w:id="75" w:name="_Toc986"/>
      <w:bookmarkStart w:id="76" w:name="_Toc27606_WPSOffice_Level1"/>
      <w:bookmarkStart w:id="77" w:name="_Toc31613"/>
      <w:bookmarkStart w:id="78" w:name="_Toc7273"/>
      <w:bookmarkStart w:id="79" w:name="_Toc3982"/>
      <w:bookmarkStart w:id="80" w:name="_Toc7339"/>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.1废</w:t>
      </w:r>
      <w:r>
        <w:rPr>
          <w:rFonts w:hint="eastAsia" w:ascii="Times New Roman" w:hAnsi="Times New Roman" w:cs="Times New Roman"/>
          <w:b/>
          <w:sz w:val="30"/>
          <w:szCs w:val="30"/>
          <w:lang w:val="en-US" w:eastAsia="zh-CN"/>
        </w:rPr>
        <w:t>水</w:t>
      </w:r>
      <w:r>
        <w:rPr>
          <w:rFonts w:hint="default" w:ascii="Times New Roman" w:hAnsi="Times New Roman" w:eastAsia="宋体" w:cs="Times New Roman"/>
          <w:b/>
          <w:sz w:val="30"/>
          <w:szCs w:val="30"/>
          <w:lang w:val="en-US" w:eastAsia="zh-CN"/>
        </w:rPr>
        <w:t>监测结论</w:t>
      </w:r>
      <w:bookmarkEnd w:id="74"/>
      <w:bookmarkEnd w:id="75"/>
      <w:bookmarkEnd w:id="76"/>
      <w:bookmarkEnd w:id="77"/>
      <w:bookmarkEnd w:id="78"/>
      <w:bookmarkEnd w:id="79"/>
      <w:bookmarkEnd w:id="8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Times New Roman" w:hAnsi="Times New Roman" w:cs="Times New Roman"/>
          <w:sz w:val="24"/>
          <w:szCs w:val="24"/>
          <w:lang w:val="en-US" w:eastAsia="zh-CN"/>
        </w:rPr>
      </w:pPr>
      <w:r>
        <w:rPr>
          <w:rFonts w:hint="eastAsia" w:cstheme="minorBidi"/>
          <w:kern w:val="2"/>
          <w:sz w:val="21"/>
          <w:szCs w:val="24"/>
          <w:lang w:val="en-US" w:eastAsia="zh-CN" w:bidi="ar-SA"/>
        </w:rPr>
        <w:tab/>
      </w:r>
      <w:r>
        <w:rPr>
          <w:rFonts w:hint="default" w:ascii="Times New Roman" w:hAnsi="Times New Roman" w:cs="Times New Roman"/>
          <w:sz w:val="24"/>
          <w:szCs w:val="24"/>
        </w:rPr>
        <w:t>由上表可知，验收监测期间，</w:t>
      </w:r>
      <w:r>
        <w:rPr>
          <w:rFonts w:hint="eastAsia" w:ascii="Times New Roman" w:hAnsi="Times New Roman" w:cs="Times New Roman"/>
          <w:sz w:val="24"/>
          <w:szCs w:val="24"/>
          <w:lang w:val="en-US" w:eastAsia="zh-CN"/>
        </w:rPr>
        <w:t>雨水经沉淀池处理后各项目监测指标均符合</w:t>
      </w:r>
      <w:r>
        <w:rPr>
          <w:rFonts w:hint="default" w:ascii="Times New Roman" w:hAnsi="Times New Roman" w:cs="Times New Roman"/>
          <w:sz w:val="24"/>
          <w:szCs w:val="24"/>
        </w:rPr>
        <w:t>《污水综合排放标准》（GB8978-1996）表4中Ⅲ</w:t>
      </w:r>
      <w:r>
        <w:rPr>
          <w:rFonts w:hint="eastAsia" w:ascii="Times New Roman" w:hAnsi="Times New Roman" w:cs="Times New Roman"/>
          <w:sz w:val="24"/>
          <w:szCs w:val="24"/>
          <w:lang w:eastAsia="zh-CN"/>
        </w:rPr>
        <w:t>级</w:t>
      </w:r>
      <w:r>
        <w:rPr>
          <w:rFonts w:hint="default" w:ascii="Times New Roman" w:hAnsi="Times New Roman" w:cs="Times New Roman"/>
          <w:sz w:val="24"/>
          <w:szCs w:val="24"/>
        </w:rPr>
        <w:t>标准</w:t>
      </w:r>
      <w:r>
        <w:rPr>
          <w:rFonts w:hint="eastAsia" w:ascii="Times New Roman" w:hAnsi="Times New Roman" w:cs="Times New Roman"/>
          <w:sz w:val="24"/>
          <w:szCs w:val="24"/>
          <w:lang w:val="en-US" w:eastAsia="zh-CN"/>
        </w:rPr>
        <w:t>。</w:t>
      </w:r>
    </w:p>
    <w:p>
      <w:pPr>
        <w:pStyle w:val="5"/>
        <w:keepNext/>
        <w:keepLines/>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eastAsia="宋体" w:cs="Times New Roman"/>
          <w:b/>
          <w:sz w:val="30"/>
          <w:szCs w:val="30"/>
          <w:lang w:val="en-US" w:eastAsia="zh-CN"/>
        </w:rPr>
      </w:pPr>
      <w:bookmarkStart w:id="81" w:name="_Toc24028"/>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w:t>
      </w:r>
      <w:r>
        <w:rPr>
          <w:rFonts w:hint="eastAsia"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val="en-US" w:eastAsia="zh-CN"/>
        </w:rPr>
        <w:t>废</w:t>
      </w:r>
      <w:r>
        <w:rPr>
          <w:rFonts w:hint="eastAsia" w:ascii="Times New Roman" w:hAnsi="Times New Roman" w:eastAsia="宋体" w:cs="Times New Roman"/>
          <w:b/>
          <w:sz w:val="30"/>
          <w:szCs w:val="30"/>
          <w:lang w:val="en-US" w:eastAsia="zh-CN"/>
        </w:rPr>
        <w:t>气</w:t>
      </w:r>
      <w:r>
        <w:rPr>
          <w:rFonts w:hint="default" w:ascii="Times New Roman" w:hAnsi="Times New Roman" w:eastAsia="宋体" w:cs="Times New Roman"/>
          <w:b/>
          <w:sz w:val="30"/>
          <w:szCs w:val="30"/>
          <w:lang w:val="en-US" w:eastAsia="zh-CN"/>
        </w:rPr>
        <w:t>监测结论</w:t>
      </w:r>
      <w:bookmarkEnd w:id="8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该项目无组织废气最大浓度为氨气最大浓度为0.19mg/m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，硫化氢的最大浓度为0.007mg/m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，臭气浓度均小于10，符合《医疗机构水污染物排放标准》（GB18466-2005）表3中的标准限值。</w:t>
      </w:r>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82" w:name="_Toc12297"/>
      <w:bookmarkStart w:id="83" w:name="_Toc4501"/>
      <w:bookmarkStart w:id="84" w:name="_Toc20960"/>
      <w:bookmarkStart w:id="85" w:name="_Toc9873"/>
      <w:bookmarkStart w:id="86" w:name="_Toc13731_WPSOffice_Level1"/>
      <w:bookmarkStart w:id="87" w:name="_Toc24457"/>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.3噪声监测结论</w:t>
      </w:r>
      <w:bookmarkEnd w:id="82"/>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验收期间，项目厂界东侧昼间最大等效噪声</w:t>
      </w:r>
      <w:r>
        <w:rPr>
          <w:rFonts w:hint="default" w:ascii="Times New Roman" w:hAnsi="Times New Roman" w:cs="Times New Roman"/>
          <w:color w:val="auto"/>
          <w:sz w:val="24"/>
          <w:szCs w:val="24"/>
          <w:lang w:val="en-US" w:eastAsia="zh-CN"/>
        </w:rPr>
        <w:t>值为</w:t>
      </w:r>
      <w:r>
        <w:rPr>
          <w:rFonts w:hint="eastAsia" w:ascii="Times New Roman" w:hAnsi="Times New Roman" w:cs="Times New Roman"/>
          <w:color w:val="auto"/>
          <w:sz w:val="24"/>
          <w:szCs w:val="24"/>
          <w:lang w:val="en-US" w:eastAsia="zh-CN"/>
        </w:rPr>
        <w:t>58.7</w:t>
      </w:r>
      <w:r>
        <w:rPr>
          <w:rFonts w:hint="default" w:ascii="Times New Roman" w:hAnsi="Times New Roman" w:cs="Times New Roman"/>
          <w:color w:val="auto"/>
          <w:sz w:val="24"/>
          <w:szCs w:val="24"/>
          <w:lang w:val="en-US" w:eastAsia="zh-CN"/>
        </w:rPr>
        <w:t>d</w:t>
      </w:r>
      <w:r>
        <w:rPr>
          <w:rFonts w:hint="default" w:ascii="Times New Roman" w:hAnsi="Times New Roman" w:cs="Times New Roman"/>
          <w:sz w:val="24"/>
          <w:szCs w:val="24"/>
          <w:lang w:val="en-US" w:eastAsia="zh-CN"/>
        </w:rPr>
        <w:t>B（A），夜间最大等效噪声值为</w:t>
      </w:r>
      <w:r>
        <w:rPr>
          <w:rFonts w:hint="eastAsia" w:ascii="Times New Roman" w:hAnsi="Times New Roman" w:cs="Times New Roman"/>
          <w:sz w:val="24"/>
          <w:szCs w:val="24"/>
          <w:lang w:val="en-US" w:eastAsia="zh-CN"/>
        </w:rPr>
        <w:t>46.4</w:t>
      </w:r>
      <w:r>
        <w:rPr>
          <w:rFonts w:hint="default" w:ascii="Times New Roman" w:hAnsi="Times New Roman" w:cs="Times New Roman"/>
          <w:sz w:val="24"/>
          <w:szCs w:val="24"/>
          <w:lang w:val="en-US" w:eastAsia="zh-CN"/>
        </w:rPr>
        <w:t>dB（A）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满足《工业企业厂界噪声排放标准》（GB12348-200</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类标准</w:t>
      </w:r>
      <w:r>
        <w:rPr>
          <w:rFonts w:hint="default" w:ascii="Times New Roman" w:hAnsi="Times New Roman" w:cs="Times New Roman"/>
          <w:sz w:val="24"/>
          <w:szCs w:val="24"/>
        </w:rPr>
        <w:t>。</w:t>
      </w:r>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88" w:name="_Toc32243"/>
      <w:bookmarkStart w:id="89" w:name="_Toc12580"/>
      <w:bookmarkStart w:id="90" w:name="_Toc3337_WPSOffice_Level1"/>
      <w:bookmarkStart w:id="91" w:name="_Toc1954"/>
      <w:bookmarkStart w:id="92" w:name="_Toc14679"/>
      <w:bookmarkStart w:id="93" w:name="_Toc25468"/>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.4固体废弃物污染控制结论</w:t>
      </w:r>
      <w:bookmarkEnd w:id="88"/>
      <w:bookmarkEnd w:id="89"/>
      <w:bookmarkEnd w:id="90"/>
      <w:bookmarkEnd w:id="91"/>
      <w:bookmarkEnd w:id="92"/>
      <w:bookmarkEnd w:id="9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该项目生活垃圾交由环卫部门处理，餐厨垃圾、隔油池油渣由周边个体养殖户回收作为饲料；玻璃（一次性塑料）输液瓶（袋）收集后交由湖南久和环保科技有限公司处理；</w:t>
      </w:r>
      <w:r>
        <w:rPr>
          <w:rFonts w:hint="eastAsia" w:ascii="宋体" w:hAnsi="宋体" w:eastAsia="宋体" w:cs="宋体"/>
          <w:sz w:val="24"/>
          <w:szCs w:val="24"/>
          <w:lang w:val="en-US" w:eastAsia="zh-CN"/>
        </w:rPr>
        <w:t>医疗废物收集后暂存于危废暂存间，定期交由益阳市特许医疗废物集中处理有限公司外运处置。医疗废物每两天转移处置一次</w:t>
      </w:r>
      <w:r>
        <w:rPr>
          <w:rFonts w:hint="eastAsia" w:ascii="Times New Roman" w:hAnsi="Times New Roman" w:cs="Times New Roman"/>
          <w:sz w:val="24"/>
          <w:szCs w:val="24"/>
          <w:lang w:val="en-US" w:eastAsia="zh-CN"/>
        </w:rPr>
        <w:t>。污水处理污泥作为医疗危废一起处理。所有固废均妥善处置，不外排。</w:t>
      </w:r>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94" w:name="_Toc14315"/>
      <w:bookmarkStart w:id="95" w:name="_Toc29141_WPSOffice_Level1"/>
      <w:bookmarkStart w:id="96" w:name="_Toc26767"/>
      <w:bookmarkStart w:id="97" w:name="_Toc19406"/>
      <w:bookmarkStart w:id="98" w:name="_Toc23630"/>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w:t>
      </w:r>
      <w:r>
        <w:rPr>
          <w:rFonts w:hint="eastAsia" w:ascii="Times New Roman" w:hAnsi="Times New Roman" w:cs="Times New Roman"/>
          <w:b/>
          <w:sz w:val="30"/>
          <w:szCs w:val="30"/>
          <w:lang w:val="en-US" w:eastAsia="zh-CN"/>
        </w:rPr>
        <w:t>5</w:t>
      </w:r>
      <w:r>
        <w:rPr>
          <w:rFonts w:hint="default" w:ascii="Times New Roman" w:hAnsi="Times New Roman" w:eastAsia="宋体" w:cs="Times New Roman"/>
          <w:b/>
          <w:sz w:val="30"/>
          <w:szCs w:val="30"/>
          <w:lang w:val="en-US" w:eastAsia="zh-CN"/>
        </w:rPr>
        <w:t>总结论</w:t>
      </w:r>
      <w:bookmarkEnd w:id="94"/>
      <w:bookmarkEnd w:id="95"/>
      <w:bookmarkEnd w:id="96"/>
      <w:bookmarkEnd w:id="97"/>
      <w:bookmarkEnd w:id="98"/>
    </w:p>
    <w:p>
      <w:pPr>
        <w:pStyle w:val="18"/>
        <w:rPr>
          <w:rFonts w:hint="default" w:ascii="宋体" w:hAnsi="宋体" w:eastAsia="宋体" w:cs="宋体"/>
          <w:b w:val="0"/>
          <w:i w:val="0"/>
          <w:color w:val="000000"/>
          <w:sz w:val="24"/>
          <w:szCs w:val="24"/>
          <w:lang w:val="en-US" w:eastAsia="zh-CN"/>
        </w:rPr>
      </w:pPr>
      <w:bookmarkStart w:id="99" w:name="_Toc10191"/>
      <w:bookmarkStart w:id="100" w:name="_Toc22675"/>
      <w:r>
        <w:rPr>
          <w:rFonts w:hint="eastAsia" w:ascii="宋体" w:hAnsi="宋体" w:eastAsia="宋体" w:cs="宋体"/>
          <w:b w:val="0"/>
          <w:i w:val="0"/>
          <w:color w:val="000000"/>
          <w:sz w:val="24"/>
          <w:szCs w:val="24"/>
          <w:lang w:val="en-US" w:eastAsia="zh-CN"/>
        </w:rPr>
        <w:t>改</w:t>
      </w:r>
      <w:r>
        <w:rPr>
          <w:rFonts w:hint="default" w:ascii="宋体" w:hAnsi="宋体" w:eastAsia="宋体" w:cs="宋体"/>
          <w:b w:val="0"/>
          <w:i w:val="0"/>
          <w:color w:val="000000"/>
          <w:sz w:val="24"/>
          <w:szCs w:val="24"/>
          <w:lang w:val="en-US" w:eastAsia="zh-CN"/>
        </w:rPr>
        <w:t>项目基本</w:t>
      </w:r>
      <w:r>
        <w:rPr>
          <w:rFonts w:hint="eastAsia" w:ascii="宋体" w:hAnsi="宋体" w:eastAsia="宋体" w:cs="宋体"/>
          <w:b w:val="0"/>
          <w:i w:val="0"/>
          <w:color w:val="000000"/>
          <w:sz w:val="24"/>
          <w:szCs w:val="24"/>
          <w:lang w:val="en-US" w:eastAsia="zh-CN"/>
        </w:rPr>
        <w:t>落实</w:t>
      </w:r>
      <w:r>
        <w:rPr>
          <w:rFonts w:hint="default" w:ascii="宋体" w:hAnsi="宋体" w:eastAsia="宋体" w:cs="宋体"/>
          <w:b w:val="0"/>
          <w:i w:val="0"/>
          <w:color w:val="000000"/>
          <w:sz w:val="24"/>
          <w:szCs w:val="24"/>
          <w:lang w:val="en-US" w:eastAsia="zh-CN"/>
        </w:rPr>
        <w:t>了国家环境管理</w:t>
      </w:r>
      <w:r>
        <w:rPr>
          <w:rFonts w:hint="eastAsia" w:ascii="宋体" w:hAnsi="宋体" w:eastAsia="宋体" w:cs="宋体"/>
          <w:b w:val="0"/>
          <w:i w:val="0"/>
          <w:color w:val="000000"/>
          <w:sz w:val="24"/>
          <w:szCs w:val="24"/>
          <w:lang w:val="en-US" w:eastAsia="zh-CN"/>
        </w:rPr>
        <w:t>的相关</w:t>
      </w:r>
      <w:r>
        <w:rPr>
          <w:rFonts w:hint="default" w:ascii="宋体" w:hAnsi="宋体" w:eastAsia="宋体" w:cs="宋体"/>
          <w:b w:val="0"/>
          <w:i w:val="0"/>
          <w:color w:val="000000"/>
          <w:sz w:val="24"/>
          <w:szCs w:val="24"/>
          <w:lang w:val="en-US" w:eastAsia="zh-CN"/>
        </w:rPr>
        <w:t>制度</w:t>
      </w:r>
      <w:r>
        <w:rPr>
          <w:rFonts w:hint="eastAsia" w:ascii="宋体" w:hAnsi="宋体" w:eastAsia="宋体" w:cs="宋体"/>
          <w:b w:val="0"/>
          <w:i w:val="0"/>
          <w:color w:val="000000"/>
          <w:sz w:val="24"/>
          <w:szCs w:val="24"/>
          <w:lang w:val="en-US" w:eastAsia="zh-CN"/>
        </w:rPr>
        <w:t>和要求</w:t>
      </w:r>
      <w:r>
        <w:rPr>
          <w:rFonts w:hint="default" w:ascii="宋体" w:hAnsi="宋体" w:eastAsia="宋体" w:cs="宋体"/>
          <w:b w:val="0"/>
          <w:i w:val="0"/>
          <w:color w:val="000000"/>
          <w:sz w:val="24"/>
          <w:szCs w:val="24"/>
          <w:lang w:val="en-US" w:eastAsia="zh-CN"/>
        </w:rPr>
        <w:t>，并按建设项目</w:t>
      </w:r>
      <w:r>
        <w:rPr>
          <w:rFonts w:hint="eastAsia" w:ascii="宋体" w:hAnsi="宋体" w:eastAsia="宋体" w:cs="宋体"/>
          <w:b w:val="0"/>
          <w:i w:val="0"/>
          <w:color w:val="000000"/>
          <w:sz w:val="24"/>
          <w:szCs w:val="24"/>
          <w:lang w:val="en-US" w:eastAsia="zh-CN"/>
        </w:rPr>
        <w:t>环评和环评批复的要求</w:t>
      </w:r>
      <w:r>
        <w:rPr>
          <w:rFonts w:hint="default" w:ascii="宋体" w:hAnsi="宋体" w:eastAsia="宋体" w:cs="宋体"/>
          <w:b w:val="0"/>
          <w:i w:val="0"/>
          <w:color w:val="000000"/>
          <w:sz w:val="24"/>
          <w:szCs w:val="24"/>
          <w:lang w:val="en-US" w:eastAsia="zh-CN"/>
        </w:rPr>
        <w:t>进行建设;项目正常营运期间废气、废水、噪声等经采取合理有效的治理措施后，均可做到达标排放，对周围环境影响较小，固体废弃物能够</w:t>
      </w:r>
      <w:r>
        <w:rPr>
          <w:rFonts w:hint="eastAsia" w:ascii="宋体" w:hAnsi="宋体" w:eastAsia="宋体" w:cs="宋体"/>
          <w:b w:val="0"/>
          <w:i w:val="0"/>
          <w:color w:val="000000"/>
          <w:sz w:val="24"/>
          <w:szCs w:val="24"/>
          <w:lang w:val="en-US" w:eastAsia="zh-CN"/>
        </w:rPr>
        <w:t>规范</w:t>
      </w:r>
      <w:r>
        <w:rPr>
          <w:rFonts w:hint="default" w:ascii="宋体" w:hAnsi="宋体" w:eastAsia="宋体" w:cs="宋体"/>
          <w:b w:val="0"/>
          <w:i w:val="0"/>
          <w:color w:val="000000"/>
          <w:sz w:val="24"/>
          <w:szCs w:val="24"/>
          <w:lang w:val="en-US" w:eastAsia="zh-CN"/>
        </w:rPr>
        <w:t>处置不</w:t>
      </w:r>
      <w:r>
        <w:rPr>
          <w:rFonts w:hint="eastAsia" w:ascii="宋体" w:hAnsi="宋体" w:eastAsia="宋体" w:cs="宋体"/>
          <w:b w:val="0"/>
          <w:i w:val="0"/>
          <w:color w:val="000000"/>
          <w:sz w:val="24"/>
          <w:szCs w:val="24"/>
          <w:lang w:val="en-US" w:eastAsia="zh-CN"/>
        </w:rPr>
        <w:t>外排</w:t>
      </w:r>
      <w:r>
        <w:rPr>
          <w:rFonts w:hint="default" w:ascii="宋体" w:hAnsi="宋体" w:eastAsia="宋体" w:cs="宋体"/>
          <w:b w:val="0"/>
          <w:i w:val="0"/>
          <w:color w:val="000000"/>
          <w:sz w:val="24"/>
          <w:szCs w:val="24"/>
          <w:lang w:val="en-US" w:eastAsia="zh-CN"/>
        </w:rPr>
        <w:t>。基本落实了环评和环评审批中的要求。</w:t>
      </w:r>
      <w:bookmarkEnd w:id="99"/>
      <w:bookmarkEnd w:id="100"/>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101" w:name="_Toc17408"/>
      <w:bookmarkStart w:id="102" w:name="_Toc7327"/>
      <w:bookmarkStart w:id="103" w:name="_Toc23977_WPSOffice_Level1"/>
      <w:bookmarkStart w:id="104" w:name="_Toc3002"/>
      <w:bookmarkStart w:id="105" w:name="_Toc5377"/>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w:t>
      </w:r>
      <w:r>
        <w:rPr>
          <w:rFonts w:hint="eastAsia" w:ascii="Times New Roman" w:hAnsi="Times New Roman" w:cs="Times New Roman"/>
          <w:b/>
          <w:sz w:val="30"/>
          <w:szCs w:val="30"/>
          <w:lang w:val="en-US" w:eastAsia="zh-CN"/>
        </w:rPr>
        <w:t>6</w:t>
      </w:r>
      <w:r>
        <w:rPr>
          <w:rFonts w:hint="default" w:ascii="Times New Roman" w:hAnsi="Times New Roman" w:eastAsia="宋体" w:cs="Times New Roman"/>
          <w:b/>
          <w:sz w:val="30"/>
          <w:szCs w:val="30"/>
          <w:lang w:val="en-US" w:eastAsia="zh-CN"/>
        </w:rPr>
        <w:t>建议</w:t>
      </w:r>
      <w:bookmarkEnd w:id="101"/>
      <w:bookmarkEnd w:id="102"/>
      <w:bookmarkEnd w:id="103"/>
      <w:bookmarkEnd w:id="104"/>
      <w:bookmarkEnd w:id="105"/>
    </w:p>
    <w:p>
      <w:pPr>
        <w:pStyle w:val="18"/>
        <w:rPr>
          <w:rFonts w:hint="default" w:ascii="Times New Roman" w:hAnsi="Times New Roman" w:eastAsia="宋体" w:cs="Times New Roman"/>
          <w:b w:val="0"/>
          <w:i w:val="0"/>
          <w:color w:val="000000"/>
          <w:sz w:val="24"/>
          <w:szCs w:val="24"/>
          <w:lang w:val="en-US" w:eastAsia="zh-CN"/>
        </w:rPr>
      </w:pPr>
      <w:r>
        <w:rPr>
          <w:rFonts w:hint="default" w:ascii="Times New Roman" w:hAnsi="Times New Roman" w:eastAsia="宋体" w:cs="Times New Roman"/>
          <w:b w:val="0"/>
          <w:i w:val="0"/>
          <w:color w:val="000000"/>
          <w:sz w:val="24"/>
          <w:szCs w:val="24"/>
          <w:lang w:val="en-US" w:eastAsia="zh-CN"/>
        </w:rPr>
        <w:t>1、</w:t>
      </w:r>
      <w:r>
        <w:rPr>
          <w:rFonts w:hint="eastAsia" w:ascii="Times New Roman" w:hAnsi="Times New Roman" w:eastAsia="宋体" w:cs="Times New Roman"/>
          <w:b w:val="0"/>
          <w:i w:val="0"/>
          <w:color w:val="000000"/>
          <w:sz w:val="24"/>
          <w:szCs w:val="24"/>
          <w:lang w:val="en-US" w:eastAsia="zh-CN"/>
        </w:rPr>
        <w:t>做好污水处理间、底泥等消毒工作</w:t>
      </w:r>
      <w:r>
        <w:rPr>
          <w:rFonts w:hint="default" w:ascii="Times New Roman" w:hAnsi="Times New Roman" w:eastAsia="宋体" w:cs="Times New Roman"/>
          <w:b w:val="0"/>
          <w:i w:val="0"/>
          <w:color w:val="000000"/>
          <w:sz w:val="24"/>
          <w:szCs w:val="24"/>
          <w:lang w:val="en-US" w:eastAsia="zh-CN"/>
        </w:rPr>
        <w:t>。</w:t>
      </w:r>
    </w:p>
    <w:p>
      <w:pPr>
        <w:pStyle w:val="18"/>
        <w:rPr>
          <w:rFonts w:hint="eastAsia" w:ascii="宋体" w:hAnsi="宋体" w:eastAsia="宋体" w:cs="宋体"/>
          <w:b w:val="0"/>
          <w:i w:val="0"/>
          <w:color w:val="000000"/>
          <w:sz w:val="24"/>
          <w:szCs w:val="24"/>
          <w:lang w:val="en-US" w:eastAsia="zh-CN"/>
        </w:rPr>
      </w:pPr>
      <w:r>
        <w:rPr>
          <w:rFonts w:hint="default" w:ascii="Times New Roman" w:hAnsi="Times New Roman" w:eastAsia="宋体" w:cs="Times New Roman"/>
          <w:b w:val="0"/>
          <w:i w:val="0"/>
          <w:color w:val="000000"/>
          <w:sz w:val="24"/>
          <w:szCs w:val="24"/>
          <w:lang w:val="en-US" w:eastAsia="zh-CN"/>
        </w:rPr>
        <w:t>2、</w:t>
      </w:r>
      <w:r>
        <w:rPr>
          <w:rFonts w:hint="eastAsia" w:ascii="Times New Roman" w:hAnsi="Times New Roman" w:eastAsia="宋体" w:cs="Times New Roman"/>
          <w:b w:val="0"/>
          <w:i w:val="0"/>
          <w:color w:val="000000"/>
          <w:sz w:val="24"/>
          <w:szCs w:val="24"/>
          <w:lang w:val="en-US" w:eastAsia="zh-CN"/>
        </w:rPr>
        <w:t>加强污水处理间水泵隔音、消音措施</w:t>
      </w:r>
      <w:r>
        <w:rPr>
          <w:rFonts w:hint="eastAsia" w:ascii="宋体" w:hAnsi="宋体" w:eastAsia="宋体" w:cs="宋体"/>
          <w:b w:val="0"/>
          <w:i w:val="0"/>
          <w:color w:val="000000"/>
          <w:sz w:val="24"/>
          <w:szCs w:val="24"/>
          <w:lang w:val="en-US" w:eastAsia="zh-CN"/>
        </w:rPr>
        <w:t>。</w:t>
      </w:r>
    </w:p>
    <w:p>
      <w:pPr>
        <w:pStyle w:val="18"/>
        <w:rPr>
          <w:rFonts w:hint="eastAsia" w:ascii="Times New Roman" w:hAnsi="Times New Roman" w:eastAsia="宋体" w:cs="Times New Roman"/>
          <w:b w:val="0"/>
          <w:i w:val="0"/>
          <w:color w:val="000000"/>
          <w:sz w:val="24"/>
          <w:szCs w:val="24"/>
          <w:lang w:val="en-US" w:eastAsia="zh-CN"/>
        </w:rPr>
      </w:pPr>
    </w:p>
    <w:p>
      <w:pPr>
        <w:pStyle w:val="18"/>
        <w:rPr>
          <w:rFonts w:hint="eastAsia" w:ascii="Times New Roman" w:hAnsi="Times New Roman" w:eastAsia="宋体" w:cs="Times New Roman"/>
          <w:b w:val="0"/>
          <w:i w:val="0"/>
          <w:color w:val="000000"/>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keepLines w:val="0"/>
        <w:pageBreakBefore w:val="0"/>
        <w:kinsoku/>
        <w:wordWrap/>
        <w:topLinePunct w:val="0"/>
        <w:bidi w:val="0"/>
        <w:spacing w:beforeAutospacing="0" w:after="0" w:afterLines="0" w:afterAutospacing="0" w:line="360" w:lineRule="auto"/>
        <w:outlineLvl w:val="0"/>
        <w:rPr>
          <w:rFonts w:hint="default" w:ascii="Times New Roman" w:hAnsi="Times New Roman" w:eastAsia="宋体" w:cs="Times New Roman"/>
          <w:b/>
          <w:color w:val="000000"/>
          <w:sz w:val="30"/>
          <w:szCs w:val="30"/>
        </w:rPr>
      </w:pPr>
      <w:bookmarkStart w:id="106" w:name="_Toc31290"/>
      <w:bookmarkStart w:id="107" w:name="_Toc20056"/>
      <w:bookmarkStart w:id="108" w:name="_Toc25530"/>
      <w:bookmarkStart w:id="109" w:name="_Toc27920"/>
      <w:bookmarkStart w:id="110" w:name="_Toc6107"/>
      <w:bookmarkStart w:id="111" w:name="_Toc31217_WPSOffice_Level1"/>
      <w:r>
        <w:rPr>
          <w:rFonts w:hint="default" w:ascii="Times New Roman" w:hAnsi="Times New Roman" w:eastAsia="宋体" w:cs="Times New Roman"/>
          <w:b/>
          <w:color w:val="000000"/>
          <w:sz w:val="30"/>
          <w:szCs w:val="30"/>
        </w:rPr>
        <w:t>1</w:t>
      </w:r>
      <w:r>
        <w:rPr>
          <w:rFonts w:hint="eastAsia" w:ascii="Times New Roman" w:hAnsi="Times New Roman" w:eastAsia="宋体" w:cs="Times New Roman"/>
          <w:b/>
          <w:color w:val="000000"/>
          <w:sz w:val="30"/>
          <w:szCs w:val="30"/>
          <w:lang w:val="en-US" w:eastAsia="zh-CN"/>
        </w:rPr>
        <w:t>2</w:t>
      </w:r>
      <w:r>
        <w:rPr>
          <w:rFonts w:hint="default" w:ascii="Times New Roman" w:hAnsi="Times New Roman" w:eastAsia="宋体" w:cs="Times New Roman"/>
          <w:b/>
          <w:color w:val="000000"/>
          <w:sz w:val="30"/>
          <w:szCs w:val="30"/>
        </w:rPr>
        <w:t>建设项目竣工环境保护“三同时”验收登记表</w:t>
      </w:r>
      <w:bookmarkEnd w:id="106"/>
      <w:bookmarkEnd w:id="107"/>
      <w:bookmarkEnd w:id="108"/>
      <w:bookmarkEnd w:id="109"/>
      <w:bookmarkEnd w:id="110"/>
      <w:bookmarkEnd w:id="111"/>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240" w:lineRule="exact"/>
        <w:ind w:left="0"/>
        <w:jc w:val="center"/>
        <w:textAlignment w:val="auto"/>
        <w:outlineLvl w:val="9"/>
        <w:rPr>
          <w:rFonts w:hint="default"/>
          <w:sz w:val="24"/>
          <w:szCs w:val="24"/>
        </w:rPr>
      </w:pPr>
      <w:r>
        <w:rPr>
          <w:rFonts w:hint="default" w:ascii="Times New Roman" w:hAnsi="Times New Roman" w:eastAsia="宋体" w:cs="Times New Roman"/>
          <w:b/>
          <w:color w:val="000000"/>
          <w:sz w:val="24"/>
          <w:szCs w:val="24"/>
        </w:rPr>
        <w:t>建设项目竣工环境保护“三同时”验收登记表</w:t>
      </w:r>
    </w:p>
    <w:p>
      <w:pPr>
        <w:pStyle w:val="31"/>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both"/>
        <w:textAlignment w:val="auto"/>
        <w:outlineLvl w:val="9"/>
        <w:rPr>
          <w:rFonts w:hint="eastAsia"/>
          <w:sz w:val="21"/>
          <w:szCs w:val="21"/>
          <w:lang w:eastAsia="zh-CN"/>
        </w:rPr>
      </w:pPr>
      <w:r>
        <w:rPr>
          <w:rFonts w:hint="default" w:ascii="Times New Roman" w:hAnsi="Times New Roman" w:eastAsia="宋体" w:cs="Times New Roman"/>
          <w:b/>
          <w:color w:val="000000"/>
          <w:sz w:val="24"/>
          <w:szCs w:val="24"/>
        </w:rPr>
        <w:t>填表单位（盖章）</w:t>
      </w:r>
      <w:r>
        <w:rPr>
          <w:rFonts w:hint="default" w:ascii="Times New Roman" w:hAnsi="Times New Roman" w:eastAsia="宋体" w:cs="Times New Roman"/>
          <w:b/>
          <w:color w:val="000000"/>
          <w:kern w:val="2"/>
          <w:sz w:val="24"/>
          <w:szCs w:val="24"/>
        </w:rPr>
        <w:t>：</w:t>
      </w:r>
      <w:r>
        <w:rPr>
          <w:rFonts w:hint="default" w:ascii="Times New Roman" w:hAnsi="Times New Roman" w:eastAsia="宋体" w:cs="Times New Roman"/>
          <w:b/>
          <w:color w:val="000000"/>
          <w:sz w:val="24"/>
          <w:szCs w:val="24"/>
        </w:rPr>
        <w:t xml:space="preserve">                  填表人（签字）：                              项目经办人（签字）：</w:t>
      </w:r>
    </w:p>
    <w:tbl>
      <w:tblPr>
        <w:tblStyle w:val="17"/>
        <w:tblW w:w="15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1"/>
        <w:gridCol w:w="141"/>
        <w:gridCol w:w="993"/>
        <w:gridCol w:w="747"/>
        <w:gridCol w:w="811"/>
        <w:gridCol w:w="142"/>
        <w:gridCol w:w="1133"/>
        <w:gridCol w:w="850"/>
        <w:gridCol w:w="284"/>
        <w:gridCol w:w="992"/>
        <w:gridCol w:w="671"/>
        <w:gridCol w:w="463"/>
        <w:gridCol w:w="1133"/>
        <w:gridCol w:w="143"/>
        <w:gridCol w:w="792"/>
        <w:gridCol w:w="199"/>
        <w:gridCol w:w="1445"/>
        <w:gridCol w:w="1200"/>
        <w:gridCol w:w="585"/>
        <w:gridCol w:w="408"/>
        <w:gridCol w:w="480"/>
        <w:gridCol w:w="708"/>
        <w:gridCol w:w="258"/>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restart"/>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建设项目</w:t>
            </w: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项目名称</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安化益汉医院建设项目</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项目代码</w:t>
            </w:r>
          </w:p>
        </w:tc>
        <w:tc>
          <w:tcPr>
            <w:tcW w:w="2436" w:type="dxa"/>
            <w:gridSpan w:val="3"/>
            <w:shd w:val="clear" w:color="auto" w:fill="auto"/>
            <w:vAlign w:val="center"/>
          </w:tcPr>
          <w:p>
            <w:pPr>
              <w:pStyle w:val="20"/>
              <w:widowControl w:val="0"/>
              <w:adjustRightInd/>
              <w:snapToGrid/>
              <w:spacing w:after="0" w:afterLines="-2147483648"/>
              <w:jc w:val="center"/>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Q413599</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建设地点</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安化县城南区吉祥路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2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行业分类(分类管理名录)</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综合医院</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建设性质</w:t>
            </w:r>
          </w:p>
        </w:tc>
        <w:tc>
          <w:tcPr>
            <w:tcW w:w="2436" w:type="dxa"/>
            <w:gridSpan w:val="3"/>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 xml:space="preserve">■新建   </w:t>
            </w:r>
            <w:r>
              <w:rPr>
                <w:rFonts w:hint="eastAsia" w:ascii="Times New Roman" w:hAnsi="Times New Roman" w:eastAsia="宋体" w:cs="Times New Roman"/>
                <w:sz w:val="16"/>
                <w:szCs w:val="16"/>
                <w:vertAlign w:val="baseline"/>
                <w:lang w:val="en-US" w:eastAsia="zh-CN"/>
              </w:rPr>
              <w:t>□</w:t>
            </w:r>
            <w:r>
              <w:rPr>
                <w:rFonts w:hint="default" w:ascii="Times New Roman" w:hAnsi="Times New Roman" w:eastAsia="宋体" w:cs="Times New Roman"/>
                <w:sz w:val="16"/>
                <w:szCs w:val="16"/>
                <w:vertAlign w:val="baseline"/>
                <w:lang w:val="en-US" w:eastAsia="zh-CN"/>
              </w:rPr>
              <w:t xml:space="preserve">改扩建   </w:t>
            </w:r>
            <w:r>
              <w:rPr>
                <w:rFonts w:hint="eastAsia" w:ascii="Times New Roman" w:hAnsi="Times New Roman" w:eastAsia="宋体" w:cs="Times New Roman"/>
                <w:sz w:val="16"/>
                <w:szCs w:val="16"/>
                <w:vertAlign w:val="baseline"/>
                <w:lang w:val="en-US" w:eastAsia="zh-CN"/>
              </w:rPr>
              <w:t>□</w:t>
            </w:r>
            <w:r>
              <w:rPr>
                <w:rFonts w:hint="default" w:ascii="Times New Roman" w:hAnsi="Times New Roman" w:eastAsia="宋体" w:cs="Times New Roman"/>
                <w:sz w:val="16"/>
                <w:szCs w:val="16"/>
                <w:vertAlign w:val="baseline"/>
                <w:lang w:val="en-US" w:eastAsia="zh-CN"/>
              </w:rPr>
              <w:t>技术改造</w:t>
            </w:r>
          </w:p>
        </w:tc>
        <w:tc>
          <w:tcPr>
            <w:tcW w:w="1785" w:type="dxa"/>
            <w:gridSpan w:val="2"/>
            <w:shd w:val="clear" w:color="auto" w:fill="auto"/>
            <w:vAlign w:val="center"/>
          </w:tcPr>
          <w:p>
            <w:pPr>
              <w:pStyle w:val="20"/>
              <w:widowControl w:val="0"/>
              <w:adjustRightInd/>
              <w:snapToGrid/>
              <w:spacing w:after="0" w:afterLines="-2147483648"/>
              <w:rPr>
                <w:rFonts w:hint="eastAsia"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项目中心经纬度</w:t>
            </w:r>
          </w:p>
        </w:tc>
        <w:tc>
          <w:tcPr>
            <w:tcW w:w="2495" w:type="dxa"/>
            <w:gridSpan w:val="5"/>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2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设计生产能力</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共设病床位90张</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实际生产能力</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共设病床位90张</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环评单位</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深圳市环新环保技术有限公司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环评文件审批机关</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安化县环境保护局</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审批文号</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安环审（表）[2018]015号</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环评文件类型</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开工日期</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竣工日期</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排污许可证申领时间</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环保设施设计单位</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环保设施施工单位</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本工程排污许可证编号</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验收单位</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环保设施监测单位</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湖南精科检测有限公司</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验收监测时工况</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r>
              <w:rPr>
                <w:rFonts w:hint="eastAsia" w:ascii="Times New Roman" w:hAnsi="Times New Roman" w:eastAsia="宋体" w:cs="Times New Roman"/>
                <w:sz w:val="16"/>
                <w:szCs w:val="16"/>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投资总概算（万元）</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500</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环保投资总概算(万元)</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76</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所占比例（%）</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实际总投资（万元）</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500</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实际环保投资 (万元)</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76</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所占比例(%）</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废水治理（万元）</w:t>
            </w:r>
          </w:p>
        </w:tc>
        <w:tc>
          <w:tcPr>
            <w:tcW w:w="811"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35</w:t>
            </w:r>
          </w:p>
        </w:tc>
        <w:tc>
          <w:tcPr>
            <w:tcW w:w="127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废气治理（万元）</w:t>
            </w:r>
          </w:p>
        </w:tc>
        <w:tc>
          <w:tcPr>
            <w:tcW w:w="85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4</w:t>
            </w:r>
          </w:p>
        </w:tc>
        <w:tc>
          <w:tcPr>
            <w:tcW w:w="1276"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噪声治理(万元)</w:t>
            </w:r>
          </w:p>
        </w:tc>
        <w:tc>
          <w:tcPr>
            <w:tcW w:w="671"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25</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固体废物治理（万元）</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12</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绿化及生态（万元 ）</w:t>
            </w:r>
          </w:p>
        </w:tc>
        <w:tc>
          <w:tcPr>
            <w:tcW w:w="8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w:t>
            </w:r>
          </w:p>
        </w:tc>
        <w:tc>
          <w:tcPr>
            <w:tcW w:w="966"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其他（万元）</w:t>
            </w:r>
          </w:p>
        </w:tc>
        <w:tc>
          <w:tcPr>
            <w:tcW w:w="641"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新增废水处理设施能力</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新增废气处理设施能力</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年平均工作时间（h）</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2302" w:type="dxa"/>
            <w:gridSpan w:val="4"/>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运营单位</w:t>
            </w:r>
          </w:p>
        </w:tc>
        <w:tc>
          <w:tcPr>
            <w:tcW w:w="4212" w:type="dxa"/>
            <w:gridSpan w:val="6"/>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安化益汉医院</w:t>
            </w:r>
          </w:p>
        </w:tc>
        <w:tc>
          <w:tcPr>
            <w:tcW w:w="3202" w:type="dxa"/>
            <w:gridSpan w:val="5"/>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运营单位社会统一信用代码(或组织机构代码)</w:t>
            </w:r>
          </w:p>
        </w:tc>
        <w:tc>
          <w:tcPr>
            <w:tcW w:w="164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验收时间</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2018.</w:t>
            </w:r>
            <w:r>
              <w:rPr>
                <w:rFonts w:hint="eastAsia" w:ascii="Times New Roman" w:hAnsi="Times New Roman" w:eastAsia="宋体" w:cs="Times New Roman"/>
                <w:sz w:val="16"/>
                <w:szCs w:val="16"/>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25" w:hRule="exact"/>
          <w:jc w:val="center"/>
        </w:trPr>
        <w:tc>
          <w:tcPr>
            <w:tcW w:w="562" w:type="dxa"/>
            <w:gridSpan w:val="2"/>
            <w:vMerge w:val="restart"/>
            <w:shd w:val="clear" w:color="auto" w:fill="auto"/>
            <w:vAlign w:val="center"/>
          </w:tcPr>
          <w:p>
            <w:pPr>
              <w:pStyle w:val="20"/>
              <w:widowControl w:val="0"/>
              <w:adjustRightInd/>
              <w:snapToGrid/>
              <w:spacing w:after="0" w:afterLines="-2147483648"/>
              <w:jc w:val="both"/>
              <w:rPr>
                <w:rFonts w:hint="default" w:ascii="Times New Roman" w:hAnsi="Times New Roman" w:eastAsia="宋体" w:cs="Times New Roman"/>
                <w:sz w:val="16"/>
                <w:szCs w:val="16"/>
                <w:vertAlign w:val="baseline"/>
                <w:lang w:val="en-US" w:eastAsia="zh-CN"/>
              </w:rPr>
            </w:pPr>
          </w:p>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污染物排放达标与总量控制（工业建设项目详填）</w:t>
            </w: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污染物</w:t>
            </w:r>
          </w:p>
        </w:tc>
        <w:tc>
          <w:tcPr>
            <w:tcW w:w="953"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原有排放量(1)</w:t>
            </w:r>
          </w:p>
        </w:tc>
        <w:tc>
          <w:tcPr>
            <w:tcW w:w="1133" w:type="dxa"/>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本期工程实际排放浓度(2)</w:t>
            </w:r>
          </w:p>
        </w:tc>
        <w:tc>
          <w:tcPr>
            <w:tcW w:w="1134"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本期工程允许排放浓度(3)</w:t>
            </w:r>
          </w:p>
        </w:tc>
        <w:tc>
          <w:tcPr>
            <w:tcW w:w="992" w:type="dxa"/>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本期工程产生量(4)</w:t>
            </w:r>
          </w:p>
        </w:tc>
        <w:tc>
          <w:tcPr>
            <w:tcW w:w="1134"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本期工程自身削减量(5)</w:t>
            </w:r>
          </w:p>
        </w:tc>
        <w:tc>
          <w:tcPr>
            <w:tcW w:w="1133" w:type="dxa"/>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本期工程实际排放量(6)</w:t>
            </w:r>
          </w:p>
        </w:tc>
        <w:tc>
          <w:tcPr>
            <w:tcW w:w="1134" w:type="dxa"/>
            <w:gridSpan w:val="3"/>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本期工程核定排放总量(7)</w:t>
            </w:r>
          </w:p>
        </w:tc>
        <w:tc>
          <w:tcPr>
            <w:tcW w:w="1445" w:type="dxa"/>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本期工程“以新带老”削减量(8)</w:t>
            </w:r>
          </w:p>
        </w:tc>
        <w:tc>
          <w:tcPr>
            <w:tcW w:w="1200" w:type="dxa"/>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全厂实际排放总量(9)</w:t>
            </w:r>
          </w:p>
        </w:tc>
        <w:tc>
          <w:tcPr>
            <w:tcW w:w="993"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全厂核定排放总量(10)</w:t>
            </w:r>
          </w:p>
        </w:tc>
        <w:tc>
          <w:tcPr>
            <w:tcW w:w="1188"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区域平衡替代削减量(11)</w:t>
            </w:r>
          </w:p>
        </w:tc>
        <w:tc>
          <w:tcPr>
            <w:tcW w:w="899"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废水</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7632.15</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化学需氧量</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83</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sz w:val="16"/>
                <w:szCs w:val="16"/>
                <w:vertAlign w:val="baseline"/>
                <w:lang w:val="en-US" w:eastAsia="zh-CN"/>
              </w:rPr>
              <w:t>250</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4"/>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0.633</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氨氮</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11.4</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4"/>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0.087</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石油类</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废气</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二氧化硫</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烟尘</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工业粉尘</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氮氧化物</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工业固体废物</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3" w:type="dxa"/>
            <w:vMerge w:val="restart"/>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与项目有关的其他特征污染物</w:t>
            </w:r>
          </w:p>
        </w:tc>
        <w:tc>
          <w:tcPr>
            <w:tcW w:w="747"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eastAsia"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3"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747"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3"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747"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exact"/>
          <w:jc w:val="center"/>
        </w:trPr>
        <w:tc>
          <w:tcPr>
            <w:tcW w:w="15640" w:type="dxa"/>
            <w:gridSpan w:val="24"/>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注：1、排放增减量：（+）表示增加，（-）表示减少； 2、(12)=(6)-(8)-(11)，（9）= (4)-(5)-(8)- (11) +（1）； 3、计量单位：废水排放量——万吨/年；废气排放量——万标立方米/年；工业固体废物排放量——万吨/年； 水污染物排放浓度——毫克/升；大气污染物排放浓度——毫克/立方米；水污染物排放量——吨/年；大气污染物排放量——吨/年</w:t>
            </w:r>
          </w:p>
        </w:tc>
      </w:tr>
    </w:tbl>
    <w:p>
      <w:pPr>
        <w:pStyle w:val="18"/>
        <w:rPr>
          <w:rFonts w:hint="default" w:ascii="Times New Roman" w:hAnsi="Times New Roman" w:eastAsia="宋体" w:cs="Times New Roman"/>
          <w:b w:val="0"/>
          <w:i w:val="0"/>
          <w:color w:val="000000"/>
          <w:sz w:val="24"/>
          <w:szCs w:val="24"/>
          <w:lang w:val="en-US" w:eastAsia="zh-CN"/>
        </w:rPr>
        <w:sectPr>
          <w:pgSz w:w="16838" w:h="11906" w:orient="landscape"/>
          <w:pgMar w:top="1440" w:right="1800" w:bottom="1440" w:left="1800" w:header="851" w:footer="992" w:gutter="0"/>
          <w:pgNumType w:fmt="decimal"/>
          <w:cols w:space="425" w:num="1"/>
          <w:docGrid w:type="lines" w:linePitch="312" w:charSpace="0"/>
        </w:sectPr>
      </w:pPr>
    </w:p>
    <w:p>
      <w:pPr>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附图1 项目地理位置图</w:t>
      </w:r>
    </w:p>
    <w:p>
      <w:pPr>
        <w:pStyle w:val="18"/>
        <w:ind w:left="0" w:leftChars="0" w:firstLine="0" w:firstLineChars="0"/>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default"/>
          <w:lang w:val="en-US" w:eastAsia="zh-CN"/>
        </w:rPr>
        <w:drawing>
          <wp:inline distT="0" distB="0" distL="114300" distR="114300">
            <wp:extent cx="8853170" cy="4867910"/>
            <wp:effectExtent l="9525" t="9525" r="14605" b="18415"/>
            <wp:docPr id="4" name="图片 4" descr="1545872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45872315(1)"/>
                    <pic:cNvPicPr>
                      <a:picLocks noChangeAspect="1"/>
                    </pic:cNvPicPr>
                  </pic:nvPicPr>
                  <pic:blipFill>
                    <a:blip r:embed="rId9"/>
                    <a:stretch>
                      <a:fillRect/>
                    </a:stretch>
                  </pic:blipFill>
                  <pic:spPr>
                    <a:xfrm>
                      <a:off x="0" y="0"/>
                      <a:ext cx="8853170" cy="4867910"/>
                    </a:xfrm>
                    <a:prstGeom prst="rect">
                      <a:avLst/>
                    </a:prstGeom>
                    <a:ln>
                      <a:solidFill>
                        <a:schemeClr val="tx1"/>
                      </a:solidFill>
                    </a:ln>
                  </pic:spPr>
                </pic:pic>
              </a:graphicData>
            </a:graphic>
          </wp:inline>
        </w:drawing>
      </w:r>
    </w:p>
    <w:p>
      <w:pPr>
        <w:rPr>
          <w:rFonts w:hint="eastAsia" w:ascii="Times New Roman" w:hAnsi="Times New Roman" w:cs="Times New Roman"/>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附图</w:t>
      </w:r>
      <w:r>
        <w:rPr>
          <w:rFonts w:hint="eastAsia" w:ascii="Times New Roman" w:hAnsi="Times New Roman" w:cs="Times New Roman"/>
          <w:b/>
          <w:kern w:val="2"/>
          <w:sz w:val="24"/>
          <w:szCs w:val="24"/>
          <w:lang w:val="en-US" w:eastAsia="zh-CN" w:bidi="ar-SA"/>
        </w:rPr>
        <w:t>2</w:t>
      </w:r>
      <w:r>
        <w:rPr>
          <w:rFonts w:hint="eastAsia" w:ascii="Times New Roman" w:hAnsi="Times New Roman" w:cs="Times New Roman" w:eastAsiaTheme="minorEastAsia"/>
          <w:b/>
          <w:kern w:val="2"/>
          <w:sz w:val="24"/>
          <w:szCs w:val="24"/>
          <w:lang w:val="en-US" w:eastAsia="zh-CN" w:bidi="ar-SA"/>
        </w:rPr>
        <w:t xml:space="preserve"> </w:t>
      </w:r>
      <w:r>
        <w:rPr>
          <w:rFonts w:hint="eastAsia" w:ascii="Times New Roman" w:hAnsi="Times New Roman" w:cs="Times New Roman"/>
          <w:b/>
          <w:kern w:val="2"/>
          <w:sz w:val="24"/>
          <w:szCs w:val="24"/>
          <w:lang w:val="en-US" w:eastAsia="zh-CN" w:bidi="ar-SA"/>
        </w:rPr>
        <w:t>平面布置及采样布点图</w:t>
      </w:r>
    </w:p>
    <w:p>
      <w:pPr>
        <w:pStyle w:val="18"/>
        <w:ind w:left="0" w:leftChars="0" w:firstLine="0" w:firstLineChars="0"/>
        <w:rPr>
          <w:rFonts w:hint="eastAsia" w:ascii="Times New Roman" w:hAnsi="Times New Roman" w:cs="Times New Roman"/>
          <w:b/>
          <w:kern w:val="2"/>
          <w:sz w:val="24"/>
          <w:szCs w:val="24"/>
          <w:lang w:val="en-US" w:eastAsia="zh-CN" w:bidi="ar-SA"/>
        </w:rPr>
      </w:pPr>
    </w:p>
    <w:p>
      <w:pPr>
        <w:pStyle w:val="18"/>
        <w:ind w:left="0" w:leftChars="0" w:firstLine="0" w:firstLineChars="0"/>
        <w:rPr>
          <w:rFonts w:hint="eastAsia" w:ascii="Times New Roman" w:hAnsi="Times New Roman" w:cs="Times New Roman"/>
          <w:b/>
          <w:kern w:val="2"/>
          <w:sz w:val="24"/>
          <w:szCs w:val="24"/>
          <w:lang w:val="en-US" w:eastAsia="zh-CN" w:bidi="ar-SA"/>
        </w:rPr>
      </w:pPr>
    </w:p>
    <w:p>
      <w:pPr>
        <w:pStyle w:val="18"/>
        <w:rPr>
          <w:rFonts w:hint="eastAsia"/>
          <w:lang w:val="en-US" w:eastAsia="zh-CN"/>
        </w:rPr>
      </w:pPr>
      <w:r>
        <w:rPr>
          <w:sz w:val="24"/>
        </w:rPr>
        <mc:AlternateContent>
          <mc:Choice Requires="wps">
            <w:drawing>
              <wp:anchor distT="0" distB="0" distL="114300" distR="114300" simplePos="0" relativeHeight="182446080" behindDoc="0" locked="0" layoutInCell="1" allowOverlap="1">
                <wp:simplePos x="0" y="0"/>
                <wp:positionH relativeFrom="column">
                  <wp:posOffset>699135</wp:posOffset>
                </wp:positionH>
                <wp:positionV relativeFrom="paragraph">
                  <wp:posOffset>779780</wp:posOffset>
                </wp:positionV>
                <wp:extent cx="3963670" cy="4077335"/>
                <wp:effectExtent l="6350" t="6350" r="11430" b="12065"/>
                <wp:wrapNone/>
                <wp:docPr id="26" name="矩形 26"/>
                <wp:cNvGraphicFramePr/>
                <a:graphic xmlns:a="http://schemas.openxmlformats.org/drawingml/2006/main">
                  <a:graphicData uri="http://schemas.microsoft.com/office/word/2010/wordprocessingShape">
                    <wps:wsp>
                      <wps:cNvSpPr/>
                      <wps:spPr>
                        <a:xfrm>
                          <a:off x="1651635" y="2420620"/>
                          <a:ext cx="3963670" cy="4077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05pt;margin-top:61.4pt;height:321.05pt;width:312.1pt;z-index:182446080;v-text-anchor:middle;mso-width-relative:page;mso-height-relative:page;" filled="f" stroked="t" coordsize="21600,21600" o:gfxdata="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t3f&#10;sdgAAAALAQAADwAAAAAAAAABACAAAAAiAAAAZHJzL2Rvd25yZXYueG1sUEsBAhQAFAAAAAgAh07i&#10;QJ0XOu9bAgAAjAQAAA4AAAAAAAAAAQAgAAAAJwEAAGRycy9lMm9Eb2MueG1sUEsFBgAAAAAGAAYA&#10;WQEAAPQFAA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4173942784" behindDoc="0" locked="0" layoutInCell="1" allowOverlap="1">
                <wp:simplePos x="0" y="0"/>
                <wp:positionH relativeFrom="column">
                  <wp:posOffset>2472055</wp:posOffset>
                </wp:positionH>
                <wp:positionV relativeFrom="paragraph">
                  <wp:posOffset>495300</wp:posOffset>
                </wp:positionV>
                <wp:extent cx="494030" cy="316230"/>
                <wp:effectExtent l="0" t="0" r="0" b="0"/>
                <wp:wrapNone/>
                <wp:docPr id="21" name="矩形 21"/>
                <wp:cNvGraphicFramePr/>
                <a:graphic xmlns:a="http://schemas.openxmlformats.org/drawingml/2006/main">
                  <a:graphicData uri="http://schemas.microsoft.com/office/word/2010/wordprocessingShape">
                    <wps:wsp>
                      <wps:cNvSpPr/>
                      <wps:spPr>
                        <a:xfrm>
                          <a:off x="0" y="0"/>
                          <a:ext cx="49403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65pt;margin-top:39pt;height:24.9pt;width:38.9pt;z-index:-121024512;v-text-anchor:middle;mso-width-relative:page;mso-height-relative:page;" filled="f" stroked="f" coordsize="21600,21600" o:gfxdata="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90dSdgAAAAKAQAADwAAAAAAAAABACAAAAAi&#10;AAAAZHJzL2Rvd25yZXYueG1sUEsBAhQAFAAAAAgAh07iQKK31+BDAgAAYAQAAA4AAAAAAAAAAQAg&#10;AAAAJwEAAGRycy9lMm9Eb2MueG1sUEsFBgAAAAAGAAYAWQEAANwFAAAAAA==&#10;">
                <v:fill on="f" focussize="0,0"/>
                <v:stroke on="f" weight="1pt" miterlimit="8" joinstyle="miter"/>
                <v:imagedata o:title=""/>
                <o:lock v:ext="edit" aspectratio="f"/>
                <v:textbo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4</w:t>
                      </w:r>
                    </w:p>
                  </w:txbxContent>
                </v:textbox>
              </v:rect>
            </w:pict>
          </mc:Fallback>
        </mc:AlternateContent>
      </w:r>
      <w:r>
        <w:rPr>
          <w:rFonts w:hint="eastAsia" w:ascii="Times New Roman" w:hAnsi="Times New Roman" w:cs="Times New Roman"/>
          <w:b/>
          <w:kern w:val="2"/>
          <w:sz w:val="24"/>
          <w:szCs w:val="24"/>
          <w:lang w:val="en-US" w:eastAsia="zh-CN" w:bidi="ar-SA"/>
        </w:rPr>
        <w:t xml:space="preserve">                                                        </w:t>
      </w:r>
      <w:r>
        <w:rPr>
          <w:rFonts w:hint="eastAsia" w:ascii="Times New Roman" w:hAnsi="Times New Roman" w:cs="Times New Roman"/>
          <w:b/>
          <w:kern w:val="2"/>
          <w:sz w:val="24"/>
          <w:szCs w:val="24"/>
          <w:lang w:val="en-US" w:eastAsia="zh-CN" w:bidi="ar-SA"/>
        </w:rPr>
        <w:drawing>
          <wp:inline distT="0" distB="0" distL="114300" distR="114300">
            <wp:extent cx="419100" cy="581025"/>
            <wp:effectExtent l="9525" t="9525" r="9525" b="19050"/>
            <wp:docPr id="24" name="图片 24" descr="1545874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45874908(1)"/>
                    <pic:cNvPicPr>
                      <a:picLocks noChangeAspect="1"/>
                    </pic:cNvPicPr>
                  </pic:nvPicPr>
                  <pic:blipFill>
                    <a:blip r:embed="rId10"/>
                    <a:stretch>
                      <a:fillRect/>
                    </a:stretch>
                  </pic:blipFill>
                  <pic:spPr>
                    <a:xfrm>
                      <a:off x="0" y="0"/>
                      <a:ext cx="419100" cy="581025"/>
                    </a:xfrm>
                    <a:prstGeom prst="rect">
                      <a:avLst/>
                    </a:prstGeom>
                    <a:ln>
                      <a:solidFill>
                        <a:schemeClr val="tx1"/>
                      </a:solidFill>
                    </a:ln>
                  </pic:spPr>
                </pic:pic>
              </a:graphicData>
            </a:graphic>
          </wp:inline>
        </w:drawing>
      </w:r>
    </w:p>
    <w:p>
      <w:pPr>
        <w:rPr>
          <w:rFonts w:hint="eastAsia"/>
          <w:lang w:val="en-US" w:eastAsia="zh-CN"/>
        </w:rPr>
      </w:pPr>
      <w:r>
        <w:rPr>
          <w:sz w:val="21"/>
        </w:rPr>
        <mc:AlternateContent>
          <mc:Choice Requires="wps">
            <w:drawing>
              <wp:anchor distT="0" distB="0" distL="114300" distR="114300" simplePos="0" relativeHeight="182448128" behindDoc="0" locked="0" layoutInCell="1" allowOverlap="1">
                <wp:simplePos x="0" y="0"/>
                <wp:positionH relativeFrom="column">
                  <wp:posOffset>5227955</wp:posOffset>
                </wp:positionH>
                <wp:positionV relativeFrom="paragraph">
                  <wp:posOffset>52070</wp:posOffset>
                </wp:positionV>
                <wp:extent cx="0" cy="4000500"/>
                <wp:effectExtent l="5080" t="0" r="13970" b="0"/>
                <wp:wrapNone/>
                <wp:docPr id="60" name="直接连接符 60"/>
                <wp:cNvGraphicFramePr/>
                <a:graphic xmlns:a="http://schemas.openxmlformats.org/drawingml/2006/main">
                  <a:graphicData uri="http://schemas.microsoft.com/office/word/2010/wordprocessingShape">
                    <wps:wsp>
                      <wps:cNvCnPr/>
                      <wps:spPr>
                        <a:xfrm>
                          <a:off x="6475730" y="2541905"/>
                          <a:ext cx="0" cy="400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1.65pt;margin-top:4.1pt;height:315pt;width:0pt;z-index:182448128;mso-width-relative:page;mso-height-relative:page;" filled="f" stroked="t" coordsize="21600,21600" o:gfxdata="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7sDinVAAAACQEAAA8AAAAAAAAAAQAgAAAA&#10;IgAAAGRycy9kb3ducmV2LnhtbFBLAQIUABQAAAAIAIdO4kCA3OFj1QEAAHEDAAAOAAAAAAAAAAEA&#10;IAAAACQBAABkcnMvZTJvRG9jLnhtbFBLBQYAAAAABgAGAFkBAABr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182447104" behindDoc="0" locked="0" layoutInCell="1" allowOverlap="1">
                <wp:simplePos x="0" y="0"/>
                <wp:positionH relativeFrom="column">
                  <wp:posOffset>4827905</wp:posOffset>
                </wp:positionH>
                <wp:positionV relativeFrom="paragraph">
                  <wp:posOffset>42545</wp:posOffset>
                </wp:positionV>
                <wp:extent cx="0" cy="4019550"/>
                <wp:effectExtent l="5080" t="0" r="13970" b="0"/>
                <wp:wrapNone/>
                <wp:docPr id="59" name="直接连接符 59"/>
                <wp:cNvGraphicFramePr/>
                <a:graphic xmlns:a="http://schemas.openxmlformats.org/drawingml/2006/main">
                  <a:graphicData uri="http://schemas.microsoft.com/office/word/2010/wordprocessingShape">
                    <wps:wsp>
                      <wps:cNvCnPr/>
                      <wps:spPr>
                        <a:xfrm>
                          <a:off x="6180455" y="2541905"/>
                          <a:ext cx="0" cy="401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80.15pt;margin-top:3.35pt;height:316.5pt;width:0pt;z-index:182447104;mso-width-relative:page;mso-height-relative:page;" filled="f" stroked="t" coordsize="21600,21600" o:gfxdata="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GtWpjVAAAACQEAAA8AAAAAAAAAAQAg&#10;AAAAIgAAAGRycy9kb3ducmV2LnhtbFBLAQIUABQAAAAIAIdO4kBBwm1Z2AEAAHEDAAAOAAAAAAAA&#10;AAEAIAAAACQBAABkcnMvZTJvRG9jLnhtbFBLBQYAAAAABgAGAFkBAABu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485914624" behindDoc="0" locked="0" layoutInCell="1" allowOverlap="1">
                <wp:simplePos x="0" y="0"/>
                <wp:positionH relativeFrom="column">
                  <wp:posOffset>984885</wp:posOffset>
                </wp:positionH>
                <wp:positionV relativeFrom="paragraph">
                  <wp:posOffset>195580</wp:posOffset>
                </wp:positionV>
                <wp:extent cx="3486150" cy="685800"/>
                <wp:effectExtent l="6350" t="6350" r="12700" b="12700"/>
                <wp:wrapNone/>
                <wp:docPr id="5" name="矩形 5"/>
                <wp:cNvGraphicFramePr/>
                <a:graphic xmlns:a="http://schemas.openxmlformats.org/drawingml/2006/main">
                  <a:graphicData uri="http://schemas.microsoft.com/office/word/2010/wordprocessingShape">
                    <wps:wsp>
                      <wps:cNvSpPr/>
                      <wps:spPr>
                        <a:xfrm>
                          <a:off x="2242185" y="2407285"/>
                          <a:ext cx="348615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55pt;margin-top:15.4pt;height:54pt;width:274.5pt;z-index:485914624;v-text-anchor:middle;mso-width-relative:page;mso-height-relative:page;" filled="f" stroked="t" coordsize="21600,21600" o:gfxdata="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f6PNcA&#10;AAAKAQAADwAAAAAAAAABACAAAAAiAAAAZHJzL2Rvd25yZXYueG1sUEsBAhQAFAAAAAgAh07iQBiU&#10;g8pZAgAAiQQAAA4AAAAAAAAAAQAgAAAAJgEAAGRycy9lMm9Eb2MueG1sUEsFBgAAAAAGAAYAWQEA&#10;APEFAAAAAA==&#10;">
                <v:fill on="f" focussize="0,0"/>
                <v:stroke weight="1pt" color="#000000 [3213]" miterlimit="8" joinstyle="miter"/>
                <v:imagedata o:title=""/>
                <o:lock v:ext="edit" aspectratio="f"/>
              </v:rect>
            </w:pict>
          </mc:Fallback>
        </mc:AlternateContent>
      </w:r>
    </w:p>
    <w:p>
      <w:pPr>
        <w:rPr>
          <w:rFonts w:hint="eastAsia"/>
          <w:lang w:val="en-US" w:eastAsia="zh-CN"/>
        </w:rPr>
      </w:pPr>
      <w:r>
        <w:rPr>
          <w:sz w:val="21"/>
        </w:rPr>
        <mc:AlternateContent>
          <mc:Choice Requires="wps">
            <w:drawing>
              <wp:anchor distT="0" distB="0" distL="114300" distR="114300" simplePos="0" relativeHeight="1188687872" behindDoc="0" locked="0" layoutInCell="1" allowOverlap="1">
                <wp:simplePos x="0" y="0"/>
                <wp:positionH relativeFrom="column">
                  <wp:posOffset>2277745</wp:posOffset>
                </wp:positionH>
                <wp:positionV relativeFrom="paragraph">
                  <wp:posOffset>149860</wp:posOffset>
                </wp:positionV>
                <wp:extent cx="809625" cy="342900"/>
                <wp:effectExtent l="0" t="0" r="0" b="0"/>
                <wp:wrapNone/>
                <wp:docPr id="10" name="矩形 10"/>
                <wp:cNvGraphicFramePr/>
                <a:graphic xmlns:a="http://schemas.openxmlformats.org/drawingml/2006/main">
                  <a:graphicData uri="http://schemas.microsoft.com/office/word/2010/wordprocessingShape">
                    <wps:wsp>
                      <wps:cNvSpPr/>
                      <wps:spPr>
                        <a:xfrm>
                          <a:off x="3420745" y="2645410"/>
                          <a:ext cx="80962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一号楼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35pt;margin-top:11.8pt;height:27pt;width:63.75pt;z-index:1188687872;v-text-anchor:middle;mso-width-relative:page;mso-height-relative:page;" filled="f" stroked="f" coordsize="21600,21600" o:gfxdata="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qOjdgAAAAJAQAADwAA&#10;AAAAAAABACAAAAAiAAAAZHJzL2Rvd25yZXYueG1sUEsBAhQAFAAAAAgAh07iQLB9RMVPAgAAbAQA&#10;AA4AAAAAAAAAAQAgAAAAJwEAAGRycy9lMm9Eb2MueG1sUEsFBgAAAAAGAAYAWQEAAOgFAAAAAA==&#10;">
                <v:fill on="f" focussize="0,0"/>
                <v:stroke on="f" weight="1pt"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一号楼</w:t>
                      </w:r>
                    </w:p>
                  </w:txbxContent>
                </v:textbox>
              </v:rect>
            </w:pict>
          </mc:Fallback>
        </mc:AlternateContent>
      </w:r>
    </w:p>
    <w:p>
      <w:pPr>
        <w:rPr>
          <w:rFonts w:hint="eastAsia"/>
          <w:lang w:val="en-US" w:eastAsia="zh-CN"/>
        </w:rPr>
      </w:pPr>
      <w:r>
        <w:rPr>
          <w:sz w:val="21"/>
        </w:rPr>
        <mc:AlternateContent>
          <mc:Choice Requires="wps">
            <w:drawing>
              <wp:anchor distT="0" distB="0" distL="114300" distR="114300" simplePos="0" relativeHeight="3452937216" behindDoc="0" locked="0" layoutInCell="1" allowOverlap="1">
                <wp:simplePos x="0" y="0"/>
                <wp:positionH relativeFrom="column">
                  <wp:posOffset>1249045</wp:posOffset>
                </wp:positionH>
                <wp:positionV relativeFrom="paragraph">
                  <wp:posOffset>124460</wp:posOffset>
                </wp:positionV>
                <wp:extent cx="895350" cy="360680"/>
                <wp:effectExtent l="6350" t="6350" r="12700" b="13970"/>
                <wp:wrapNone/>
                <wp:docPr id="17" name="矩形 17"/>
                <wp:cNvGraphicFramePr/>
                <a:graphic xmlns:a="http://schemas.openxmlformats.org/drawingml/2006/main">
                  <a:graphicData uri="http://schemas.microsoft.com/office/word/2010/wordprocessingShape">
                    <wps:wsp>
                      <wps:cNvSpPr/>
                      <wps:spPr>
                        <a:xfrm>
                          <a:off x="0" y="0"/>
                          <a:ext cx="895350" cy="360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危废暂存间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35pt;margin-top:9.8pt;height:28.4pt;width:70.5pt;z-index:-842030080;v-text-anchor:middle;mso-width-relative:page;mso-height-relative:page;" filled="f" stroked="t" coordsize="21600,21600" o:gfxdata="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VWLFb1wAAAAkBAAAP&#10;AAAAAAAAAAEAIAAAACIAAABkcnMvZG93bnJldi54bWxQSwECFAAUAAAACACHTuJAy+xYF1ICAACJ&#10;BAAADgAAAAAAAAABACAAAAAmAQAAZHJzL2Uyb0RvYy54bWxQSwUGAAAAAAYABgBZAQAA6gU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危废暂存间</w:t>
                      </w:r>
                    </w:p>
                  </w:txbxContent>
                </v:textbox>
              </v:rect>
            </w:pict>
          </mc:Fallback>
        </mc:AlternateContent>
      </w:r>
    </w:p>
    <w:p>
      <w:pPr>
        <w:rPr>
          <w:rFonts w:hint="eastAsia"/>
          <w:lang w:val="en-US" w:eastAsia="zh-CN"/>
        </w:rPr>
        <w:sectPr>
          <w:pgSz w:w="11906" w:h="16838"/>
          <w:pgMar w:top="1440" w:right="1800" w:bottom="1440" w:left="1800" w:header="851" w:footer="992" w:gutter="0"/>
          <w:pgNumType w:fmt="decimal"/>
          <w:cols w:space="425" w:num="1"/>
          <w:docGrid w:type="lines" w:linePitch="312" w:charSpace="0"/>
        </w:sectPr>
      </w:pPr>
      <w:r>
        <w:rPr>
          <w:sz w:val="24"/>
        </w:rPr>
        <mc:AlternateContent>
          <mc:Choice Requires="wps">
            <w:drawing>
              <wp:anchor distT="0" distB="0" distL="114300" distR="114300" simplePos="0" relativeHeight="1776505856" behindDoc="0" locked="0" layoutInCell="1" allowOverlap="1">
                <wp:simplePos x="0" y="0"/>
                <wp:positionH relativeFrom="column">
                  <wp:posOffset>4337685</wp:posOffset>
                </wp:positionH>
                <wp:positionV relativeFrom="paragraph">
                  <wp:posOffset>310515</wp:posOffset>
                </wp:positionV>
                <wp:extent cx="533400" cy="295275"/>
                <wp:effectExtent l="0" t="0" r="0" b="0"/>
                <wp:wrapNone/>
                <wp:docPr id="23" name="矩形 23"/>
                <wp:cNvGraphicFramePr/>
                <a:graphic xmlns:a="http://schemas.openxmlformats.org/drawingml/2006/main">
                  <a:graphicData uri="http://schemas.microsoft.com/office/word/2010/wordprocessingShape">
                    <wps:wsp>
                      <wps:cNvSpPr/>
                      <wps:spPr>
                        <a:xfrm>
                          <a:off x="0" y="0"/>
                          <a:ext cx="5334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55pt;margin-top:24.45pt;height:23.25pt;width:42pt;z-index:1776505856;v-text-anchor:middle;mso-width-relative:page;mso-height-relative:page;" filled="f" stroked="f" coordsize="21600,21600" o:gfxdata="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7AMPYAAAACQEAAA8AAAAAAAAAAQAgAAAA&#10;IgAAAGRycy9kb3ducmV2LnhtbFBLAQIUABQAAAAIAIdO4kBeK6h7RAIAAGAEAAAOAAAAAAAAAAEA&#10;IAAAACcBAABkcnMvZTJvRG9jLnhtbFBLBQYAAAAABgAGAFkBAADdBQAAAAA=&#10;">
                <v:fill on="f" focussize="0,0"/>
                <v:stroke on="f" weight="1pt" miterlimit="8" joinstyle="miter"/>
                <v:imagedata o:title=""/>
                <o:lock v:ext="edit" aspectratio="f"/>
                <v:textbo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3</w:t>
                      </w:r>
                    </w:p>
                  </w:txbxContent>
                </v:textbox>
              </v:rect>
            </w:pict>
          </mc:Fallback>
        </mc:AlternateContent>
      </w:r>
      <w:r>
        <w:rPr>
          <w:sz w:val="24"/>
        </w:rPr>
        <mc:AlternateContent>
          <mc:Choice Requires="wps">
            <w:drawing>
              <wp:anchor distT="0" distB="0" distL="114300" distR="114300" simplePos="0" relativeHeight="1776505856" behindDoc="0" locked="0" layoutInCell="1" allowOverlap="1">
                <wp:simplePos x="0" y="0"/>
                <wp:positionH relativeFrom="column">
                  <wp:posOffset>1670685</wp:posOffset>
                </wp:positionH>
                <wp:positionV relativeFrom="paragraph">
                  <wp:posOffset>291465</wp:posOffset>
                </wp:positionV>
                <wp:extent cx="533400" cy="295275"/>
                <wp:effectExtent l="0" t="0" r="0" b="0"/>
                <wp:wrapNone/>
                <wp:docPr id="42" name="矩形 42"/>
                <wp:cNvGraphicFramePr/>
                <a:graphic xmlns:a="http://schemas.openxmlformats.org/drawingml/2006/main">
                  <a:graphicData uri="http://schemas.microsoft.com/office/word/2010/wordprocessingShape">
                    <wps:wsp>
                      <wps:cNvSpPr/>
                      <wps:spPr>
                        <a:xfrm>
                          <a:off x="0" y="0"/>
                          <a:ext cx="5334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55pt;margin-top:22.95pt;height:23.25pt;width:42pt;z-index:1776505856;v-text-anchor:middle;mso-width-relative:page;mso-height-relative:page;" filled="f" stroked="f" coordsize="21600,21600" o:gfxdata="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4rMsrYAAAACQEAAA8AAAAAAAAAAQAgAAAA&#10;IgAAAGRycy9kb3ducmV2LnhtbFBLAQIUABQAAAAIAIdO4kDIYAJuRAIAAGAEAAAOAAAAAAAAAAEA&#10;IAAAACcBAABkcnMvZTJvRG9jLnhtbFBLBQYAAAAABgAGAFkBAADdBQAAAAA=&#10;">
                <v:fill on="f" focussize="0,0"/>
                <v:stroke on="f" weight="1pt" miterlimit="8" joinstyle="miter"/>
                <v:imagedata o:title=""/>
                <o:lock v:ext="edit" aspectratio="f"/>
                <v:textbo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2</w:t>
                      </w:r>
                    </w:p>
                  </w:txbxContent>
                </v:textbox>
              </v:rect>
            </w:pict>
          </mc:Fallback>
        </mc:AlternateContent>
      </w:r>
      <w:r>
        <w:rPr>
          <w:sz w:val="24"/>
        </w:rPr>
        <mc:AlternateContent>
          <mc:Choice Requires="wps">
            <w:drawing>
              <wp:anchor distT="0" distB="0" distL="114300" distR="114300" simplePos="0" relativeHeight="182449152" behindDoc="0" locked="0" layoutInCell="1" allowOverlap="1">
                <wp:simplePos x="0" y="0"/>
                <wp:positionH relativeFrom="column">
                  <wp:posOffset>4856480</wp:posOffset>
                </wp:positionH>
                <wp:positionV relativeFrom="paragraph">
                  <wp:posOffset>230505</wp:posOffset>
                </wp:positionV>
                <wp:extent cx="372110" cy="2446020"/>
                <wp:effectExtent l="0" t="0" r="0" b="0"/>
                <wp:wrapNone/>
                <wp:docPr id="61" name="矩形 61"/>
                <wp:cNvGraphicFramePr/>
                <a:graphic xmlns:a="http://schemas.openxmlformats.org/drawingml/2006/main">
                  <a:graphicData uri="http://schemas.microsoft.com/office/word/2010/wordprocessingShape">
                    <wps:wsp>
                      <wps:cNvSpPr/>
                      <wps:spPr>
                        <a:xfrm>
                          <a:off x="6066155" y="3713480"/>
                          <a:ext cx="372110" cy="2446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吉</w:t>
                            </w:r>
                          </w:p>
                          <w:p>
                            <w:pPr>
                              <w:jc w:val="center"/>
                              <w:rPr>
                                <w:rFonts w:hint="eastAsia"/>
                                <w:color w:val="000000" w:themeColor="text1"/>
                                <w:sz w:val="28"/>
                                <w:szCs w:val="28"/>
                                <w:lang w:val="en-US" w:eastAsia="zh-CN"/>
                                <w14:textFill>
                                  <w14:solidFill>
                                    <w14:schemeClr w14:val="tx1"/>
                                  </w14:solidFill>
                                </w14:textFill>
                              </w:rPr>
                            </w:pPr>
                          </w:p>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祥</w:t>
                            </w:r>
                          </w:p>
                          <w:p>
                            <w:pPr>
                              <w:jc w:val="center"/>
                              <w:rPr>
                                <w:rFonts w:hint="eastAsia"/>
                                <w:color w:val="000000" w:themeColor="text1"/>
                                <w:sz w:val="28"/>
                                <w:szCs w:val="28"/>
                                <w:lang w:val="en-US" w:eastAsia="zh-CN"/>
                                <w14:textFill>
                                  <w14:solidFill>
                                    <w14:schemeClr w14:val="tx1"/>
                                  </w14:solidFill>
                                </w14:textFill>
                              </w:rPr>
                            </w:pPr>
                          </w:p>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2.4pt;margin-top:18.15pt;height:192.6pt;width:29.3pt;z-index:182449152;v-text-anchor:middle;mso-width-relative:page;mso-height-relative:page;" filled="f" stroked="f" coordsize="21600,21600" o:gfxdata="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doVzZAAAACgEA&#10;AA8AAAAAAAAAAQAgAAAAIgAAAGRycy9kb3ducmV2LnhtbFBLAQIUABQAAAAIAIdO4kA2ko2YUgIA&#10;AG0EAAAOAAAAAAAAAAEAIAAAACgBAABkcnMvZTJvRG9jLnhtbFBLBQYAAAAABgAGAFkBAADsBQAA&#10;AAA=&#10;">
                <v:fill on="f" focussize="0,0"/>
                <v:stroke on="f" weight="1pt" miterlimit="8" joinstyle="miter"/>
                <v:imagedata o:title=""/>
                <o:lock v:ext="edit" aspectratio="f"/>
                <v:textbox>
                  <w:txbxContent>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吉</w:t>
                      </w:r>
                    </w:p>
                    <w:p>
                      <w:pPr>
                        <w:jc w:val="center"/>
                        <w:rPr>
                          <w:rFonts w:hint="eastAsia"/>
                          <w:color w:val="000000" w:themeColor="text1"/>
                          <w:sz w:val="28"/>
                          <w:szCs w:val="28"/>
                          <w:lang w:val="en-US" w:eastAsia="zh-CN"/>
                          <w14:textFill>
                            <w14:solidFill>
                              <w14:schemeClr w14:val="tx1"/>
                            </w14:solidFill>
                          </w14:textFill>
                        </w:rPr>
                      </w:pPr>
                    </w:p>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祥</w:t>
                      </w:r>
                    </w:p>
                    <w:p>
                      <w:pPr>
                        <w:jc w:val="center"/>
                        <w:rPr>
                          <w:rFonts w:hint="eastAsia"/>
                          <w:color w:val="000000" w:themeColor="text1"/>
                          <w:sz w:val="28"/>
                          <w:szCs w:val="28"/>
                          <w:lang w:val="en-US" w:eastAsia="zh-CN"/>
                          <w14:textFill>
                            <w14:solidFill>
                              <w14:schemeClr w14:val="tx1"/>
                            </w14:solidFill>
                          </w14:textFill>
                        </w:rPr>
                      </w:pPr>
                    </w:p>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路</w:t>
                      </w:r>
                    </w:p>
                  </w:txbxContent>
                </v:textbox>
              </v:rect>
            </w:pict>
          </mc:Fallback>
        </mc:AlternateContent>
      </w:r>
      <w:r>
        <w:rPr>
          <w:sz w:val="24"/>
        </w:rPr>
        <mc:AlternateContent>
          <mc:Choice Requires="wps">
            <w:drawing>
              <wp:anchor distT="0" distB="0" distL="114300" distR="114300" simplePos="0" relativeHeight="4243155968" behindDoc="0" locked="0" layoutInCell="1" allowOverlap="1">
                <wp:simplePos x="0" y="0"/>
                <wp:positionH relativeFrom="column">
                  <wp:posOffset>4510405</wp:posOffset>
                </wp:positionH>
                <wp:positionV relativeFrom="paragraph">
                  <wp:posOffset>1263015</wp:posOffset>
                </wp:positionV>
                <wp:extent cx="494030" cy="316230"/>
                <wp:effectExtent l="0" t="0" r="0" b="0"/>
                <wp:wrapNone/>
                <wp:docPr id="28" name="矩形 28"/>
                <wp:cNvGraphicFramePr/>
                <a:graphic xmlns:a="http://schemas.openxmlformats.org/drawingml/2006/main">
                  <a:graphicData uri="http://schemas.microsoft.com/office/word/2010/wordprocessingShape">
                    <wps:wsp>
                      <wps:cNvSpPr/>
                      <wps:spPr>
                        <a:xfrm>
                          <a:off x="0" y="0"/>
                          <a:ext cx="49403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5.15pt;margin-top:99.45pt;height:24.9pt;width:38.9pt;z-index:-51811328;v-text-anchor:middle;mso-width-relative:page;mso-height-relative:page;" filled="f" stroked="f" coordsize="21600,21600" o:gfxdata="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VI7unZAAAACwEAAA8AAAAAAAAAAQAgAAAA&#10;IgAAAGRycy9kb3ducmV2LnhtbFBLAQIUABQAAAAIAIdO4kBqp2GSQwIAAGAEAAAOAAAAAAAAAAEA&#10;IAAAACgBAABkcnMvZTJvRG9jLnhtbFBLBQYAAAAABgAGAFkBAADdBQAAAAA=&#10;">
                <v:fill on="f" focussize="0,0"/>
                <v:stroke on="f" weight="1pt" miterlimit="8" joinstyle="miter"/>
                <v:imagedata o:title=""/>
                <o:lock v:ext="edit" aspectratio="f"/>
                <v:textbo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N1</w:t>
                      </w:r>
                    </w:p>
                  </w:txbxContent>
                </v:textbox>
              </v:rect>
            </w:pict>
          </mc:Fallback>
        </mc:AlternateContent>
      </w:r>
      <w:r>
        <w:rPr>
          <w:sz w:val="24"/>
        </w:rPr>
        <mc:AlternateContent>
          <mc:Choice Requires="wps">
            <w:drawing>
              <wp:anchor distT="0" distB="0" distL="114300" distR="114300" simplePos="0" relativeHeight="182445056" behindDoc="0" locked="0" layoutInCell="1" allowOverlap="1">
                <wp:simplePos x="0" y="0"/>
                <wp:positionH relativeFrom="column">
                  <wp:posOffset>3823335</wp:posOffset>
                </wp:positionH>
                <wp:positionV relativeFrom="paragraph">
                  <wp:posOffset>4121785</wp:posOffset>
                </wp:positionV>
                <wp:extent cx="1362075" cy="706120"/>
                <wp:effectExtent l="6350" t="6350" r="22225" b="11430"/>
                <wp:wrapNone/>
                <wp:docPr id="25" name="矩形 25"/>
                <wp:cNvGraphicFramePr/>
                <a:graphic xmlns:a="http://schemas.openxmlformats.org/drawingml/2006/main">
                  <a:graphicData uri="http://schemas.microsoft.com/office/word/2010/wordprocessingShape">
                    <wps:wsp>
                      <wps:cNvSpPr/>
                      <wps:spPr>
                        <a:xfrm>
                          <a:off x="4813935" y="7415530"/>
                          <a:ext cx="1362075" cy="706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ascii="仿宋_GB2312" w:hAnsi="仿宋_GB2312" w:eastAsia="仿宋_GB2312" w:cs="仿宋_GB2312"/>
                                <w:color w:val="auto"/>
                                <w:sz w:val="21"/>
                                <w:szCs w:val="21"/>
                                <w:lang w:val="en-US"/>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废水测点</w:t>
                            </w:r>
                          </w:p>
                          <w:p>
                            <w:pPr>
                              <w:jc w:val="both"/>
                              <w:rPr>
                                <w:rFonts w:hint="eastAsia" w:ascii="宋体" w:hAnsi="宋体" w:eastAsia="宋体" w:cs="宋体"/>
                                <w:color w:val="auto"/>
                                <w:sz w:val="21"/>
                                <w:szCs w:val="21"/>
                                <w:lang w:val="en-US" w:eastAsia="zh-CN"/>
                              </w:rPr>
                            </w:pPr>
                            <w:r>
                              <w:rPr>
                                <w:rFonts w:hint="eastAsia" w:ascii="仿宋_GB2312" w:hAnsi="仿宋_GB2312" w:eastAsia="仿宋_GB2312" w:cs="仿宋_GB2312"/>
                                <w:color w:val="auto"/>
                                <w:sz w:val="21"/>
                                <w:szCs w:val="21"/>
                              </w:rPr>
                              <w:t>○</w:t>
                            </w:r>
                            <w:r>
                              <w:rPr>
                                <w:rFonts w:hint="eastAsia" w:ascii="仿宋_GB2312" w:hAnsi="仿宋_GB2312" w:eastAsia="仿宋_GB2312" w:cs="仿宋_GB2312"/>
                                <w:color w:val="auto"/>
                                <w:sz w:val="21"/>
                                <w:szCs w:val="21"/>
                                <w:lang w:eastAsia="zh-CN"/>
                              </w:rPr>
                              <w:t>：</w:t>
                            </w:r>
                            <w:r>
                              <w:rPr>
                                <w:rFonts w:hint="eastAsia" w:ascii="宋体" w:hAnsi="宋体" w:eastAsia="宋体" w:cs="宋体"/>
                                <w:color w:val="auto"/>
                                <w:sz w:val="21"/>
                                <w:szCs w:val="21"/>
                                <w:lang w:val="en-US" w:eastAsia="zh-CN"/>
                              </w:rPr>
                              <w:t>无组织废气测点</w:t>
                            </w:r>
                          </w:p>
                          <w:p>
                            <w:pPr>
                              <w:jc w:val="both"/>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噪声测点</w:t>
                            </w:r>
                          </w:p>
                          <w:p>
                            <w:pPr>
                              <w:pStyle w:val="18"/>
                              <w:ind w:left="0" w:leftChars="0" w:firstLine="0" w:firstLineChars="0"/>
                              <w:rPr>
                                <w:rFonts w:hint="eastAsia" w:eastAsia="仿宋_GB231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05pt;margin-top:324.55pt;height:55.6pt;width:107.25pt;z-index:182445056;v-text-anchor:middle;mso-width-relative:page;mso-height-relative:page;" filled="f" stroked="t" coordsize="21600,21600" o:gfxdata="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Q7j7HZAAAACwEAAA8AAAAAAAAAAQAgAAAAIgAAAGRycy9kb3ducmV2LnhtbFBLAQIUABQA&#10;AAAIAIdO4kAAGoy4YQIAAJYEAAAOAAAAAAAAAAEAIAAAACgBAABkcnMvZTJvRG9jLnhtbFBLBQYA&#10;AAAABgAGAFkBAAD7BQAAAAA=&#10;">
                <v:fill on="f" focussize="0,0"/>
                <v:stroke weight="1pt" color="#000000 [3213]" miterlimit="8" joinstyle="miter"/>
                <v:imagedata o:title=""/>
                <o:lock v:ext="edit" aspectratio="f"/>
                <v:textbox>
                  <w:txbxContent>
                    <w:p>
                      <w:pPr>
                        <w:jc w:val="both"/>
                        <w:rPr>
                          <w:rFonts w:hint="eastAsia" w:ascii="仿宋_GB2312" w:hAnsi="仿宋_GB2312" w:eastAsia="仿宋_GB2312" w:cs="仿宋_GB2312"/>
                          <w:color w:val="auto"/>
                          <w:sz w:val="21"/>
                          <w:szCs w:val="21"/>
                          <w:lang w:val="en-US"/>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废水测点</w:t>
                      </w:r>
                    </w:p>
                    <w:p>
                      <w:pPr>
                        <w:jc w:val="both"/>
                        <w:rPr>
                          <w:rFonts w:hint="eastAsia" w:ascii="宋体" w:hAnsi="宋体" w:eastAsia="宋体" w:cs="宋体"/>
                          <w:color w:val="auto"/>
                          <w:sz w:val="21"/>
                          <w:szCs w:val="21"/>
                          <w:lang w:val="en-US" w:eastAsia="zh-CN"/>
                        </w:rPr>
                      </w:pPr>
                      <w:r>
                        <w:rPr>
                          <w:rFonts w:hint="eastAsia" w:ascii="仿宋_GB2312" w:hAnsi="仿宋_GB2312" w:eastAsia="仿宋_GB2312" w:cs="仿宋_GB2312"/>
                          <w:color w:val="auto"/>
                          <w:sz w:val="21"/>
                          <w:szCs w:val="21"/>
                        </w:rPr>
                        <w:t>○</w:t>
                      </w:r>
                      <w:r>
                        <w:rPr>
                          <w:rFonts w:hint="eastAsia" w:ascii="仿宋_GB2312" w:hAnsi="仿宋_GB2312" w:eastAsia="仿宋_GB2312" w:cs="仿宋_GB2312"/>
                          <w:color w:val="auto"/>
                          <w:sz w:val="21"/>
                          <w:szCs w:val="21"/>
                          <w:lang w:eastAsia="zh-CN"/>
                        </w:rPr>
                        <w:t>：</w:t>
                      </w:r>
                      <w:r>
                        <w:rPr>
                          <w:rFonts w:hint="eastAsia" w:ascii="宋体" w:hAnsi="宋体" w:eastAsia="宋体" w:cs="宋体"/>
                          <w:color w:val="auto"/>
                          <w:sz w:val="21"/>
                          <w:szCs w:val="21"/>
                          <w:lang w:val="en-US" w:eastAsia="zh-CN"/>
                        </w:rPr>
                        <w:t>无组织废气测点</w:t>
                      </w:r>
                    </w:p>
                    <w:p>
                      <w:pPr>
                        <w:jc w:val="both"/>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噪声测点</w:t>
                      </w:r>
                    </w:p>
                    <w:p>
                      <w:pPr>
                        <w:pStyle w:val="18"/>
                        <w:ind w:left="0" w:leftChars="0" w:firstLine="0" w:firstLineChars="0"/>
                        <w:rPr>
                          <w:rFonts w:hint="eastAsia" w:eastAsia="仿宋_GB2312"/>
                          <w:lang w:val="en-US" w:eastAsia="zh-CN"/>
                        </w:rPr>
                      </w:pPr>
                    </w:p>
                  </w:txbxContent>
                </v:textbox>
              </v:rect>
            </w:pict>
          </mc:Fallback>
        </mc:AlternateContent>
      </w:r>
      <w:r>
        <w:rPr>
          <w:sz w:val="24"/>
        </w:rPr>
        <mc:AlternateContent>
          <mc:Choice Requires="wps">
            <w:drawing>
              <wp:anchor distT="0" distB="0" distL="114300" distR="114300" simplePos="0" relativeHeight="4197410816" behindDoc="0" locked="0" layoutInCell="1" allowOverlap="1">
                <wp:simplePos x="0" y="0"/>
                <wp:positionH relativeFrom="column">
                  <wp:posOffset>3794760</wp:posOffset>
                </wp:positionH>
                <wp:positionV relativeFrom="paragraph">
                  <wp:posOffset>1282065</wp:posOffset>
                </wp:positionV>
                <wp:extent cx="533400" cy="295275"/>
                <wp:effectExtent l="0" t="0" r="0" b="0"/>
                <wp:wrapNone/>
                <wp:docPr id="33" name="矩形 33"/>
                <wp:cNvGraphicFramePr/>
                <a:graphic xmlns:a="http://schemas.openxmlformats.org/drawingml/2006/main">
                  <a:graphicData uri="http://schemas.microsoft.com/office/word/2010/wordprocessingShape">
                    <wps:wsp>
                      <wps:cNvSpPr/>
                      <wps:spPr>
                        <a:xfrm>
                          <a:off x="0" y="0"/>
                          <a:ext cx="5334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pt;margin-top:100.95pt;height:23.25pt;width:42pt;z-index:-97556480;v-text-anchor:middle;mso-width-relative:page;mso-height-relative:page;" filled="f" stroked="f" coordsize="21600,21600" o:gfxdata="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N81p9gAAAALAQAADwAAAAAAAAABACAAAAAi&#10;AAAAZHJzL2Rvd25yZXYueG1sUEsBAhQAFAAAAAgAh07iQNwTBGtDAgAAYAQAAA4AAAAAAAAAAQAg&#10;AAAAJwEAAGRycy9lMm9Eb2MueG1sUEsFBgAAAAAGAAYAWQEAANwFAAAAAA==&#10;">
                <v:fill on="f" focussize="0,0"/>
                <v:stroke on="f" weight="1pt" miterlimit="8" joinstyle="miter"/>
                <v:imagedata o:title=""/>
                <o:lock v:ext="edit" aspectratio="f"/>
                <v:textbo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1</w:t>
                      </w:r>
                    </w:p>
                  </w:txbxContent>
                </v:textbox>
              </v:rect>
            </w:pict>
          </mc:Fallback>
        </mc:AlternateContent>
      </w:r>
      <w:r>
        <w:rPr>
          <w:sz w:val="24"/>
        </w:rPr>
        <mc:AlternateContent>
          <mc:Choice Requires="wps">
            <w:drawing>
              <wp:anchor distT="0" distB="0" distL="114300" distR="114300" simplePos="0" relativeHeight="4173942784" behindDoc="0" locked="0" layoutInCell="1" allowOverlap="1">
                <wp:simplePos x="0" y="0"/>
                <wp:positionH relativeFrom="column">
                  <wp:posOffset>2367280</wp:posOffset>
                </wp:positionH>
                <wp:positionV relativeFrom="paragraph">
                  <wp:posOffset>3463290</wp:posOffset>
                </wp:positionV>
                <wp:extent cx="494030" cy="316230"/>
                <wp:effectExtent l="0" t="0" r="0" b="0"/>
                <wp:wrapNone/>
                <wp:docPr id="22" name="矩形 22"/>
                <wp:cNvGraphicFramePr/>
                <a:graphic xmlns:a="http://schemas.openxmlformats.org/drawingml/2006/main">
                  <a:graphicData uri="http://schemas.microsoft.com/office/word/2010/wordprocessingShape">
                    <wps:wsp>
                      <wps:cNvSpPr/>
                      <wps:spPr>
                        <a:xfrm>
                          <a:off x="0" y="0"/>
                          <a:ext cx="49403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4pt;margin-top:272.7pt;height:24.9pt;width:38.9pt;z-index:-121024512;v-text-anchor:middle;mso-width-relative:page;mso-height-relative:page;" filled="f" stroked="f" coordsize="21600,21600" o:gfxdata="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mt4S2QAAAAsBAAAPAAAAAAAAAAEAIAAA&#10;ACIAAABkcnMvZG93bnJldi54bWxQSwECFAAUAAAACACHTuJADN4QekQCAABgBAAADgAAAAAAAAAB&#10;ACAAAAAoAQAAZHJzL2Uyb0RvYy54bWxQSwUGAAAAAAYABgBZAQAA3gUAAAAA&#10;">
                <v:fill on="f" focussize="0,0"/>
                <v:stroke on="f" weight="1pt" miterlimit="8" joinstyle="miter"/>
                <v:imagedata o:title=""/>
                <o:lock v:ext="edit" aspectratio="f"/>
                <v:textbo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2</w:t>
                      </w:r>
                    </w:p>
                  </w:txbxContent>
                </v:textbox>
              </v:rect>
            </w:pict>
          </mc:Fallback>
        </mc:AlternateContent>
      </w:r>
      <w:r>
        <w:rPr>
          <w:sz w:val="24"/>
        </w:rPr>
        <mc:AlternateContent>
          <mc:Choice Requires="wps">
            <w:drawing>
              <wp:anchor distT="0" distB="0" distL="114300" distR="114300" simplePos="0" relativeHeight="4173942784" behindDoc="0" locked="0" layoutInCell="1" allowOverlap="1">
                <wp:simplePos x="0" y="0"/>
                <wp:positionH relativeFrom="column">
                  <wp:posOffset>271780</wp:posOffset>
                </wp:positionH>
                <wp:positionV relativeFrom="paragraph">
                  <wp:posOffset>1215390</wp:posOffset>
                </wp:positionV>
                <wp:extent cx="494030" cy="316230"/>
                <wp:effectExtent l="0" t="0" r="0" b="0"/>
                <wp:wrapNone/>
                <wp:docPr id="20" name="矩形 20"/>
                <wp:cNvGraphicFramePr/>
                <a:graphic xmlns:a="http://schemas.openxmlformats.org/drawingml/2006/main">
                  <a:graphicData uri="http://schemas.microsoft.com/office/word/2010/wordprocessingShape">
                    <wps:wsp>
                      <wps:cNvSpPr/>
                      <wps:spPr>
                        <a:xfrm>
                          <a:off x="0" y="0"/>
                          <a:ext cx="49403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pt;margin-top:95.7pt;height:24.9pt;width:38.9pt;z-index:-121024512;v-text-anchor:middle;mso-width-relative:page;mso-height-relative:page;" filled="f" stroked="f" coordsize="21600,21600" o:gfxdata="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e7l9C1wAAAAoBAAAPAAAAAAAAAAEAIAAAACIA&#10;AABkcnMvZG93bnJldi54bWxQSwECFAAUAAAACACHTuJAOG+VlkMCAABgBAAADgAAAAAAAAABACAA&#10;AAAmAQAAZHJzL2Uyb0RvYy54bWxQSwUGAAAAAAYABgBZAQAA2wUAAAAA&#10;">
                <v:fill on="f" focussize="0,0"/>
                <v:stroke on="f" weight="1pt" miterlimit="8" joinstyle="miter"/>
                <v:imagedata o:title=""/>
                <o:lock v:ext="edit" aspectratio="f"/>
                <v:textbo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3</w:t>
                      </w:r>
                    </w:p>
                  </w:txbxContent>
                </v:textbox>
              </v:rect>
            </w:pict>
          </mc:Fallback>
        </mc:AlternateContent>
      </w:r>
      <w:r>
        <w:rPr>
          <w:sz w:val="24"/>
        </w:rPr>
        <mc:AlternateContent>
          <mc:Choice Requires="wps">
            <w:drawing>
              <wp:anchor distT="0" distB="0" distL="114300" distR="114300" simplePos="0" relativeHeight="4128197632" behindDoc="0" locked="0" layoutInCell="1" allowOverlap="1">
                <wp:simplePos x="0" y="0"/>
                <wp:positionH relativeFrom="column">
                  <wp:posOffset>4004310</wp:posOffset>
                </wp:positionH>
                <wp:positionV relativeFrom="paragraph">
                  <wp:posOffset>1148715</wp:posOffset>
                </wp:positionV>
                <wp:extent cx="533400" cy="295275"/>
                <wp:effectExtent l="0" t="0" r="0" b="0"/>
                <wp:wrapNone/>
                <wp:docPr id="19" name="矩形 19"/>
                <wp:cNvGraphicFramePr/>
                <a:graphic xmlns:a="http://schemas.openxmlformats.org/drawingml/2006/main">
                  <a:graphicData uri="http://schemas.microsoft.com/office/word/2010/wordprocessingShape">
                    <wps:wsp>
                      <wps:cNvSpPr/>
                      <wps:spPr>
                        <a:xfrm>
                          <a:off x="0" y="0"/>
                          <a:ext cx="5334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仿宋_GB2312" w:cs="Times New Roman"/>
                                <w:color w:val="auto"/>
                                <w:lang w:val="en-US" w:eastAsia="zh-CN"/>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仿宋_GB2312" w:cs="Times New Roman"/>
                                <w:color w:val="auto"/>
                                <w:sz w:val="21"/>
                                <w:szCs w:val="21"/>
                                <w:lang w:val="en-US" w:eastAsia="zh-CN"/>
                              </w:rPr>
                              <w:t>W1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3pt;margin-top:90.45pt;height:23.25pt;width:42pt;z-index:-166769664;v-text-anchor:middle;mso-width-relative:page;mso-height-relative:page;" filled="f" stroked="f" coordsize="21600,21600" o:gfxdata="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5vpv2QAAAAsBAAAPAAAAAAAAAAEAIAAA&#10;ACIAAABkcnMvZG93bnJldi54bWxQSwECFAAUAAAACACHTuJAvhstokQCAABgBAAADgAAAAAAAAAB&#10;ACAAAAAoAQAAZHJzL2Uyb0RvYy54bWxQSwUGAAAAAAYABgBZAQAA3gUAAAAA&#10;">
                <v:fill on="f" focussize="0,0"/>
                <v:stroke on="f" weight="1pt" miterlimit="8" joinstyle="miter"/>
                <v:imagedata o:title=""/>
                <o:lock v:ext="edit" aspectratio="f"/>
                <v:textbox>
                  <w:txbxContent>
                    <w:p>
                      <w:pPr>
                        <w:jc w:val="center"/>
                        <w:rPr>
                          <w:rFonts w:hint="default" w:ascii="Times New Roman" w:hAnsi="Times New Roman" w:eastAsia="仿宋_GB2312" w:cs="Times New Roman"/>
                          <w:color w:val="auto"/>
                          <w:lang w:val="en-US" w:eastAsia="zh-CN"/>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仿宋_GB2312" w:cs="Times New Roman"/>
                          <w:color w:val="auto"/>
                          <w:sz w:val="21"/>
                          <w:szCs w:val="21"/>
                          <w:lang w:val="en-US" w:eastAsia="zh-CN"/>
                        </w:rPr>
                        <w:t>W1</w:t>
                      </w:r>
                    </w:p>
                  </w:txbxContent>
                </v:textbox>
              </v:rect>
            </w:pict>
          </mc:Fallback>
        </mc:AlternateContent>
      </w:r>
      <w:r>
        <w:rPr>
          <w:sz w:val="24"/>
        </w:rPr>
        <mc:AlternateContent>
          <mc:Choice Requires="wps">
            <w:drawing>
              <wp:anchor distT="0" distB="0" distL="114300" distR="114300" simplePos="0" relativeHeight="182444032" behindDoc="0" locked="0" layoutInCell="1" allowOverlap="1">
                <wp:simplePos x="0" y="0"/>
                <wp:positionH relativeFrom="column">
                  <wp:posOffset>7557135</wp:posOffset>
                </wp:positionH>
                <wp:positionV relativeFrom="paragraph">
                  <wp:posOffset>15240</wp:posOffset>
                </wp:positionV>
                <wp:extent cx="581025" cy="295275"/>
                <wp:effectExtent l="0" t="0" r="0" b="0"/>
                <wp:wrapNone/>
                <wp:docPr id="39" name="矩形 39"/>
                <wp:cNvGraphicFramePr/>
                <a:graphic xmlns:a="http://schemas.openxmlformats.org/drawingml/2006/main">
                  <a:graphicData uri="http://schemas.microsoft.com/office/word/2010/wordprocessingShape">
                    <wps:wsp>
                      <wps:cNvSpPr/>
                      <wps:spPr>
                        <a:xfrm>
                          <a:off x="0" y="0"/>
                          <a:ext cx="5810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US"/>
                              </w:rPr>
                            </w:pP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W</w:t>
                            </w:r>
                            <w:r>
                              <w:rPr>
                                <w:rFonts w:hint="default" w:ascii="Times New Roman" w:hAnsi="Times New Roman" w:eastAsia="宋体" w:cs="Times New Roman"/>
                                <w:color w:val="auto"/>
                                <w:sz w:val="21"/>
                                <w:szCs w:val="21"/>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5.05pt;margin-top:1.2pt;height:23.25pt;width:45.75pt;z-index:182444032;v-text-anchor:middle;mso-width-relative:page;mso-height-relative:page;" filled="f" stroked="f" coordsize="21600,21600" o:gfxdata="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YBIN1wAAAAoBAAAPAAAAAAAAAAEAIAAA&#10;ACIAAABkcnMvZG93bnJldi54bWxQSwECFAAUAAAACACHTuJAzz3jcEYCAABgBAAADgAAAAAAAAAB&#10;ACAAAAAmAQAAZHJzL2Uyb0RvYy54bWxQSwUGAAAAAAYABgBZAQAA3gUAAAAA&#10;">
                <v:fill on="f" focussize="0,0"/>
                <v:stroke on="f" weight="1pt" miterlimit="8" joinstyle="miter"/>
                <v:imagedata o:title=""/>
                <o:lock v:ext="edit" aspectratio="f"/>
                <v:textbox>
                  <w:txbxContent>
                    <w:p>
                      <w:pPr>
                        <w:jc w:val="center"/>
                        <w:rPr>
                          <w:lang w:val="en-US"/>
                        </w:rPr>
                      </w:pP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W</w:t>
                      </w:r>
                      <w:r>
                        <w:rPr>
                          <w:rFonts w:hint="default" w:ascii="Times New Roman" w:hAnsi="Times New Roman" w:eastAsia="宋体" w:cs="Times New Roman"/>
                          <w:color w:val="auto"/>
                          <w:sz w:val="21"/>
                          <w:szCs w:val="21"/>
                          <w:lang w:val="en-US" w:eastAsia="zh-CN"/>
                        </w:rPr>
                        <w:t>1</w:t>
                      </w:r>
                    </w:p>
                  </w:txbxContent>
                </v:textbox>
              </v:rect>
            </w:pict>
          </mc:Fallback>
        </mc:AlternateContent>
      </w:r>
      <w:r>
        <w:rPr>
          <w:sz w:val="21"/>
        </w:rPr>
        <mc:AlternateContent>
          <mc:Choice Requires="wps">
            <w:drawing>
              <wp:anchor distT="0" distB="0" distL="114300" distR="114300" simplePos="0" relativeHeight="3452937216" behindDoc="0" locked="0" layoutInCell="1" allowOverlap="1">
                <wp:simplePos x="0" y="0"/>
                <wp:positionH relativeFrom="column">
                  <wp:posOffset>1353820</wp:posOffset>
                </wp:positionH>
                <wp:positionV relativeFrom="paragraph">
                  <wp:posOffset>2612390</wp:posOffset>
                </wp:positionV>
                <wp:extent cx="895350" cy="360680"/>
                <wp:effectExtent l="6350" t="6350" r="12700" b="13970"/>
                <wp:wrapNone/>
                <wp:docPr id="16" name="矩形 16"/>
                <wp:cNvGraphicFramePr/>
                <a:graphic xmlns:a="http://schemas.openxmlformats.org/drawingml/2006/main">
                  <a:graphicData uri="http://schemas.microsoft.com/office/word/2010/wordprocessingShape">
                    <wps:wsp>
                      <wps:cNvSpPr/>
                      <wps:spPr>
                        <a:xfrm>
                          <a:off x="0" y="0"/>
                          <a:ext cx="895350" cy="360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食堂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6pt;margin-top:205.7pt;height:28.4pt;width:70.5pt;z-index:-842030080;v-text-anchor:middle;mso-width-relative:page;mso-height-relative:page;" filled="f" stroked="t" coordsize="21600,21600" o:gfxdata="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8yBWDZAAAACwEA&#10;AA8AAAAAAAAAAQAgAAAAIgAAAGRycy9kb3ducmV2LnhtbFBLAQIUABQAAAAIAIdO4kAVXWWGUgIA&#10;AIkEAAAOAAAAAAAAAAEAIAAAACgBAABkcnMvZTJvRG9jLnhtbFBLBQYAAAAABgAGAFkBAADsBQAA&#10;AAA=&#10;">
                <v:fill on="f" focussize="0,0"/>
                <v:stroke weight="1pt" color="#000000 [3213]"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食堂</w:t>
                      </w:r>
                    </w:p>
                  </w:txbxContent>
                </v:textbox>
              </v:rect>
            </w:pict>
          </mc:Fallback>
        </mc:AlternateContent>
      </w:r>
      <w:r>
        <w:rPr>
          <w:sz w:val="21"/>
        </w:rPr>
        <mc:AlternateContent>
          <mc:Choice Requires="wps">
            <w:drawing>
              <wp:anchor distT="0" distB="0" distL="114300" distR="114300" simplePos="0" relativeHeight="2906093568" behindDoc="0" locked="0" layoutInCell="1" allowOverlap="1">
                <wp:simplePos x="0" y="0"/>
                <wp:positionH relativeFrom="column">
                  <wp:posOffset>3076575</wp:posOffset>
                </wp:positionH>
                <wp:positionV relativeFrom="paragraph">
                  <wp:posOffset>316865</wp:posOffset>
                </wp:positionV>
                <wp:extent cx="620395" cy="274320"/>
                <wp:effectExtent l="6350" t="6350" r="20955" b="24130"/>
                <wp:wrapNone/>
                <wp:docPr id="18" name="矩形 18"/>
                <wp:cNvGraphicFramePr/>
                <a:graphic xmlns:a="http://schemas.openxmlformats.org/drawingml/2006/main">
                  <a:graphicData uri="http://schemas.microsoft.com/office/word/2010/wordprocessingShape">
                    <wps:wsp>
                      <wps:cNvSpPr/>
                      <wps:spPr>
                        <a:xfrm>
                          <a:off x="0" y="0"/>
                          <a:ext cx="620395" cy="274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25pt;margin-top:24.95pt;height:21.6pt;width:48.85pt;z-index:-1388873728;v-text-anchor:middle;mso-width-relative:page;mso-height-relative:page;" filled="f" stroked="t" coordsize="21600,21600" o:gfxdata="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5tHTdcAAAAJAQAA&#10;DwAAAAAAAAABACAAAAAiAAAAZHJzL2Rvd25yZXYueG1sUEsBAhQAFAAAAAgAh07iQBUsPapTAgAA&#10;iQQAAA4AAAAAAAAAAQAgAAAAJgEAAGRycy9lMm9Eb2MueG1sUEsFBgAAAAAGAAYAWQEAAOsFAAAA&#10;AA==&#10;">
                <v:fill on="f" focussize="0,0"/>
                <v:stroke weight="1pt" color="#000000 [3213]"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化粪池</w:t>
                      </w:r>
                    </w:p>
                  </w:txbxContent>
                </v:textbox>
              </v:rect>
            </w:pict>
          </mc:Fallback>
        </mc:AlternateContent>
      </w:r>
      <w:r>
        <w:rPr>
          <w:sz w:val="21"/>
        </w:rPr>
        <mc:AlternateContent>
          <mc:Choice Requires="wps">
            <w:drawing>
              <wp:anchor distT="0" distB="0" distL="114300" distR="114300" simplePos="0" relativeHeight="3999780864" behindDoc="0" locked="0" layoutInCell="1" allowOverlap="1">
                <wp:simplePos x="0" y="0"/>
                <wp:positionH relativeFrom="column">
                  <wp:posOffset>3554095</wp:posOffset>
                </wp:positionH>
                <wp:positionV relativeFrom="paragraph">
                  <wp:posOffset>916940</wp:posOffset>
                </wp:positionV>
                <wp:extent cx="895350" cy="360680"/>
                <wp:effectExtent l="6350" t="6350" r="12700" b="13970"/>
                <wp:wrapNone/>
                <wp:docPr id="15" name="矩形 15"/>
                <wp:cNvGraphicFramePr/>
                <a:graphic xmlns:a="http://schemas.openxmlformats.org/drawingml/2006/main">
                  <a:graphicData uri="http://schemas.microsoft.com/office/word/2010/wordprocessingShape">
                    <wps:wsp>
                      <wps:cNvSpPr/>
                      <wps:spPr>
                        <a:xfrm>
                          <a:off x="4668520" y="3874135"/>
                          <a:ext cx="895350" cy="360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污水处理间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85pt;margin-top:72.2pt;height:28.4pt;width:70.5pt;z-index:-295186432;v-text-anchor:middle;mso-width-relative:page;mso-height-relative:page;" filled="f" stroked="t" coordsize="21600,21600" o:gfxdata="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xFc8k2AAAAAsBAAAPAAAAAAAAAAEAIAAAACIAAABkcnMvZG93bnJldi54bWxQSwECFAAUAAAA&#10;CACHTuJAaITgIWACAACVBAAADgAAAAAAAAABACAAAAAnAQAAZHJzL2Uyb0RvYy54bWxQSwUGAAAA&#10;AAYABgBZAQAA+QU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污水处理间</w:t>
                      </w:r>
                    </w:p>
                  </w:txbxContent>
                </v:textbox>
              </v:rect>
            </w:pict>
          </mc:Fallback>
        </mc:AlternateContent>
      </w:r>
      <w:r>
        <w:rPr>
          <w:sz w:val="21"/>
        </w:rPr>
        <mc:AlternateContent>
          <mc:Choice Requires="wps">
            <w:drawing>
              <wp:anchor distT="0" distB="0" distL="114300" distR="114300" simplePos="0" relativeHeight="3999779840" behindDoc="0" locked="0" layoutInCell="1" allowOverlap="1">
                <wp:simplePos x="0" y="0"/>
                <wp:positionH relativeFrom="column">
                  <wp:posOffset>2268220</wp:posOffset>
                </wp:positionH>
                <wp:positionV relativeFrom="paragraph">
                  <wp:posOffset>2792095</wp:posOffset>
                </wp:positionV>
                <wp:extent cx="809625" cy="342900"/>
                <wp:effectExtent l="0" t="0" r="0" b="0"/>
                <wp:wrapNone/>
                <wp:docPr id="14" name="矩形 14"/>
                <wp:cNvGraphicFramePr/>
                <a:graphic xmlns:a="http://schemas.openxmlformats.org/drawingml/2006/main">
                  <a:graphicData uri="http://schemas.microsoft.com/office/word/2010/wordprocessingShape">
                    <wps:wsp>
                      <wps:cNvSpPr/>
                      <wps:spPr>
                        <a:xfrm>
                          <a:off x="0" y="0"/>
                          <a:ext cx="80962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四号楼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6pt;margin-top:219.85pt;height:27pt;width:63.75pt;z-index:-295187456;v-text-anchor:middle;mso-width-relative:page;mso-height-relative:page;" filled="f" stroked="f" coordsize="21600,21600" o:gfxdata="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uAmezZAAAACwEAAA8AAAAAAAAAAQAgAAAA&#10;IgAAAGRycy9kb3ducmV2LnhtbFBLAQIUABQAAAAIAIdO4kBBPxQvQwIAAGAEAAAOAAAAAAAAAAEA&#10;IAAAACgBAABkcnMvZTJvRG9jLnhtbFBLBQYAAAAABgAGAFkBAADdBQAAAAA=&#10;">
                <v:fill on="f" focussize="0,0"/>
                <v:stroke on="f" weight="1pt"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四号楼</w:t>
                      </w:r>
                    </w:p>
                  </w:txbxContent>
                </v:textbox>
              </v:rect>
            </w:pict>
          </mc:Fallback>
        </mc:AlternateContent>
      </w:r>
      <w:r>
        <w:rPr>
          <w:sz w:val="21"/>
        </w:rPr>
        <mc:AlternateContent>
          <mc:Choice Requires="wps">
            <w:drawing>
              <wp:anchor distT="0" distB="0" distL="114300" distR="114300" simplePos="0" relativeHeight="3062749184" behindDoc="0" locked="0" layoutInCell="1" allowOverlap="1">
                <wp:simplePos x="0" y="0"/>
                <wp:positionH relativeFrom="column">
                  <wp:posOffset>2239645</wp:posOffset>
                </wp:positionH>
                <wp:positionV relativeFrom="paragraph">
                  <wp:posOffset>1782445</wp:posOffset>
                </wp:positionV>
                <wp:extent cx="809625" cy="342900"/>
                <wp:effectExtent l="0" t="0" r="0" b="0"/>
                <wp:wrapNone/>
                <wp:docPr id="13" name="矩形 13"/>
                <wp:cNvGraphicFramePr/>
                <a:graphic xmlns:a="http://schemas.openxmlformats.org/drawingml/2006/main">
                  <a:graphicData uri="http://schemas.microsoft.com/office/word/2010/wordprocessingShape">
                    <wps:wsp>
                      <wps:cNvSpPr/>
                      <wps:spPr>
                        <a:xfrm>
                          <a:off x="0" y="0"/>
                          <a:ext cx="80962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三号楼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6.35pt;margin-top:140.35pt;height:27pt;width:63.75pt;z-index:-1232218112;v-text-anchor:middle;mso-width-relative:page;mso-height-relative:page;" filled="f" stroked="f" coordsize="21600,21600" o:gfxdata="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GFnBDZAAAACwEAAA8AAAAAAAAAAQAgAAAA&#10;IgAAAGRycy9kb3ducmV2LnhtbFBLAQIUABQAAAAIAIdO4kDGMqm3QwIAAGAEAAAOAAAAAAAAAAEA&#10;IAAAACgBAABkcnMvZTJvRG9jLnhtbFBLBQYAAAAABgAGAFkBAADdBQAAAAA=&#10;">
                <v:fill on="f" focussize="0,0"/>
                <v:stroke on="f" weight="1pt"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三号楼</w:t>
                      </w:r>
                    </w:p>
                  </w:txbxContent>
                </v:textbox>
              </v:rect>
            </w:pict>
          </mc:Fallback>
        </mc:AlternateContent>
      </w:r>
      <w:r>
        <w:rPr>
          <w:sz w:val="21"/>
        </w:rPr>
        <mc:AlternateContent>
          <mc:Choice Requires="wps">
            <w:drawing>
              <wp:anchor distT="0" distB="0" distL="114300" distR="114300" simplePos="0" relativeHeight="2125718528" behindDoc="0" locked="0" layoutInCell="1" allowOverlap="1">
                <wp:simplePos x="0" y="0"/>
                <wp:positionH relativeFrom="column">
                  <wp:posOffset>2287270</wp:posOffset>
                </wp:positionH>
                <wp:positionV relativeFrom="paragraph">
                  <wp:posOffset>782320</wp:posOffset>
                </wp:positionV>
                <wp:extent cx="809625" cy="342900"/>
                <wp:effectExtent l="0" t="0" r="0" b="0"/>
                <wp:wrapNone/>
                <wp:docPr id="11" name="矩形 11"/>
                <wp:cNvGraphicFramePr/>
                <a:graphic xmlns:a="http://schemas.openxmlformats.org/drawingml/2006/main">
                  <a:graphicData uri="http://schemas.microsoft.com/office/word/2010/wordprocessingShape">
                    <wps:wsp>
                      <wps:cNvSpPr/>
                      <wps:spPr>
                        <a:xfrm>
                          <a:off x="0" y="0"/>
                          <a:ext cx="80962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二号楼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1pt;margin-top:61.6pt;height:27pt;width:63.75pt;z-index:2125718528;v-text-anchor:middle;mso-width-relative:page;mso-height-relative:page;" filled="f" stroked="f" coordsize="21600,21600" o:gfxdata="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6ZKK2AAAAAsBAAAPAAAAAAAAAAEAIAAAACIA&#10;AABkcnMvZG93bnJldi54bWxQSwECFAAUAAAACACHTuJA8oMsW0ICAABgBAAADgAAAAAAAAABACAA&#10;AAAnAQAAZHJzL2Uyb0RvYy54bWxQSwUGAAAAAAYABgBZAQAA2wUAAAAA&#10;">
                <v:fill on="f" focussize="0,0"/>
                <v:stroke on="f" weight="1pt"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二号楼</w:t>
                      </w:r>
                    </w:p>
                  </w:txbxContent>
                </v:textbox>
              </v:rect>
            </w:pict>
          </mc:Fallback>
        </mc:AlternateContent>
      </w:r>
      <w:r>
        <w:rPr>
          <w:sz w:val="21"/>
        </w:rPr>
        <mc:AlternateContent>
          <mc:Choice Requires="wps">
            <w:drawing>
              <wp:anchor distT="0" distB="0" distL="114300" distR="114300" simplePos="0" relativeHeight="720172032" behindDoc="0" locked="0" layoutInCell="1" allowOverlap="1">
                <wp:simplePos x="0" y="0"/>
                <wp:positionH relativeFrom="column">
                  <wp:posOffset>946785</wp:posOffset>
                </wp:positionH>
                <wp:positionV relativeFrom="paragraph">
                  <wp:posOffset>2611120</wp:posOffset>
                </wp:positionV>
                <wp:extent cx="3486150" cy="685800"/>
                <wp:effectExtent l="6350" t="6350" r="12700" b="12700"/>
                <wp:wrapNone/>
                <wp:docPr id="6" name="矩形 6"/>
                <wp:cNvGraphicFramePr/>
                <a:graphic xmlns:a="http://schemas.openxmlformats.org/drawingml/2006/main">
                  <a:graphicData uri="http://schemas.microsoft.com/office/word/2010/wordprocessingShape">
                    <wps:wsp>
                      <wps:cNvSpPr/>
                      <wps:spPr>
                        <a:xfrm>
                          <a:off x="0" y="0"/>
                          <a:ext cx="348615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55pt;margin-top:205.6pt;height:54pt;width:274.5pt;z-index:720172032;v-text-anchor:middle;mso-width-relative:page;mso-height-relative:page;" filled="f" stroked="t" coordsize="21600,21600" o:gfxdata="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sKePm2QAAAAsBAAAPAAAA&#10;AAAAAAEAIAAAACIAAABkcnMvZG93bnJldi54bWxQSwECFAAUAAAACACHTuJAI2cMUk0CAAB9BAAA&#10;DgAAAAAAAAABACAAAAAoAQAAZHJzL2Uyb0RvYy54bWxQSwUGAAAAAAYABgBZAQAA5wUAAAAA&#10;">
                <v:fill on="f" focussize="0,0"/>
                <v:stroke weight="1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954429440" behindDoc="0" locked="0" layoutInCell="1" allowOverlap="1">
                <wp:simplePos x="0" y="0"/>
                <wp:positionH relativeFrom="column">
                  <wp:posOffset>956310</wp:posOffset>
                </wp:positionH>
                <wp:positionV relativeFrom="paragraph">
                  <wp:posOffset>1610995</wp:posOffset>
                </wp:positionV>
                <wp:extent cx="3486150" cy="685800"/>
                <wp:effectExtent l="6350" t="6350" r="12700" b="12700"/>
                <wp:wrapNone/>
                <wp:docPr id="7" name="矩形 7"/>
                <wp:cNvGraphicFramePr/>
                <a:graphic xmlns:a="http://schemas.openxmlformats.org/drawingml/2006/main">
                  <a:graphicData uri="http://schemas.microsoft.com/office/word/2010/wordprocessingShape">
                    <wps:wsp>
                      <wps:cNvSpPr/>
                      <wps:spPr>
                        <a:xfrm>
                          <a:off x="0" y="0"/>
                          <a:ext cx="348615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3pt;margin-top:126.85pt;height:54pt;width:274.5pt;z-index:954429440;v-text-anchor:middle;mso-width-relative:page;mso-height-relative:page;" filled="f" stroked="t" coordsize="21600,21600" o:gfxdata="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AWqrtkAAAALAQAADwAA&#10;AAAAAAABACAAAAAiAAAAZHJzL2Rvd25yZXYueG1sUEsBAhQAFAAAAAgAh07iQIdKAx1OAgAAfQQA&#10;AA4AAAAAAAAAAQAgAAAAKAEAAGRycy9lMm9Eb2MueG1sUEsFBgAAAAAGAAYAWQEAAOgFAAAAAA==&#10;">
                <v:fill on="f" focussize="0,0"/>
                <v:stroke weight="1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1188686848" behindDoc="0" locked="0" layoutInCell="1" allowOverlap="1">
                <wp:simplePos x="0" y="0"/>
                <wp:positionH relativeFrom="column">
                  <wp:posOffset>965835</wp:posOffset>
                </wp:positionH>
                <wp:positionV relativeFrom="paragraph">
                  <wp:posOffset>591820</wp:posOffset>
                </wp:positionV>
                <wp:extent cx="3486150" cy="685800"/>
                <wp:effectExtent l="6350" t="6350" r="12700" b="12700"/>
                <wp:wrapNone/>
                <wp:docPr id="8" name="矩形 8"/>
                <wp:cNvGraphicFramePr/>
                <a:graphic xmlns:a="http://schemas.openxmlformats.org/drawingml/2006/main">
                  <a:graphicData uri="http://schemas.microsoft.com/office/word/2010/wordprocessingShape">
                    <wps:wsp>
                      <wps:cNvSpPr/>
                      <wps:spPr>
                        <a:xfrm>
                          <a:off x="0" y="0"/>
                          <a:ext cx="348615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05pt;margin-top:46.6pt;height:54pt;width:274.5pt;z-index:1188686848;v-text-anchor:middle;mso-width-relative:page;mso-height-relative:page;" filled="f" stroked="t" coordsize="21600,21600" o:gfxdata="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00R6TXAAAACgEAAA8AAAAAAAAA&#10;AQAgAAAAIgAAAGRycy9kb3ducmV2LnhtbFBLAQIUABQAAAAIAIdO4kBZ67U+SwIAAH0EAAAOAAAA&#10;AAAAAAEAIAAAACYBAABkcnMvZTJvRG9jLnhtbFBLBQYAAAAABgAGAFkBAADjBQAAAAA=&#10;">
                <v:fill on="f" focussize="0,0"/>
                <v:stroke weight="1pt" color="#000000 [3213]" miterlimit="8" joinstyle="miter"/>
                <v:imagedata o:title=""/>
                <o:lock v:ext="edit" aspectratio="f"/>
              </v:rect>
            </w:pict>
          </mc:Fallback>
        </mc:AlternateContent>
      </w:r>
    </w:p>
    <w:p>
      <w:pPr>
        <w:jc w:val="left"/>
        <w:rPr>
          <w:rFonts w:hint="eastAsia" w:ascii="Times New Roman" w:hAnsi="Times New Roman" w:cs="Times New Roman"/>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附图</w:t>
      </w:r>
      <w:r>
        <w:rPr>
          <w:rFonts w:hint="eastAsia" w:ascii="Times New Roman" w:hAnsi="Times New Roman" w:cs="Times New Roman"/>
          <w:b/>
          <w:kern w:val="2"/>
          <w:sz w:val="24"/>
          <w:szCs w:val="24"/>
          <w:lang w:val="en-US" w:eastAsia="zh-CN" w:bidi="ar-SA"/>
        </w:rPr>
        <w:t>3</w:t>
      </w:r>
      <w:r>
        <w:rPr>
          <w:rFonts w:hint="eastAsia" w:ascii="Times New Roman" w:hAnsi="Times New Roman" w:cs="Times New Roman" w:eastAsiaTheme="minorEastAsia"/>
          <w:b/>
          <w:kern w:val="2"/>
          <w:sz w:val="24"/>
          <w:szCs w:val="24"/>
          <w:lang w:val="en-US" w:eastAsia="zh-CN" w:bidi="ar-SA"/>
        </w:rPr>
        <w:t xml:space="preserve"> </w:t>
      </w:r>
      <w:r>
        <w:rPr>
          <w:rFonts w:hint="eastAsia" w:ascii="Times New Roman" w:hAnsi="Times New Roman" w:cs="Times New Roman"/>
          <w:b/>
          <w:kern w:val="2"/>
          <w:sz w:val="24"/>
          <w:szCs w:val="24"/>
          <w:lang w:val="en-US" w:eastAsia="zh-CN" w:bidi="ar-SA"/>
        </w:rPr>
        <w:t>现场及采样照片</w:t>
      </w:r>
    </w:p>
    <w:p>
      <w:pPr>
        <w:pStyle w:val="18"/>
        <w:ind w:left="0" w:leftChars="0" w:firstLine="0" w:firstLineChars="0"/>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979930" cy="1979930"/>
            <wp:effectExtent l="9525" t="9525" r="10795" b="10795"/>
            <wp:docPr id="27" name="图片 27" descr="91bc335b7b4496fd8fd811bbbb60637"/>
            <wp:cNvGraphicFramePr/>
            <a:graphic xmlns:a="http://schemas.openxmlformats.org/drawingml/2006/main">
              <a:graphicData uri="http://schemas.openxmlformats.org/drawingml/2006/picture">
                <pic:pic xmlns:pic="http://schemas.openxmlformats.org/drawingml/2006/picture">
                  <pic:nvPicPr>
                    <pic:cNvPr id="27" name="图片 27" descr="91bc335b7b4496fd8fd811bbbb60637"/>
                    <pic:cNvPicPr/>
                  </pic:nvPicPr>
                  <pic:blipFill>
                    <a:blip r:embed="rId11"/>
                    <a:stretch>
                      <a:fillRect/>
                    </a:stretch>
                  </pic:blipFill>
                  <pic:spPr>
                    <a:xfrm>
                      <a:off x="0" y="0"/>
                      <a:ext cx="1979930" cy="1979930"/>
                    </a:xfrm>
                    <a:prstGeom prst="rect">
                      <a:avLst/>
                    </a:prstGeom>
                    <a:ln>
                      <a:solidFill>
                        <a:schemeClr val="tx1"/>
                      </a:solid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979930" cy="1979930"/>
            <wp:effectExtent l="9525" t="9525" r="10795" b="10795"/>
            <wp:docPr id="29" name="图片 29" descr="0fd96e156a988fbd72ab65af6cb3bc2"/>
            <wp:cNvGraphicFramePr/>
            <a:graphic xmlns:a="http://schemas.openxmlformats.org/drawingml/2006/main">
              <a:graphicData uri="http://schemas.openxmlformats.org/drawingml/2006/picture">
                <pic:pic xmlns:pic="http://schemas.openxmlformats.org/drawingml/2006/picture">
                  <pic:nvPicPr>
                    <pic:cNvPr id="29" name="图片 29" descr="0fd96e156a988fbd72ab65af6cb3bc2"/>
                    <pic:cNvPicPr/>
                  </pic:nvPicPr>
                  <pic:blipFill>
                    <a:blip r:embed="rId12"/>
                    <a:stretch>
                      <a:fillRect/>
                    </a:stretch>
                  </pic:blipFill>
                  <pic:spPr>
                    <a:xfrm>
                      <a:off x="0" y="0"/>
                      <a:ext cx="1979930" cy="1979930"/>
                    </a:xfrm>
                    <a:prstGeom prst="rect">
                      <a:avLst/>
                    </a:prstGeom>
                    <a:ln>
                      <a:solidFill>
                        <a:schemeClr val="tx1"/>
                      </a:solid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979930" cy="1979930"/>
            <wp:effectExtent l="9525" t="9525" r="10795" b="10795"/>
            <wp:docPr id="31" name="图片 31" descr="90bd7d10fa3d97d12e66c87df9e7191"/>
            <wp:cNvGraphicFramePr/>
            <a:graphic xmlns:a="http://schemas.openxmlformats.org/drawingml/2006/main">
              <a:graphicData uri="http://schemas.openxmlformats.org/drawingml/2006/picture">
                <pic:pic xmlns:pic="http://schemas.openxmlformats.org/drawingml/2006/picture">
                  <pic:nvPicPr>
                    <pic:cNvPr id="31" name="图片 31" descr="90bd7d10fa3d97d12e66c87df9e7191"/>
                    <pic:cNvPicPr/>
                  </pic:nvPicPr>
                  <pic:blipFill>
                    <a:blip r:embed="rId13"/>
                    <a:stretch>
                      <a:fillRect/>
                    </a:stretch>
                  </pic:blipFill>
                  <pic:spPr>
                    <a:xfrm>
                      <a:off x="0" y="0"/>
                      <a:ext cx="1979930" cy="1979930"/>
                    </a:xfrm>
                    <a:prstGeom prst="rect">
                      <a:avLst/>
                    </a:prstGeom>
                    <a:ln>
                      <a:solidFill>
                        <a:schemeClr val="tx1"/>
                      </a:solid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979930" cy="1979930"/>
            <wp:effectExtent l="9525" t="9525" r="10795" b="10795"/>
            <wp:docPr id="32" name="图片 32" descr="27ba6ce7467ff66c0938d1c7ca28429"/>
            <wp:cNvGraphicFramePr/>
            <a:graphic xmlns:a="http://schemas.openxmlformats.org/drawingml/2006/main">
              <a:graphicData uri="http://schemas.openxmlformats.org/drawingml/2006/picture">
                <pic:pic xmlns:pic="http://schemas.openxmlformats.org/drawingml/2006/picture">
                  <pic:nvPicPr>
                    <pic:cNvPr id="32" name="图片 32" descr="27ba6ce7467ff66c0938d1c7ca28429"/>
                    <pic:cNvPicPr/>
                  </pic:nvPicPr>
                  <pic:blipFill>
                    <a:blip r:embed="rId14"/>
                    <a:stretch>
                      <a:fillRect/>
                    </a:stretch>
                  </pic:blipFill>
                  <pic:spPr>
                    <a:xfrm>
                      <a:off x="0" y="0"/>
                      <a:ext cx="1979930" cy="1979930"/>
                    </a:xfrm>
                    <a:prstGeom prst="rect">
                      <a:avLst/>
                    </a:prstGeom>
                    <a:ln>
                      <a:solidFill>
                        <a:schemeClr val="tx1"/>
                      </a:solidFill>
                    </a:ln>
                  </pic:spPr>
                </pic:pic>
              </a:graphicData>
            </a:graphic>
          </wp:inline>
        </w:drawing>
      </w:r>
    </w:p>
    <w:p>
      <w:pPr>
        <w:pStyle w:val="18"/>
        <w:ind w:left="0" w:leftChars="0" w:firstLine="0" w:firstLineChars="0"/>
        <w:rPr>
          <w:rFonts w:hint="eastAsia" w:ascii="宋体" w:hAnsi="宋体" w:eastAsia="宋体" w:cs="宋体"/>
          <w:lang w:val="en-US" w:eastAsia="zh-CN"/>
        </w:rPr>
      </w:pPr>
      <w:r>
        <w:rPr>
          <w:rFonts w:hint="eastAsia"/>
          <w:lang w:val="en-US" w:eastAsia="zh-CN"/>
        </w:rPr>
        <w:t xml:space="preserve">             </w:t>
      </w:r>
      <w:r>
        <w:rPr>
          <w:rFonts w:hint="eastAsia" w:ascii="宋体" w:hAnsi="宋体" w:eastAsia="宋体" w:cs="宋体"/>
          <w:lang w:val="en-US" w:eastAsia="zh-CN"/>
        </w:rPr>
        <w:t>住院部                     废水处理设备                油烟排口                   危废暂存间</w:t>
      </w:r>
    </w:p>
    <w:p>
      <w:pPr>
        <w:pStyle w:val="18"/>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1979930" cy="1979930"/>
            <wp:effectExtent l="9525" t="9525" r="10795" b="10795"/>
            <wp:docPr id="34" name="图片 34" descr="033d80642e2f7ad7c8960eef3d0c5c6"/>
            <wp:cNvGraphicFramePr/>
            <a:graphic xmlns:a="http://schemas.openxmlformats.org/drawingml/2006/main">
              <a:graphicData uri="http://schemas.openxmlformats.org/drawingml/2006/picture">
                <pic:pic xmlns:pic="http://schemas.openxmlformats.org/drawingml/2006/picture">
                  <pic:nvPicPr>
                    <pic:cNvPr id="34" name="图片 34" descr="033d80642e2f7ad7c8960eef3d0c5c6"/>
                    <pic:cNvPicPr/>
                  </pic:nvPicPr>
                  <pic:blipFill>
                    <a:blip r:embed="rId15"/>
                    <a:stretch>
                      <a:fillRect/>
                    </a:stretch>
                  </pic:blipFill>
                  <pic:spPr>
                    <a:xfrm>
                      <a:off x="0" y="0"/>
                      <a:ext cx="1979930" cy="1979930"/>
                    </a:xfrm>
                    <a:prstGeom prst="rect">
                      <a:avLst/>
                    </a:prstGeom>
                    <a:ln>
                      <a:solidFill>
                        <a:schemeClr val="tx1"/>
                      </a:solid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1979930" cy="1979930"/>
            <wp:effectExtent l="9525" t="9525" r="10795" b="10795"/>
            <wp:docPr id="35" name="图片 35" descr="464e4daae8cd67d68b57eca518557bc"/>
            <wp:cNvGraphicFramePr/>
            <a:graphic xmlns:a="http://schemas.openxmlformats.org/drawingml/2006/main">
              <a:graphicData uri="http://schemas.openxmlformats.org/drawingml/2006/picture">
                <pic:pic xmlns:pic="http://schemas.openxmlformats.org/drawingml/2006/picture">
                  <pic:nvPicPr>
                    <pic:cNvPr id="35" name="图片 35" descr="464e4daae8cd67d68b57eca518557bc"/>
                    <pic:cNvPicPr/>
                  </pic:nvPicPr>
                  <pic:blipFill>
                    <a:blip r:embed="rId16"/>
                    <a:stretch>
                      <a:fillRect/>
                    </a:stretch>
                  </pic:blipFill>
                  <pic:spPr>
                    <a:xfrm>
                      <a:off x="0" y="0"/>
                      <a:ext cx="1979930" cy="1979930"/>
                    </a:xfrm>
                    <a:prstGeom prst="rect">
                      <a:avLst/>
                    </a:prstGeom>
                    <a:ln>
                      <a:solidFill>
                        <a:schemeClr val="tx1"/>
                      </a:solid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1979930" cy="1979930"/>
            <wp:effectExtent l="9525" t="9525" r="10795" b="10795"/>
            <wp:docPr id="36" name="图片 36" descr="厂界东面"/>
            <wp:cNvGraphicFramePr/>
            <a:graphic xmlns:a="http://schemas.openxmlformats.org/drawingml/2006/main">
              <a:graphicData uri="http://schemas.openxmlformats.org/drawingml/2006/picture">
                <pic:pic xmlns:pic="http://schemas.openxmlformats.org/drawingml/2006/picture">
                  <pic:nvPicPr>
                    <pic:cNvPr id="36" name="图片 36" descr="厂界东面"/>
                    <pic:cNvPicPr/>
                  </pic:nvPicPr>
                  <pic:blipFill>
                    <a:blip r:embed="rId17"/>
                    <a:stretch>
                      <a:fillRect/>
                    </a:stretch>
                  </pic:blipFill>
                  <pic:spPr>
                    <a:xfrm>
                      <a:off x="0" y="0"/>
                      <a:ext cx="1979930" cy="1979930"/>
                    </a:xfrm>
                    <a:prstGeom prst="rect">
                      <a:avLst/>
                    </a:prstGeom>
                    <a:ln>
                      <a:solidFill>
                        <a:schemeClr val="tx1"/>
                      </a:solid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1979930" cy="1979930"/>
            <wp:effectExtent l="9525" t="9525" r="10795" b="10795"/>
            <wp:docPr id="37" name="图片 37" descr="7ede6f410ba4f53f13bce68ea6cc60c"/>
            <wp:cNvGraphicFramePr/>
            <a:graphic xmlns:a="http://schemas.openxmlformats.org/drawingml/2006/main">
              <a:graphicData uri="http://schemas.openxmlformats.org/drawingml/2006/picture">
                <pic:pic xmlns:pic="http://schemas.openxmlformats.org/drawingml/2006/picture">
                  <pic:nvPicPr>
                    <pic:cNvPr id="37" name="图片 37" descr="7ede6f410ba4f53f13bce68ea6cc60c"/>
                    <pic:cNvPicPr/>
                  </pic:nvPicPr>
                  <pic:blipFill>
                    <a:blip r:embed="rId18"/>
                    <a:stretch>
                      <a:fillRect/>
                    </a:stretch>
                  </pic:blipFill>
                  <pic:spPr>
                    <a:xfrm>
                      <a:off x="0" y="0"/>
                      <a:ext cx="1979930" cy="1979930"/>
                    </a:xfrm>
                    <a:prstGeom prst="rect">
                      <a:avLst/>
                    </a:prstGeom>
                    <a:ln>
                      <a:solidFill>
                        <a:schemeClr val="tx1"/>
                      </a:solidFill>
                    </a:ln>
                  </pic:spPr>
                </pic:pic>
              </a:graphicData>
            </a:graphic>
          </wp:inline>
        </w:drawing>
      </w:r>
    </w:p>
    <w:p>
      <w:pPr>
        <w:pStyle w:val="18"/>
        <w:ind w:left="0" w:leftChars="0" w:firstLine="0" w:firstLineChars="0"/>
        <w:rPr>
          <w:rFonts w:hint="eastAsia" w:ascii="宋体" w:hAnsi="宋体" w:eastAsia="宋体" w:cs="宋体"/>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lang w:val="en-US" w:eastAsia="zh-CN"/>
        </w:rPr>
        <w:t xml:space="preserve">         </w:t>
      </w:r>
      <w:r>
        <w:rPr>
          <w:rFonts w:hint="eastAsia" w:ascii="宋体" w:hAnsi="宋体" w:eastAsia="宋体" w:cs="宋体"/>
          <w:lang w:val="en-US" w:eastAsia="zh-CN"/>
        </w:rPr>
        <w:t xml:space="preserve">  废水采样照片             无组织废气采样照片             噪声采样照片               环保管理制度</w:t>
      </w:r>
    </w:p>
    <w:p>
      <w:pPr>
        <w:pStyle w:val="18"/>
        <w:ind w:left="0" w:leftChars="0" w:firstLine="0" w:firstLineChars="0"/>
        <w:rPr>
          <w:rFonts w:hint="eastAsia" w:ascii="宋体" w:hAnsi="宋体" w:eastAsia="宋体" w:cs="宋体"/>
          <w:lang w:val="en-US" w:eastAsia="zh-CN"/>
        </w:rPr>
      </w:pPr>
      <w:r>
        <w:rPr>
          <w:rFonts w:hint="eastAsia" w:ascii="Times New Roman" w:hAnsi="Times New Roman" w:cs="Times New Roman" w:eastAsiaTheme="minorEastAsia"/>
          <w:b/>
          <w:kern w:val="2"/>
          <w:sz w:val="24"/>
          <w:szCs w:val="24"/>
          <w:lang w:val="en-US" w:eastAsia="zh-CN" w:bidi="ar-SA"/>
        </w:rPr>
        <w:t>附件1 批复意见</w:t>
      </w:r>
    </w:p>
    <w:p>
      <w:pPr>
        <w:pStyle w:val="18"/>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59070" cy="7295515"/>
            <wp:effectExtent l="0" t="0" r="17780" b="635"/>
            <wp:docPr id="38" name="图片 38" descr="5931544415313_.pic_h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931544415313_.pic_hd(1)"/>
                    <pic:cNvPicPr>
                      <a:picLocks noChangeAspect="1"/>
                    </pic:cNvPicPr>
                  </pic:nvPicPr>
                  <pic:blipFill>
                    <a:blip r:embed="rId19"/>
                    <a:stretch>
                      <a:fillRect/>
                    </a:stretch>
                  </pic:blipFill>
                  <pic:spPr>
                    <a:xfrm>
                      <a:off x="0" y="0"/>
                      <a:ext cx="5259070" cy="7295515"/>
                    </a:xfrm>
                    <a:prstGeom prst="rect">
                      <a:avLst/>
                    </a:prstGeom>
                  </pic:spPr>
                </pic:pic>
              </a:graphicData>
            </a:graphic>
          </wp:inline>
        </w:drawing>
      </w:r>
    </w:p>
    <w:p>
      <w:pPr>
        <w:pStyle w:val="18"/>
        <w:ind w:left="0" w:leftChars="0" w:firstLine="0" w:firstLineChars="0"/>
        <w:rPr>
          <w:rFonts w:hint="eastAsia" w:ascii="宋体" w:hAnsi="宋体" w:eastAsia="宋体" w:cs="宋体"/>
          <w:lang w:val="en-US" w:eastAsia="zh-CN"/>
        </w:rPr>
      </w:pPr>
    </w:p>
    <w:p>
      <w:pPr>
        <w:pStyle w:val="18"/>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 xml:space="preserve">         </w:t>
      </w:r>
    </w:p>
    <w:p>
      <w:pPr>
        <w:pStyle w:val="18"/>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 xml:space="preserve"> </w:t>
      </w:r>
    </w:p>
    <w:p>
      <w:pPr>
        <w:pStyle w:val="18"/>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59070" cy="7295515"/>
            <wp:effectExtent l="0" t="0" r="17780" b="635"/>
            <wp:docPr id="40" name="图片 40" descr="5941544415316_.pic_h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941544415316_.pic_hd(1)"/>
                    <pic:cNvPicPr>
                      <a:picLocks noChangeAspect="1"/>
                    </pic:cNvPicPr>
                  </pic:nvPicPr>
                  <pic:blipFill>
                    <a:blip r:embed="rId20"/>
                    <a:stretch>
                      <a:fillRect/>
                    </a:stretch>
                  </pic:blipFill>
                  <pic:spPr>
                    <a:xfrm rot="10800000">
                      <a:off x="0" y="0"/>
                      <a:ext cx="5259070" cy="7295515"/>
                    </a:xfrm>
                    <a:prstGeom prst="rect">
                      <a:avLst/>
                    </a:prstGeom>
                  </pic:spPr>
                </pic:pic>
              </a:graphicData>
            </a:graphic>
          </wp:inline>
        </w:drawing>
      </w:r>
    </w:p>
    <w:p>
      <w:pPr>
        <w:pStyle w:val="18"/>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 xml:space="preserve">         </w:t>
      </w:r>
    </w:p>
    <w:p>
      <w:pPr>
        <w:pStyle w:val="18"/>
        <w:ind w:left="0" w:leftChars="0" w:firstLine="0" w:firstLineChars="0"/>
        <w:rPr>
          <w:rFonts w:hint="eastAsia" w:ascii="宋体" w:hAnsi="宋体" w:eastAsia="宋体" w:cs="宋体"/>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5259070" cy="7295515"/>
            <wp:effectExtent l="0" t="0" r="17780" b="635"/>
            <wp:docPr id="41" name="图片 41" descr="5951544415317_.pic_h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951544415317_.pic_hd(1)"/>
                    <pic:cNvPicPr>
                      <a:picLocks noChangeAspect="1"/>
                    </pic:cNvPicPr>
                  </pic:nvPicPr>
                  <pic:blipFill>
                    <a:blip r:embed="rId21"/>
                    <a:stretch>
                      <a:fillRect/>
                    </a:stretch>
                  </pic:blipFill>
                  <pic:spPr>
                    <a:xfrm>
                      <a:off x="0" y="0"/>
                      <a:ext cx="5259070" cy="7295515"/>
                    </a:xfrm>
                    <a:prstGeom prst="rect">
                      <a:avLst/>
                    </a:prstGeom>
                  </pic:spPr>
                </pic:pic>
              </a:graphicData>
            </a:graphic>
          </wp:inline>
        </w:drawing>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附件2营业执照</w:t>
      </w:r>
    </w:p>
    <w:p>
      <w:pPr>
        <w:pStyle w:val="18"/>
        <w:ind w:left="0" w:leftChars="0" w:firstLine="0" w:firstLineChars="0"/>
        <w:jc w:val="center"/>
        <w:rPr>
          <w:rFonts w:hint="eastAsia" w:ascii="宋体" w:hAnsi="宋体" w:eastAsia="宋体" w:cs="宋体"/>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ascii="宋体" w:hAnsi="宋体" w:eastAsia="宋体" w:cs="宋体"/>
          <w:lang w:val="en-US" w:eastAsia="zh-CN"/>
        </w:rPr>
        <w:drawing>
          <wp:inline distT="0" distB="0" distL="114300" distR="114300">
            <wp:extent cx="4940935" cy="8592185"/>
            <wp:effectExtent l="0" t="0" r="18415" b="12065"/>
            <wp:docPr id="44" name="图片 44" descr="9b7ec8b8800e73d5edaf767ae83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b7ec8b8800e73d5edaf767ae838287"/>
                    <pic:cNvPicPr>
                      <a:picLocks noChangeAspect="1"/>
                    </pic:cNvPicPr>
                  </pic:nvPicPr>
                  <pic:blipFill>
                    <a:blip r:embed="rId22"/>
                    <a:stretch>
                      <a:fillRect/>
                    </a:stretch>
                  </pic:blipFill>
                  <pic:spPr>
                    <a:xfrm rot="5400000">
                      <a:off x="0" y="0"/>
                      <a:ext cx="4940935" cy="8592185"/>
                    </a:xfrm>
                    <a:prstGeom prst="rect">
                      <a:avLst/>
                    </a:prstGeom>
                  </pic:spPr>
                </pic:pic>
              </a:graphicData>
            </a:graphic>
          </wp:inline>
        </w:drawing>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附件3 污水处理运行台账</w:t>
      </w: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sectPr>
          <w:pgSz w:w="16838" w:h="11906" w:orient="landscape"/>
          <w:pgMar w:top="1800" w:right="1440" w:bottom="1800" w:left="1440" w:header="851" w:footer="992" w:gutter="0"/>
          <w:pgNumType w:fmt="decimal"/>
          <w:cols w:space="425" w:num="1"/>
          <w:docGrid w:type="lines" w:linePitch="312" w:charSpace="0"/>
        </w:sectPr>
      </w:pPr>
      <w:r>
        <w:rPr>
          <w:rFonts w:hint="eastAsia" w:ascii="Times New Roman" w:hAnsi="Times New Roman" w:cs="Times New Roman" w:eastAsiaTheme="minorEastAsia"/>
          <w:b/>
          <w:kern w:val="2"/>
          <w:sz w:val="24"/>
          <w:szCs w:val="24"/>
          <w:lang w:val="en-US" w:eastAsia="zh-CN" w:bidi="ar-SA"/>
        </w:rPr>
        <w:drawing>
          <wp:inline distT="0" distB="0" distL="114300" distR="114300">
            <wp:extent cx="8288020" cy="4886960"/>
            <wp:effectExtent l="0" t="0" r="17780" b="8890"/>
            <wp:docPr id="47" name="图片 47" descr="62231f4e6560ee2f6acfe757c344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2231f4e6560ee2f6acfe757c344aa8"/>
                    <pic:cNvPicPr>
                      <a:picLocks noChangeAspect="1"/>
                    </pic:cNvPicPr>
                  </pic:nvPicPr>
                  <pic:blipFill>
                    <a:blip r:embed="rId23"/>
                    <a:stretch>
                      <a:fillRect/>
                    </a:stretch>
                  </pic:blipFill>
                  <pic:spPr>
                    <a:xfrm>
                      <a:off x="0" y="0"/>
                      <a:ext cx="8288020" cy="4886960"/>
                    </a:xfrm>
                    <a:prstGeom prst="rect">
                      <a:avLst/>
                    </a:prstGeom>
                  </pic:spPr>
                </pic:pic>
              </a:graphicData>
            </a:graphic>
          </wp:inline>
        </w:drawing>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附件4 危废转移台账</w:t>
      </w: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374640" cy="8046085"/>
            <wp:effectExtent l="9525" t="9525" r="26035" b="21590"/>
            <wp:docPr id="49" name="图片 49" descr="1545878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45878150(1)"/>
                    <pic:cNvPicPr>
                      <a:picLocks noChangeAspect="1"/>
                    </pic:cNvPicPr>
                  </pic:nvPicPr>
                  <pic:blipFill>
                    <a:blip r:embed="rId24"/>
                    <a:stretch>
                      <a:fillRect/>
                    </a:stretch>
                  </pic:blipFill>
                  <pic:spPr>
                    <a:xfrm>
                      <a:off x="0" y="0"/>
                      <a:ext cx="5374640" cy="8046085"/>
                    </a:xfrm>
                    <a:prstGeom prst="rect">
                      <a:avLst/>
                    </a:prstGeom>
                    <a:ln>
                      <a:solidFill>
                        <a:schemeClr val="tx1"/>
                      </a:solidFill>
                    </a:ln>
                  </pic:spPr>
                </pic:pic>
              </a:graphicData>
            </a:graphic>
          </wp:inline>
        </w:drawing>
      </w: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附件5 医疗废物集中处理处置合同</w:t>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464175" cy="7756525"/>
            <wp:effectExtent l="0" t="0" r="3175" b="15875"/>
            <wp:docPr id="50" name="图片 50" descr="06ec86baede02a522a84c8a9352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6ec86baede02a522a84c8a93523451"/>
                    <pic:cNvPicPr>
                      <a:picLocks noChangeAspect="1"/>
                    </pic:cNvPicPr>
                  </pic:nvPicPr>
                  <pic:blipFill>
                    <a:blip r:embed="rId25"/>
                    <a:stretch>
                      <a:fillRect/>
                    </a:stretch>
                  </pic:blipFill>
                  <pic:spPr>
                    <a:xfrm>
                      <a:off x="0" y="0"/>
                      <a:ext cx="5464175" cy="7756525"/>
                    </a:xfrm>
                    <a:prstGeom prst="rect">
                      <a:avLst/>
                    </a:prstGeom>
                  </pic:spPr>
                </pic:pic>
              </a:graphicData>
            </a:graphic>
          </wp:inline>
        </w:drawing>
      </w: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4701540" cy="8346440"/>
            <wp:effectExtent l="0" t="0" r="3810" b="16510"/>
            <wp:docPr id="52" name="图片 52" descr="a98e588c4fa34e25236e4b667359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98e588c4fa34e25236e4b667359fa0"/>
                    <pic:cNvPicPr>
                      <a:picLocks noChangeAspect="1"/>
                    </pic:cNvPicPr>
                  </pic:nvPicPr>
                  <pic:blipFill>
                    <a:blip r:embed="rId26"/>
                    <a:stretch>
                      <a:fillRect/>
                    </a:stretch>
                  </pic:blipFill>
                  <pic:spPr>
                    <a:xfrm>
                      <a:off x="0" y="0"/>
                      <a:ext cx="4701540" cy="8346440"/>
                    </a:xfrm>
                    <a:prstGeom prst="rect">
                      <a:avLst/>
                    </a:prstGeom>
                  </pic:spPr>
                </pic:pic>
              </a:graphicData>
            </a:graphic>
          </wp:inline>
        </w:drawing>
      </w:r>
      <w:r>
        <w:rPr>
          <w:rFonts w:hint="eastAsia" w:ascii="Times New Roman" w:hAnsi="Times New Roman" w:cs="Times New Roman" w:eastAsiaTheme="minorEastAsia"/>
          <w:b/>
          <w:kern w:val="2"/>
          <w:sz w:val="24"/>
          <w:szCs w:val="24"/>
          <w:lang w:val="en-US" w:eastAsia="zh-CN" w:bidi="ar-SA"/>
        </w:rPr>
        <w:drawing>
          <wp:inline distT="0" distB="0" distL="114300" distR="114300">
            <wp:extent cx="4425950" cy="8432800"/>
            <wp:effectExtent l="0" t="0" r="12700" b="6350"/>
            <wp:docPr id="53" name="图片 53" descr="3f5c35d2da2ef50162564282eb43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f5c35d2da2ef50162564282eb43feb"/>
                    <pic:cNvPicPr>
                      <a:picLocks noChangeAspect="1"/>
                    </pic:cNvPicPr>
                  </pic:nvPicPr>
                  <pic:blipFill>
                    <a:blip r:embed="rId27"/>
                    <a:stretch>
                      <a:fillRect/>
                    </a:stretch>
                  </pic:blipFill>
                  <pic:spPr>
                    <a:xfrm>
                      <a:off x="0" y="0"/>
                      <a:ext cx="4425950" cy="8432800"/>
                    </a:xfrm>
                    <a:prstGeom prst="rect">
                      <a:avLst/>
                    </a:prstGeom>
                  </pic:spPr>
                </pic:pic>
              </a:graphicData>
            </a:graphic>
          </wp:inline>
        </w:drawing>
      </w:r>
      <w:r>
        <w:rPr>
          <w:rFonts w:hint="eastAsia" w:ascii="Times New Roman" w:hAnsi="Times New Roman" w:cs="Times New Roman" w:eastAsiaTheme="minorEastAsia"/>
          <w:b/>
          <w:kern w:val="2"/>
          <w:sz w:val="24"/>
          <w:szCs w:val="24"/>
          <w:lang w:val="en-US" w:eastAsia="zh-CN" w:bidi="ar-SA"/>
        </w:rPr>
        <w:drawing>
          <wp:inline distT="0" distB="0" distL="114300" distR="114300">
            <wp:extent cx="4425950" cy="8471535"/>
            <wp:effectExtent l="0" t="0" r="12700" b="5715"/>
            <wp:docPr id="54" name="图片 54" descr="72b3d6b57910f09ac899ef448be2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2b3d6b57910f09ac899ef448be2f8d"/>
                    <pic:cNvPicPr>
                      <a:picLocks noChangeAspect="1"/>
                    </pic:cNvPicPr>
                  </pic:nvPicPr>
                  <pic:blipFill>
                    <a:blip r:embed="rId28"/>
                    <a:stretch>
                      <a:fillRect/>
                    </a:stretch>
                  </pic:blipFill>
                  <pic:spPr>
                    <a:xfrm>
                      <a:off x="0" y="0"/>
                      <a:ext cx="4425950" cy="8471535"/>
                    </a:xfrm>
                    <a:prstGeom prst="rect">
                      <a:avLst/>
                    </a:prstGeom>
                  </pic:spPr>
                </pic:pic>
              </a:graphicData>
            </a:graphic>
          </wp:inline>
        </w:drawing>
      </w: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附件6 医用玻璃（一次性塑料）输液瓶（袋）回收处置协议</w:t>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342255" cy="7898130"/>
            <wp:effectExtent l="0" t="0" r="10795" b="7620"/>
            <wp:docPr id="55" name="图片 55" descr="0a60be76eaf5b430f741ce53c1eb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a60be76eaf5b430f741ce53c1eb730"/>
                    <pic:cNvPicPr>
                      <a:picLocks noChangeAspect="1"/>
                    </pic:cNvPicPr>
                  </pic:nvPicPr>
                  <pic:blipFill>
                    <a:blip r:embed="rId29"/>
                    <a:stretch>
                      <a:fillRect/>
                    </a:stretch>
                  </pic:blipFill>
                  <pic:spPr>
                    <a:xfrm>
                      <a:off x="0" y="0"/>
                      <a:ext cx="5342255" cy="7898130"/>
                    </a:xfrm>
                    <a:prstGeom prst="rect">
                      <a:avLst/>
                    </a:prstGeom>
                  </pic:spPr>
                </pic:pic>
              </a:graphicData>
            </a:graphic>
          </wp:inline>
        </w:drawing>
      </w: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66690" cy="7022465"/>
            <wp:effectExtent l="0" t="0" r="10160" b="6985"/>
            <wp:docPr id="57" name="图片 57" descr="daf31fc8c9331e872fbc9eb202cc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af31fc8c9331e872fbc9eb202cc3c8"/>
                    <pic:cNvPicPr>
                      <a:picLocks noChangeAspect="1"/>
                    </pic:cNvPicPr>
                  </pic:nvPicPr>
                  <pic:blipFill>
                    <a:blip r:embed="rId30"/>
                    <a:stretch>
                      <a:fillRect/>
                    </a:stretch>
                  </pic:blipFill>
                  <pic:spPr>
                    <a:xfrm>
                      <a:off x="0" y="0"/>
                      <a:ext cx="5266690" cy="7022465"/>
                    </a:xfrm>
                    <a:prstGeom prst="rect">
                      <a:avLst/>
                    </a:prstGeom>
                  </pic:spPr>
                </pic:pic>
              </a:graphicData>
            </a:graphic>
          </wp:inline>
        </w:drawing>
      </w:r>
      <w:r>
        <w:rPr>
          <w:rFonts w:hint="eastAsia" w:ascii="Times New Roman" w:hAnsi="Times New Roman" w:cs="Times New Roman" w:eastAsiaTheme="minorEastAsia"/>
          <w:b/>
          <w:kern w:val="2"/>
          <w:sz w:val="24"/>
          <w:szCs w:val="24"/>
          <w:lang w:val="en-US" w:eastAsia="zh-CN" w:bidi="ar-SA"/>
        </w:rPr>
        <w:drawing>
          <wp:inline distT="0" distB="0" distL="114300" distR="114300">
            <wp:extent cx="5266690" cy="7022465"/>
            <wp:effectExtent l="0" t="0" r="10160" b="6985"/>
            <wp:docPr id="58" name="图片 58" descr="78f054dacb75d45b4dec20bd11c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78f054dacb75d45b4dec20bd11c4505"/>
                    <pic:cNvPicPr>
                      <a:picLocks noChangeAspect="1"/>
                    </pic:cNvPicPr>
                  </pic:nvPicPr>
                  <pic:blipFill>
                    <a:blip r:embed="rId31"/>
                    <a:stretch>
                      <a:fillRect/>
                    </a:stretch>
                  </pic:blipFill>
                  <pic:spPr>
                    <a:xfrm>
                      <a:off x="0" y="0"/>
                      <a:ext cx="5266690" cy="7022465"/>
                    </a:xfrm>
                    <a:prstGeom prst="rect">
                      <a:avLst/>
                    </a:prstGeom>
                  </pic:spPr>
                </pic:pic>
              </a:graphicData>
            </a:graphic>
          </wp:inline>
        </w:drawing>
      </w: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附件7 委托函</w:t>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8169910" cy="5441315"/>
            <wp:effectExtent l="0" t="0" r="6985" b="2540"/>
            <wp:docPr id="48" name="图片 48" descr="6240bd3ef083d8ad1a8a81f23ea9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240bd3ef083d8ad1a8a81f23ea9c6e"/>
                    <pic:cNvPicPr>
                      <a:picLocks noChangeAspect="1"/>
                    </pic:cNvPicPr>
                  </pic:nvPicPr>
                  <pic:blipFill>
                    <a:blip r:embed="rId32"/>
                    <a:stretch>
                      <a:fillRect/>
                    </a:stretch>
                  </pic:blipFill>
                  <pic:spPr>
                    <a:xfrm rot="5400000">
                      <a:off x="0" y="0"/>
                      <a:ext cx="8169910" cy="5441315"/>
                    </a:xfrm>
                    <a:prstGeom prst="rect">
                      <a:avLst/>
                    </a:prstGeom>
                  </pic:spPr>
                </pic:pic>
              </a:graphicData>
            </a:graphic>
          </wp:inline>
        </w:drawing>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附件8 生产工况</w:t>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7969250" cy="5412740"/>
            <wp:effectExtent l="0" t="0" r="16510" b="12700"/>
            <wp:docPr id="51" name="图片 51" descr="fbcceb64bf79def05617962a2ba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bcceb64bf79def05617962a2ba2809"/>
                    <pic:cNvPicPr>
                      <a:picLocks noChangeAspect="1"/>
                    </pic:cNvPicPr>
                  </pic:nvPicPr>
                  <pic:blipFill>
                    <a:blip r:embed="rId33"/>
                    <a:stretch>
                      <a:fillRect/>
                    </a:stretch>
                  </pic:blipFill>
                  <pic:spPr>
                    <a:xfrm rot="5400000">
                      <a:off x="0" y="0"/>
                      <a:ext cx="7969250" cy="5412740"/>
                    </a:xfrm>
                    <a:prstGeom prst="rect">
                      <a:avLst/>
                    </a:prstGeom>
                  </pic:spPr>
                </pic:pic>
              </a:graphicData>
            </a:graphic>
          </wp:inline>
        </w:drawing>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附件9 环保投资</w:t>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7722235" cy="5227955"/>
            <wp:effectExtent l="0" t="0" r="10795" b="12065"/>
            <wp:docPr id="56" name="图片 56" descr="7974d222ab441a0b8d6a90ca47e0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7974d222ab441a0b8d6a90ca47e0a43"/>
                    <pic:cNvPicPr>
                      <a:picLocks noChangeAspect="1"/>
                    </pic:cNvPicPr>
                  </pic:nvPicPr>
                  <pic:blipFill>
                    <a:blip r:embed="rId34"/>
                    <a:stretch>
                      <a:fillRect/>
                    </a:stretch>
                  </pic:blipFill>
                  <pic:spPr>
                    <a:xfrm rot="5400000">
                      <a:off x="0" y="0"/>
                      <a:ext cx="7722235" cy="5227955"/>
                    </a:xfrm>
                    <a:prstGeom prst="rect">
                      <a:avLst/>
                    </a:prstGeom>
                  </pic:spPr>
                </pic:pic>
              </a:graphicData>
            </a:graphic>
          </wp:inline>
        </w:drawing>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附件10 材料真实情况说明</w:t>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7381875" cy="5535930"/>
            <wp:effectExtent l="0" t="0" r="7620" b="9525"/>
            <wp:docPr id="62" name="图片 62" descr="31adc55dddf3551bc8c3657c01e3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1adc55dddf3551bc8c3657c01e344d"/>
                    <pic:cNvPicPr>
                      <a:picLocks noChangeAspect="1"/>
                    </pic:cNvPicPr>
                  </pic:nvPicPr>
                  <pic:blipFill>
                    <a:blip r:embed="rId35"/>
                    <a:stretch>
                      <a:fillRect/>
                    </a:stretch>
                  </pic:blipFill>
                  <pic:spPr>
                    <a:xfrm rot="5400000">
                      <a:off x="0" y="0"/>
                      <a:ext cx="7381875" cy="5535930"/>
                    </a:xfrm>
                    <a:prstGeom prst="rect">
                      <a:avLst/>
                    </a:prstGeom>
                  </pic:spPr>
                </pic:pic>
              </a:graphicData>
            </a:graphic>
          </wp:inline>
        </w:drawing>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附件11 用地租赁合同</w:t>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71135" cy="7028180"/>
            <wp:effectExtent l="0" t="0" r="5715" b="1270"/>
            <wp:docPr id="64" name="图片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
                    <pic:cNvPicPr>
                      <a:picLocks noChangeAspect="1"/>
                    </pic:cNvPicPr>
                  </pic:nvPicPr>
                  <pic:blipFill>
                    <a:blip r:embed="rId36"/>
                    <a:stretch>
                      <a:fillRect/>
                    </a:stretch>
                  </pic:blipFill>
                  <pic:spPr>
                    <a:xfrm>
                      <a:off x="0" y="0"/>
                      <a:ext cx="5271135" cy="7028180"/>
                    </a:xfrm>
                    <a:prstGeom prst="rect">
                      <a:avLst/>
                    </a:prstGeom>
                  </pic:spPr>
                </pic:pic>
              </a:graphicData>
            </a:graphic>
          </wp:inline>
        </w:drawing>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71135" cy="7028180"/>
            <wp:effectExtent l="0" t="0" r="5715" b="1270"/>
            <wp:docPr id="65" name="图片 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
                    <pic:cNvPicPr>
                      <a:picLocks noChangeAspect="1"/>
                    </pic:cNvPicPr>
                  </pic:nvPicPr>
                  <pic:blipFill>
                    <a:blip r:embed="rId37"/>
                    <a:stretch>
                      <a:fillRect/>
                    </a:stretch>
                  </pic:blipFill>
                  <pic:spPr>
                    <a:xfrm>
                      <a:off x="0" y="0"/>
                      <a:ext cx="5271135" cy="7028180"/>
                    </a:xfrm>
                    <a:prstGeom prst="rect">
                      <a:avLst/>
                    </a:prstGeom>
                  </pic:spPr>
                </pic:pic>
              </a:graphicData>
            </a:graphic>
          </wp:inline>
        </w:drawing>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71135" cy="7028180"/>
            <wp:effectExtent l="0" t="0" r="5715" b="1270"/>
            <wp:docPr id="66" name="图片 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
                    <pic:cNvPicPr>
                      <a:picLocks noChangeAspect="1"/>
                    </pic:cNvPicPr>
                  </pic:nvPicPr>
                  <pic:blipFill>
                    <a:blip r:embed="rId38"/>
                    <a:stretch>
                      <a:fillRect/>
                    </a:stretch>
                  </pic:blipFill>
                  <pic:spPr>
                    <a:xfrm>
                      <a:off x="0" y="0"/>
                      <a:ext cx="5271135" cy="7028180"/>
                    </a:xfrm>
                    <a:prstGeom prst="rect">
                      <a:avLst/>
                    </a:prstGeom>
                  </pic:spPr>
                </pic:pic>
              </a:graphicData>
            </a:graphic>
          </wp:inline>
        </w:drawing>
      </w:r>
      <w:r>
        <w:rPr>
          <w:rFonts w:hint="eastAsia" w:ascii="Times New Roman" w:hAnsi="Times New Roman" w:cs="Times New Roman" w:eastAsiaTheme="minorEastAsia"/>
          <w:b/>
          <w:kern w:val="2"/>
          <w:sz w:val="24"/>
          <w:szCs w:val="24"/>
          <w:lang w:val="en-US" w:eastAsia="zh-CN" w:bidi="ar-SA"/>
        </w:rPr>
        <w:drawing>
          <wp:inline distT="0" distB="0" distL="114300" distR="114300">
            <wp:extent cx="5271135" cy="7028180"/>
            <wp:effectExtent l="0" t="0" r="5715" b="1270"/>
            <wp:docPr id="67" name="图片 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4"/>
                    <pic:cNvPicPr>
                      <a:picLocks noChangeAspect="1"/>
                    </pic:cNvPicPr>
                  </pic:nvPicPr>
                  <pic:blipFill>
                    <a:blip r:embed="rId39"/>
                    <a:stretch>
                      <a:fillRect/>
                    </a:stretch>
                  </pic:blipFill>
                  <pic:spPr>
                    <a:xfrm>
                      <a:off x="0" y="0"/>
                      <a:ext cx="5271135" cy="7028180"/>
                    </a:xfrm>
                    <a:prstGeom prst="rect">
                      <a:avLst/>
                    </a:prstGeom>
                  </pic:spPr>
                </pic:pic>
              </a:graphicData>
            </a:graphic>
          </wp:inline>
        </w:drawing>
      </w:r>
      <w:r>
        <w:rPr>
          <w:rFonts w:hint="eastAsia" w:ascii="Times New Roman" w:hAnsi="Times New Roman" w:cs="Times New Roman" w:eastAsiaTheme="minorEastAsia"/>
          <w:b/>
          <w:kern w:val="2"/>
          <w:sz w:val="24"/>
          <w:szCs w:val="24"/>
          <w:lang w:val="en-US" w:eastAsia="zh-CN" w:bidi="ar-SA"/>
        </w:rPr>
        <w:drawing>
          <wp:inline distT="0" distB="0" distL="114300" distR="114300">
            <wp:extent cx="5271135" cy="7028180"/>
            <wp:effectExtent l="0" t="0" r="5715" b="1270"/>
            <wp:docPr id="69" name="图片 6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6"/>
                    <pic:cNvPicPr>
                      <a:picLocks noChangeAspect="1"/>
                    </pic:cNvPicPr>
                  </pic:nvPicPr>
                  <pic:blipFill>
                    <a:blip r:embed="rId40"/>
                    <a:stretch>
                      <a:fillRect/>
                    </a:stretch>
                  </pic:blipFill>
                  <pic:spPr>
                    <a:xfrm>
                      <a:off x="0" y="0"/>
                      <a:ext cx="5271135" cy="7028180"/>
                    </a:xfrm>
                    <a:prstGeom prst="rect">
                      <a:avLst/>
                    </a:prstGeom>
                  </pic:spPr>
                </pic:pic>
              </a:graphicData>
            </a:graphic>
          </wp:inline>
        </w:drawing>
      </w:r>
      <w:r>
        <w:rPr>
          <w:rFonts w:hint="eastAsia" w:ascii="Times New Roman" w:hAnsi="Times New Roman" w:cs="Times New Roman" w:eastAsiaTheme="minorEastAsia"/>
          <w:b/>
          <w:kern w:val="2"/>
          <w:sz w:val="24"/>
          <w:szCs w:val="24"/>
          <w:lang w:val="en-US" w:eastAsia="zh-CN" w:bidi="ar-SA"/>
        </w:rPr>
        <w:drawing>
          <wp:inline distT="0" distB="0" distL="114300" distR="114300">
            <wp:extent cx="5271135" cy="7028180"/>
            <wp:effectExtent l="0" t="0" r="5715" b="1270"/>
            <wp:docPr id="70" name="图片 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7"/>
                    <pic:cNvPicPr>
                      <a:picLocks noChangeAspect="1"/>
                    </pic:cNvPicPr>
                  </pic:nvPicPr>
                  <pic:blipFill>
                    <a:blip r:embed="rId41"/>
                    <a:stretch>
                      <a:fillRect/>
                    </a:stretch>
                  </pic:blipFill>
                  <pic:spPr>
                    <a:xfrm>
                      <a:off x="0" y="0"/>
                      <a:ext cx="5271135" cy="7028180"/>
                    </a:xfrm>
                    <a:prstGeom prst="rect">
                      <a:avLst/>
                    </a:prstGeom>
                  </pic:spPr>
                </pic:pic>
              </a:graphicData>
            </a:graphic>
          </wp:inline>
        </w:drawing>
      </w:r>
      <w:r>
        <w:rPr>
          <w:rFonts w:hint="eastAsia" w:ascii="Times New Roman" w:hAnsi="Times New Roman" w:cs="Times New Roman" w:eastAsiaTheme="minorEastAsia"/>
          <w:b/>
          <w:kern w:val="2"/>
          <w:sz w:val="24"/>
          <w:szCs w:val="24"/>
          <w:lang w:val="en-US" w:eastAsia="zh-CN" w:bidi="ar-SA"/>
        </w:rPr>
        <w:drawing>
          <wp:inline distT="0" distB="0" distL="114300" distR="114300">
            <wp:extent cx="5271135" cy="7028180"/>
            <wp:effectExtent l="0" t="0" r="5715" b="1270"/>
            <wp:docPr id="71" name="图片 7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8"/>
                    <pic:cNvPicPr>
                      <a:picLocks noChangeAspect="1"/>
                    </pic:cNvPicPr>
                  </pic:nvPicPr>
                  <pic:blipFill>
                    <a:blip r:embed="rId42"/>
                    <a:stretch>
                      <a:fillRect/>
                    </a:stretch>
                  </pic:blipFill>
                  <pic:spPr>
                    <a:xfrm>
                      <a:off x="0" y="0"/>
                      <a:ext cx="5271135" cy="7028180"/>
                    </a:xfrm>
                    <a:prstGeom prst="rect">
                      <a:avLst/>
                    </a:prstGeom>
                  </pic:spPr>
                </pic:pic>
              </a:graphicData>
            </a:graphic>
          </wp:inline>
        </w:drawing>
      </w: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附件12 竣工环境保护验收意见</w:t>
      </w:r>
    </w:p>
    <w:p>
      <w:pPr>
        <w:tabs>
          <w:tab w:val="left" w:pos="1995"/>
        </w:tabs>
        <w:spacing w:line="560" w:lineRule="exact"/>
        <w:jc w:val="center"/>
        <w:rPr>
          <w:rFonts w:hint="eastAsia" w:ascii="Times New Roman" w:hAnsi="黑体" w:eastAsia="黑体"/>
          <w:bCs/>
          <w:color w:val="000000"/>
          <w:sz w:val="32"/>
          <w:szCs w:val="32"/>
        </w:rPr>
      </w:pPr>
      <w:r>
        <w:rPr>
          <w:rFonts w:hint="eastAsia" w:ascii="Times New Roman" w:hAnsi="黑体" w:eastAsia="黑体"/>
          <w:bCs/>
          <w:color w:val="000000"/>
          <w:sz w:val="32"/>
          <w:szCs w:val="32"/>
        </w:rPr>
        <w:t>安化益汉医院安化益汉医院建设项目</w:t>
      </w:r>
    </w:p>
    <w:p>
      <w:pPr>
        <w:tabs>
          <w:tab w:val="left" w:pos="1995"/>
        </w:tabs>
        <w:spacing w:line="560" w:lineRule="exact"/>
        <w:jc w:val="center"/>
        <w:rPr>
          <w:rFonts w:ascii="Times New Roman" w:hAnsi="Times New Roman" w:eastAsia="黑体"/>
          <w:color w:val="000000"/>
          <w:sz w:val="32"/>
          <w:szCs w:val="32"/>
        </w:rPr>
      </w:pPr>
      <w:r>
        <w:rPr>
          <w:rFonts w:hint="eastAsia" w:ascii="Times New Roman" w:hAnsi="黑体" w:eastAsia="黑体"/>
          <w:bCs/>
          <w:color w:val="000000"/>
          <w:sz w:val="32"/>
          <w:szCs w:val="32"/>
        </w:rPr>
        <w:t>竣工</w:t>
      </w:r>
      <w:r>
        <w:rPr>
          <w:rFonts w:ascii="Times New Roman" w:hAnsi="黑体" w:eastAsia="黑体"/>
          <w:bCs/>
          <w:color w:val="000000"/>
          <w:sz w:val="32"/>
          <w:szCs w:val="32"/>
        </w:rPr>
        <w:t>环境保护验收意见</w:t>
      </w:r>
    </w:p>
    <w:p>
      <w:pPr>
        <w:autoSpaceDE w:val="0"/>
        <w:autoSpaceDN w:val="0"/>
        <w:ind w:firstLine="480" w:firstLineChars="200"/>
        <w:rPr>
          <w:rFonts w:ascii="Times New Roman" w:hAnsi="宋体"/>
          <w:color w:val="000000"/>
          <w:sz w:val="24"/>
        </w:rPr>
      </w:pPr>
    </w:p>
    <w:p>
      <w:pPr>
        <w:autoSpaceDE w:val="0"/>
        <w:autoSpaceDN w:val="0"/>
        <w:spacing w:line="52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2019年1月8日，安化益汉医院根据《安化益汉医院建设项目竣工环境保护验收监测报告表》并对照《建设项目竣工环境保护验收暂行办法》（国环规环评[2017]4号），严格依照国家有关法律法规、建设项目竣工环境保护验收技术规范/指南、本项目环境影响报告表和审批部门审批决定等要求对本项目进行验收。</w:t>
      </w:r>
    </w:p>
    <w:p>
      <w:pPr>
        <w:autoSpaceDE w:val="0"/>
        <w:autoSpaceDN w:val="0"/>
        <w:spacing w:line="520" w:lineRule="exact"/>
        <w:ind w:firstLine="600" w:firstLineChars="200"/>
        <w:rPr>
          <w:rFonts w:hint="eastAsia" w:ascii="仿宋_GB2312" w:eastAsia="仿宋_GB2312"/>
          <w:color w:val="000000"/>
          <w:sz w:val="30"/>
          <w:szCs w:val="30"/>
        </w:rPr>
      </w:pPr>
      <w:r>
        <w:rPr>
          <w:rFonts w:hint="eastAsia" w:ascii="仿宋_GB2312" w:hAnsi="Times New Roman" w:eastAsia="仿宋_GB2312"/>
          <w:color w:val="000000"/>
          <w:sz w:val="30"/>
          <w:szCs w:val="30"/>
        </w:rPr>
        <w:t>验收工作组由建设单位（安化益汉医院）、验收监测单位（湖南精科检测有限公司）及3位专家（名单附后）组成。验收工作组现场查看并核实了本项目配套环境保护设施的建设与运行情况，听取了建设单位对项目进展情况、验收监测单位对验收监测报告编制情况的详细介绍。</w:t>
      </w:r>
      <w:r>
        <w:rPr>
          <w:rFonts w:hint="eastAsia" w:ascii="仿宋_GB2312" w:eastAsia="仿宋_GB2312"/>
          <w:color w:val="000000"/>
          <w:sz w:val="30"/>
          <w:szCs w:val="30"/>
        </w:rPr>
        <w:fldChar w:fldCharType="begin"/>
      </w:r>
      <w:r>
        <w:rPr>
          <w:rFonts w:hint="eastAsia" w:ascii="仿宋_GB2312" w:eastAsia="仿宋_GB2312"/>
          <w:color w:val="000000"/>
          <w:sz w:val="30"/>
          <w:szCs w:val="30"/>
        </w:rPr>
        <w:instrText xml:space="preserve">HYPERLINK "https://www.baidu.com/link?url=vtpZ92kH66xePc8ftFDQVP4a9rnBwqugkvJHEm9EdlwvkcyTTyYXVORa9y68Q0Ta4UUqAh-7pXOULL0ZMCVooHrYI68aYPMvD8p1aqovnk_&amp;wd=&amp;eqid=d158c4a800007aba000000065a0d99b8" \t "_blank"</w:instrText>
      </w:r>
      <w:r>
        <w:rPr>
          <w:rFonts w:hint="eastAsia" w:ascii="仿宋_GB2312" w:eastAsia="仿宋_GB2312"/>
          <w:color w:val="000000"/>
          <w:sz w:val="30"/>
          <w:szCs w:val="30"/>
        </w:rPr>
        <w:fldChar w:fldCharType="separate"/>
      </w:r>
      <w:r>
        <w:rPr>
          <w:rFonts w:hint="eastAsia" w:ascii="仿宋_GB2312" w:hAnsi="Times New Roman" w:eastAsia="仿宋_GB2312"/>
          <w:color w:val="000000"/>
          <w:sz w:val="30"/>
          <w:szCs w:val="30"/>
        </w:rPr>
        <w:t>经认真研究讨论形成如下验收意见：</w:t>
      </w:r>
      <w:r>
        <w:rPr>
          <w:rFonts w:hint="eastAsia" w:ascii="仿宋_GB2312" w:eastAsia="仿宋_GB2312"/>
          <w:color w:val="000000"/>
          <w:sz w:val="30"/>
          <w:szCs w:val="30"/>
        </w:rPr>
        <w:fldChar w:fldCharType="end"/>
      </w:r>
    </w:p>
    <w:p>
      <w:pPr>
        <w:autoSpaceDE w:val="0"/>
        <w:autoSpaceDN w:val="0"/>
        <w:spacing w:line="520" w:lineRule="exact"/>
        <w:ind w:firstLine="602" w:firstLineChars="200"/>
        <w:outlineLvl w:val="0"/>
        <w:rPr>
          <w:rFonts w:hint="eastAsia" w:ascii="仿宋_GB2312" w:hAnsi="宋体" w:eastAsia="仿宋_GB2312"/>
          <w:b/>
          <w:color w:val="000000"/>
          <w:sz w:val="30"/>
          <w:szCs w:val="30"/>
        </w:rPr>
      </w:pPr>
      <w:r>
        <w:rPr>
          <w:rFonts w:hint="eastAsia" w:ascii="仿宋_GB2312" w:hAnsi="宋体" w:eastAsia="仿宋_GB2312"/>
          <w:b/>
          <w:color w:val="000000"/>
          <w:sz w:val="30"/>
          <w:szCs w:val="30"/>
        </w:rPr>
        <w:t>一、工程建设基本情况</w:t>
      </w:r>
    </w:p>
    <w:p>
      <w:pPr>
        <w:autoSpaceDE w:val="0"/>
        <w:autoSpaceDN w:val="0"/>
        <w:spacing w:line="52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（一）建设地点、规模、主要建设内容</w:t>
      </w:r>
    </w:p>
    <w:p>
      <w:pPr>
        <w:autoSpaceDE w:val="0"/>
        <w:autoSpaceDN w:val="0"/>
        <w:spacing w:line="52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建设地点：安化县城南区吉祥路</w:t>
      </w:r>
    </w:p>
    <w:p>
      <w:pPr>
        <w:autoSpaceDE w:val="0"/>
        <w:autoSpaceDN w:val="0"/>
        <w:spacing w:line="52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生产规模：设病床位90张</w:t>
      </w:r>
    </w:p>
    <w:p>
      <w:pPr>
        <w:autoSpaceDE w:val="0"/>
        <w:autoSpaceDN w:val="0"/>
        <w:spacing w:line="52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建设内容：总占地面积6000平方米，总建筑面积5400米，属租赁性质，主要诊疗科目包括内科、外科、妇产科、眼科、耳鼻科、麻醉科、医学检验科（本项目检验科主要为仪器分析检测，只做常规项目检测）、医学影像科（X线、超声、心电诊断专业）和中医科（针灸科专业、推拿科专业，不提供中药熬制、打粉等工序）等</w:t>
      </w:r>
    </w:p>
    <w:p>
      <w:pPr>
        <w:autoSpaceDE w:val="0"/>
        <w:autoSpaceDN w:val="0"/>
        <w:spacing w:line="52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（二）建设过程及环保审批情况</w:t>
      </w:r>
    </w:p>
    <w:p>
      <w:pPr>
        <w:autoSpaceDE w:val="0"/>
        <w:autoSpaceDN w:val="0"/>
        <w:spacing w:line="52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项目于2018年3月由深圳市环新环保技术有限公司对其进行了环境影响评价，并于2018年4月通过了安化县环境保护局的审批（安</w:t>
      </w:r>
      <w:r>
        <w:rPr>
          <w:rFonts w:ascii="仿宋_GB2312" w:hAnsi="Times New Roman" w:eastAsia="仿宋_GB2312"/>
          <w:color w:val="000000"/>
          <w:sz w:val="30"/>
          <w:szCs w:val="30"/>
        </w:rPr>
        <w:t>环审</w:t>
      </w:r>
      <w:r>
        <w:rPr>
          <w:rFonts w:hint="eastAsia" w:ascii="仿宋_GB2312" w:hAnsi="Times New Roman" w:eastAsia="仿宋_GB2312"/>
          <w:color w:val="000000"/>
          <w:sz w:val="30"/>
          <w:szCs w:val="30"/>
        </w:rPr>
        <w:t>（表）</w:t>
      </w:r>
      <w:r>
        <w:rPr>
          <w:rFonts w:ascii="仿宋_GB2312" w:hAnsi="Times New Roman" w:eastAsia="仿宋_GB2312"/>
          <w:color w:val="000000"/>
          <w:sz w:val="30"/>
          <w:szCs w:val="30"/>
        </w:rPr>
        <w:t>[201</w:t>
      </w:r>
      <w:r>
        <w:rPr>
          <w:rFonts w:hint="eastAsia" w:ascii="仿宋_GB2312" w:hAnsi="Times New Roman" w:eastAsia="仿宋_GB2312"/>
          <w:color w:val="000000"/>
          <w:sz w:val="30"/>
          <w:szCs w:val="30"/>
        </w:rPr>
        <w:t>8</w:t>
      </w:r>
      <w:r>
        <w:rPr>
          <w:rFonts w:ascii="仿宋_GB2312" w:hAnsi="Times New Roman" w:eastAsia="仿宋_GB2312"/>
          <w:color w:val="000000"/>
          <w:sz w:val="30"/>
          <w:szCs w:val="30"/>
        </w:rPr>
        <w:t>]</w:t>
      </w:r>
      <w:r>
        <w:rPr>
          <w:rFonts w:hint="eastAsia" w:ascii="仿宋_GB2312" w:hAnsi="Times New Roman" w:eastAsia="仿宋_GB2312"/>
          <w:color w:val="000000"/>
          <w:sz w:val="30"/>
          <w:szCs w:val="30"/>
        </w:rPr>
        <w:t>015</w:t>
      </w:r>
      <w:r>
        <w:rPr>
          <w:rFonts w:ascii="仿宋_GB2312" w:hAnsi="Times New Roman" w:eastAsia="仿宋_GB2312"/>
          <w:color w:val="000000"/>
          <w:sz w:val="30"/>
          <w:szCs w:val="30"/>
        </w:rPr>
        <w:t>号</w:t>
      </w:r>
      <w:r>
        <w:rPr>
          <w:rFonts w:hint="eastAsia" w:ascii="仿宋_GB2312" w:hAnsi="Times New Roman" w:eastAsia="仿宋_GB2312"/>
          <w:color w:val="000000"/>
          <w:sz w:val="30"/>
          <w:szCs w:val="30"/>
        </w:rPr>
        <w:t>）。</w:t>
      </w:r>
    </w:p>
    <w:p>
      <w:pPr>
        <w:autoSpaceDE w:val="0"/>
        <w:autoSpaceDN w:val="0"/>
        <w:spacing w:line="52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（三）投资情况</w:t>
      </w:r>
    </w:p>
    <w:p>
      <w:pPr>
        <w:autoSpaceDE w:val="0"/>
        <w:autoSpaceDN w:val="0"/>
        <w:spacing w:line="520" w:lineRule="exact"/>
        <w:ind w:firstLine="600" w:firstLineChars="200"/>
        <w:rPr>
          <w:rFonts w:hint="eastAsia" w:ascii="仿宋_GB2312" w:hAnsi="Times New Roman" w:eastAsia="仿宋_GB2312"/>
          <w:color w:val="000000"/>
          <w:sz w:val="30"/>
          <w:szCs w:val="30"/>
        </w:rPr>
      </w:pPr>
      <w:r>
        <w:rPr>
          <w:rFonts w:ascii="仿宋_GB2312" w:hAnsi="Times New Roman" w:eastAsia="仿宋_GB2312"/>
          <w:color w:val="000000"/>
          <w:sz w:val="30"/>
          <w:szCs w:val="30"/>
        </w:rPr>
        <w:t>项目</w:t>
      </w:r>
      <w:r>
        <w:rPr>
          <w:rFonts w:hint="eastAsia" w:ascii="仿宋_GB2312" w:hAnsi="Times New Roman" w:eastAsia="仿宋_GB2312"/>
          <w:color w:val="000000"/>
          <w:sz w:val="30"/>
          <w:szCs w:val="30"/>
        </w:rPr>
        <w:t>实际</w:t>
      </w:r>
      <w:r>
        <w:rPr>
          <w:rFonts w:ascii="仿宋_GB2312" w:hAnsi="Times New Roman" w:eastAsia="仿宋_GB2312"/>
          <w:color w:val="000000"/>
          <w:sz w:val="30"/>
          <w:szCs w:val="30"/>
        </w:rPr>
        <w:t>总投资</w:t>
      </w:r>
      <w:r>
        <w:rPr>
          <w:rFonts w:hint="eastAsia" w:ascii="仿宋_GB2312" w:hAnsi="Times New Roman" w:eastAsia="仿宋_GB2312"/>
          <w:color w:val="000000"/>
          <w:sz w:val="30"/>
          <w:szCs w:val="30"/>
        </w:rPr>
        <w:t>500</w:t>
      </w:r>
      <w:r>
        <w:rPr>
          <w:rFonts w:ascii="仿宋_GB2312" w:hAnsi="Times New Roman" w:eastAsia="仿宋_GB2312"/>
          <w:color w:val="000000"/>
          <w:sz w:val="30"/>
          <w:szCs w:val="30"/>
        </w:rPr>
        <w:t>万元，其中环保投资</w:t>
      </w:r>
      <w:r>
        <w:rPr>
          <w:rFonts w:hint="eastAsia" w:ascii="仿宋_GB2312" w:hAnsi="Times New Roman" w:eastAsia="仿宋_GB2312"/>
          <w:color w:val="000000"/>
          <w:sz w:val="30"/>
          <w:szCs w:val="30"/>
        </w:rPr>
        <w:t>76</w:t>
      </w:r>
      <w:r>
        <w:rPr>
          <w:rFonts w:ascii="仿宋_GB2312" w:hAnsi="Times New Roman" w:eastAsia="仿宋_GB2312"/>
          <w:color w:val="000000"/>
          <w:sz w:val="30"/>
          <w:szCs w:val="30"/>
        </w:rPr>
        <w:t>万元，占</w:t>
      </w:r>
      <w:r>
        <w:rPr>
          <w:rFonts w:hint="eastAsia" w:ascii="仿宋_GB2312" w:hAnsi="Times New Roman" w:eastAsia="仿宋_GB2312"/>
          <w:color w:val="000000"/>
          <w:sz w:val="30"/>
          <w:szCs w:val="30"/>
        </w:rPr>
        <w:t>实际</w:t>
      </w:r>
      <w:r>
        <w:rPr>
          <w:rFonts w:ascii="仿宋_GB2312" w:hAnsi="Times New Roman" w:eastAsia="仿宋_GB2312"/>
          <w:color w:val="000000"/>
          <w:sz w:val="30"/>
          <w:szCs w:val="30"/>
        </w:rPr>
        <w:t>总投资</w:t>
      </w:r>
      <w:r>
        <w:rPr>
          <w:rFonts w:hint="eastAsia" w:ascii="仿宋_GB2312" w:hAnsi="Times New Roman" w:eastAsia="仿宋_GB2312"/>
          <w:color w:val="000000"/>
          <w:sz w:val="30"/>
          <w:szCs w:val="30"/>
        </w:rPr>
        <w:t>的15.2</w:t>
      </w:r>
      <w:r>
        <w:rPr>
          <w:rFonts w:ascii="仿宋_GB2312" w:hAnsi="Times New Roman" w:eastAsia="仿宋_GB2312"/>
          <w:color w:val="000000"/>
          <w:sz w:val="30"/>
          <w:szCs w:val="30"/>
        </w:rPr>
        <w:t>%</w:t>
      </w:r>
      <w:r>
        <w:rPr>
          <w:rFonts w:hint="eastAsia" w:ascii="仿宋_GB2312" w:hAnsi="Times New Roman" w:eastAsia="仿宋_GB2312"/>
          <w:color w:val="000000"/>
          <w:sz w:val="30"/>
          <w:szCs w:val="30"/>
        </w:rPr>
        <w:t>。</w:t>
      </w:r>
    </w:p>
    <w:p>
      <w:pPr>
        <w:autoSpaceDE w:val="0"/>
        <w:autoSpaceDN w:val="0"/>
        <w:spacing w:line="52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（四）验收范围</w:t>
      </w:r>
    </w:p>
    <w:p>
      <w:pPr>
        <w:autoSpaceDE w:val="0"/>
        <w:autoSpaceDN w:val="0"/>
        <w:spacing w:line="52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本次验收为本项目竣工环保总体验收。</w:t>
      </w:r>
    </w:p>
    <w:p>
      <w:pPr>
        <w:autoSpaceDE w:val="0"/>
        <w:autoSpaceDN w:val="0"/>
        <w:spacing w:line="520" w:lineRule="exact"/>
        <w:ind w:firstLine="602" w:firstLineChars="200"/>
        <w:outlineLvl w:val="0"/>
        <w:rPr>
          <w:rFonts w:hint="eastAsia" w:ascii="仿宋_GB2312" w:hAnsi="Times New Roman" w:eastAsia="仿宋_GB2312"/>
          <w:b/>
          <w:color w:val="000000"/>
          <w:sz w:val="30"/>
          <w:szCs w:val="30"/>
        </w:rPr>
      </w:pPr>
      <w:r>
        <w:rPr>
          <w:rFonts w:hint="eastAsia" w:ascii="仿宋_GB2312" w:hAnsi="宋体" w:eastAsia="仿宋_GB2312"/>
          <w:b/>
          <w:color w:val="000000"/>
          <w:sz w:val="30"/>
          <w:szCs w:val="30"/>
        </w:rPr>
        <w:t>二、工程变动情况</w:t>
      </w:r>
    </w:p>
    <w:p>
      <w:pPr>
        <w:autoSpaceDE w:val="0"/>
        <w:autoSpaceDN w:val="0"/>
        <w:spacing w:line="520" w:lineRule="exact"/>
        <w:ind w:firstLine="600" w:firstLineChars="200"/>
        <w:rPr>
          <w:rFonts w:ascii="仿宋_GB2312" w:hAnsi="Times New Roman" w:eastAsia="仿宋_GB2312"/>
          <w:color w:val="000000"/>
          <w:sz w:val="30"/>
          <w:szCs w:val="30"/>
        </w:rPr>
      </w:pPr>
      <w:r>
        <w:rPr>
          <w:rFonts w:ascii="仿宋_GB2312" w:hAnsi="Times New Roman" w:eastAsia="仿宋_GB2312"/>
          <w:color w:val="000000"/>
          <w:sz w:val="30"/>
          <w:szCs w:val="30"/>
        </w:rPr>
        <w:t>根据</w:t>
      </w:r>
      <w:r>
        <w:rPr>
          <w:rFonts w:hint="eastAsia" w:ascii="仿宋_GB2312" w:hAnsi="Times New Roman" w:eastAsia="仿宋_GB2312"/>
          <w:color w:val="000000"/>
          <w:sz w:val="30"/>
          <w:szCs w:val="30"/>
        </w:rPr>
        <w:t>相关</w:t>
      </w:r>
      <w:r>
        <w:rPr>
          <w:rFonts w:ascii="仿宋_GB2312" w:hAnsi="Times New Roman" w:eastAsia="仿宋_GB2312"/>
          <w:color w:val="000000"/>
          <w:sz w:val="30"/>
          <w:szCs w:val="30"/>
        </w:rPr>
        <w:t>资料结合现场踏勘，本项目相对环评阶段，</w:t>
      </w:r>
      <w:r>
        <w:rPr>
          <w:rFonts w:hint="eastAsia" w:ascii="仿宋_GB2312" w:hAnsi="Times New Roman" w:eastAsia="仿宋_GB2312"/>
          <w:color w:val="000000"/>
          <w:sz w:val="30"/>
          <w:szCs w:val="30"/>
        </w:rPr>
        <w:t>主体建设内容</w:t>
      </w:r>
      <w:r>
        <w:rPr>
          <w:rFonts w:ascii="仿宋_GB2312" w:hAnsi="Times New Roman" w:eastAsia="仿宋_GB2312"/>
          <w:color w:val="000000"/>
          <w:sz w:val="30"/>
          <w:szCs w:val="30"/>
        </w:rPr>
        <w:t>基本相同</w:t>
      </w:r>
      <w:r>
        <w:rPr>
          <w:rFonts w:hint="eastAsia" w:ascii="仿宋_GB2312" w:hAnsi="Times New Roman" w:eastAsia="仿宋_GB2312"/>
          <w:color w:val="000000"/>
          <w:sz w:val="30"/>
          <w:szCs w:val="30"/>
        </w:rPr>
        <w:t>，不涉及</w:t>
      </w:r>
      <w:r>
        <w:rPr>
          <w:rFonts w:ascii="仿宋_GB2312" w:hAnsi="Times New Roman" w:eastAsia="仿宋_GB2312"/>
          <w:color w:val="000000"/>
          <w:sz w:val="30"/>
          <w:szCs w:val="30"/>
        </w:rPr>
        <w:t>《关于印发环评管理中部分行业建设项目重大变动清单的通知》（环办（2015）52号）</w:t>
      </w:r>
      <w:r>
        <w:rPr>
          <w:rFonts w:hint="eastAsia" w:ascii="仿宋_GB2312" w:hAnsi="Times New Roman" w:eastAsia="仿宋_GB2312"/>
          <w:color w:val="000000"/>
          <w:sz w:val="30"/>
          <w:szCs w:val="30"/>
        </w:rPr>
        <w:t>中</w:t>
      </w:r>
      <w:r>
        <w:rPr>
          <w:rFonts w:ascii="仿宋_GB2312" w:hAnsi="Times New Roman" w:eastAsia="仿宋_GB2312"/>
          <w:color w:val="000000"/>
          <w:sz w:val="30"/>
          <w:szCs w:val="30"/>
        </w:rPr>
        <w:t>的重大变更。</w:t>
      </w:r>
    </w:p>
    <w:p>
      <w:pPr>
        <w:autoSpaceDE w:val="0"/>
        <w:autoSpaceDN w:val="0"/>
        <w:spacing w:line="520" w:lineRule="exact"/>
        <w:ind w:firstLine="602" w:firstLineChars="200"/>
        <w:outlineLvl w:val="0"/>
        <w:rPr>
          <w:rFonts w:hint="eastAsia" w:ascii="仿宋_GB2312" w:hAnsi="宋体" w:eastAsia="仿宋_GB2312"/>
          <w:b/>
          <w:color w:val="000000"/>
          <w:sz w:val="30"/>
          <w:szCs w:val="30"/>
        </w:rPr>
      </w:pPr>
      <w:r>
        <w:rPr>
          <w:rFonts w:hint="eastAsia" w:ascii="仿宋_GB2312" w:hAnsi="宋体" w:eastAsia="仿宋_GB2312"/>
          <w:b/>
          <w:color w:val="000000"/>
          <w:sz w:val="30"/>
          <w:szCs w:val="30"/>
        </w:rPr>
        <w:t>三、环境保护设施落实情况</w:t>
      </w:r>
    </w:p>
    <w:p>
      <w:pPr>
        <w:autoSpaceDE w:val="0"/>
        <w:autoSpaceDN w:val="0"/>
        <w:spacing w:line="520" w:lineRule="exact"/>
        <w:ind w:firstLine="602" w:firstLineChars="200"/>
        <w:rPr>
          <w:rFonts w:hint="eastAsia" w:ascii="仿宋_GB2312" w:hAnsi="宋体" w:eastAsia="仿宋_GB2312"/>
          <w:b/>
          <w:color w:val="000000"/>
          <w:sz w:val="30"/>
          <w:szCs w:val="30"/>
        </w:rPr>
      </w:pPr>
      <w:r>
        <w:rPr>
          <w:rFonts w:hint="eastAsia" w:ascii="仿宋_GB2312" w:hAnsi="宋体" w:eastAsia="仿宋_GB2312"/>
          <w:b/>
          <w:color w:val="000000"/>
          <w:sz w:val="30"/>
          <w:szCs w:val="30"/>
        </w:rPr>
        <w:t>（一）废水</w:t>
      </w:r>
    </w:p>
    <w:p>
      <w:pPr>
        <w:autoSpaceDE w:val="0"/>
        <w:autoSpaceDN w:val="0"/>
        <w:spacing w:line="520" w:lineRule="exact"/>
        <w:ind w:firstLine="600" w:firstLineChars="200"/>
        <w:rPr>
          <w:rFonts w:ascii="仿宋_GB2312" w:hAnsi="Times New Roman" w:eastAsia="仿宋_GB2312"/>
          <w:color w:val="000000"/>
          <w:sz w:val="30"/>
          <w:szCs w:val="30"/>
        </w:rPr>
      </w:pPr>
      <w:r>
        <w:rPr>
          <w:rFonts w:hint="eastAsia" w:ascii="仿宋_GB2312" w:hAnsi="Times New Roman" w:eastAsia="仿宋_GB2312"/>
          <w:color w:val="000000"/>
          <w:sz w:val="30"/>
          <w:szCs w:val="30"/>
        </w:rPr>
        <w:t>项目食堂废水经隔油池处理、生活废水和医疗废水经化粪池处理后进入调节池，经自建污水处理设备（水解酸化+接触氧化+二氧化氯消毒工艺）处理后达标排入市政管网。</w:t>
      </w:r>
    </w:p>
    <w:p>
      <w:pPr>
        <w:autoSpaceDE w:val="0"/>
        <w:autoSpaceDN w:val="0"/>
        <w:spacing w:line="520" w:lineRule="exact"/>
        <w:ind w:firstLine="602" w:firstLineChars="200"/>
        <w:rPr>
          <w:rFonts w:hint="eastAsia" w:ascii="仿宋_GB2312" w:hAnsi="宋体" w:eastAsia="仿宋_GB2312"/>
          <w:b/>
          <w:color w:val="000000"/>
          <w:sz w:val="30"/>
          <w:szCs w:val="30"/>
        </w:rPr>
      </w:pPr>
      <w:r>
        <w:rPr>
          <w:rFonts w:hint="eastAsia" w:ascii="仿宋_GB2312" w:hAnsi="宋体" w:eastAsia="仿宋_GB2312"/>
          <w:b/>
          <w:color w:val="000000"/>
          <w:sz w:val="30"/>
          <w:szCs w:val="30"/>
        </w:rPr>
        <w:t>（二）废气</w:t>
      </w:r>
    </w:p>
    <w:p>
      <w:pPr>
        <w:autoSpaceDE w:val="0"/>
        <w:autoSpaceDN w:val="0"/>
        <w:spacing w:line="520" w:lineRule="exact"/>
        <w:ind w:firstLine="600" w:firstLineChars="200"/>
        <w:rPr>
          <w:rFonts w:ascii="仿宋_GB2312" w:hAnsi="Times New Roman" w:eastAsia="仿宋_GB2312"/>
          <w:color w:val="000000"/>
          <w:sz w:val="30"/>
          <w:szCs w:val="30"/>
        </w:rPr>
      </w:pPr>
      <w:r>
        <w:rPr>
          <w:rFonts w:hint="eastAsia" w:ascii="仿宋_GB2312" w:hAnsi="Times New Roman" w:eastAsia="仿宋_GB2312"/>
          <w:color w:val="000000"/>
          <w:sz w:val="30"/>
          <w:szCs w:val="30"/>
        </w:rPr>
        <w:t>项目污水处理设施为加盖地埋式,以减小恶臭污染物对外环境的影响；食堂油烟由抽油烟机收集后通过管道接入屋外水池，油烟经水吸收后排放。</w:t>
      </w:r>
    </w:p>
    <w:p>
      <w:pPr>
        <w:autoSpaceDE w:val="0"/>
        <w:autoSpaceDN w:val="0"/>
        <w:spacing w:line="520" w:lineRule="exact"/>
        <w:ind w:firstLine="602" w:firstLineChars="200"/>
        <w:rPr>
          <w:rFonts w:hint="eastAsia" w:ascii="仿宋_GB2312" w:hAnsi="宋体" w:eastAsia="仿宋_GB2312"/>
          <w:b/>
          <w:color w:val="000000"/>
          <w:sz w:val="30"/>
          <w:szCs w:val="30"/>
        </w:rPr>
      </w:pPr>
      <w:r>
        <w:rPr>
          <w:rFonts w:hint="eastAsia" w:ascii="仿宋_GB2312" w:hAnsi="宋体" w:eastAsia="仿宋_GB2312"/>
          <w:b/>
          <w:color w:val="000000"/>
          <w:sz w:val="30"/>
          <w:szCs w:val="30"/>
        </w:rPr>
        <w:t>（三）噪声</w:t>
      </w:r>
    </w:p>
    <w:p>
      <w:pPr>
        <w:autoSpaceDE w:val="0"/>
        <w:autoSpaceDN w:val="0"/>
        <w:spacing w:line="52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项目各产噪声设备采取减震和隔声措施。</w:t>
      </w:r>
    </w:p>
    <w:p>
      <w:pPr>
        <w:autoSpaceDE w:val="0"/>
        <w:autoSpaceDN w:val="0"/>
        <w:spacing w:line="520" w:lineRule="exact"/>
        <w:ind w:firstLine="602" w:firstLineChars="200"/>
        <w:rPr>
          <w:rFonts w:hint="eastAsia" w:ascii="仿宋_GB2312" w:hAnsi="宋体" w:eastAsia="仿宋_GB2312"/>
          <w:b/>
          <w:sz w:val="30"/>
          <w:szCs w:val="30"/>
        </w:rPr>
      </w:pPr>
      <w:r>
        <w:rPr>
          <w:rFonts w:hint="eastAsia" w:ascii="仿宋_GB2312" w:hAnsi="宋体" w:eastAsia="仿宋_GB2312"/>
          <w:b/>
          <w:sz w:val="30"/>
          <w:szCs w:val="30"/>
        </w:rPr>
        <w:t>（四）固体废物</w:t>
      </w:r>
    </w:p>
    <w:p>
      <w:pPr>
        <w:autoSpaceDE w:val="0"/>
        <w:autoSpaceDN w:val="0"/>
        <w:spacing w:line="520" w:lineRule="exact"/>
        <w:ind w:firstLine="600" w:firstLineChars="200"/>
        <w:rPr>
          <w:rFonts w:hint="eastAsia" w:ascii="仿宋_GB2312" w:hAnsi="宋体" w:eastAsia="仿宋_GB2312"/>
          <w:sz w:val="30"/>
          <w:szCs w:val="30"/>
        </w:rPr>
      </w:pPr>
      <w:r>
        <w:rPr>
          <w:rFonts w:hint="eastAsia" w:ascii="仿宋_GB2312" w:hAnsi="宋体" w:eastAsia="仿宋_GB2312"/>
          <w:sz w:val="30"/>
          <w:szCs w:val="30"/>
        </w:rPr>
        <w:t>项目医疗废物委托益阳市特许医疗废物集中处理有限公司清运，停留时间不超过48小时；一般废物（医用玻璃、一次性塑料输液瓶（袋））收集后委托湖南久和环保科技有限公司回收处理一次；</w:t>
      </w:r>
      <w:r>
        <w:rPr>
          <w:rFonts w:ascii="仿宋_GB2312" w:hAnsi="宋体" w:eastAsia="仿宋_GB2312"/>
          <w:sz w:val="30"/>
          <w:szCs w:val="30"/>
        </w:rPr>
        <w:t>生活垃圾经收集后由当地环卫部门统一</w:t>
      </w:r>
      <w:r>
        <w:rPr>
          <w:rFonts w:hint="eastAsia" w:ascii="仿宋_GB2312" w:hAnsi="宋体" w:eastAsia="仿宋_GB2312"/>
          <w:sz w:val="30"/>
          <w:szCs w:val="30"/>
        </w:rPr>
        <w:t>清运。</w:t>
      </w:r>
    </w:p>
    <w:p>
      <w:pPr>
        <w:autoSpaceDE w:val="0"/>
        <w:autoSpaceDN w:val="0"/>
        <w:spacing w:line="520" w:lineRule="exact"/>
        <w:ind w:firstLine="600" w:firstLineChars="200"/>
        <w:rPr>
          <w:rFonts w:hint="eastAsia" w:ascii="仿宋_GB2312" w:hAnsi="宋体" w:eastAsia="仿宋_GB2312"/>
          <w:color w:val="FF0000"/>
          <w:sz w:val="30"/>
          <w:szCs w:val="30"/>
        </w:rPr>
      </w:pPr>
    </w:p>
    <w:p>
      <w:pPr>
        <w:autoSpaceDE w:val="0"/>
        <w:autoSpaceDN w:val="0"/>
        <w:spacing w:line="52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（五）其他环境保护设施</w:t>
      </w:r>
    </w:p>
    <w:p>
      <w:pPr>
        <w:autoSpaceDE w:val="0"/>
        <w:autoSpaceDN w:val="0"/>
        <w:spacing w:line="52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1、环境风险防范设施</w:t>
      </w:r>
    </w:p>
    <w:p>
      <w:pPr>
        <w:autoSpaceDE w:val="0"/>
        <w:autoSpaceDN w:val="0"/>
        <w:spacing w:line="52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建设单位在运营过程中已按要求设置应急设备，项目在运营过程中，严格规范固废收集、存储、转运、处置，严禁随意堆放、丢弃，以免造成环境污染事故。</w:t>
      </w:r>
    </w:p>
    <w:p>
      <w:pPr>
        <w:autoSpaceDE w:val="0"/>
        <w:autoSpaceDN w:val="0"/>
        <w:spacing w:line="520" w:lineRule="exact"/>
        <w:ind w:firstLine="600" w:firstLineChars="200"/>
        <w:rPr>
          <w:kern w:val="0"/>
          <w:sz w:val="24"/>
        </w:rPr>
      </w:pPr>
      <w:r>
        <w:rPr>
          <w:rFonts w:hint="eastAsia" w:ascii="仿宋_GB2312" w:hAnsi="宋体" w:eastAsia="仿宋_GB2312"/>
          <w:color w:val="000000"/>
          <w:sz w:val="30"/>
          <w:szCs w:val="30"/>
        </w:rPr>
        <w:t>2、规范化排污口、监测设施</w:t>
      </w:r>
    </w:p>
    <w:p>
      <w:pPr>
        <w:autoSpaceDE w:val="0"/>
        <w:autoSpaceDN w:val="0"/>
        <w:spacing w:line="52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项目医疗废水和生活废水均经院内污水处理设施处理，处理达《医疗机构水污染物排放标准》（GB18466-2005）表2中预处理标准后经管网进入安化县污水处理厂最后排入资江。</w:t>
      </w:r>
    </w:p>
    <w:p>
      <w:pPr>
        <w:autoSpaceDE w:val="0"/>
        <w:autoSpaceDN w:val="0"/>
        <w:spacing w:line="520" w:lineRule="exact"/>
        <w:ind w:firstLine="602" w:firstLineChars="200"/>
        <w:outlineLvl w:val="0"/>
        <w:rPr>
          <w:rFonts w:hint="eastAsia" w:ascii="仿宋_GB2312" w:hAnsi="宋体" w:eastAsia="仿宋_GB2312"/>
          <w:b/>
          <w:color w:val="000000"/>
          <w:sz w:val="30"/>
          <w:szCs w:val="30"/>
        </w:rPr>
      </w:pPr>
      <w:r>
        <w:rPr>
          <w:rFonts w:hint="eastAsia" w:ascii="仿宋_GB2312" w:hAnsi="宋体" w:eastAsia="仿宋_GB2312"/>
          <w:b/>
          <w:color w:val="000000"/>
          <w:sz w:val="30"/>
          <w:szCs w:val="30"/>
        </w:rPr>
        <w:t>四、环境保护设施调试效果</w:t>
      </w:r>
    </w:p>
    <w:p>
      <w:pPr>
        <w:autoSpaceDE w:val="0"/>
        <w:autoSpaceDN w:val="0"/>
        <w:spacing w:line="52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湖南精科检测有限公司</w:t>
      </w:r>
      <w:r>
        <w:rPr>
          <w:rFonts w:hint="eastAsia" w:ascii="仿宋_GB2312" w:hAnsi="宋体" w:eastAsia="仿宋_GB2312" w:cs="宋体"/>
          <w:color w:val="000000"/>
          <w:sz w:val="30"/>
          <w:szCs w:val="30"/>
        </w:rPr>
        <w:t>于2018年12月21日至12月22日</w:t>
      </w:r>
      <w:r>
        <w:rPr>
          <w:rFonts w:hint="eastAsia" w:ascii="仿宋_GB2312" w:hAnsi="宋体" w:eastAsia="仿宋_GB2312"/>
          <w:color w:val="000000"/>
          <w:sz w:val="30"/>
          <w:szCs w:val="30"/>
        </w:rPr>
        <w:t>对外排污染物的监测结果表明：</w:t>
      </w:r>
    </w:p>
    <w:p>
      <w:pPr>
        <w:spacing w:line="52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bCs/>
          <w:color w:val="000000"/>
          <w:sz w:val="30"/>
          <w:szCs w:val="30"/>
        </w:rPr>
        <w:t>（一）</w:t>
      </w:r>
      <w:r>
        <w:rPr>
          <w:rFonts w:hint="eastAsia" w:ascii="仿宋_GB2312" w:hAnsi="宋体" w:eastAsia="仿宋_GB2312"/>
          <w:b/>
          <w:bCs/>
          <w:color w:val="000000"/>
          <w:sz w:val="30"/>
          <w:szCs w:val="30"/>
        </w:rPr>
        <w:t>废水</w:t>
      </w:r>
    </w:p>
    <w:p>
      <w:pPr>
        <w:autoSpaceDE w:val="0"/>
        <w:autoSpaceDN w:val="0"/>
        <w:spacing w:line="52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验收监测期间，废水总排口的pH值、化学需氧量、氨氮、五日生化需氧量、悬浮物、动植物油、余氯、粪大肠菌群</w:t>
      </w:r>
      <w:r>
        <w:rPr>
          <w:rFonts w:ascii="仿宋_GB2312" w:hAnsi="宋体" w:eastAsia="仿宋_GB2312"/>
          <w:color w:val="000000"/>
          <w:sz w:val="30"/>
          <w:szCs w:val="30"/>
        </w:rPr>
        <w:t>的</w:t>
      </w:r>
      <w:r>
        <w:rPr>
          <w:rFonts w:hint="eastAsia" w:ascii="仿宋_GB2312" w:hAnsi="宋体" w:eastAsia="仿宋_GB2312"/>
          <w:color w:val="000000"/>
          <w:sz w:val="30"/>
          <w:szCs w:val="30"/>
        </w:rPr>
        <w:t>最大</w:t>
      </w:r>
      <w:r>
        <w:rPr>
          <w:rFonts w:ascii="仿宋_GB2312" w:hAnsi="宋体" w:eastAsia="仿宋_GB2312"/>
          <w:color w:val="000000"/>
          <w:sz w:val="30"/>
          <w:szCs w:val="30"/>
        </w:rPr>
        <w:t>监测结果</w:t>
      </w:r>
      <w:r>
        <w:rPr>
          <w:rFonts w:hint="eastAsia" w:ascii="仿宋_GB2312" w:hAnsi="宋体" w:eastAsia="仿宋_GB2312"/>
          <w:color w:val="000000"/>
          <w:sz w:val="30"/>
          <w:szCs w:val="30"/>
        </w:rPr>
        <w:t>分别为：7.15（无量纲）、87</w:t>
      </w:r>
      <w:r>
        <w:rPr>
          <w:rFonts w:ascii="仿宋_GB2312" w:hAnsi="宋体" w:eastAsia="仿宋_GB2312"/>
          <w:color w:val="000000"/>
          <w:sz w:val="30"/>
          <w:szCs w:val="30"/>
        </w:rPr>
        <w:t>mg/L</w:t>
      </w:r>
      <w:r>
        <w:rPr>
          <w:rFonts w:hint="eastAsia" w:ascii="仿宋_GB2312" w:hAnsi="宋体" w:eastAsia="仿宋_GB2312"/>
          <w:color w:val="000000"/>
          <w:sz w:val="30"/>
          <w:szCs w:val="30"/>
        </w:rPr>
        <w:t>、12.1</w:t>
      </w:r>
      <w:r>
        <w:rPr>
          <w:rFonts w:ascii="仿宋_GB2312" w:hAnsi="宋体" w:eastAsia="仿宋_GB2312"/>
          <w:color w:val="000000"/>
          <w:sz w:val="30"/>
          <w:szCs w:val="30"/>
        </w:rPr>
        <w:t>mg/L</w:t>
      </w:r>
      <w:r>
        <w:rPr>
          <w:rFonts w:hint="eastAsia" w:ascii="仿宋_GB2312" w:hAnsi="宋体" w:eastAsia="仿宋_GB2312"/>
          <w:color w:val="000000"/>
          <w:sz w:val="30"/>
          <w:szCs w:val="30"/>
        </w:rPr>
        <w:t>、18.2</w:t>
      </w:r>
      <w:r>
        <w:rPr>
          <w:rFonts w:ascii="仿宋_GB2312" w:hAnsi="宋体" w:eastAsia="仿宋_GB2312"/>
          <w:color w:val="000000"/>
          <w:sz w:val="30"/>
          <w:szCs w:val="30"/>
        </w:rPr>
        <w:t>mg/L</w:t>
      </w:r>
      <w:r>
        <w:rPr>
          <w:rFonts w:hint="eastAsia" w:ascii="仿宋_GB2312" w:hAnsi="宋体" w:eastAsia="仿宋_GB2312"/>
          <w:color w:val="000000"/>
          <w:sz w:val="30"/>
          <w:szCs w:val="30"/>
        </w:rPr>
        <w:t>、47</w:t>
      </w:r>
      <w:r>
        <w:rPr>
          <w:rFonts w:ascii="仿宋_GB2312" w:hAnsi="宋体" w:eastAsia="仿宋_GB2312"/>
          <w:color w:val="000000"/>
          <w:sz w:val="30"/>
          <w:szCs w:val="30"/>
        </w:rPr>
        <w:t>mg/L</w:t>
      </w:r>
      <w:r>
        <w:rPr>
          <w:rFonts w:hint="eastAsia" w:ascii="仿宋_GB2312" w:hAnsi="宋体" w:eastAsia="仿宋_GB2312"/>
          <w:color w:val="000000"/>
          <w:sz w:val="30"/>
          <w:szCs w:val="30"/>
        </w:rPr>
        <w:t>、0.49</w:t>
      </w:r>
      <w:r>
        <w:rPr>
          <w:rFonts w:ascii="仿宋_GB2312" w:hAnsi="宋体" w:eastAsia="仿宋_GB2312"/>
          <w:color w:val="000000"/>
          <w:sz w:val="30"/>
          <w:szCs w:val="30"/>
        </w:rPr>
        <w:t>mg/L</w:t>
      </w:r>
      <w:r>
        <w:rPr>
          <w:rFonts w:hint="eastAsia" w:ascii="仿宋_GB2312" w:hAnsi="宋体" w:eastAsia="仿宋_GB2312"/>
          <w:color w:val="000000"/>
          <w:sz w:val="30"/>
          <w:szCs w:val="30"/>
        </w:rPr>
        <w:t>、1.34</w:t>
      </w:r>
      <w:r>
        <w:rPr>
          <w:rFonts w:ascii="仿宋_GB2312" w:hAnsi="宋体" w:eastAsia="仿宋_GB2312"/>
          <w:color w:val="000000"/>
          <w:sz w:val="30"/>
          <w:szCs w:val="30"/>
        </w:rPr>
        <w:t>mg/L</w:t>
      </w:r>
      <w:r>
        <w:rPr>
          <w:rFonts w:hint="eastAsia" w:ascii="仿宋_GB2312" w:hAnsi="宋体" w:eastAsia="仿宋_GB2312"/>
          <w:color w:val="000000"/>
          <w:sz w:val="30"/>
          <w:szCs w:val="30"/>
        </w:rPr>
        <w:t>、1800</w:t>
      </w:r>
      <w:r>
        <w:t xml:space="preserve"> </w:t>
      </w:r>
      <w:r>
        <w:rPr>
          <w:rFonts w:ascii="仿宋_GB2312" w:hAnsi="宋体" w:eastAsia="仿宋_GB2312"/>
          <w:color w:val="000000"/>
          <w:sz w:val="30"/>
          <w:szCs w:val="30"/>
        </w:rPr>
        <w:t>MPN/L</w:t>
      </w:r>
      <w:r>
        <w:rPr>
          <w:rFonts w:hint="eastAsia" w:ascii="仿宋_GB2312" w:hAnsi="宋体" w:eastAsia="仿宋_GB2312"/>
          <w:color w:val="000000"/>
          <w:sz w:val="30"/>
          <w:szCs w:val="30"/>
        </w:rPr>
        <w:t>，符合《医疗机构水污染物排放标准》 （GB18466-2005）表2中预处理标准。</w:t>
      </w:r>
    </w:p>
    <w:p>
      <w:pPr>
        <w:spacing w:line="52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bCs/>
          <w:color w:val="000000"/>
          <w:sz w:val="30"/>
          <w:szCs w:val="30"/>
        </w:rPr>
        <w:t>（二）</w:t>
      </w:r>
      <w:r>
        <w:rPr>
          <w:rFonts w:hint="eastAsia" w:ascii="仿宋_GB2312" w:hAnsi="宋体" w:eastAsia="仿宋_GB2312"/>
          <w:b/>
          <w:bCs/>
          <w:color w:val="000000"/>
          <w:sz w:val="30"/>
          <w:szCs w:val="30"/>
        </w:rPr>
        <w:t>废气</w:t>
      </w:r>
    </w:p>
    <w:p>
      <w:pPr>
        <w:autoSpaceDE w:val="0"/>
        <w:autoSpaceDN w:val="0"/>
        <w:spacing w:line="52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验收监测期间，</w:t>
      </w:r>
      <w:r>
        <w:rPr>
          <w:rFonts w:ascii="仿宋_GB2312" w:hAnsi="宋体" w:eastAsia="仿宋_GB2312"/>
          <w:color w:val="000000"/>
          <w:sz w:val="30"/>
          <w:szCs w:val="30"/>
        </w:rPr>
        <w:t>无组织废气</w:t>
      </w:r>
      <w:r>
        <w:rPr>
          <w:rFonts w:hint="eastAsia" w:ascii="仿宋_GB2312" w:hAnsi="宋体" w:eastAsia="仿宋_GB2312"/>
          <w:color w:val="000000"/>
          <w:sz w:val="30"/>
          <w:szCs w:val="30"/>
        </w:rPr>
        <w:t>3个</w:t>
      </w:r>
      <w:r>
        <w:rPr>
          <w:rFonts w:ascii="仿宋_GB2312" w:hAnsi="宋体" w:eastAsia="仿宋_GB2312"/>
          <w:color w:val="000000"/>
          <w:sz w:val="30"/>
          <w:szCs w:val="30"/>
        </w:rPr>
        <w:t>监控点的</w:t>
      </w:r>
      <w:r>
        <w:rPr>
          <w:rFonts w:hint="eastAsia" w:ascii="仿宋_GB2312" w:hAnsi="宋体" w:eastAsia="仿宋_GB2312"/>
          <w:color w:val="000000"/>
          <w:sz w:val="30"/>
          <w:szCs w:val="30"/>
        </w:rPr>
        <w:t>氨气、硫化氢最大</w:t>
      </w:r>
      <w:r>
        <w:rPr>
          <w:rFonts w:ascii="仿宋_GB2312" w:hAnsi="宋体" w:eastAsia="仿宋_GB2312"/>
          <w:color w:val="000000"/>
          <w:sz w:val="30"/>
          <w:szCs w:val="30"/>
        </w:rPr>
        <w:t>监测结果</w:t>
      </w:r>
      <w:r>
        <w:rPr>
          <w:rFonts w:hint="eastAsia" w:ascii="仿宋_GB2312" w:hAnsi="宋体" w:eastAsia="仿宋_GB2312"/>
          <w:color w:val="000000"/>
          <w:sz w:val="30"/>
          <w:szCs w:val="30"/>
        </w:rPr>
        <w:t>为：0.19mg/m</w:t>
      </w:r>
      <w:r>
        <w:rPr>
          <w:rFonts w:hint="eastAsia" w:ascii="仿宋_GB2312" w:hAnsi="宋体" w:eastAsia="仿宋_GB2312"/>
          <w:color w:val="000000"/>
          <w:sz w:val="30"/>
          <w:szCs w:val="30"/>
          <w:vertAlign w:val="superscript"/>
        </w:rPr>
        <w:t>3</w:t>
      </w:r>
      <w:r>
        <w:rPr>
          <w:rFonts w:hint="eastAsia" w:ascii="仿宋_GB2312" w:hAnsi="宋体" w:eastAsia="仿宋_GB2312"/>
          <w:color w:val="000000"/>
          <w:sz w:val="30"/>
          <w:szCs w:val="30"/>
        </w:rPr>
        <w:t>、0.007mg/m</w:t>
      </w:r>
      <w:r>
        <w:rPr>
          <w:rFonts w:hint="eastAsia" w:ascii="仿宋_GB2312" w:hAnsi="宋体" w:eastAsia="仿宋_GB2312"/>
          <w:color w:val="000000"/>
          <w:sz w:val="30"/>
          <w:szCs w:val="30"/>
          <w:vertAlign w:val="superscript"/>
        </w:rPr>
        <w:t>3</w:t>
      </w:r>
      <w:r>
        <w:rPr>
          <w:rFonts w:hint="eastAsia" w:ascii="仿宋_GB2312" w:hAnsi="宋体" w:eastAsia="仿宋_GB2312"/>
          <w:color w:val="000000"/>
          <w:sz w:val="30"/>
          <w:szCs w:val="30"/>
        </w:rPr>
        <w:t>，臭气浓度均小于10，符合《医疗机构水污染物排放标准》（GB18466-2005）表3中的标准限值。</w:t>
      </w:r>
    </w:p>
    <w:p>
      <w:pPr>
        <w:spacing w:line="52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bCs/>
          <w:color w:val="000000"/>
          <w:sz w:val="30"/>
          <w:szCs w:val="30"/>
        </w:rPr>
        <w:t>（三）场界</w:t>
      </w:r>
      <w:r>
        <w:rPr>
          <w:rFonts w:hint="eastAsia" w:ascii="仿宋_GB2312" w:hAnsi="宋体" w:eastAsia="仿宋_GB2312"/>
          <w:b/>
          <w:bCs/>
          <w:color w:val="000000"/>
          <w:sz w:val="30"/>
          <w:szCs w:val="30"/>
        </w:rPr>
        <w:t>噪声</w:t>
      </w:r>
    </w:p>
    <w:p>
      <w:pPr>
        <w:adjustRightInd w:val="0"/>
        <w:snapToGrid w:val="0"/>
        <w:spacing w:line="52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验收监测期间，昼、夜间</w:t>
      </w:r>
      <w:r>
        <w:rPr>
          <w:rFonts w:ascii="仿宋_GB2312" w:hAnsi="宋体" w:eastAsia="仿宋_GB2312"/>
          <w:color w:val="000000"/>
          <w:sz w:val="30"/>
          <w:szCs w:val="30"/>
        </w:rPr>
        <w:t>厂界</w:t>
      </w:r>
      <w:r>
        <w:rPr>
          <w:rFonts w:hint="eastAsia" w:ascii="仿宋_GB2312" w:hAnsi="宋体" w:eastAsia="仿宋_GB2312"/>
          <w:color w:val="000000"/>
          <w:sz w:val="30"/>
          <w:szCs w:val="30"/>
        </w:rPr>
        <w:t>四周</w:t>
      </w:r>
      <w:r>
        <w:rPr>
          <w:rFonts w:ascii="仿宋_GB2312" w:hAnsi="宋体" w:eastAsia="仿宋_GB2312"/>
          <w:color w:val="000000"/>
          <w:sz w:val="30"/>
          <w:szCs w:val="30"/>
        </w:rPr>
        <w:t>噪声</w:t>
      </w:r>
      <w:r>
        <w:rPr>
          <w:rFonts w:hint="eastAsia" w:ascii="仿宋_GB2312" w:hAnsi="宋体" w:eastAsia="仿宋_GB2312"/>
          <w:color w:val="000000"/>
          <w:sz w:val="30"/>
          <w:szCs w:val="30"/>
        </w:rPr>
        <w:t>最大</w:t>
      </w:r>
      <w:r>
        <w:rPr>
          <w:rFonts w:ascii="仿宋_GB2312" w:hAnsi="宋体" w:eastAsia="仿宋_GB2312"/>
          <w:color w:val="000000"/>
          <w:sz w:val="30"/>
          <w:szCs w:val="30"/>
        </w:rPr>
        <w:t>监测</w:t>
      </w:r>
      <w:r>
        <w:rPr>
          <w:rFonts w:hint="eastAsia" w:ascii="仿宋_GB2312" w:hAnsi="宋体" w:eastAsia="仿宋_GB2312"/>
          <w:color w:val="000000"/>
          <w:sz w:val="30"/>
          <w:szCs w:val="30"/>
        </w:rPr>
        <w:t>值分别为：58.7</w:t>
      </w:r>
      <w:r>
        <w:rPr>
          <w:rFonts w:ascii="仿宋_GB2312" w:hAnsi="宋体" w:eastAsia="仿宋_GB2312"/>
          <w:color w:val="000000"/>
          <w:sz w:val="30"/>
          <w:szCs w:val="30"/>
        </w:rPr>
        <w:t>dB(A)</w:t>
      </w:r>
      <w:r>
        <w:rPr>
          <w:rFonts w:hint="eastAsia" w:ascii="仿宋_GB2312" w:hAnsi="宋体" w:eastAsia="仿宋_GB2312"/>
          <w:color w:val="000000"/>
          <w:sz w:val="30"/>
          <w:szCs w:val="30"/>
        </w:rPr>
        <w:t>、46.4</w:t>
      </w:r>
      <w:r>
        <w:rPr>
          <w:rFonts w:ascii="仿宋_GB2312" w:hAnsi="宋体" w:eastAsia="仿宋_GB2312"/>
          <w:color w:val="000000"/>
          <w:sz w:val="30"/>
          <w:szCs w:val="30"/>
        </w:rPr>
        <w:t>dB(A)</w:t>
      </w:r>
      <w:r>
        <w:rPr>
          <w:rFonts w:hint="eastAsia" w:ascii="仿宋_GB2312" w:hAnsi="宋体" w:eastAsia="仿宋_GB2312"/>
          <w:color w:val="000000"/>
          <w:sz w:val="30"/>
          <w:szCs w:val="30"/>
        </w:rPr>
        <w:t>，</w:t>
      </w:r>
      <w:r>
        <w:rPr>
          <w:rFonts w:ascii="仿宋_GB2312" w:hAnsi="宋体" w:eastAsia="仿宋_GB2312"/>
          <w:color w:val="000000"/>
          <w:sz w:val="30"/>
          <w:szCs w:val="30"/>
        </w:rPr>
        <w:t>均符合《工业企业厂界环境噪声排放标准》（GB12348-2008）</w:t>
      </w:r>
      <w:r>
        <w:rPr>
          <w:rFonts w:hint="eastAsia" w:ascii="仿宋_GB2312" w:hAnsi="宋体" w:eastAsia="仿宋_GB2312"/>
          <w:color w:val="000000"/>
          <w:sz w:val="30"/>
          <w:szCs w:val="30"/>
        </w:rPr>
        <w:t>表1中2类标准限值要求</w:t>
      </w:r>
      <w:r>
        <w:rPr>
          <w:rFonts w:ascii="仿宋_GB2312" w:hAnsi="宋体" w:eastAsia="仿宋_GB2312"/>
          <w:color w:val="000000"/>
          <w:sz w:val="30"/>
          <w:szCs w:val="30"/>
        </w:rPr>
        <w:t>。</w:t>
      </w:r>
    </w:p>
    <w:p>
      <w:pPr>
        <w:adjustRightInd w:val="0"/>
        <w:snapToGrid w:val="0"/>
        <w:spacing w:line="520" w:lineRule="exact"/>
        <w:ind w:firstLine="602" w:firstLineChars="200"/>
        <w:rPr>
          <w:rFonts w:hint="eastAsia" w:ascii="仿宋_GB2312" w:hAnsi="宋体" w:eastAsia="仿宋_GB2312"/>
          <w:b/>
          <w:bCs/>
          <w:color w:val="000000"/>
          <w:sz w:val="30"/>
          <w:szCs w:val="30"/>
        </w:rPr>
      </w:pPr>
      <w:r>
        <w:rPr>
          <w:rFonts w:hint="eastAsia" w:ascii="仿宋_GB2312" w:hAnsi="宋体" w:eastAsia="仿宋_GB2312"/>
          <w:b/>
          <w:bCs/>
          <w:color w:val="000000"/>
          <w:sz w:val="30"/>
          <w:szCs w:val="30"/>
        </w:rPr>
        <w:t>（四）总量控制</w:t>
      </w:r>
    </w:p>
    <w:p>
      <w:pPr>
        <w:adjustRightInd w:val="0"/>
        <w:snapToGrid w:val="0"/>
        <w:spacing w:line="52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COD、氨氮</w:t>
      </w:r>
      <w:r>
        <w:rPr>
          <w:rFonts w:ascii="仿宋_GB2312" w:hAnsi="宋体" w:eastAsia="仿宋_GB2312"/>
          <w:color w:val="000000"/>
          <w:sz w:val="30"/>
          <w:szCs w:val="30"/>
        </w:rPr>
        <w:t>排放量</w:t>
      </w:r>
      <w:r>
        <w:rPr>
          <w:rFonts w:hint="eastAsia" w:ascii="仿宋_GB2312" w:hAnsi="宋体" w:eastAsia="仿宋_GB2312"/>
          <w:color w:val="000000"/>
          <w:sz w:val="30"/>
          <w:szCs w:val="30"/>
        </w:rPr>
        <w:t>分别</w:t>
      </w:r>
      <w:r>
        <w:rPr>
          <w:rFonts w:ascii="仿宋_GB2312" w:hAnsi="宋体" w:eastAsia="仿宋_GB2312"/>
          <w:color w:val="000000"/>
          <w:sz w:val="30"/>
          <w:szCs w:val="30"/>
        </w:rPr>
        <w:t>为</w:t>
      </w:r>
      <w:r>
        <w:rPr>
          <w:rFonts w:hint="eastAsia" w:ascii="仿宋_GB2312" w:hAnsi="宋体" w:eastAsia="仿宋_GB2312"/>
          <w:color w:val="000000"/>
          <w:sz w:val="30"/>
          <w:szCs w:val="30"/>
        </w:rPr>
        <w:t>0.633</w:t>
      </w:r>
      <w:r>
        <w:rPr>
          <w:rFonts w:ascii="仿宋_GB2312" w:hAnsi="宋体" w:eastAsia="仿宋_GB2312"/>
          <w:color w:val="000000"/>
          <w:sz w:val="30"/>
          <w:szCs w:val="30"/>
        </w:rPr>
        <w:t>t/a</w:t>
      </w:r>
      <w:r>
        <w:rPr>
          <w:rFonts w:hint="eastAsia" w:ascii="仿宋_GB2312" w:hAnsi="宋体" w:eastAsia="仿宋_GB2312"/>
          <w:color w:val="000000"/>
          <w:sz w:val="30"/>
          <w:szCs w:val="30"/>
        </w:rPr>
        <w:t>、0.087</w:t>
      </w:r>
      <w:r>
        <w:rPr>
          <w:rFonts w:ascii="仿宋_GB2312" w:hAnsi="宋体" w:eastAsia="仿宋_GB2312"/>
          <w:color w:val="000000"/>
          <w:sz w:val="30"/>
          <w:szCs w:val="30"/>
        </w:rPr>
        <w:t>t/a</w:t>
      </w:r>
      <w:r>
        <w:rPr>
          <w:rFonts w:hint="eastAsia" w:ascii="仿宋_GB2312" w:hAnsi="宋体" w:eastAsia="仿宋_GB2312"/>
          <w:color w:val="000000"/>
          <w:sz w:val="30"/>
          <w:szCs w:val="30"/>
        </w:rPr>
        <w:t>，</w:t>
      </w:r>
      <w:r>
        <w:rPr>
          <w:rFonts w:hint="eastAsia" w:ascii="仿宋_GB2312" w:hAnsi="Times New Roman" w:eastAsia="仿宋_GB2312"/>
          <w:color w:val="000000"/>
          <w:sz w:val="30"/>
          <w:szCs w:val="30"/>
        </w:rPr>
        <w:t>环评批复（安环审（表）[2018]015号）无总量控制要求</w:t>
      </w:r>
      <w:r>
        <w:rPr>
          <w:rFonts w:hint="eastAsia" w:ascii="仿宋_GB2312" w:hAnsi="宋体" w:eastAsia="仿宋_GB2312"/>
          <w:color w:val="000000"/>
          <w:sz w:val="30"/>
          <w:szCs w:val="30"/>
        </w:rPr>
        <w:t>。</w:t>
      </w:r>
    </w:p>
    <w:p>
      <w:pPr>
        <w:autoSpaceDE w:val="0"/>
        <w:autoSpaceDN w:val="0"/>
        <w:spacing w:line="520" w:lineRule="exact"/>
        <w:ind w:firstLine="602" w:firstLineChars="200"/>
        <w:outlineLvl w:val="0"/>
        <w:rPr>
          <w:rFonts w:hint="eastAsia" w:ascii="仿宋_GB2312" w:hAnsi="宋体" w:eastAsia="仿宋_GB2312"/>
          <w:b/>
          <w:color w:val="000000"/>
          <w:sz w:val="30"/>
          <w:szCs w:val="30"/>
        </w:rPr>
      </w:pPr>
      <w:r>
        <w:rPr>
          <w:rFonts w:hint="eastAsia" w:ascii="仿宋_GB2312" w:hAnsi="宋体" w:eastAsia="仿宋_GB2312"/>
          <w:b/>
          <w:color w:val="000000"/>
          <w:sz w:val="30"/>
          <w:szCs w:val="30"/>
        </w:rPr>
        <w:t>五、工程建设对环境的影响</w:t>
      </w:r>
    </w:p>
    <w:p>
      <w:pPr>
        <w:adjustRightInd w:val="0"/>
        <w:snapToGrid w:val="0"/>
        <w:spacing w:line="52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根据</w:t>
      </w:r>
      <w:r>
        <w:rPr>
          <w:rFonts w:ascii="仿宋_GB2312" w:hAnsi="宋体" w:eastAsia="仿宋_GB2312"/>
          <w:color w:val="000000"/>
          <w:sz w:val="30"/>
          <w:szCs w:val="30"/>
        </w:rPr>
        <w:t>项目</w:t>
      </w:r>
      <w:r>
        <w:rPr>
          <w:rFonts w:hint="eastAsia" w:ascii="仿宋_GB2312" w:hAnsi="宋体" w:eastAsia="仿宋_GB2312"/>
          <w:color w:val="000000"/>
          <w:sz w:val="30"/>
          <w:szCs w:val="30"/>
        </w:rPr>
        <w:t>废水、</w:t>
      </w:r>
      <w:r>
        <w:rPr>
          <w:rFonts w:ascii="仿宋_GB2312" w:hAnsi="宋体" w:eastAsia="仿宋_GB2312"/>
          <w:color w:val="000000"/>
          <w:sz w:val="30"/>
          <w:szCs w:val="30"/>
        </w:rPr>
        <w:t>废气</w:t>
      </w:r>
      <w:r>
        <w:rPr>
          <w:rFonts w:hint="eastAsia" w:ascii="仿宋_GB2312" w:hAnsi="宋体" w:eastAsia="仿宋_GB2312"/>
          <w:color w:val="000000"/>
          <w:sz w:val="30"/>
          <w:szCs w:val="30"/>
        </w:rPr>
        <w:t>、厂界</w:t>
      </w:r>
      <w:r>
        <w:rPr>
          <w:rFonts w:ascii="仿宋_GB2312" w:hAnsi="宋体" w:eastAsia="仿宋_GB2312"/>
          <w:color w:val="000000"/>
          <w:sz w:val="30"/>
          <w:szCs w:val="30"/>
        </w:rPr>
        <w:t>噪声监测结果，各</w:t>
      </w:r>
      <w:r>
        <w:rPr>
          <w:rFonts w:hint="eastAsia" w:ascii="仿宋_GB2312" w:hAnsi="宋体" w:eastAsia="仿宋_GB2312"/>
          <w:color w:val="000000"/>
          <w:sz w:val="30"/>
          <w:szCs w:val="30"/>
        </w:rPr>
        <w:t>类</w:t>
      </w:r>
      <w:r>
        <w:rPr>
          <w:rFonts w:ascii="仿宋_GB2312" w:hAnsi="宋体" w:eastAsia="仿宋_GB2312"/>
          <w:color w:val="000000"/>
          <w:sz w:val="30"/>
          <w:szCs w:val="30"/>
        </w:rPr>
        <w:t>污染物均能实现达标排放</w:t>
      </w:r>
      <w:r>
        <w:rPr>
          <w:rFonts w:hint="eastAsia" w:ascii="仿宋_GB2312" w:hAnsi="宋体" w:eastAsia="仿宋_GB2312"/>
          <w:color w:val="000000"/>
          <w:sz w:val="30"/>
          <w:szCs w:val="30"/>
        </w:rPr>
        <w:t>，固体废物能得到安全处置。总体而言，工程建设对周边环境的影响可控。</w:t>
      </w:r>
    </w:p>
    <w:p>
      <w:pPr>
        <w:spacing w:line="520" w:lineRule="exact"/>
        <w:ind w:firstLine="602" w:firstLineChars="200"/>
        <w:outlineLvl w:val="0"/>
        <w:rPr>
          <w:rFonts w:hint="eastAsia" w:ascii="仿宋_GB2312" w:hAnsi="Times New Roman" w:eastAsia="仿宋_GB2312"/>
          <w:color w:val="000000"/>
          <w:sz w:val="30"/>
          <w:szCs w:val="30"/>
        </w:rPr>
      </w:pPr>
      <w:r>
        <w:rPr>
          <w:rFonts w:hint="eastAsia" w:ascii="仿宋_GB2312" w:hAnsi="宋体" w:eastAsia="仿宋_GB2312"/>
          <w:b/>
          <w:bCs/>
          <w:color w:val="000000"/>
          <w:sz w:val="30"/>
          <w:szCs w:val="30"/>
        </w:rPr>
        <w:t>六、验收结论</w:t>
      </w:r>
    </w:p>
    <w:p>
      <w:pPr>
        <w:spacing w:line="52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根据该项目竣工环境保护验收监测报告和现场检查，项目环保手续基本完备，技术资料基本齐全，基本执行了环境影响评价和“三同时”管理制度。验收工作组经认真讨论，认为本项目在环境保护方面符合竣工验收条件，项目通过竣工环境保护验收，可正式投入运行。</w:t>
      </w:r>
    </w:p>
    <w:p>
      <w:pPr>
        <w:spacing w:line="520" w:lineRule="exact"/>
        <w:ind w:firstLine="602" w:firstLineChars="200"/>
        <w:outlineLvl w:val="0"/>
        <w:rPr>
          <w:rFonts w:hint="eastAsia" w:ascii="仿宋_GB2312" w:hAnsi="Times New Roman" w:eastAsia="仿宋_GB2312"/>
          <w:b/>
          <w:bCs/>
          <w:color w:val="000000"/>
          <w:sz w:val="30"/>
          <w:szCs w:val="30"/>
        </w:rPr>
      </w:pPr>
      <w:bookmarkStart w:id="112" w:name="_Toc173225061"/>
      <w:r>
        <w:rPr>
          <w:rFonts w:hint="eastAsia" w:ascii="仿宋_GB2312" w:hAnsi="宋体" w:eastAsia="仿宋_GB2312"/>
          <w:b/>
          <w:bCs/>
          <w:color w:val="000000"/>
          <w:sz w:val="30"/>
          <w:szCs w:val="30"/>
        </w:rPr>
        <w:t>七、后续要求</w:t>
      </w:r>
    </w:p>
    <w:bookmarkEnd w:id="112"/>
    <w:p>
      <w:pPr>
        <w:spacing w:line="52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1、完善各类环境管理制度，做好废水处理、固废处置台账。</w:t>
      </w:r>
    </w:p>
    <w:p>
      <w:pPr>
        <w:spacing w:line="52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2、加强环保设施的检修、维护，对外排废水、场界噪声、废气等开展定期监测，确保污染物达标排放。</w:t>
      </w:r>
    </w:p>
    <w:p>
      <w:pPr>
        <w:spacing w:line="520" w:lineRule="exact"/>
        <w:ind w:firstLine="602" w:firstLineChars="200"/>
        <w:outlineLvl w:val="0"/>
        <w:rPr>
          <w:rFonts w:hint="eastAsia" w:ascii="仿宋_GB2312" w:hAnsi="Times New Roman" w:eastAsia="仿宋_GB2312"/>
          <w:b/>
          <w:bCs/>
          <w:color w:val="000000"/>
          <w:sz w:val="30"/>
          <w:szCs w:val="30"/>
        </w:rPr>
      </w:pPr>
      <w:r>
        <w:rPr>
          <w:rFonts w:hint="eastAsia" w:ascii="仿宋_GB2312" w:hAnsi="Times New Roman" w:eastAsia="仿宋_GB2312"/>
          <w:b/>
          <w:bCs/>
          <w:color w:val="000000"/>
          <w:sz w:val="30"/>
          <w:szCs w:val="30"/>
        </w:rPr>
        <w:t>八、验收人员信息</w:t>
      </w:r>
    </w:p>
    <w:p>
      <w:pPr>
        <w:spacing w:line="52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见附件。</w:t>
      </w:r>
    </w:p>
    <w:p>
      <w:pPr>
        <w:spacing w:line="520" w:lineRule="exact"/>
        <w:rPr>
          <w:rFonts w:hint="eastAsia" w:ascii="仿宋_GB2312" w:hAnsi="Times New Roman" w:eastAsia="仿宋_GB2312"/>
          <w:color w:val="000000"/>
          <w:sz w:val="30"/>
          <w:szCs w:val="30"/>
        </w:rPr>
      </w:pPr>
    </w:p>
    <w:p>
      <w:pPr>
        <w:spacing w:line="520" w:lineRule="exact"/>
        <w:ind w:firstLine="600" w:firstLineChars="200"/>
        <w:rPr>
          <w:rFonts w:hint="eastAsia" w:ascii="仿宋_GB2312" w:hAnsi="Times New Roman" w:eastAsia="仿宋_GB2312"/>
          <w:color w:val="000000"/>
          <w:sz w:val="30"/>
          <w:szCs w:val="30"/>
        </w:rPr>
      </w:pPr>
    </w:p>
    <w:p>
      <w:pPr>
        <w:spacing w:line="52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 xml:space="preserve">                                     验收工作组</w:t>
      </w:r>
    </w:p>
    <w:p>
      <w:pPr>
        <w:spacing w:line="520" w:lineRule="exact"/>
        <w:ind w:firstLine="600" w:firstLineChars="200"/>
        <w:rPr>
          <w:rFonts w:hint="eastAsia" w:ascii="仿宋_GB2312" w:eastAsia="仿宋_GB2312"/>
          <w:color w:val="000000"/>
          <w:sz w:val="30"/>
          <w:szCs w:val="30"/>
        </w:rPr>
      </w:pPr>
      <w:r>
        <w:rPr>
          <w:rFonts w:hint="eastAsia" w:ascii="仿宋_GB2312" w:hAnsi="Times New Roman" w:eastAsia="仿宋_GB2312"/>
          <w:color w:val="000000"/>
          <w:sz w:val="30"/>
          <w:szCs w:val="30"/>
        </w:rPr>
        <w:t xml:space="preserve">                                   2019</w:t>
      </w:r>
      <w:r>
        <w:rPr>
          <w:rFonts w:hint="eastAsia" w:ascii="仿宋_GB2312" w:hAnsi="宋体" w:eastAsia="仿宋_GB2312"/>
          <w:color w:val="000000"/>
          <w:sz w:val="30"/>
          <w:szCs w:val="30"/>
        </w:rPr>
        <w:t>年</w:t>
      </w:r>
      <w:r>
        <w:rPr>
          <w:rFonts w:hint="eastAsia" w:ascii="仿宋_GB2312" w:hAnsi="Times New Roman" w:eastAsia="仿宋_GB2312"/>
          <w:color w:val="000000"/>
          <w:sz w:val="30"/>
          <w:szCs w:val="30"/>
        </w:rPr>
        <w:t>1</w:t>
      </w:r>
      <w:r>
        <w:rPr>
          <w:rFonts w:hint="eastAsia" w:ascii="仿宋_GB2312" w:hAnsi="宋体" w:eastAsia="仿宋_GB2312"/>
          <w:color w:val="000000"/>
          <w:sz w:val="30"/>
          <w:szCs w:val="30"/>
        </w:rPr>
        <w:t>月</w:t>
      </w:r>
      <w:r>
        <w:rPr>
          <w:rFonts w:hint="eastAsia" w:ascii="仿宋_GB2312" w:hAnsi="Times New Roman" w:eastAsia="仿宋_GB2312"/>
          <w:color w:val="000000"/>
          <w:sz w:val="30"/>
          <w:szCs w:val="30"/>
        </w:rPr>
        <w:t>8</w:t>
      </w:r>
      <w:r>
        <w:rPr>
          <w:rFonts w:hint="eastAsia" w:ascii="仿宋_GB2312" w:hAnsi="宋体" w:eastAsia="仿宋_GB2312"/>
          <w:color w:val="000000"/>
          <w:sz w:val="30"/>
          <w:szCs w:val="30"/>
        </w:rPr>
        <w:t>日</w:t>
      </w:r>
    </w:p>
    <w:p>
      <w:pPr>
        <w:pStyle w:val="18"/>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18"/>
        <w:ind w:left="0" w:leftChars="0" w:firstLine="0" w:firstLineChars="0"/>
        <w:jc w:val="center"/>
        <w:rPr>
          <w:rFonts w:hint="eastAsia" w:ascii="Times New Roman" w:hAnsi="Times New Roman" w:cs="Times New Roman" w:eastAsiaTheme="minorEastAsia"/>
          <w:b/>
          <w:kern w:val="2"/>
          <w:sz w:val="24"/>
          <w:szCs w:val="24"/>
          <w:lang w:val="en-US" w:eastAsia="zh-CN" w:bidi="ar-SA"/>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FEFA54"/>
    <w:multiLevelType w:val="singleLevel"/>
    <w:tmpl w:val="8BFEFA54"/>
    <w:lvl w:ilvl="0" w:tentative="0">
      <w:start w:val="1"/>
      <w:numFmt w:val="decimal"/>
      <w:suff w:val="nothing"/>
      <w:lvlText w:val="%1、"/>
      <w:lvlJc w:val="left"/>
    </w:lvl>
  </w:abstractNum>
  <w:abstractNum w:abstractNumId="1">
    <w:nsid w:val="AF16BCB4"/>
    <w:multiLevelType w:val="singleLevel"/>
    <w:tmpl w:val="AF16BCB4"/>
    <w:lvl w:ilvl="0" w:tentative="0">
      <w:start w:val="1"/>
      <w:numFmt w:val="decimal"/>
      <w:suff w:val="nothing"/>
      <w:lvlText w:val="（%1）"/>
      <w:lvlJc w:val="left"/>
    </w:lvl>
  </w:abstractNum>
  <w:abstractNum w:abstractNumId="2">
    <w:nsid w:val="DD34A9A1"/>
    <w:multiLevelType w:val="singleLevel"/>
    <w:tmpl w:val="DD34A9A1"/>
    <w:lvl w:ilvl="0" w:tentative="0">
      <w:start w:val="1"/>
      <w:numFmt w:val="decimal"/>
      <w:suff w:val="nothing"/>
      <w:lvlText w:val="（%1）"/>
      <w:lvlJc w:val="left"/>
    </w:lvl>
  </w:abstractNum>
  <w:abstractNum w:abstractNumId="3">
    <w:nsid w:val="3E6818A3"/>
    <w:multiLevelType w:val="singleLevel"/>
    <w:tmpl w:val="3E6818A3"/>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8332A6"/>
    <w:rsid w:val="011F064D"/>
    <w:rsid w:val="08564332"/>
    <w:rsid w:val="0B604F7C"/>
    <w:rsid w:val="0DB62B34"/>
    <w:rsid w:val="0EBA14FA"/>
    <w:rsid w:val="0F9666EA"/>
    <w:rsid w:val="140A2F9D"/>
    <w:rsid w:val="181B066A"/>
    <w:rsid w:val="18A11567"/>
    <w:rsid w:val="18F02160"/>
    <w:rsid w:val="26124C92"/>
    <w:rsid w:val="27921CD0"/>
    <w:rsid w:val="2B2C1060"/>
    <w:rsid w:val="2BAB303C"/>
    <w:rsid w:val="2D9658EC"/>
    <w:rsid w:val="2F6A3D09"/>
    <w:rsid w:val="31A0387A"/>
    <w:rsid w:val="325B48EC"/>
    <w:rsid w:val="35ED683F"/>
    <w:rsid w:val="3A4A198C"/>
    <w:rsid w:val="3CEC65B3"/>
    <w:rsid w:val="3E100553"/>
    <w:rsid w:val="41E93362"/>
    <w:rsid w:val="43D37A71"/>
    <w:rsid w:val="45842A6A"/>
    <w:rsid w:val="46855B9A"/>
    <w:rsid w:val="49D5235E"/>
    <w:rsid w:val="4CD34FB2"/>
    <w:rsid w:val="4DAF67B7"/>
    <w:rsid w:val="4FE71370"/>
    <w:rsid w:val="51E41F4B"/>
    <w:rsid w:val="57B05B7D"/>
    <w:rsid w:val="58043A8C"/>
    <w:rsid w:val="59B96463"/>
    <w:rsid w:val="5E07663E"/>
    <w:rsid w:val="660068E0"/>
    <w:rsid w:val="67553664"/>
    <w:rsid w:val="699D13FF"/>
    <w:rsid w:val="69F8479A"/>
    <w:rsid w:val="6A8332A6"/>
    <w:rsid w:val="6B9E3FC4"/>
    <w:rsid w:val="6F676969"/>
    <w:rsid w:val="7347164B"/>
    <w:rsid w:val="7606007E"/>
    <w:rsid w:val="77816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rFonts w:eastAsia="宋体" w:asciiTheme="minorAscii" w:hAnsiTheme="minorAscii"/>
      <w:b/>
      <w:kern w:val="44"/>
      <w:sz w:val="32"/>
    </w:rPr>
  </w:style>
  <w:style w:type="paragraph" w:styleId="5">
    <w:name w:val="heading 2"/>
    <w:basedOn w:val="1"/>
    <w:next w:val="1"/>
    <w:unhideWhenUsed/>
    <w:qFormat/>
    <w:uiPriority w:val="0"/>
    <w:pPr>
      <w:keepNext/>
      <w:keepLines/>
      <w:spacing w:before="260" w:beforeLines="0" w:beforeAutospacing="0" w:after="260" w:afterLines="0" w:afterAutospacing="0" w:line="360" w:lineRule="auto"/>
      <w:outlineLvl w:val="1"/>
    </w:pPr>
    <w:rPr>
      <w:rFonts w:ascii="Arial" w:hAnsi="Arial" w:eastAsia="宋体"/>
      <w:b/>
      <w:sz w:val="30"/>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rFonts w:eastAsia="宋体" w:asciiTheme="minorAscii" w:hAnsiTheme="minorAscii"/>
      <w:b/>
      <w:sz w:val="24"/>
    </w:rPr>
  </w:style>
  <w:style w:type="paragraph" w:styleId="7">
    <w:name w:val="heading 9"/>
    <w:basedOn w:val="1"/>
    <w:next w:val="1"/>
    <w:unhideWhenUsed/>
    <w:qFormat/>
    <w:uiPriority w:val="0"/>
    <w:pPr>
      <w:keepNext/>
      <w:keepLines/>
      <w:spacing w:before="240" w:after="64" w:line="320" w:lineRule="auto"/>
      <w:outlineLvl w:val="8"/>
    </w:pPr>
    <w:rPr>
      <w:rFonts w:ascii="Cambria" w:hAnsi="Cambria" w:cs="黑体"/>
      <w:sz w:val="21"/>
      <w:szCs w:val="21"/>
    </w:rPr>
  </w:style>
  <w:style w:type="character" w:default="1" w:styleId="15">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qFormat/>
    <w:uiPriority w:val="0"/>
    <w:rPr>
      <w:sz w:val="28"/>
      <w:szCs w:val="20"/>
    </w:rPr>
  </w:style>
  <w:style w:type="paragraph" w:customStyle="1" w:styleId="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8">
    <w:name w:val="Body Text First Indent"/>
    <w:basedOn w:val="2"/>
    <w:qFormat/>
    <w:uiPriority w:val="0"/>
    <w:pPr>
      <w:overflowPunct w:val="0"/>
      <w:autoSpaceDE w:val="0"/>
      <w:autoSpaceDN w:val="0"/>
      <w:adjustRightInd w:val="0"/>
      <w:spacing w:line="360" w:lineRule="auto"/>
      <w:ind w:firstLine="539"/>
      <w:textAlignment w:val="baseline"/>
    </w:pPr>
    <w:rPr>
      <w:kern w:val="0"/>
    </w:rPr>
  </w:style>
  <w:style w:type="paragraph" w:styleId="9">
    <w:name w:val="Body Text Indent"/>
    <w:basedOn w:val="1"/>
    <w:qFormat/>
    <w:uiPriority w:val="99"/>
    <w:pPr>
      <w:spacing w:line="500" w:lineRule="exact"/>
      <w:ind w:firstLine="560" w:firstLineChars="200"/>
    </w:pPr>
    <w:rPr>
      <w:sz w:val="28"/>
    </w:r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报告表正文"/>
    <w:basedOn w:val="1"/>
    <w:qFormat/>
    <w:uiPriority w:val="0"/>
    <w:pPr>
      <w:spacing w:line="360" w:lineRule="auto"/>
      <w:ind w:firstLine="200" w:firstLineChars="200"/>
    </w:pPr>
    <w:rPr>
      <w:rFonts w:eastAsia="楷体_GB2312"/>
      <w:sz w:val="24"/>
    </w:rPr>
  </w:style>
  <w:style w:type="paragraph" w:customStyle="1" w:styleId="19">
    <w:name w:val="p0"/>
    <w:basedOn w:val="1"/>
    <w:qFormat/>
    <w:uiPriority w:val="0"/>
    <w:pPr>
      <w:widowControl/>
    </w:pPr>
    <w:rPr>
      <w:kern w:val="0"/>
      <w:szCs w:val="21"/>
    </w:rPr>
  </w:style>
  <w:style w:type="paragraph" w:customStyle="1" w:styleId="20">
    <w:name w:val="表 图 内容"/>
    <w:basedOn w:val="1"/>
    <w:qFormat/>
    <w:uiPriority w:val="0"/>
    <w:pPr>
      <w:jc w:val="center"/>
    </w:pPr>
    <w:rPr>
      <w:rFonts w:ascii="Calibri" w:hAnsi="宋体"/>
      <w:color w:val="000000"/>
    </w:rPr>
  </w:style>
  <w:style w:type="character" w:customStyle="1" w:styleId="21">
    <w:name w:val="fontstyle01"/>
    <w:basedOn w:val="15"/>
    <w:qFormat/>
    <w:uiPriority w:val="0"/>
    <w:rPr>
      <w:rFonts w:ascii="宋体" w:hAnsi="宋体" w:eastAsia="宋体" w:cs="宋体"/>
      <w:color w:val="000000"/>
      <w:sz w:val="24"/>
      <w:szCs w:val="24"/>
    </w:rPr>
  </w:style>
  <w:style w:type="character" w:customStyle="1" w:styleId="22">
    <w:name w:val="fontstyle21"/>
    <w:basedOn w:val="15"/>
    <w:qFormat/>
    <w:uiPriority w:val="0"/>
    <w:rPr>
      <w:rFonts w:ascii="TimesNewRomanPSMT" w:hAnsi="TimesNewRomanPSMT" w:eastAsia="TimesNewRomanPSMT" w:cs="TimesNewRomanPSMT"/>
      <w:color w:val="000000"/>
      <w:sz w:val="24"/>
      <w:szCs w:val="24"/>
    </w:rPr>
  </w:style>
  <w:style w:type="character" w:customStyle="1" w:styleId="23">
    <w:name w:val="fontstyle11"/>
    <w:basedOn w:val="15"/>
    <w:qFormat/>
    <w:uiPriority w:val="0"/>
    <w:rPr>
      <w:rFonts w:ascii="宋体" w:hAnsi="宋体" w:eastAsia="宋体" w:cs="宋体"/>
      <w:color w:val="000000"/>
      <w:sz w:val="24"/>
      <w:szCs w:val="24"/>
    </w:rPr>
  </w:style>
  <w:style w:type="paragraph" w:customStyle="1" w:styleId="24">
    <w:name w:val="表格内容"/>
    <w:basedOn w:val="20"/>
    <w:qFormat/>
    <w:uiPriority w:val="0"/>
    <w:pPr>
      <w:jc w:val="center"/>
    </w:pPr>
    <w:rPr>
      <w:szCs w:val="21"/>
    </w:rPr>
  </w:style>
  <w:style w:type="paragraph" w:customStyle="1" w:styleId="25">
    <w:name w:val="表 图 表头"/>
    <w:basedOn w:val="1"/>
    <w:qFormat/>
    <w:uiPriority w:val="0"/>
    <w:pPr>
      <w:spacing w:line="360" w:lineRule="auto"/>
      <w:jc w:val="center"/>
    </w:pPr>
    <w:rPr>
      <w:rFonts w:ascii="Calibri" w:hAnsi="Calibri"/>
      <w:sz w:val="24"/>
      <w:szCs w:val="20"/>
    </w:rPr>
  </w:style>
  <w:style w:type="paragraph" w:customStyle="1" w:styleId="26">
    <w:name w:val="表文字"/>
    <w:basedOn w:val="1"/>
    <w:qFormat/>
    <w:uiPriority w:val="0"/>
    <w:pPr>
      <w:overflowPunct w:val="0"/>
      <w:autoSpaceDE w:val="0"/>
      <w:autoSpaceDN w:val="0"/>
      <w:adjustRightInd w:val="0"/>
      <w:jc w:val="center"/>
      <w:textAlignment w:val="baseline"/>
    </w:pPr>
    <w:rPr>
      <w:kern w:val="0"/>
      <w:szCs w:val="21"/>
    </w:rPr>
  </w:style>
  <w:style w:type="paragraph" w:customStyle="1" w:styleId="27">
    <w:name w:val="正文2"/>
    <w:basedOn w:val="1"/>
    <w:qFormat/>
    <w:uiPriority w:val="0"/>
    <w:pPr>
      <w:spacing w:line="500" w:lineRule="exact"/>
      <w:ind w:firstLine="480" w:firstLineChars="200"/>
    </w:pPr>
    <w:rPr>
      <w:rFonts w:cs="宋体"/>
      <w:sz w:val="24"/>
      <w:szCs w:val="20"/>
    </w:rPr>
  </w:style>
  <w:style w:type="paragraph" w:customStyle="1" w:styleId="28">
    <w:name w:val="表头"/>
    <w:basedOn w:val="29"/>
    <w:next w:val="7"/>
    <w:qFormat/>
    <w:uiPriority w:val="0"/>
    <w:pPr>
      <w:ind w:firstLine="0" w:firstLineChars="0"/>
      <w:jc w:val="center"/>
    </w:pPr>
    <w:rPr>
      <w:rFonts w:cs="Times New Roman"/>
    </w:rPr>
  </w:style>
  <w:style w:type="paragraph" w:customStyle="1" w:styleId="29">
    <w:name w:val="样式 正  文 + 首行缩进:  2 字符"/>
    <w:basedOn w:val="30"/>
    <w:qFormat/>
    <w:uiPriority w:val="0"/>
    <w:pPr>
      <w:spacing w:line="240" w:lineRule="auto"/>
      <w:ind w:firstLine="200"/>
    </w:pPr>
    <w:rPr>
      <w:rFonts w:ascii="Times New Roman" w:hAnsi="Times New Roman" w:cs="宋体"/>
      <w:sz w:val="24"/>
      <w:szCs w:val="20"/>
    </w:rPr>
  </w:style>
  <w:style w:type="paragraph" w:customStyle="1" w:styleId="30">
    <w:name w:val="正  文"/>
    <w:basedOn w:val="1"/>
    <w:next w:val="1"/>
    <w:qFormat/>
    <w:uiPriority w:val="0"/>
    <w:pPr>
      <w:spacing w:line="360" w:lineRule="auto"/>
      <w:ind w:firstLine="560" w:firstLineChars="200"/>
    </w:pPr>
    <w:rPr>
      <w:rFonts w:ascii="仿宋_GB2312" w:hAnsi="仿宋_GB2312" w:cs="仿宋_GB2312"/>
      <w:sz w:val="28"/>
      <w:szCs w:val="28"/>
    </w:rPr>
  </w:style>
  <w:style w:type="paragraph" w:customStyle="1" w:styleId="31">
    <w:name w:val="无间隔1"/>
    <w:qFormat/>
    <w:uiPriority w:val="1"/>
    <w:pPr>
      <w:spacing w:line="360" w:lineRule="auto"/>
      <w:ind w:firstLine="200" w:firstLineChars="200"/>
      <w:jc w:val="both"/>
    </w:pPr>
    <w:rPr>
      <w:rFonts w:ascii="Calibri" w:hAnsi="Calibri" w:eastAsia="Calibri" w:cs="Times New Roman"/>
      <w:kern w:val="2"/>
      <w:sz w:val="28"/>
      <w:szCs w:val="22"/>
      <w:lang w:val="ru-RU" w:eastAsia="zh-CN" w:bidi="ar-SA"/>
    </w:rPr>
  </w:style>
  <w:style w:type="character" w:customStyle="1" w:styleId="32">
    <w:name w:val="font01"/>
    <w:basedOn w:val="1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2018-03-21T08:06:00Z</dcterms:created>
  <dc:creator>Administrator</dc:creator>
  <cp:lastModifiedBy>Administrator</cp:lastModifiedBy>
  <cp:lastPrinted>2018-03-23T00:35:00Z</cp:lastPrinted>
  <dcterms:modified xsi:type="dcterms:W3CDTF">2019-01-09T01:05:24Z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