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ascii="黑体" w:hAnsi="黑体" w:eastAsia="黑体"/>
          <w:szCs w:val="32"/>
        </w:rPr>
      </w:pPr>
      <w:r>
        <w:rPr>
          <w:rFonts w:hint="eastAsia" w:ascii="黑体" w:hAnsi="黑体" w:eastAsia="黑体"/>
          <w:szCs w:val="32"/>
        </w:rPr>
        <w:t>附件：</w:t>
      </w:r>
    </w:p>
    <w:p>
      <w:pPr>
        <w:jc w:val="left"/>
        <w:rPr>
          <w:rFonts w:ascii="宋体" w:hAnsi="宋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方正小标宋_GBK" w:hAnsi="新宋体" w:eastAsia="方正小标宋_GBK"/>
          <w:sz w:val="40"/>
          <w:szCs w:val="40"/>
        </w:rPr>
      </w:pPr>
      <w:r>
        <w:rPr>
          <w:rFonts w:hint="eastAsia" w:ascii="方正小标宋_GBK" w:hAnsi="新宋体" w:eastAsia="方正小标宋_GBK"/>
          <w:sz w:val="40"/>
          <w:szCs w:val="40"/>
          <w:lang w:eastAsia="zh-CN"/>
        </w:rPr>
        <w:t>益阳市</w:t>
      </w:r>
      <w:r>
        <w:rPr>
          <w:rFonts w:hint="eastAsia" w:ascii="方正小标宋_GBK" w:hAnsi="新宋体" w:eastAsia="方正小标宋_GBK"/>
          <w:sz w:val="40"/>
          <w:szCs w:val="40"/>
        </w:rPr>
        <w:t>2018年度危险废物规范化管理</w:t>
      </w:r>
      <w:r>
        <w:rPr>
          <w:rFonts w:ascii="方正小标宋_GBK" w:hAnsi="新宋体" w:eastAsia="方正小标宋_GBK"/>
          <w:sz w:val="40"/>
          <w:szCs w:val="40"/>
        </w:rPr>
        <w:br w:type="textWrapping"/>
      </w:r>
      <w:r>
        <w:rPr>
          <w:rFonts w:hint="eastAsia" w:ascii="方正小标宋_GBK" w:hAnsi="新宋体" w:eastAsia="方正小标宋_GBK"/>
          <w:sz w:val="40"/>
          <w:szCs w:val="40"/>
        </w:rPr>
        <w:t>督查考核工作实施方案</w:t>
      </w:r>
    </w:p>
    <w:p>
      <w:pPr>
        <w:spacing w:line="580" w:lineRule="exact"/>
        <w:ind w:firstLine="645"/>
        <w:rPr>
          <w:rFonts w:ascii="仿宋_GB2312" w:hAnsi="仿宋"/>
          <w:szCs w:val="32"/>
        </w:rPr>
      </w:pPr>
    </w:p>
    <w:p>
      <w:pPr>
        <w:spacing w:line="580" w:lineRule="exact"/>
        <w:ind w:firstLine="645"/>
        <w:rPr>
          <w:rFonts w:ascii="仿宋_GB2312" w:hAnsi="仿宋"/>
          <w:szCs w:val="32"/>
        </w:rPr>
      </w:pPr>
      <w:r>
        <w:rPr>
          <w:rFonts w:hint="eastAsia" w:ascii="仿宋_GB2312" w:hAnsi="仿宋"/>
          <w:szCs w:val="32"/>
        </w:rPr>
        <w:t>根据《</w:t>
      </w:r>
      <w:r>
        <w:rPr>
          <w:rFonts w:hint="eastAsia" w:ascii="仿宋_GB2312" w:hAnsi="仿宋"/>
          <w:szCs w:val="32"/>
          <w:lang w:eastAsia="zh-CN"/>
        </w:rPr>
        <w:t>湖南省</w:t>
      </w:r>
      <w:r>
        <w:rPr>
          <w:rFonts w:hint="eastAsia" w:ascii="仿宋_GB2312" w:hAnsi="仿宋"/>
          <w:szCs w:val="32"/>
          <w:lang w:val="en-US" w:eastAsia="zh-CN"/>
        </w:rPr>
        <w:t>2018年度</w:t>
      </w:r>
      <w:r>
        <w:rPr>
          <w:rFonts w:hint="eastAsia" w:ascii="仿宋_GB2312" w:hAnsi="仿宋"/>
          <w:szCs w:val="32"/>
        </w:rPr>
        <w:t>危险废物规范化管理督查考核工作</w:t>
      </w:r>
      <w:r>
        <w:rPr>
          <w:rFonts w:hint="eastAsia" w:ascii="仿宋_GB2312" w:hAnsi="仿宋"/>
          <w:szCs w:val="32"/>
          <w:lang w:eastAsia="zh-CN"/>
        </w:rPr>
        <w:t>实施</w:t>
      </w:r>
      <w:r>
        <w:rPr>
          <w:rFonts w:hint="eastAsia" w:ascii="仿宋_GB2312" w:hAnsi="仿宋"/>
          <w:szCs w:val="32"/>
        </w:rPr>
        <w:t>方案》（以下简称《考核方案》），结合我</w:t>
      </w:r>
      <w:r>
        <w:rPr>
          <w:rFonts w:hint="eastAsia" w:ascii="仿宋_GB2312" w:hAnsi="仿宋"/>
          <w:szCs w:val="32"/>
          <w:lang w:eastAsia="zh-CN"/>
        </w:rPr>
        <w:t>市</w:t>
      </w:r>
      <w:r>
        <w:rPr>
          <w:rFonts w:hint="eastAsia" w:ascii="仿宋_GB2312" w:hAnsi="仿宋"/>
          <w:szCs w:val="32"/>
        </w:rPr>
        <w:t>2017年度危险废物规范化管理督查考核情况，制定本实施方案。</w:t>
      </w:r>
    </w:p>
    <w:p>
      <w:pPr>
        <w:spacing w:line="580" w:lineRule="exact"/>
        <w:ind w:firstLine="645"/>
        <w:rPr>
          <w:rFonts w:ascii="黑体" w:hAnsi="黑体" w:eastAsia="黑体"/>
          <w:szCs w:val="32"/>
        </w:rPr>
      </w:pPr>
      <w:r>
        <w:rPr>
          <w:rFonts w:hint="eastAsia" w:ascii="黑体" w:hAnsi="黑体" w:eastAsia="黑体"/>
          <w:szCs w:val="32"/>
        </w:rPr>
        <w:t>一、总体要求和工作目标</w:t>
      </w:r>
    </w:p>
    <w:p>
      <w:pPr>
        <w:spacing w:line="580" w:lineRule="exact"/>
        <w:ind w:firstLine="645"/>
        <w:rPr>
          <w:rFonts w:ascii="仿宋_GB2312" w:hAnsi="仿宋"/>
          <w:szCs w:val="32"/>
        </w:rPr>
      </w:pPr>
      <w:r>
        <w:rPr>
          <w:rFonts w:hint="eastAsia" w:ascii="仿宋_GB2312" w:hAnsi="仿宋"/>
          <w:szCs w:val="32"/>
        </w:rPr>
        <w:t>总体要求：按照《考核方案》要求，进一步突出考核重点，强化考核结果的科学运用，持续推动企业落实处理危险废物主体责任，督促强化各地政府、相关部门、工业园区落实危险废物环境监管责任，做到危险废物处置能力有保障、环境监管上水平、环境安全可确保。</w:t>
      </w:r>
    </w:p>
    <w:p>
      <w:pPr>
        <w:spacing w:line="580" w:lineRule="exact"/>
        <w:ind w:firstLine="645"/>
        <w:rPr>
          <w:rFonts w:ascii="仿宋_GB2312" w:hAnsi="仿宋"/>
          <w:szCs w:val="32"/>
        </w:rPr>
      </w:pPr>
      <w:r>
        <w:rPr>
          <w:rFonts w:hint="eastAsia" w:ascii="仿宋_GB2312" w:hAnsi="仿宋"/>
          <w:szCs w:val="32"/>
        </w:rPr>
        <w:t>工作目标：在稳定2017年全</w:t>
      </w:r>
      <w:r>
        <w:rPr>
          <w:rFonts w:hint="eastAsia" w:ascii="仿宋_GB2312" w:hAnsi="仿宋"/>
          <w:szCs w:val="32"/>
          <w:lang w:eastAsia="zh-CN"/>
        </w:rPr>
        <w:t>市</w:t>
      </w:r>
      <w:r>
        <w:rPr>
          <w:rFonts w:hint="eastAsia" w:ascii="仿宋_GB2312" w:hAnsi="仿宋"/>
          <w:szCs w:val="32"/>
        </w:rPr>
        <w:t>危险废物规范化管理考核较好成绩的基础上，进一步提高危险废物规范化管理的质量和水平。</w:t>
      </w:r>
    </w:p>
    <w:p>
      <w:pPr>
        <w:spacing w:line="580" w:lineRule="exact"/>
        <w:ind w:firstLine="645"/>
        <w:rPr>
          <w:rFonts w:ascii="黑体" w:hAnsi="黑体" w:eastAsia="黑体"/>
          <w:szCs w:val="32"/>
        </w:rPr>
      </w:pPr>
      <w:r>
        <w:rPr>
          <w:rFonts w:hint="eastAsia" w:ascii="黑体" w:hAnsi="黑体" w:eastAsia="黑体"/>
          <w:szCs w:val="32"/>
        </w:rPr>
        <w:t>二、考核范围与重点</w:t>
      </w:r>
    </w:p>
    <w:p>
      <w:pPr>
        <w:spacing w:line="580" w:lineRule="exact"/>
        <w:ind w:firstLine="645"/>
        <w:rPr>
          <w:rFonts w:ascii="仿宋_GB2312" w:hAnsi="仿宋"/>
          <w:szCs w:val="32"/>
        </w:rPr>
      </w:pPr>
      <w:r>
        <w:rPr>
          <w:rFonts w:hint="eastAsia" w:ascii="仿宋_GB2312" w:hAnsi="仿宋"/>
          <w:szCs w:val="32"/>
        </w:rPr>
        <w:t>考核范围：全部产废单位和经营单位。</w:t>
      </w:r>
    </w:p>
    <w:p>
      <w:pPr>
        <w:spacing w:line="580" w:lineRule="exact"/>
        <w:ind w:firstLine="645"/>
        <w:rPr>
          <w:rFonts w:ascii="仿宋_GB2312" w:hAnsi="仿宋"/>
          <w:szCs w:val="32"/>
        </w:rPr>
      </w:pPr>
      <w:r>
        <w:rPr>
          <w:rFonts w:hint="eastAsia" w:ascii="仿宋_GB2312" w:hAnsi="仿宋"/>
          <w:szCs w:val="32"/>
        </w:rPr>
        <w:t>考核重点：中央环保督查交办的涉危险废物单位；2017年规范化督查考核中出现的不达标单位和基本达标单位；全部危险废物经营单位、医疗废物集中处置单位；</w:t>
      </w:r>
      <w:r>
        <w:rPr>
          <w:rFonts w:hint="eastAsia" w:ascii="仿宋" w:hAnsi="仿宋" w:eastAsia="仿宋"/>
          <w:color w:val="000000"/>
          <w:spacing w:val="-2"/>
          <w:szCs w:val="32"/>
        </w:rPr>
        <w:t>年产生或贮存危险废物100吨（不含）以上的国家级重点监控企业、年产生或贮存危险废物10（不含）～100（含）吨的省级重点监控企业；</w:t>
      </w:r>
      <w:r>
        <w:rPr>
          <w:rFonts w:hint="eastAsia" w:ascii="仿宋" w:hAnsi="仿宋" w:eastAsia="仿宋"/>
          <w:color w:val="2C323B"/>
          <w:szCs w:val="32"/>
          <w:shd w:val="clear" w:color="auto" w:fill="FFFFFF"/>
        </w:rPr>
        <w:t>年产生或贮存危险废物1</w:t>
      </w:r>
      <w:r>
        <w:rPr>
          <w:rFonts w:hint="eastAsia" w:ascii="仿宋" w:hAnsi="仿宋" w:eastAsia="仿宋"/>
          <w:color w:val="000000"/>
          <w:spacing w:val="-2"/>
          <w:szCs w:val="32"/>
        </w:rPr>
        <w:t>（不含）～10（含）</w:t>
      </w:r>
      <w:r>
        <w:rPr>
          <w:rFonts w:hint="eastAsia" w:ascii="仿宋" w:hAnsi="仿宋" w:eastAsia="仿宋"/>
          <w:color w:val="2C323B"/>
          <w:szCs w:val="32"/>
          <w:shd w:val="clear" w:color="auto" w:fill="FFFFFF"/>
        </w:rPr>
        <w:t>吨的市级危险废物重点监控企业</w:t>
      </w:r>
      <w:r>
        <w:rPr>
          <w:rFonts w:hint="eastAsia" w:ascii="仿宋" w:hAnsi="仿宋" w:eastAsia="仿宋"/>
          <w:color w:val="000000"/>
          <w:spacing w:val="-2"/>
          <w:szCs w:val="32"/>
        </w:rPr>
        <w:t>；产生危险废物种类多、环境危害性高的线路板、有色、化工、医药等行业；</w:t>
      </w:r>
      <w:r>
        <w:rPr>
          <w:rFonts w:hint="eastAsia" w:ascii="仿宋_GB2312" w:hAnsi="仿宋"/>
          <w:szCs w:val="32"/>
        </w:rPr>
        <w:t>超期贮存（贮存量超过两年产生量）危险废物单位（包含贮存有危险废物的停产企业）；涉危险废物环境安全隐患突出、2017年以来发生过危险废物环境突发事件或非法转移、倾倒、处置危险废物的涉医疗废物、废铅酸电池、废矿物油等行业和企业；“清废行动”发现的涉危险废物违法违规单位。</w:t>
      </w:r>
    </w:p>
    <w:p>
      <w:pPr>
        <w:spacing w:line="580" w:lineRule="exact"/>
        <w:ind w:firstLine="645"/>
        <w:rPr>
          <w:rFonts w:ascii="仿宋_GB2312" w:hAnsi="仿宋"/>
          <w:szCs w:val="32"/>
        </w:rPr>
      </w:pPr>
      <w:r>
        <w:rPr>
          <w:rFonts w:hint="eastAsia" w:ascii="仿宋_GB2312" w:hAnsi="仿宋"/>
          <w:szCs w:val="32"/>
        </w:rPr>
        <w:t>上述考核重点应作为各</w:t>
      </w:r>
      <w:r>
        <w:rPr>
          <w:rFonts w:hint="eastAsia" w:ascii="仿宋_GB2312" w:hAnsi="仿宋"/>
          <w:szCs w:val="32"/>
          <w:lang w:eastAsia="zh-CN"/>
        </w:rPr>
        <w:t>区县（市）</w:t>
      </w:r>
      <w:r>
        <w:rPr>
          <w:rFonts w:hint="eastAsia" w:ascii="仿宋_GB2312" w:hAnsi="仿宋"/>
          <w:szCs w:val="32"/>
        </w:rPr>
        <w:t>的考核重点，各地还可根据《考核方案》和本实施方案，结合当地实际确定增加考核重点。</w:t>
      </w:r>
    </w:p>
    <w:p>
      <w:pPr>
        <w:spacing w:line="580" w:lineRule="exact"/>
        <w:ind w:firstLine="645"/>
        <w:rPr>
          <w:rFonts w:ascii="黑体" w:hAnsi="黑体" w:eastAsia="黑体"/>
          <w:szCs w:val="32"/>
        </w:rPr>
      </w:pPr>
      <w:r>
        <w:rPr>
          <w:rFonts w:hint="eastAsia" w:ascii="黑体" w:hAnsi="黑体" w:eastAsia="黑体"/>
          <w:szCs w:val="32"/>
        </w:rPr>
        <w:t>三、考核方式</w:t>
      </w:r>
    </w:p>
    <w:p>
      <w:pPr>
        <w:spacing w:line="580" w:lineRule="exact"/>
        <w:ind w:firstLine="645"/>
        <w:rPr>
          <w:rFonts w:ascii="仿宋_GB2312" w:hAnsi="仿宋"/>
          <w:color w:val="FF0000"/>
          <w:szCs w:val="32"/>
        </w:rPr>
      </w:pPr>
      <w:r>
        <w:rPr>
          <w:rFonts w:hint="eastAsia" w:ascii="仿宋_GB2312" w:hAnsi="仿宋"/>
          <w:szCs w:val="32"/>
        </w:rPr>
        <w:t>按照《考核方案》要求和本实施方案工作布置，省</w:t>
      </w:r>
      <w:r>
        <w:rPr>
          <w:rFonts w:hint="eastAsia" w:ascii="仿宋_GB2312" w:hAnsi="仿宋"/>
          <w:szCs w:val="32"/>
          <w:lang w:eastAsia="zh-CN"/>
        </w:rPr>
        <w:t>、</w:t>
      </w:r>
      <w:r>
        <w:rPr>
          <w:rFonts w:hint="eastAsia" w:ascii="仿宋_GB2312" w:hAnsi="仿宋"/>
          <w:szCs w:val="32"/>
        </w:rPr>
        <w:t>市</w:t>
      </w:r>
      <w:r>
        <w:rPr>
          <w:rFonts w:hint="eastAsia" w:ascii="仿宋_GB2312" w:hAnsi="仿宋"/>
          <w:szCs w:val="32"/>
          <w:lang w:eastAsia="zh-CN"/>
        </w:rPr>
        <w:t>、县三</w:t>
      </w:r>
      <w:r>
        <w:rPr>
          <w:rFonts w:hint="eastAsia" w:ascii="仿宋_GB2312" w:hAnsi="仿宋"/>
          <w:szCs w:val="32"/>
        </w:rPr>
        <w:t>级组织开展对产废单位和经营单位的检查考核，对照《危险废物规范化管理指标体系》（环办〔2015〕99号），并填写《被抽查单位基本情况记录汇总表》（</w:t>
      </w:r>
      <w:r>
        <w:rPr>
          <w:rFonts w:hint="eastAsia" w:ascii="仿宋_GB2312" w:hAnsi="仿宋"/>
          <w:color w:val="000000"/>
          <w:szCs w:val="32"/>
        </w:rPr>
        <w:t>见附2</w:t>
      </w:r>
      <w:r>
        <w:rPr>
          <w:rFonts w:hint="eastAsia" w:ascii="仿宋_GB2312" w:hAnsi="仿宋"/>
          <w:szCs w:val="32"/>
        </w:rPr>
        <w:t>）。</w:t>
      </w:r>
    </w:p>
    <w:p>
      <w:pPr>
        <w:spacing w:line="580" w:lineRule="exact"/>
        <w:ind w:firstLine="645"/>
        <w:rPr>
          <w:rFonts w:ascii="仿宋_GB2312" w:hAnsi="仿宋"/>
          <w:color w:val="FF0000"/>
          <w:szCs w:val="32"/>
        </w:rPr>
      </w:pPr>
      <w:r>
        <w:rPr>
          <w:rFonts w:hint="eastAsia" w:ascii="仿宋_GB2312" w:hAnsi="仿宋"/>
          <w:szCs w:val="32"/>
          <w:lang w:eastAsia="zh-CN"/>
        </w:rPr>
        <w:t>市环保局对各区县（市）</w:t>
      </w:r>
      <w:r>
        <w:rPr>
          <w:rFonts w:hint="eastAsia" w:ascii="仿宋_GB2312" w:hAnsi="仿宋"/>
          <w:szCs w:val="32"/>
        </w:rPr>
        <w:t>的督查考核</w:t>
      </w:r>
      <w:r>
        <w:rPr>
          <w:rFonts w:hint="eastAsia" w:ascii="仿宋_GB2312" w:hAnsi="仿宋"/>
          <w:szCs w:val="32"/>
          <w:lang w:eastAsia="zh-CN"/>
        </w:rPr>
        <w:t>参照</w:t>
      </w:r>
      <w:r>
        <w:rPr>
          <w:rFonts w:hint="eastAsia" w:ascii="仿宋_GB2312" w:hAnsi="仿宋"/>
          <w:szCs w:val="32"/>
        </w:rPr>
        <w:t>省环保厅对市环保局</w:t>
      </w:r>
      <w:r>
        <w:rPr>
          <w:rFonts w:hint="eastAsia" w:ascii="仿宋_GB2312" w:hAnsi="仿宋"/>
          <w:szCs w:val="32"/>
          <w:lang w:eastAsia="zh-CN"/>
        </w:rPr>
        <w:t>的考核要求</w:t>
      </w:r>
      <w:r>
        <w:rPr>
          <w:rFonts w:hint="eastAsia" w:ascii="仿宋_GB2312" w:hAnsi="仿宋"/>
          <w:szCs w:val="32"/>
        </w:rPr>
        <w:t>，按照《</w:t>
      </w:r>
      <w:r>
        <w:rPr>
          <w:rFonts w:hint="eastAsia" w:ascii="仿宋_GB2312" w:hAnsi="仿宋"/>
          <w:szCs w:val="32"/>
          <w:lang w:eastAsia="zh-CN"/>
        </w:rPr>
        <w:t>区县（市）</w:t>
      </w:r>
      <w:r>
        <w:rPr>
          <w:rFonts w:hint="eastAsia" w:ascii="仿宋_GB2312" w:hAnsi="仿宋"/>
          <w:szCs w:val="32"/>
        </w:rPr>
        <w:t>危险废物规范化管理督查考核工作评级指标》（</w:t>
      </w:r>
      <w:r>
        <w:rPr>
          <w:rFonts w:hint="eastAsia" w:ascii="仿宋_GB2312" w:hAnsi="仿宋"/>
          <w:color w:val="000000"/>
          <w:szCs w:val="32"/>
        </w:rPr>
        <w:t>见附</w:t>
      </w:r>
      <w:r>
        <w:rPr>
          <w:rFonts w:hint="eastAsia" w:ascii="仿宋_GB2312" w:hAnsi="仿宋"/>
          <w:color w:val="000000"/>
          <w:szCs w:val="32"/>
          <w:lang w:val="en-US" w:eastAsia="zh-CN"/>
        </w:rPr>
        <w:t>2</w:t>
      </w:r>
      <w:r>
        <w:rPr>
          <w:rFonts w:hint="eastAsia" w:ascii="仿宋_GB2312" w:hAnsi="仿宋"/>
          <w:szCs w:val="32"/>
        </w:rPr>
        <w:t>）组织开展。</w:t>
      </w:r>
    </w:p>
    <w:p>
      <w:pPr>
        <w:spacing w:line="580" w:lineRule="exact"/>
        <w:ind w:firstLine="645"/>
        <w:rPr>
          <w:rFonts w:ascii="仿宋_GB2312" w:hAnsi="仿宋"/>
          <w:color w:val="000000"/>
          <w:szCs w:val="32"/>
        </w:rPr>
      </w:pPr>
      <w:r>
        <w:rPr>
          <w:rFonts w:hint="eastAsia" w:ascii="仿宋_GB2312" w:hAnsi="仿宋"/>
          <w:szCs w:val="32"/>
        </w:rPr>
        <w:t>集中考核与随机抽查相结合。将危险废物规范化管理督查考核工作融入日常环境监管工作中，</w:t>
      </w:r>
      <w:r>
        <w:rPr>
          <w:rFonts w:hint="eastAsia" w:ascii="仿宋_GB2312" w:hAnsi="仿宋"/>
          <w:color w:val="000000"/>
          <w:szCs w:val="32"/>
        </w:rPr>
        <w:t>将考核结果纳入环境信用管理体系，实施环境信用等级评价。</w:t>
      </w:r>
      <w:r>
        <w:rPr>
          <w:rFonts w:hint="eastAsia" w:ascii="仿宋_GB2312" w:hAnsi="仿宋"/>
          <w:szCs w:val="32"/>
        </w:rPr>
        <w:t>环境监察部门组织开展环境执法检查，应将危险废物规范化管理作为重要内容纳入“双随机”日常环境监管；环评部门在环评审批中把好危险废物</w:t>
      </w:r>
      <w:r>
        <w:rPr>
          <w:rFonts w:hint="eastAsia" w:ascii="仿宋_GB2312" w:hAnsi="仿宋"/>
          <w:color w:val="000000"/>
          <w:szCs w:val="32"/>
        </w:rPr>
        <w:t>风险管控关，对涉危险废物的改扩建项目，则应对现有危险废物的产生、收集、贮存、利用和处置及管理情况进行客观评价论述并作为环评审批的重要依据；固废管理部门应将危险废物规范化管理作为核心工作加强指导，在危险废物行政许可审批等日常管理中强化检查，组织开展督查考核。</w:t>
      </w:r>
    </w:p>
    <w:p>
      <w:pPr>
        <w:spacing w:line="580" w:lineRule="exact"/>
        <w:ind w:firstLine="645"/>
        <w:rPr>
          <w:rFonts w:ascii="仿宋_GB2312" w:hAnsi="仿宋"/>
          <w:szCs w:val="32"/>
        </w:rPr>
      </w:pPr>
      <w:r>
        <w:rPr>
          <w:rFonts w:hint="eastAsia" w:ascii="仿宋_GB2312" w:hAnsi="仿宋"/>
          <w:color w:val="000000"/>
          <w:szCs w:val="32"/>
        </w:rPr>
        <w:t>各</w:t>
      </w:r>
      <w:r>
        <w:rPr>
          <w:rFonts w:hint="eastAsia" w:ascii="仿宋_GB2312" w:hAnsi="仿宋"/>
          <w:color w:val="000000"/>
          <w:szCs w:val="32"/>
          <w:lang w:eastAsia="zh-CN"/>
        </w:rPr>
        <w:t>区</w:t>
      </w:r>
      <w:r>
        <w:rPr>
          <w:rFonts w:hint="eastAsia" w:ascii="仿宋_GB2312" w:hAnsi="仿宋"/>
          <w:color w:val="000000"/>
          <w:szCs w:val="32"/>
        </w:rPr>
        <w:t>县</w:t>
      </w:r>
      <w:r>
        <w:rPr>
          <w:rFonts w:hint="eastAsia" w:ascii="仿宋_GB2312" w:hAnsi="仿宋"/>
          <w:color w:val="000000"/>
          <w:szCs w:val="32"/>
          <w:lang w:eastAsia="zh-CN"/>
        </w:rPr>
        <w:t>（市）</w:t>
      </w:r>
      <w:r>
        <w:rPr>
          <w:rFonts w:hint="eastAsia" w:ascii="仿宋_GB2312" w:hAnsi="仿宋"/>
          <w:color w:val="000000"/>
          <w:szCs w:val="32"/>
        </w:rPr>
        <w:t>环保局落实随机抽查主体责任，建立随机抽</w:t>
      </w:r>
      <w:r>
        <w:rPr>
          <w:rFonts w:hint="eastAsia" w:ascii="仿宋_GB2312" w:hAnsi="仿宋"/>
          <w:szCs w:val="32"/>
        </w:rPr>
        <w:t>查制度，将危险废物规范化管理纳入环境监察“双随机”抽查内容。</w:t>
      </w:r>
    </w:p>
    <w:p>
      <w:pPr>
        <w:spacing w:line="580" w:lineRule="exact"/>
        <w:ind w:firstLine="645"/>
        <w:rPr>
          <w:rFonts w:ascii="黑体" w:hAnsi="黑体" w:eastAsia="黑体"/>
          <w:szCs w:val="32"/>
        </w:rPr>
      </w:pPr>
      <w:r>
        <w:rPr>
          <w:rFonts w:hint="eastAsia" w:ascii="黑体" w:hAnsi="黑体" w:eastAsia="黑体"/>
          <w:szCs w:val="32"/>
        </w:rPr>
        <w:t>四、考核要求</w:t>
      </w:r>
    </w:p>
    <w:p>
      <w:pPr>
        <w:spacing w:line="580" w:lineRule="exact"/>
        <w:ind w:firstLine="645"/>
        <w:rPr>
          <w:rFonts w:ascii="楷体_GB2312" w:hAnsi="黑体" w:eastAsia="楷体_GB2312"/>
          <w:szCs w:val="32"/>
        </w:rPr>
      </w:pPr>
      <w:r>
        <w:rPr>
          <w:rFonts w:hint="eastAsia" w:ascii="楷体_GB2312" w:hAnsi="黑体" w:eastAsia="楷体_GB2312"/>
          <w:szCs w:val="32"/>
        </w:rPr>
        <w:t>（一）市州考核要求</w:t>
      </w:r>
    </w:p>
    <w:p>
      <w:pPr>
        <w:spacing w:line="580" w:lineRule="exact"/>
        <w:ind w:firstLine="645"/>
        <w:rPr>
          <w:rFonts w:ascii="仿宋_GB2312" w:hAnsi="仿宋"/>
          <w:szCs w:val="32"/>
        </w:rPr>
      </w:pPr>
      <w:r>
        <w:rPr>
          <w:rFonts w:hint="eastAsia" w:ascii="仿宋_GB2312" w:hAnsi="仿宋"/>
          <w:szCs w:val="32"/>
        </w:rPr>
        <w:t>经营单位：各</w:t>
      </w:r>
      <w:r>
        <w:rPr>
          <w:rFonts w:hint="eastAsia" w:ascii="仿宋_GB2312" w:hAnsi="仿宋"/>
          <w:szCs w:val="32"/>
          <w:lang w:eastAsia="zh-CN"/>
        </w:rPr>
        <w:t>区县（市）</w:t>
      </w:r>
      <w:r>
        <w:rPr>
          <w:rFonts w:hint="eastAsia" w:ascii="仿宋_GB2312" w:hAnsi="仿宋"/>
          <w:szCs w:val="32"/>
        </w:rPr>
        <w:t>应对辖区内的所有经营单位、医疗废物集中处置单位进行考核。</w:t>
      </w:r>
    </w:p>
    <w:p>
      <w:pPr>
        <w:spacing w:line="580" w:lineRule="exact"/>
        <w:ind w:firstLine="645"/>
        <w:rPr>
          <w:rFonts w:ascii="仿宋_GB2312" w:hAnsi="仿宋"/>
          <w:dstrike/>
          <w:color w:val="FF0000"/>
          <w:szCs w:val="32"/>
        </w:rPr>
      </w:pPr>
      <w:r>
        <w:rPr>
          <w:rFonts w:hint="eastAsia" w:ascii="仿宋_GB2312" w:hAnsi="仿宋"/>
          <w:szCs w:val="32"/>
        </w:rPr>
        <w:t>重点产废单位：对纳入</w:t>
      </w:r>
      <w:r>
        <w:rPr>
          <w:rFonts w:hint="eastAsia" w:ascii="仿宋_GB2312" w:hAnsi="仿宋"/>
          <w:szCs w:val="32"/>
          <w:lang w:eastAsia="zh-CN"/>
        </w:rPr>
        <w:t>国家级、省级、市</w:t>
      </w:r>
      <w:r>
        <w:rPr>
          <w:rFonts w:hint="eastAsia" w:ascii="仿宋_GB2312" w:hAnsi="仿宋"/>
          <w:szCs w:val="32"/>
        </w:rPr>
        <w:t>级考核重点范围的所有产废单位进行考核。</w:t>
      </w:r>
    </w:p>
    <w:p>
      <w:pPr>
        <w:spacing w:line="580" w:lineRule="exact"/>
        <w:ind w:firstLine="645"/>
        <w:rPr>
          <w:rFonts w:hint="eastAsia" w:ascii="仿宋_GB2312" w:hAnsi="仿宋"/>
          <w:szCs w:val="32"/>
        </w:rPr>
      </w:pPr>
      <w:r>
        <w:rPr>
          <w:rFonts w:hint="eastAsia" w:ascii="仿宋_GB2312" w:hAnsi="仿宋"/>
          <w:szCs w:val="32"/>
        </w:rPr>
        <w:t>其他产废单位：各</w:t>
      </w:r>
      <w:r>
        <w:rPr>
          <w:rFonts w:hint="eastAsia" w:ascii="仿宋_GB2312" w:hAnsi="仿宋"/>
          <w:szCs w:val="32"/>
          <w:lang w:eastAsia="zh-CN"/>
        </w:rPr>
        <w:t>区县（市）</w:t>
      </w:r>
      <w:r>
        <w:rPr>
          <w:rFonts w:hint="eastAsia" w:ascii="仿宋_GB2312" w:hAnsi="仿宋"/>
          <w:szCs w:val="32"/>
        </w:rPr>
        <w:t>辖区内抽查不少于</w:t>
      </w:r>
      <w:r>
        <w:rPr>
          <w:rFonts w:hint="eastAsia" w:ascii="仿宋_GB2312" w:hAnsi="仿宋"/>
          <w:szCs w:val="32"/>
          <w:lang w:val="en-US" w:eastAsia="zh-CN"/>
        </w:rPr>
        <w:t>2</w:t>
      </w:r>
      <w:r>
        <w:rPr>
          <w:rFonts w:hint="eastAsia" w:ascii="仿宋_GB2312" w:hAnsi="仿宋"/>
          <w:szCs w:val="32"/>
        </w:rPr>
        <w:t>家。若其他产废单位总数不足</w:t>
      </w:r>
      <w:r>
        <w:rPr>
          <w:rFonts w:hint="eastAsia" w:ascii="仿宋_GB2312" w:hAnsi="仿宋"/>
          <w:szCs w:val="32"/>
          <w:lang w:val="en-US" w:eastAsia="zh-CN"/>
        </w:rPr>
        <w:t>2</w:t>
      </w:r>
      <w:r>
        <w:rPr>
          <w:rFonts w:hint="eastAsia" w:ascii="仿宋_GB2312" w:hAnsi="仿宋"/>
          <w:szCs w:val="32"/>
        </w:rPr>
        <w:t>家时，则全部进行考核。</w:t>
      </w:r>
    </w:p>
    <w:p>
      <w:pPr>
        <w:spacing w:line="580" w:lineRule="exact"/>
        <w:ind w:firstLine="645"/>
        <w:rPr>
          <w:rFonts w:hint="eastAsia" w:ascii="仿宋_GB2312" w:hAnsi="仿宋" w:eastAsia="仿宋_GB2312"/>
          <w:sz w:val="32"/>
          <w:szCs w:val="32"/>
          <w:lang w:eastAsia="zh-CN"/>
        </w:rPr>
      </w:pPr>
      <w:r>
        <w:rPr>
          <w:rFonts w:hint="eastAsia" w:ascii="仿宋_GB2312" w:hAnsi="仿宋"/>
          <w:szCs w:val="32"/>
          <w:lang w:eastAsia="zh-CN"/>
        </w:rPr>
        <w:t>示范企业和示范园区建设：积极开展工作创新，鼓励</w:t>
      </w:r>
      <w:r>
        <w:rPr>
          <w:rFonts w:hint="eastAsia" w:ascii="仿宋_GB2312" w:hAnsi="仿宋"/>
          <w:sz w:val="32"/>
          <w:szCs w:val="32"/>
        </w:rPr>
        <w:t>各</w:t>
      </w:r>
      <w:r>
        <w:rPr>
          <w:rFonts w:hint="eastAsia" w:ascii="仿宋_GB2312" w:hAnsi="仿宋"/>
          <w:sz w:val="32"/>
          <w:szCs w:val="32"/>
          <w:lang w:eastAsia="zh-CN"/>
        </w:rPr>
        <w:t>区县（市）</w:t>
      </w:r>
      <w:r>
        <w:rPr>
          <w:rFonts w:hint="eastAsia" w:ascii="仿宋_GB2312" w:hAnsi="仿宋"/>
          <w:sz w:val="32"/>
          <w:szCs w:val="32"/>
        </w:rPr>
        <w:t>对1-</w:t>
      </w:r>
      <w:r>
        <w:rPr>
          <w:rFonts w:hint="eastAsia" w:ascii="仿宋_GB2312" w:hAnsi="仿宋"/>
          <w:sz w:val="32"/>
          <w:szCs w:val="32"/>
          <w:lang w:val="en-US" w:eastAsia="zh-CN"/>
        </w:rPr>
        <w:t>2</w:t>
      </w:r>
      <w:r>
        <w:rPr>
          <w:rFonts w:hint="eastAsia" w:ascii="仿宋_GB2312" w:hAnsi="仿宋"/>
          <w:sz w:val="32"/>
          <w:szCs w:val="32"/>
        </w:rPr>
        <w:t>家基础较好、积极性高的企业重点辅导，建成规范化管理示范企业作为参观学习的样板</w:t>
      </w:r>
      <w:r>
        <w:rPr>
          <w:rFonts w:hint="eastAsia" w:ascii="仿宋_GB2312" w:hAnsi="仿宋"/>
          <w:sz w:val="32"/>
          <w:szCs w:val="32"/>
          <w:lang w:eastAsia="zh-CN"/>
        </w:rPr>
        <w:t>；</w:t>
      </w:r>
      <w:r>
        <w:rPr>
          <w:rFonts w:hint="eastAsia" w:ascii="仿宋_GB2312" w:hAnsi="仿宋"/>
          <w:szCs w:val="32"/>
          <w:lang w:eastAsia="zh-CN"/>
        </w:rPr>
        <w:t>鼓励</w:t>
      </w:r>
      <w:r>
        <w:rPr>
          <w:rFonts w:hint="eastAsia" w:ascii="仿宋_GB2312" w:hAnsi="仿宋"/>
          <w:sz w:val="32"/>
          <w:szCs w:val="32"/>
        </w:rPr>
        <w:t>各</w:t>
      </w:r>
      <w:r>
        <w:rPr>
          <w:rFonts w:hint="eastAsia" w:ascii="仿宋_GB2312" w:hAnsi="仿宋"/>
          <w:sz w:val="32"/>
          <w:szCs w:val="32"/>
          <w:lang w:eastAsia="zh-CN"/>
        </w:rPr>
        <w:t>区县（市）创建</w:t>
      </w:r>
      <w:r>
        <w:rPr>
          <w:rFonts w:hint="eastAsia" w:ascii="仿宋_GB2312" w:hAnsi="仿宋"/>
          <w:sz w:val="32"/>
          <w:szCs w:val="32"/>
        </w:rPr>
        <w:t>涉危险废物工业园区</w:t>
      </w:r>
      <w:r>
        <w:rPr>
          <w:rFonts w:hint="eastAsia" w:ascii="仿宋_GB2312" w:hAnsi="仿宋"/>
          <w:sz w:val="32"/>
          <w:szCs w:val="32"/>
          <w:lang w:eastAsia="zh-CN"/>
        </w:rPr>
        <w:t>管理的示范园区。</w:t>
      </w:r>
      <w:r>
        <w:rPr>
          <w:rFonts w:hint="eastAsia" w:ascii="仿宋_GB2312" w:hAnsi="仿宋"/>
          <w:sz w:val="32"/>
          <w:szCs w:val="32"/>
        </w:rPr>
        <w:t>建立危险废物区域防控责任体系，对园区内危险废物经营单位和重点产废单位的转移、贮存、利用处置及产生情况进行管理，建立园区危险废物规范化管理机制</w:t>
      </w:r>
      <w:r>
        <w:rPr>
          <w:rFonts w:hint="eastAsia" w:ascii="仿宋_GB2312" w:hAnsi="仿宋"/>
          <w:sz w:val="32"/>
          <w:szCs w:val="32"/>
          <w:lang w:eastAsia="zh-CN"/>
        </w:rPr>
        <w:t>。</w:t>
      </w:r>
    </w:p>
    <w:p>
      <w:pPr>
        <w:spacing w:line="580" w:lineRule="exact"/>
        <w:ind w:firstLine="645"/>
        <w:rPr>
          <w:rFonts w:ascii="仿宋_GB2312" w:hAnsi="仿宋"/>
          <w:szCs w:val="32"/>
        </w:rPr>
      </w:pPr>
      <w:r>
        <w:rPr>
          <w:rFonts w:hint="eastAsia" w:ascii="仿宋_GB2312" w:hAnsi="仿宋"/>
          <w:szCs w:val="32"/>
        </w:rPr>
        <w:t>各</w:t>
      </w:r>
      <w:r>
        <w:rPr>
          <w:rFonts w:hint="eastAsia" w:ascii="仿宋_GB2312" w:hAnsi="仿宋"/>
          <w:szCs w:val="32"/>
          <w:lang w:eastAsia="zh-CN"/>
        </w:rPr>
        <w:t>区县（市）</w:t>
      </w:r>
      <w:r>
        <w:rPr>
          <w:rFonts w:hint="eastAsia" w:ascii="仿宋_GB2312" w:hAnsi="仿宋"/>
          <w:szCs w:val="32"/>
        </w:rPr>
        <w:t>辖区内考核企业数量不足最低要求的80%，直接判定为《评级指标》考核等级中的C。</w:t>
      </w:r>
    </w:p>
    <w:p>
      <w:pPr>
        <w:spacing w:line="580" w:lineRule="exact"/>
        <w:ind w:firstLine="645"/>
        <w:rPr>
          <w:rFonts w:ascii="黑体" w:hAnsi="黑体" w:eastAsia="黑体"/>
          <w:szCs w:val="32"/>
        </w:rPr>
      </w:pPr>
      <w:r>
        <w:rPr>
          <w:rFonts w:hint="eastAsia" w:ascii="黑体" w:hAnsi="黑体" w:eastAsia="黑体"/>
          <w:szCs w:val="32"/>
        </w:rPr>
        <w:t>五、考核安排</w:t>
      </w:r>
    </w:p>
    <w:p>
      <w:pPr>
        <w:spacing w:line="580" w:lineRule="exact"/>
        <w:ind w:firstLine="645"/>
        <w:rPr>
          <w:rFonts w:ascii="楷体_GB2312" w:hAnsi="黑体" w:eastAsia="楷体_GB2312"/>
          <w:szCs w:val="32"/>
        </w:rPr>
      </w:pPr>
      <w:r>
        <w:rPr>
          <w:rFonts w:hint="eastAsia" w:ascii="楷体_GB2312" w:hAnsi="黑体" w:eastAsia="楷体_GB2312"/>
          <w:szCs w:val="32"/>
        </w:rPr>
        <w:t>（一）时间安排</w:t>
      </w:r>
    </w:p>
    <w:p>
      <w:pPr>
        <w:spacing w:line="580" w:lineRule="exact"/>
        <w:ind w:firstLine="645"/>
        <w:rPr>
          <w:rFonts w:ascii="仿宋_GB2312" w:hAnsi="仿宋"/>
          <w:color w:val="000000"/>
          <w:szCs w:val="32"/>
        </w:rPr>
      </w:pPr>
      <w:r>
        <w:rPr>
          <w:rFonts w:hint="eastAsia" w:ascii="仿宋_GB2312" w:hAnsi="仿宋"/>
          <w:color w:val="000000"/>
          <w:szCs w:val="32"/>
        </w:rPr>
        <w:t>各</w:t>
      </w:r>
      <w:r>
        <w:rPr>
          <w:rFonts w:hint="eastAsia" w:ascii="仿宋_GB2312" w:hAnsi="仿宋"/>
          <w:szCs w:val="32"/>
          <w:lang w:eastAsia="zh-CN"/>
        </w:rPr>
        <w:t>区县（市）</w:t>
      </w:r>
      <w:r>
        <w:rPr>
          <w:rFonts w:hint="eastAsia" w:ascii="仿宋_GB2312" w:hAnsi="仿宋"/>
          <w:color w:val="000000"/>
          <w:szCs w:val="32"/>
        </w:rPr>
        <w:t>于</w:t>
      </w:r>
      <w:r>
        <w:rPr>
          <w:rFonts w:hint="eastAsia" w:ascii="仿宋_GB2312" w:hAnsi="仿宋"/>
          <w:color w:val="000000"/>
          <w:szCs w:val="32"/>
          <w:lang w:val="en-US" w:eastAsia="zh-CN"/>
        </w:rPr>
        <w:t>7</w:t>
      </w:r>
      <w:r>
        <w:rPr>
          <w:rFonts w:hint="eastAsia" w:ascii="仿宋_GB2312" w:hAnsi="仿宋"/>
          <w:color w:val="000000"/>
          <w:szCs w:val="32"/>
        </w:rPr>
        <w:t>月底前将2018年度规范化管理督查考核工作方案或计划报</w:t>
      </w:r>
      <w:r>
        <w:rPr>
          <w:rFonts w:hint="eastAsia" w:ascii="仿宋_GB2312" w:hAnsi="仿宋"/>
          <w:color w:val="000000"/>
          <w:szCs w:val="32"/>
          <w:lang w:eastAsia="zh-CN"/>
        </w:rPr>
        <w:t>市环保局固废科</w:t>
      </w:r>
      <w:r>
        <w:rPr>
          <w:rFonts w:hint="eastAsia" w:ascii="仿宋_GB2312" w:hAnsi="仿宋"/>
          <w:color w:val="000000"/>
          <w:szCs w:val="32"/>
        </w:rPr>
        <w:t>。</w:t>
      </w:r>
    </w:p>
    <w:p>
      <w:pPr>
        <w:spacing w:line="580" w:lineRule="exact"/>
        <w:ind w:firstLine="645"/>
        <w:rPr>
          <w:rFonts w:ascii="仿宋_GB2312" w:hAnsi="仿宋"/>
          <w:szCs w:val="32"/>
        </w:rPr>
      </w:pPr>
      <w:r>
        <w:rPr>
          <w:rFonts w:hint="eastAsia" w:ascii="仿宋_GB2312" w:hAnsi="仿宋"/>
          <w:szCs w:val="32"/>
          <w:lang w:eastAsia="zh-CN"/>
        </w:rPr>
        <w:t>区县（市）</w:t>
      </w:r>
      <w:r>
        <w:rPr>
          <w:rFonts w:hint="eastAsia" w:ascii="仿宋_GB2312" w:hAnsi="仿宋"/>
          <w:color w:val="000000"/>
          <w:szCs w:val="32"/>
        </w:rPr>
        <w:t>于10月</w:t>
      </w:r>
      <w:r>
        <w:rPr>
          <w:rFonts w:hint="eastAsia" w:ascii="仿宋_GB2312" w:hAnsi="仿宋"/>
          <w:color w:val="000000"/>
          <w:szCs w:val="32"/>
          <w:lang w:val="en-US" w:eastAsia="zh-CN"/>
        </w:rPr>
        <w:t>20</w:t>
      </w:r>
      <w:r>
        <w:rPr>
          <w:rFonts w:hint="eastAsia" w:ascii="仿宋_GB2312" w:hAnsi="仿宋"/>
          <w:color w:val="000000"/>
          <w:szCs w:val="32"/>
        </w:rPr>
        <w:t>日前完成考核工作并将《危险废物规范化管理督查考核工作评级指标》自评分情况、本年度规范化管理督查考核情况（含每家企业的考核情况，见附件3）</w:t>
      </w:r>
      <w:r>
        <w:rPr>
          <w:rFonts w:hint="eastAsia" w:ascii="仿宋_GB2312" w:hAnsi="仿宋"/>
          <w:color w:val="000000"/>
          <w:szCs w:val="32"/>
          <w:lang w:eastAsia="zh-CN"/>
        </w:rPr>
        <w:t>上报市环保局固废科。市环保局</w:t>
      </w:r>
      <w:r>
        <w:rPr>
          <w:rFonts w:hint="eastAsia" w:ascii="仿宋_GB2312" w:hAnsi="仿宋"/>
          <w:color w:val="000000"/>
          <w:szCs w:val="32"/>
        </w:rPr>
        <w:t>于10月</w:t>
      </w:r>
      <w:r>
        <w:rPr>
          <w:rFonts w:hint="eastAsia" w:ascii="仿宋_GB2312" w:hAnsi="仿宋"/>
          <w:color w:val="000000"/>
          <w:szCs w:val="32"/>
          <w:lang w:eastAsia="zh-CN"/>
        </w:rPr>
        <w:t>中</w:t>
      </w:r>
      <w:r>
        <w:rPr>
          <w:rFonts w:hint="eastAsia" w:ascii="仿宋_GB2312" w:hAnsi="仿宋"/>
          <w:color w:val="000000"/>
          <w:szCs w:val="32"/>
        </w:rPr>
        <w:t>旬</w:t>
      </w:r>
      <w:r>
        <w:rPr>
          <w:rFonts w:hint="eastAsia" w:ascii="仿宋_GB2312" w:hAnsi="仿宋"/>
          <w:szCs w:val="32"/>
        </w:rPr>
        <w:t>组织开展集中抽查考核，</w:t>
      </w:r>
      <w:r>
        <w:rPr>
          <w:rFonts w:hint="eastAsia" w:ascii="仿宋_GB2312" w:hAnsi="仿宋"/>
          <w:szCs w:val="32"/>
          <w:lang w:eastAsia="zh-CN"/>
        </w:rPr>
        <w:t>做好</w:t>
      </w:r>
      <w:r>
        <w:rPr>
          <w:rFonts w:hint="eastAsia" w:ascii="仿宋_GB2312" w:hAnsi="仿宋"/>
          <w:szCs w:val="32"/>
          <w:lang w:val="en-US" w:eastAsia="zh-CN"/>
        </w:rPr>
        <w:t>11月迎接省环保厅督查考核的各项准备工作</w:t>
      </w:r>
      <w:r>
        <w:rPr>
          <w:rFonts w:hint="eastAsia" w:ascii="仿宋_GB2312" w:hAnsi="仿宋"/>
          <w:szCs w:val="32"/>
        </w:rPr>
        <w:t>。</w:t>
      </w:r>
    </w:p>
    <w:p>
      <w:pPr>
        <w:spacing w:line="580" w:lineRule="exact"/>
        <w:ind w:firstLine="645"/>
        <w:rPr>
          <w:rFonts w:ascii="楷体_GB2312" w:hAnsi="黑体" w:eastAsia="楷体_GB2312"/>
          <w:szCs w:val="32"/>
        </w:rPr>
      </w:pPr>
      <w:r>
        <w:rPr>
          <w:rFonts w:hint="eastAsia" w:ascii="楷体_GB2312" w:hAnsi="黑体" w:eastAsia="楷体_GB2312"/>
          <w:szCs w:val="32"/>
        </w:rPr>
        <w:t>（二）考核组织</w:t>
      </w:r>
    </w:p>
    <w:p>
      <w:pPr>
        <w:spacing w:line="580" w:lineRule="exact"/>
        <w:ind w:firstLine="645"/>
        <w:rPr>
          <w:rFonts w:ascii="仿宋_GB2312" w:hAnsi="仿宋"/>
          <w:szCs w:val="32"/>
        </w:rPr>
      </w:pPr>
      <w:r>
        <w:rPr>
          <w:rFonts w:hint="eastAsia" w:ascii="仿宋_GB2312" w:hAnsi="仿宋"/>
          <w:szCs w:val="32"/>
        </w:rPr>
        <w:t>建立规范化管理督查考核工作机制。成立分管</w:t>
      </w:r>
      <w:r>
        <w:rPr>
          <w:rFonts w:hint="eastAsia" w:ascii="仿宋_GB2312" w:hAnsi="仿宋"/>
          <w:szCs w:val="32"/>
          <w:lang w:eastAsia="zh-CN"/>
        </w:rPr>
        <w:t>局</w:t>
      </w:r>
      <w:r>
        <w:rPr>
          <w:rFonts w:hint="eastAsia" w:ascii="仿宋_GB2312" w:hAnsi="仿宋"/>
          <w:szCs w:val="32"/>
        </w:rPr>
        <w:t>领导任组长，固废</w:t>
      </w:r>
      <w:r>
        <w:rPr>
          <w:rFonts w:hint="eastAsia" w:ascii="仿宋_GB2312" w:hAnsi="仿宋"/>
          <w:szCs w:val="32"/>
          <w:lang w:eastAsia="zh-CN"/>
        </w:rPr>
        <w:t>科</w:t>
      </w:r>
      <w:r>
        <w:rPr>
          <w:rFonts w:hint="eastAsia" w:ascii="仿宋_GB2312" w:hAnsi="仿宋"/>
          <w:szCs w:val="32"/>
        </w:rPr>
        <w:t>、</w:t>
      </w:r>
      <w:r>
        <w:rPr>
          <w:rFonts w:hint="eastAsia" w:ascii="仿宋_GB2312" w:hAnsi="仿宋"/>
          <w:szCs w:val="32"/>
          <w:lang w:eastAsia="zh-CN"/>
        </w:rPr>
        <w:t>环境监察支队</w:t>
      </w:r>
      <w:r>
        <w:rPr>
          <w:rFonts w:hint="eastAsia" w:ascii="仿宋_GB2312" w:hAnsi="仿宋"/>
          <w:szCs w:val="32"/>
        </w:rPr>
        <w:t>负责人任副组长、环评</w:t>
      </w:r>
      <w:r>
        <w:rPr>
          <w:rFonts w:hint="eastAsia" w:ascii="仿宋_GB2312" w:hAnsi="仿宋"/>
          <w:szCs w:val="32"/>
          <w:lang w:eastAsia="zh-CN"/>
        </w:rPr>
        <w:t>科</w:t>
      </w:r>
      <w:r>
        <w:rPr>
          <w:rFonts w:hint="eastAsia" w:ascii="仿宋_GB2312" w:hAnsi="仿宋"/>
          <w:szCs w:val="32"/>
        </w:rPr>
        <w:t>、</w:t>
      </w:r>
      <w:r>
        <w:rPr>
          <w:rFonts w:hint="eastAsia" w:ascii="仿宋_GB2312" w:hAnsi="仿宋"/>
          <w:szCs w:val="32"/>
          <w:lang w:eastAsia="zh-CN"/>
        </w:rPr>
        <w:t>自保科</w:t>
      </w:r>
      <w:r>
        <w:rPr>
          <w:rFonts w:hint="eastAsia" w:ascii="仿宋_GB2312" w:hAnsi="仿宋"/>
          <w:szCs w:val="32"/>
        </w:rPr>
        <w:t>、</w:t>
      </w:r>
      <w:r>
        <w:rPr>
          <w:rFonts w:hint="eastAsia" w:ascii="仿宋_GB2312" w:hAnsi="仿宋"/>
          <w:szCs w:val="32"/>
          <w:lang w:eastAsia="zh-CN"/>
        </w:rPr>
        <w:t>管理科、总量科、</w:t>
      </w:r>
      <w:r>
        <w:rPr>
          <w:rFonts w:hint="eastAsia" w:ascii="仿宋_GB2312" w:hAnsi="仿宋"/>
          <w:szCs w:val="32"/>
        </w:rPr>
        <w:t>排污权交易中心为成员的</w:t>
      </w:r>
      <w:r>
        <w:rPr>
          <w:rFonts w:hint="eastAsia" w:ascii="仿宋_GB2312" w:hAnsi="仿宋"/>
          <w:szCs w:val="32"/>
          <w:lang w:eastAsia="zh-CN"/>
        </w:rPr>
        <w:t>益阳市</w:t>
      </w:r>
      <w:r>
        <w:rPr>
          <w:rFonts w:hint="eastAsia" w:ascii="仿宋_GB2312" w:hAnsi="仿宋"/>
          <w:szCs w:val="32"/>
        </w:rPr>
        <w:t>危险废物规范化管理督查考核领导小组，负责全</w:t>
      </w:r>
      <w:r>
        <w:rPr>
          <w:rFonts w:hint="eastAsia" w:ascii="仿宋_GB2312" w:hAnsi="仿宋"/>
          <w:szCs w:val="32"/>
          <w:lang w:eastAsia="zh-CN"/>
        </w:rPr>
        <w:t>市</w:t>
      </w:r>
      <w:r>
        <w:rPr>
          <w:rFonts w:hint="eastAsia" w:ascii="仿宋_GB2312" w:hAnsi="仿宋"/>
          <w:szCs w:val="32"/>
        </w:rPr>
        <w:t>督查考核工作的组织与协调。考核领导小组办公室设</w:t>
      </w:r>
      <w:r>
        <w:rPr>
          <w:rFonts w:hint="eastAsia" w:ascii="仿宋_GB2312" w:hAnsi="仿宋"/>
          <w:szCs w:val="32"/>
          <w:lang w:eastAsia="zh-CN"/>
        </w:rPr>
        <w:t>市局固废科</w:t>
      </w:r>
      <w:r>
        <w:rPr>
          <w:rFonts w:hint="eastAsia" w:ascii="仿宋_GB2312" w:hAnsi="仿宋"/>
          <w:szCs w:val="32"/>
        </w:rPr>
        <w:t>，负责日常工作，固废</w:t>
      </w:r>
      <w:r>
        <w:rPr>
          <w:rFonts w:hint="eastAsia" w:ascii="仿宋_GB2312" w:hAnsi="仿宋"/>
          <w:szCs w:val="32"/>
          <w:lang w:eastAsia="zh-CN"/>
        </w:rPr>
        <w:t>科</w:t>
      </w:r>
      <w:r>
        <w:rPr>
          <w:rFonts w:hint="eastAsia" w:ascii="仿宋_GB2312" w:hAnsi="仿宋"/>
          <w:szCs w:val="32"/>
        </w:rPr>
        <w:t>负责人兼任办公室主任。督查考核小组成员由</w:t>
      </w:r>
      <w:r>
        <w:rPr>
          <w:rFonts w:hint="eastAsia" w:ascii="仿宋_GB2312" w:hAnsi="仿宋"/>
          <w:szCs w:val="32"/>
          <w:lang w:eastAsia="zh-CN"/>
        </w:rPr>
        <w:t>市局</w:t>
      </w:r>
      <w:r>
        <w:rPr>
          <w:rFonts w:hint="eastAsia" w:ascii="仿宋_GB2312" w:hAnsi="仿宋"/>
          <w:szCs w:val="32"/>
        </w:rPr>
        <w:t>固废</w:t>
      </w:r>
      <w:r>
        <w:rPr>
          <w:rFonts w:hint="eastAsia" w:ascii="仿宋_GB2312" w:hAnsi="仿宋"/>
          <w:szCs w:val="32"/>
          <w:lang w:eastAsia="zh-CN"/>
        </w:rPr>
        <w:t>科</w:t>
      </w:r>
      <w:r>
        <w:rPr>
          <w:rFonts w:hint="eastAsia" w:ascii="仿宋_GB2312" w:hAnsi="仿宋"/>
          <w:szCs w:val="32"/>
        </w:rPr>
        <w:t>、</w:t>
      </w:r>
      <w:r>
        <w:rPr>
          <w:rFonts w:hint="eastAsia" w:ascii="仿宋_GB2312" w:hAnsi="仿宋"/>
          <w:szCs w:val="32"/>
          <w:lang w:eastAsia="zh-CN"/>
        </w:rPr>
        <w:t>环境监察支队、</w:t>
      </w:r>
      <w:r>
        <w:rPr>
          <w:rFonts w:hint="eastAsia" w:ascii="仿宋_GB2312" w:hAnsi="仿宋"/>
          <w:szCs w:val="32"/>
        </w:rPr>
        <w:t>环评</w:t>
      </w:r>
      <w:r>
        <w:rPr>
          <w:rFonts w:hint="eastAsia" w:ascii="仿宋_GB2312" w:hAnsi="仿宋"/>
          <w:szCs w:val="32"/>
          <w:lang w:eastAsia="zh-CN"/>
        </w:rPr>
        <w:t>科</w:t>
      </w:r>
      <w:r>
        <w:rPr>
          <w:rFonts w:hint="eastAsia" w:ascii="仿宋_GB2312" w:hAnsi="仿宋"/>
          <w:szCs w:val="32"/>
        </w:rPr>
        <w:t>、</w:t>
      </w:r>
      <w:r>
        <w:rPr>
          <w:rFonts w:hint="eastAsia" w:ascii="仿宋_GB2312" w:hAnsi="仿宋"/>
          <w:szCs w:val="32"/>
          <w:lang w:eastAsia="zh-CN"/>
        </w:rPr>
        <w:t>自保科</w:t>
      </w:r>
      <w:r>
        <w:rPr>
          <w:rFonts w:hint="eastAsia" w:ascii="仿宋_GB2312" w:hAnsi="仿宋"/>
          <w:szCs w:val="32"/>
        </w:rPr>
        <w:t>、</w:t>
      </w:r>
      <w:r>
        <w:rPr>
          <w:rFonts w:hint="eastAsia" w:ascii="仿宋_GB2312" w:hAnsi="仿宋"/>
          <w:szCs w:val="32"/>
          <w:lang w:eastAsia="zh-CN"/>
        </w:rPr>
        <w:t>管理科、总量科、</w:t>
      </w:r>
      <w:r>
        <w:rPr>
          <w:rFonts w:hint="eastAsia" w:ascii="仿宋_GB2312" w:hAnsi="仿宋"/>
          <w:szCs w:val="32"/>
        </w:rPr>
        <w:t>排污权交易中心等相关部门、单位，以及</w:t>
      </w:r>
      <w:r>
        <w:rPr>
          <w:rFonts w:hint="eastAsia" w:ascii="仿宋_GB2312" w:hAnsi="仿宋"/>
          <w:szCs w:val="32"/>
          <w:lang w:eastAsia="zh-CN"/>
        </w:rPr>
        <w:t>各区县（市）</w:t>
      </w:r>
      <w:r>
        <w:rPr>
          <w:rFonts w:hint="eastAsia" w:ascii="仿宋_GB2312" w:hAnsi="仿宋"/>
          <w:szCs w:val="32"/>
        </w:rPr>
        <w:t>推选</w:t>
      </w:r>
      <w:r>
        <w:rPr>
          <w:rFonts w:hint="eastAsia" w:ascii="仿宋_GB2312" w:hAnsi="仿宋"/>
          <w:color w:val="000000"/>
          <w:szCs w:val="32"/>
        </w:rPr>
        <w:t>的</w:t>
      </w:r>
      <w:r>
        <w:rPr>
          <w:rFonts w:hint="eastAsia" w:ascii="仿宋_GB2312" w:hAnsi="仿宋"/>
          <w:szCs w:val="32"/>
        </w:rPr>
        <w:t>环境监察和固废管理人员组成。</w:t>
      </w:r>
    </w:p>
    <w:p>
      <w:pPr>
        <w:spacing w:line="580" w:lineRule="exact"/>
        <w:ind w:firstLine="646"/>
        <w:rPr>
          <w:rFonts w:ascii="黑体" w:hAnsi="黑体" w:eastAsia="黑体"/>
          <w:szCs w:val="32"/>
        </w:rPr>
      </w:pPr>
      <w:r>
        <w:rPr>
          <w:rFonts w:hint="eastAsia" w:ascii="黑体" w:hAnsi="黑体" w:eastAsia="黑体"/>
          <w:szCs w:val="32"/>
        </w:rPr>
        <w:t>六、结果应用</w:t>
      </w:r>
    </w:p>
    <w:p>
      <w:pPr>
        <w:spacing w:line="580" w:lineRule="exact"/>
        <w:ind w:firstLine="646"/>
        <w:rPr>
          <w:rFonts w:ascii="黑体" w:hAnsi="黑体" w:eastAsia="黑体"/>
          <w:szCs w:val="32"/>
        </w:rPr>
      </w:pPr>
      <w:r>
        <w:rPr>
          <w:rFonts w:hint="eastAsia" w:ascii="仿宋_GB2312" w:hAnsi="仿宋"/>
          <w:szCs w:val="32"/>
        </w:rPr>
        <w:t>按照《湖南省2017年危险废物规范化管理专项整改工作方案》（湘环函〔2017〕128号附件）的规定</w:t>
      </w:r>
      <w:r>
        <w:rPr>
          <w:rFonts w:hint="eastAsia" w:ascii="仿宋_GB2312" w:hAnsi="仿宋"/>
          <w:szCs w:val="32"/>
          <w:lang w:eastAsia="zh-CN"/>
        </w:rPr>
        <w:t>和益阳市《污染防治考核办法》规定</w:t>
      </w:r>
      <w:r>
        <w:rPr>
          <w:rFonts w:hint="eastAsia" w:ascii="仿宋_GB2312" w:hAnsi="仿宋"/>
          <w:szCs w:val="32"/>
        </w:rPr>
        <w:t>应用考核结果。此外，对于自评分高于</w:t>
      </w:r>
      <w:r>
        <w:rPr>
          <w:rFonts w:hint="eastAsia" w:ascii="仿宋_GB2312" w:hAnsi="仿宋"/>
          <w:szCs w:val="32"/>
          <w:lang w:eastAsia="zh-CN"/>
        </w:rPr>
        <w:t>市</w:t>
      </w:r>
      <w:r>
        <w:rPr>
          <w:rFonts w:hint="eastAsia" w:ascii="仿宋_GB2312" w:hAnsi="仿宋"/>
          <w:szCs w:val="32"/>
        </w:rPr>
        <w:t>级考核20%、</w:t>
      </w:r>
      <w:r>
        <w:rPr>
          <w:rFonts w:hint="eastAsia" w:ascii="仿宋_GB2312" w:hAnsi="仿宋"/>
          <w:szCs w:val="32"/>
          <w:lang w:eastAsia="zh-CN"/>
        </w:rPr>
        <w:t>市</w:t>
      </w:r>
      <w:r>
        <w:rPr>
          <w:rFonts w:hint="eastAsia" w:ascii="仿宋_GB2312" w:hAnsi="仿宋"/>
          <w:szCs w:val="32"/>
        </w:rPr>
        <w:t>考核评级为C的两种情况一并纳入</w:t>
      </w:r>
      <w:r>
        <w:rPr>
          <w:rFonts w:hint="eastAsia" w:ascii="仿宋_GB2312" w:hAnsi="仿宋"/>
          <w:szCs w:val="32"/>
          <w:lang w:eastAsia="zh-CN"/>
        </w:rPr>
        <w:t>市</w:t>
      </w:r>
      <w:r>
        <w:rPr>
          <w:rFonts w:hint="eastAsia" w:ascii="仿宋_GB2312" w:hAnsi="仿宋"/>
          <w:szCs w:val="32"/>
        </w:rPr>
        <w:t>政府通报内容。</w:t>
      </w:r>
    </w:p>
    <w:p>
      <w:pPr>
        <w:spacing w:line="580" w:lineRule="exact"/>
        <w:ind w:firstLine="646"/>
        <w:rPr>
          <w:rFonts w:ascii="黑体" w:hAnsi="黑体" w:eastAsia="黑体"/>
          <w:szCs w:val="32"/>
        </w:rPr>
      </w:pPr>
      <w:r>
        <w:rPr>
          <w:rFonts w:hint="eastAsia" w:ascii="黑体" w:hAnsi="黑体" w:eastAsia="黑体"/>
          <w:szCs w:val="32"/>
        </w:rPr>
        <w:t>七、其它事项</w:t>
      </w:r>
    </w:p>
    <w:p>
      <w:pPr>
        <w:spacing w:line="580" w:lineRule="exact"/>
        <w:ind w:firstLine="646"/>
        <w:rPr>
          <w:rFonts w:ascii="楷体_GB2312" w:hAnsi="黑体" w:eastAsia="楷体_GB2312"/>
          <w:szCs w:val="32"/>
        </w:rPr>
      </w:pPr>
      <w:r>
        <w:rPr>
          <w:rFonts w:hint="eastAsia" w:ascii="楷体_GB2312" w:hAnsi="黑体" w:eastAsia="楷体_GB2312"/>
          <w:szCs w:val="32"/>
        </w:rPr>
        <w:t>（一）</w:t>
      </w:r>
      <w:r>
        <w:rPr>
          <w:rFonts w:hint="eastAsia" w:ascii="楷体_GB2312" w:hAnsi="黑体" w:eastAsia="楷体_GB2312"/>
          <w:szCs w:val="32"/>
          <w:lang w:eastAsia="zh-CN"/>
        </w:rPr>
        <w:t>协助</w:t>
      </w:r>
      <w:r>
        <w:rPr>
          <w:rFonts w:hint="eastAsia" w:ascii="楷体_GB2312" w:hAnsi="黑体" w:eastAsia="楷体_GB2312"/>
          <w:szCs w:val="32"/>
        </w:rPr>
        <w:t>编制行业管理指南或专项行动计划。</w:t>
      </w:r>
    </w:p>
    <w:p>
      <w:pPr>
        <w:spacing w:line="580" w:lineRule="exact"/>
        <w:ind w:firstLine="645"/>
        <w:rPr>
          <w:rFonts w:ascii="仿宋_GB2312" w:hAnsi="仿宋"/>
          <w:szCs w:val="32"/>
        </w:rPr>
      </w:pPr>
      <w:r>
        <w:rPr>
          <w:rFonts w:hint="eastAsia" w:ascii="仿宋_GB2312" w:hAnsi="仿宋"/>
          <w:szCs w:val="32"/>
        </w:rPr>
        <w:t>省环保厅</w:t>
      </w:r>
      <w:r>
        <w:rPr>
          <w:rFonts w:hint="eastAsia" w:ascii="仿宋_GB2312" w:hAnsi="仿宋"/>
          <w:szCs w:val="32"/>
          <w:lang w:eastAsia="zh-CN"/>
        </w:rPr>
        <w:t>已</w:t>
      </w:r>
      <w:r>
        <w:rPr>
          <w:rFonts w:hint="eastAsia" w:ascii="仿宋_GB2312" w:hAnsi="仿宋"/>
          <w:szCs w:val="32"/>
        </w:rPr>
        <w:t>委托有关技术单位于2018年10月30日前完成制定有色金属回收行业污染防治和废矿物油与含废矿物油废物回收利用过程的污染防治行业危险废物管理指南。相关</w:t>
      </w:r>
      <w:r>
        <w:rPr>
          <w:rFonts w:hint="eastAsia" w:ascii="仿宋_GB2312" w:hAnsi="仿宋"/>
          <w:szCs w:val="32"/>
          <w:lang w:eastAsia="zh-CN"/>
        </w:rPr>
        <w:t>区县（市）</w:t>
      </w:r>
      <w:r>
        <w:rPr>
          <w:rFonts w:hint="eastAsia" w:ascii="仿宋_GB2312" w:hAnsi="仿宋"/>
          <w:szCs w:val="32"/>
        </w:rPr>
        <w:t>环保部门给予支持与配合，按要求做好相关工作。</w:t>
      </w:r>
    </w:p>
    <w:p>
      <w:pPr>
        <w:spacing w:line="580" w:lineRule="exact"/>
        <w:ind w:firstLine="646"/>
        <w:rPr>
          <w:rFonts w:ascii="楷体_GB2312" w:hAnsi="黑体" w:eastAsia="楷体_GB2312"/>
          <w:szCs w:val="32"/>
        </w:rPr>
      </w:pPr>
      <w:r>
        <w:rPr>
          <w:rFonts w:hint="eastAsia" w:ascii="楷体_GB2312" w:hAnsi="黑体" w:eastAsia="楷体_GB2312"/>
          <w:szCs w:val="32"/>
        </w:rPr>
        <w:t>（二）建立涉危险废物案件和问题清单销号制度。</w:t>
      </w:r>
    </w:p>
    <w:p>
      <w:pPr>
        <w:spacing w:line="580" w:lineRule="exact"/>
        <w:ind w:firstLine="645"/>
        <w:rPr>
          <w:rFonts w:ascii="仿宋_GB2312" w:hAnsi="仿宋"/>
          <w:szCs w:val="32"/>
        </w:rPr>
      </w:pPr>
      <w:r>
        <w:rPr>
          <w:rFonts w:hint="eastAsia" w:ascii="仿宋_GB2312" w:hAnsi="仿宋"/>
          <w:szCs w:val="32"/>
        </w:rPr>
        <w:t>省环保厅将对督查考核过程中发现的各类问题建立台账，作为危险废物经营许可证发放、环境影响评价、环境执法、企业环境信</w:t>
      </w:r>
      <w:r>
        <w:rPr>
          <w:rFonts w:hint="eastAsia" w:ascii="仿宋_GB2312" w:hAnsi="仿宋"/>
          <w:szCs w:val="32"/>
          <w:lang w:eastAsia="zh-CN"/>
        </w:rPr>
        <w:t>用</w:t>
      </w:r>
      <w:r>
        <w:rPr>
          <w:rFonts w:hint="eastAsia" w:ascii="仿宋_GB2312" w:hAnsi="仿宋"/>
          <w:szCs w:val="32"/>
        </w:rPr>
        <w:t>评价等环保许可、执法和监管的关注重点，跟踪督办，确保问题整改到位。对重点案件和问题单位，将委托第三方社会服务机构开展专项审核审计，逐步实现危险废物管理的定性精准化、定量精细化。</w:t>
      </w:r>
      <w:r>
        <w:rPr>
          <w:rFonts w:hint="eastAsia" w:ascii="仿宋_GB2312" w:hAnsi="仿宋"/>
          <w:szCs w:val="32"/>
          <w:lang w:eastAsia="zh-CN"/>
        </w:rPr>
        <w:t>区</w:t>
      </w:r>
      <w:r>
        <w:rPr>
          <w:rFonts w:hint="eastAsia" w:ascii="仿宋_GB2312" w:hAnsi="仿宋"/>
          <w:szCs w:val="32"/>
        </w:rPr>
        <w:t>县</w:t>
      </w:r>
      <w:r>
        <w:rPr>
          <w:rFonts w:hint="eastAsia" w:ascii="仿宋_GB2312" w:hAnsi="仿宋"/>
          <w:szCs w:val="32"/>
          <w:lang w:eastAsia="zh-CN"/>
        </w:rPr>
        <w:t>（市）</w:t>
      </w:r>
      <w:r>
        <w:rPr>
          <w:rFonts w:hint="eastAsia" w:ascii="仿宋_GB2312" w:hAnsi="仿宋"/>
          <w:szCs w:val="32"/>
        </w:rPr>
        <w:t>环保部门要对督查考核过程中发现的各类问题建立清单，制定整改方案，规定整改期限，明确整改责任人，解决一个销号一个。</w:t>
      </w:r>
    </w:p>
    <w:p>
      <w:pPr>
        <w:spacing w:line="580" w:lineRule="exact"/>
        <w:ind w:firstLine="645"/>
        <w:rPr>
          <w:rFonts w:hint="eastAsia" w:ascii="仿宋_GB2312" w:hAnsi="仿宋" w:eastAsia="仿宋_GB2312"/>
          <w:szCs w:val="32"/>
          <w:lang w:eastAsia="zh-CN"/>
        </w:rPr>
      </w:pPr>
      <w:r>
        <w:rPr>
          <w:rFonts w:hint="eastAsia" w:ascii="楷体_GB2312" w:hAnsi="黑体" w:eastAsia="楷体_GB2312"/>
          <w:szCs w:val="32"/>
        </w:rPr>
        <w:t>（三）组织开展有关业务培训。</w:t>
      </w:r>
      <w:r>
        <w:rPr>
          <w:rFonts w:hint="eastAsia" w:ascii="仿宋_GB2312" w:hAnsi="仿宋"/>
          <w:szCs w:val="32"/>
        </w:rPr>
        <w:t>按照国家《考核方案》技术培训要求，对市</w:t>
      </w:r>
      <w:r>
        <w:rPr>
          <w:rFonts w:hint="eastAsia" w:ascii="仿宋_GB2312" w:hAnsi="仿宋"/>
          <w:szCs w:val="32"/>
          <w:lang w:eastAsia="zh-CN"/>
        </w:rPr>
        <w:t>区</w:t>
      </w:r>
      <w:r>
        <w:rPr>
          <w:rFonts w:hint="eastAsia" w:ascii="仿宋_GB2312" w:hAnsi="仿宋"/>
          <w:szCs w:val="32"/>
        </w:rPr>
        <w:t>两级从事固废管理、环境监察、环境影响评价的部分干部开展固体废物管理业务培训，按照2018年接受培训的人员数量本年度不低于在编人员30%的要求对未参加培训人员开展培训。市</w:t>
      </w:r>
      <w:r>
        <w:rPr>
          <w:rFonts w:hint="eastAsia" w:ascii="仿宋_GB2312" w:hAnsi="仿宋"/>
          <w:szCs w:val="32"/>
          <w:lang w:eastAsia="zh-CN"/>
        </w:rPr>
        <w:t>环保局将</w:t>
      </w:r>
      <w:r>
        <w:rPr>
          <w:rFonts w:hint="eastAsia" w:ascii="仿宋_GB2312" w:hAnsi="仿宋"/>
          <w:szCs w:val="32"/>
        </w:rPr>
        <w:t>组织对未参加省环保厅培训的其他固废管理、环境监察、环境影响评价工作人员以及涉危险废物单位环保专干开展规范化管理培训。</w:t>
      </w:r>
      <w:r>
        <w:rPr>
          <w:rFonts w:hint="eastAsia" w:ascii="仿宋_GB2312" w:hAnsi="仿宋"/>
          <w:szCs w:val="32"/>
          <w:lang w:eastAsia="zh-CN"/>
        </w:rPr>
        <w:t>各区县（市）应根据要求自行组织开展相关业务培训。</w:t>
      </w:r>
    </w:p>
    <w:p>
      <w:pPr>
        <w:spacing w:line="580" w:lineRule="exact"/>
        <w:ind w:firstLine="645"/>
        <w:rPr>
          <w:rFonts w:ascii="仿宋_GB2312" w:hAnsi="仿宋"/>
          <w:dstrike/>
          <w:color w:val="000000"/>
          <w:szCs w:val="32"/>
        </w:rPr>
      </w:pPr>
      <w:r>
        <w:rPr>
          <w:rFonts w:hint="eastAsia" w:ascii="楷体_GB2312" w:hAnsi="黑体" w:eastAsia="楷体_GB2312"/>
          <w:szCs w:val="32"/>
        </w:rPr>
        <w:t>（四）全面推进信息系统应用。</w:t>
      </w:r>
      <w:r>
        <w:rPr>
          <w:rFonts w:hint="eastAsia" w:ascii="仿宋_GB2312" w:hAnsi="仿宋"/>
          <w:szCs w:val="32"/>
        </w:rPr>
        <w:t>按照环保部《关于全面开展全国固体废物管理系统应用工作的通知》（环办土壤函〔2017〕231号）要求，通过信息系统按时报送2017年度危险废物产生源，按要求及时报送经营许可证年度经营情况。继续</w:t>
      </w:r>
      <w:r>
        <w:rPr>
          <w:rFonts w:hint="eastAsia" w:ascii="仿宋_GB2312" w:hAnsi="仿宋"/>
          <w:color w:val="000000"/>
          <w:szCs w:val="32"/>
        </w:rPr>
        <w:t>做好使用信息系统进行危险废物转移监管试点工作，全面推行危险废物转移电子联单管理，并按时将年度信息系统使用情况报告</w:t>
      </w:r>
      <w:r>
        <w:rPr>
          <w:rFonts w:hint="eastAsia" w:ascii="仿宋_GB2312" w:hAnsi="仿宋"/>
          <w:color w:val="000000"/>
          <w:szCs w:val="32"/>
          <w:lang w:eastAsia="zh-CN"/>
        </w:rPr>
        <w:t>市环保局</w:t>
      </w:r>
      <w:r>
        <w:rPr>
          <w:rFonts w:hint="eastAsia" w:ascii="仿宋_GB2312" w:hAnsi="仿宋"/>
          <w:color w:val="000000"/>
          <w:szCs w:val="32"/>
        </w:rPr>
        <w:t>。</w:t>
      </w:r>
    </w:p>
    <w:p>
      <w:pPr>
        <w:spacing w:line="580" w:lineRule="exact"/>
        <w:ind w:firstLine="645"/>
        <w:rPr>
          <w:rFonts w:ascii="仿宋_GB2312" w:hAnsi="仿宋"/>
          <w:szCs w:val="32"/>
        </w:rPr>
      </w:pPr>
      <w:r>
        <w:rPr>
          <w:rFonts w:hint="eastAsia" w:ascii="楷体_GB2312" w:hAnsi="黑体" w:eastAsia="楷体_GB2312"/>
          <w:szCs w:val="32"/>
        </w:rPr>
        <w:t>（五）持续推动危险废物环境无害化处置。</w:t>
      </w:r>
      <w:r>
        <w:rPr>
          <w:rFonts w:hint="eastAsia" w:ascii="仿宋_GB2312" w:hAnsi="仿宋"/>
          <w:color w:val="000000"/>
          <w:szCs w:val="32"/>
        </w:rPr>
        <w:t>按照《“十三五”全省重点固体废物环境管理规划》对危险废物处置设施布局要求，强化超期贮存的危险废物和新产生危险废物的无害化处置。各</w:t>
      </w:r>
      <w:r>
        <w:rPr>
          <w:rFonts w:hint="eastAsia" w:ascii="仿宋_GB2312" w:hAnsi="仿宋"/>
          <w:color w:val="000000"/>
          <w:szCs w:val="32"/>
          <w:lang w:eastAsia="zh-CN"/>
        </w:rPr>
        <w:t>区县（</w:t>
      </w:r>
      <w:r>
        <w:rPr>
          <w:rFonts w:hint="eastAsia" w:ascii="仿宋_GB2312" w:hAnsi="仿宋"/>
          <w:color w:val="000000"/>
          <w:szCs w:val="32"/>
        </w:rPr>
        <w:t>市</w:t>
      </w:r>
      <w:r>
        <w:rPr>
          <w:rFonts w:hint="eastAsia" w:ascii="仿宋_GB2312" w:hAnsi="仿宋"/>
          <w:color w:val="000000"/>
          <w:szCs w:val="32"/>
          <w:lang w:eastAsia="zh-CN"/>
        </w:rPr>
        <w:t>）</w:t>
      </w:r>
      <w:r>
        <w:rPr>
          <w:rFonts w:hint="eastAsia" w:ascii="仿宋_GB2312" w:hAnsi="仿宋"/>
          <w:color w:val="000000"/>
          <w:szCs w:val="32"/>
        </w:rPr>
        <w:t>要按照中央环保督查和规划要</w:t>
      </w:r>
      <w:r>
        <w:rPr>
          <w:rFonts w:hint="eastAsia" w:ascii="仿宋_GB2312" w:hAnsi="仿宋"/>
          <w:szCs w:val="32"/>
        </w:rPr>
        <w:t>求的进度安排认真组织落实，并将</w:t>
      </w:r>
      <w:r>
        <w:rPr>
          <w:rFonts w:hint="eastAsia" w:ascii="仿宋_GB2312" w:hAnsi="仿宋"/>
          <w:color w:val="000000"/>
          <w:szCs w:val="32"/>
        </w:rPr>
        <w:t>超期贮存的危险废物处置</w:t>
      </w:r>
      <w:r>
        <w:rPr>
          <w:rFonts w:hint="eastAsia" w:ascii="仿宋_GB2312" w:hAnsi="仿宋"/>
          <w:szCs w:val="32"/>
        </w:rPr>
        <w:t>落实情况纳入督查考核。</w:t>
      </w:r>
    </w:p>
    <w:p>
      <w:pPr>
        <w:spacing w:line="580" w:lineRule="exact"/>
        <w:ind w:firstLine="645"/>
        <w:rPr>
          <w:rFonts w:ascii="仿宋_GB2312" w:hAnsi="仿宋"/>
          <w:szCs w:val="32"/>
        </w:rPr>
      </w:pPr>
      <w:r>
        <w:rPr>
          <w:rFonts w:hint="eastAsia" w:ascii="楷体_GB2312" w:hAnsi="黑体" w:eastAsia="楷体_GB2312"/>
          <w:szCs w:val="32"/>
        </w:rPr>
        <w:t>（六）进一步规范发放危险废物经营许可证。</w:t>
      </w:r>
      <w:r>
        <w:rPr>
          <w:rFonts w:hint="eastAsia" w:ascii="仿宋" w:hAnsi="仿宋" w:eastAsia="仿宋" w:cs="仿宋"/>
          <w:szCs w:val="32"/>
          <w:lang w:eastAsia="zh-CN"/>
        </w:rPr>
        <w:t>根据省厅《关于危险废物收集许可证审批有关事项的通知》（湘环函〔2018〕177 号），市环保局</w:t>
      </w:r>
      <w:r>
        <w:rPr>
          <w:rFonts w:hint="eastAsia" w:ascii="仿宋" w:hAnsi="仿宋" w:eastAsia="仿宋" w:cs="仿宋"/>
          <w:szCs w:val="32"/>
        </w:rPr>
        <w:t>将严格依法依规核发危险废物</w:t>
      </w:r>
      <w:r>
        <w:rPr>
          <w:rFonts w:hint="eastAsia" w:ascii="仿宋" w:hAnsi="仿宋" w:eastAsia="仿宋" w:cs="仿宋"/>
          <w:szCs w:val="32"/>
          <w:lang w:eastAsia="zh-CN"/>
        </w:rPr>
        <w:t>收集</w:t>
      </w:r>
      <w:r>
        <w:rPr>
          <w:rFonts w:hint="eastAsia" w:ascii="仿宋" w:hAnsi="仿宋" w:eastAsia="仿宋" w:cs="仿宋"/>
          <w:szCs w:val="32"/>
        </w:rPr>
        <w:t>许可证，各</w:t>
      </w:r>
      <w:r>
        <w:rPr>
          <w:rFonts w:hint="eastAsia" w:ascii="仿宋" w:hAnsi="仿宋" w:eastAsia="仿宋" w:cs="仿宋"/>
          <w:szCs w:val="32"/>
          <w:lang w:eastAsia="zh-CN"/>
        </w:rPr>
        <w:t>区县（市）</w:t>
      </w:r>
      <w:r>
        <w:rPr>
          <w:rFonts w:hint="eastAsia" w:ascii="仿宋" w:hAnsi="仿宋" w:eastAsia="仿宋" w:cs="仿宋"/>
          <w:szCs w:val="32"/>
        </w:rPr>
        <w:t>环保局对</w:t>
      </w:r>
      <w:r>
        <w:rPr>
          <w:rFonts w:hint="eastAsia" w:ascii="仿宋" w:hAnsi="仿宋" w:eastAsia="仿宋" w:cs="仿宋"/>
          <w:szCs w:val="32"/>
          <w:lang w:eastAsia="zh-CN"/>
        </w:rPr>
        <w:t>收集</w:t>
      </w:r>
      <w:r>
        <w:rPr>
          <w:rFonts w:hint="eastAsia" w:ascii="仿宋" w:hAnsi="仿宋" w:eastAsia="仿宋" w:cs="仿宋"/>
          <w:szCs w:val="32"/>
        </w:rPr>
        <w:t>单位申请核发</w:t>
      </w:r>
      <w:r>
        <w:rPr>
          <w:rFonts w:hint="eastAsia" w:ascii="仿宋" w:hAnsi="仿宋" w:eastAsia="仿宋" w:cs="仿宋"/>
          <w:szCs w:val="32"/>
          <w:lang w:eastAsia="zh-CN"/>
        </w:rPr>
        <w:t>收集</w:t>
      </w:r>
      <w:r>
        <w:rPr>
          <w:rFonts w:hint="eastAsia" w:ascii="仿宋" w:hAnsi="仿宋" w:eastAsia="仿宋" w:cs="仿宋"/>
          <w:szCs w:val="32"/>
        </w:rPr>
        <w:t>许可证的审查意见中必须提出是否具备核发条件、核发的种类（小代码级）和数量等建议，以及</w:t>
      </w:r>
      <w:r>
        <w:rPr>
          <w:rFonts w:hint="eastAsia" w:ascii="仿宋_GB2312" w:hAnsi="仿宋"/>
          <w:szCs w:val="32"/>
        </w:rPr>
        <w:t>其它需要说明的事项。</w:t>
      </w:r>
    </w:p>
    <w:p>
      <w:pPr>
        <w:spacing w:line="580" w:lineRule="exact"/>
        <w:jc w:val="both"/>
        <w:rPr>
          <w:rFonts w:hint="eastAsia" w:ascii="仿宋_GB2312" w:hAnsi="仿宋"/>
          <w:color w:val="000000"/>
          <w:szCs w:val="32"/>
        </w:rPr>
      </w:pPr>
    </w:p>
    <w:p>
      <w:pPr>
        <w:spacing w:line="580" w:lineRule="exact"/>
        <w:jc w:val="both"/>
        <w:rPr>
          <w:rFonts w:hint="eastAsia" w:ascii="仿宋" w:hAnsi="仿宋" w:eastAsia="仿宋" w:cs="仿宋"/>
          <w:szCs w:val="32"/>
          <w:shd w:val="clear" w:color="auto" w:fill="auto"/>
          <w:lang w:eastAsia="zh-CN"/>
        </w:rPr>
      </w:pPr>
      <w:r>
        <w:rPr>
          <w:rFonts w:hint="eastAsia" w:ascii="仿宋_GB2312" w:hAnsi="仿宋"/>
          <w:color w:val="000000"/>
          <w:szCs w:val="32"/>
        </w:rPr>
        <w:t>附</w:t>
      </w:r>
      <w:r>
        <w:rPr>
          <w:rFonts w:hint="eastAsia" w:ascii="仿宋" w:hAnsi="仿宋" w:eastAsia="仿宋" w:cs="仿宋"/>
          <w:color w:val="000000"/>
          <w:sz w:val="32"/>
          <w:szCs w:val="32"/>
          <w:lang w:val="en-US" w:eastAsia="zh-CN"/>
        </w:rPr>
        <w:t>1.</w:t>
      </w:r>
      <w:r>
        <w:rPr>
          <w:rFonts w:hint="eastAsia" w:ascii="仿宋" w:hAnsi="仿宋" w:eastAsia="仿宋" w:cs="仿宋"/>
          <w:szCs w:val="32"/>
          <w:shd w:val="clear" w:color="auto" w:fill="auto"/>
          <w:lang w:eastAsia="zh-CN"/>
        </w:rPr>
        <w:t>益阳市201</w:t>
      </w:r>
      <w:r>
        <w:rPr>
          <w:rFonts w:hint="eastAsia" w:ascii="仿宋" w:hAnsi="仿宋" w:eastAsia="仿宋" w:cs="仿宋"/>
          <w:szCs w:val="32"/>
          <w:shd w:val="clear" w:color="auto" w:fill="auto"/>
          <w:lang w:val="en-US" w:eastAsia="zh-CN"/>
        </w:rPr>
        <w:t>8</w:t>
      </w:r>
      <w:r>
        <w:rPr>
          <w:rFonts w:hint="eastAsia" w:ascii="仿宋" w:hAnsi="仿宋" w:eastAsia="仿宋" w:cs="仿宋"/>
          <w:szCs w:val="32"/>
          <w:shd w:val="clear" w:color="auto" w:fill="auto"/>
          <w:lang w:eastAsia="zh-CN"/>
        </w:rPr>
        <w:t>年危险废物规范化管理督查考核工作领</w:t>
      </w:r>
      <w:r>
        <w:rPr>
          <w:rFonts w:hint="eastAsia" w:ascii="仿宋" w:hAnsi="仿宋" w:eastAsia="仿宋" w:cs="仿宋"/>
          <w:szCs w:val="32"/>
          <w:shd w:val="clear" w:color="auto" w:fill="auto"/>
          <w:lang w:val="en-US" w:eastAsia="zh-CN"/>
        </w:rPr>
        <w:t xml:space="preserve"> </w:t>
      </w:r>
      <w:r>
        <w:rPr>
          <w:rFonts w:hint="eastAsia" w:ascii="仿宋" w:hAnsi="仿宋" w:eastAsia="仿宋" w:cs="仿宋"/>
          <w:szCs w:val="32"/>
          <w:shd w:val="clear" w:color="auto" w:fill="auto"/>
          <w:lang w:eastAsia="zh-CN"/>
        </w:rPr>
        <w:t>导小组成员名单</w:t>
      </w:r>
    </w:p>
    <w:p>
      <w:pPr>
        <w:spacing w:line="580" w:lineRule="exact"/>
        <w:ind w:firstLine="318" w:firstLineChars="100"/>
        <w:rPr>
          <w:rFonts w:hint="eastAsia" w:ascii="仿宋" w:hAnsi="仿宋" w:eastAsia="仿宋" w:cs="仿宋"/>
          <w:szCs w:val="32"/>
          <w:lang w:eastAsia="zh-CN"/>
        </w:rPr>
      </w:pPr>
      <w:r>
        <w:rPr>
          <w:rFonts w:hint="eastAsia" w:ascii="仿宋" w:hAnsi="仿宋" w:eastAsia="仿宋" w:cs="仿宋"/>
          <w:szCs w:val="32"/>
          <w:lang w:val="en-US" w:eastAsia="zh-CN"/>
        </w:rPr>
        <w:t>2</w:t>
      </w:r>
      <w:r>
        <w:rPr>
          <w:rFonts w:hint="eastAsia" w:ascii="仿宋" w:hAnsi="仿宋" w:eastAsia="仿宋" w:cs="仿宋"/>
          <w:szCs w:val="32"/>
          <w:lang w:eastAsia="zh-CN"/>
        </w:rPr>
        <w:t>.区县（市）危险废物规范化管理督查考核工作评级指标</w:t>
      </w:r>
    </w:p>
    <w:p>
      <w:pPr>
        <w:spacing w:line="580" w:lineRule="exact"/>
        <w:ind w:firstLine="318" w:firstLineChars="100"/>
        <w:rPr>
          <w:rFonts w:hint="eastAsia" w:ascii="仿宋" w:hAnsi="仿宋" w:eastAsia="仿宋" w:cs="仿宋"/>
          <w:szCs w:val="32"/>
          <w:lang w:eastAsia="zh-CN"/>
        </w:rPr>
      </w:pPr>
      <w:r>
        <w:rPr>
          <w:rFonts w:hint="eastAsia" w:ascii="仿宋" w:hAnsi="仿宋" w:eastAsia="仿宋" w:cs="仿宋"/>
          <w:szCs w:val="32"/>
          <w:lang w:val="en-US" w:eastAsia="zh-CN"/>
        </w:rPr>
        <w:t>3</w:t>
      </w:r>
      <w:r>
        <w:rPr>
          <w:rFonts w:hint="eastAsia" w:ascii="仿宋" w:hAnsi="仿宋" w:eastAsia="仿宋" w:cs="仿宋"/>
          <w:szCs w:val="32"/>
          <w:lang w:eastAsia="zh-CN"/>
        </w:rPr>
        <w:t>.被抽查单位基本情况记录汇总表</w:t>
      </w:r>
    </w:p>
    <w:p>
      <w:pPr>
        <w:spacing w:line="580" w:lineRule="exact"/>
        <w:ind w:firstLine="318" w:firstLineChars="100"/>
        <w:rPr>
          <w:rFonts w:hint="eastAsia" w:ascii="仿宋" w:hAnsi="仿宋" w:eastAsia="仿宋" w:cs="仿宋"/>
          <w:szCs w:val="32"/>
          <w:lang w:eastAsia="zh-CN"/>
        </w:rPr>
      </w:pPr>
      <w:r>
        <w:rPr>
          <w:rFonts w:hint="eastAsia" w:ascii="仿宋" w:hAnsi="仿宋" w:eastAsia="仿宋" w:cs="仿宋"/>
          <w:szCs w:val="32"/>
          <w:lang w:val="en-US" w:eastAsia="zh-CN"/>
        </w:rPr>
        <w:t>4</w:t>
      </w:r>
      <w:r>
        <w:rPr>
          <w:rFonts w:hint="eastAsia" w:ascii="仿宋" w:hAnsi="仿宋" w:eastAsia="仿宋" w:cs="仿宋"/>
          <w:szCs w:val="32"/>
          <w:lang w:eastAsia="zh-CN"/>
        </w:rPr>
        <w:t>.区县（市）危险废物规范化管理督查考核年度工作总结要求</w:t>
      </w:r>
    </w:p>
    <w:p>
      <w:pPr>
        <w:topLinePunct/>
        <w:adjustRightInd w:val="0"/>
        <w:snapToGrid w:val="0"/>
        <w:spacing w:line="362" w:lineRule="auto"/>
        <w:jc w:val="left"/>
        <w:rPr>
          <w:rFonts w:ascii="仿宋" w:hAnsi="仿宋" w:eastAsia="仿宋"/>
          <w:szCs w:val="32"/>
        </w:rPr>
      </w:pPr>
    </w:p>
    <w:p>
      <w:pPr>
        <w:pStyle w:val="4"/>
        <w:shd w:val="clear" w:color="auto" w:fill="FFFFFF"/>
        <w:spacing w:before="0" w:beforeAutospacing="0" w:after="0" w:afterAutospacing="0" w:line="598" w:lineRule="atLeast"/>
        <w:rPr>
          <w:rFonts w:hint="eastAsia" w:ascii="黑体" w:hAnsi="黑体" w:eastAsia="黑体" w:cs="黑体"/>
          <w:b w:val="0"/>
          <w:bCs/>
          <w:sz w:val="32"/>
          <w:szCs w:val="32"/>
        </w:rPr>
      </w:pPr>
      <w:r>
        <w:rPr>
          <w:rFonts w:hint="eastAsia" w:ascii="黑体" w:hAnsi="黑体" w:eastAsia="黑体" w:cs="黑体"/>
          <w:b w:val="0"/>
          <w:bCs/>
          <w:sz w:val="32"/>
          <w:szCs w:val="32"/>
        </w:rPr>
        <w:t>附件1：</w:t>
      </w:r>
    </w:p>
    <w:p>
      <w:pPr>
        <w:pStyle w:val="4"/>
        <w:shd w:val="clear" w:color="auto" w:fill="FFFFFF"/>
        <w:spacing w:before="0" w:beforeAutospacing="0" w:after="0" w:afterAutospacing="0" w:line="598" w:lineRule="atLeast"/>
        <w:rPr>
          <w:rFonts w:ascii="仿宋" w:hAnsi="仿宋" w:eastAsia="仿宋"/>
          <w:sz w:val="32"/>
          <w:szCs w:val="32"/>
        </w:rPr>
      </w:pPr>
    </w:p>
    <w:p>
      <w:pPr>
        <w:spacing w:line="700" w:lineRule="exact"/>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益阳市201</w:t>
      </w:r>
      <w:r>
        <w:rPr>
          <w:rFonts w:hint="eastAsia" w:cs="宋体" w:asciiTheme="majorEastAsia" w:hAnsiTheme="majorEastAsia" w:eastAsiaTheme="majorEastAsia"/>
          <w:b/>
          <w:kern w:val="0"/>
          <w:sz w:val="44"/>
          <w:szCs w:val="44"/>
          <w:lang w:val="en-US" w:eastAsia="zh-CN"/>
        </w:rPr>
        <w:t>8</w:t>
      </w:r>
      <w:r>
        <w:rPr>
          <w:rFonts w:hint="eastAsia" w:cs="宋体" w:asciiTheme="majorEastAsia" w:hAnsiTheme="majorEastAsia" w:eastAsiaTheme="majorEastAsia"/>
          <w:b/>
          <w:kern w:val="0"/>
          <w:sz w:val="44"/>
          <w:szCs w:val="44"/>
        </w:rPr>
        <w:t>年危险废物规范化管理</w:t>
      </w:r>
      <w:r>
        <w:rPr>
          <w:rFonts w:cs="宋体" w:asciiTheme="majorEastAsia" w:hAnsiTheme="majorEastAsia" w:eastAsiaTheme="majorEastAsia"/>
          <w:b/>
          <w:kern w:val="0"/>
          <w:sz w:val="44"/>
          <w:szCs w:val="44"/>
        </w:rPr>
        <w:br w:type="textWrapping"/>
      </w:r>
      <w:r>
        <w:rPr>
          <w:rFonts w:hint="eastAsia" w:cs="宋体" w:asciiTheme="majorEastAsia" w:hAnsiTheme="majorEastAsia" w:eastAsiaTheme="majorEastAsia"/>
          <w:b/>
          <w:kern w:val="0"/>
          <w:sz w:val="44"/>
          <w:szCs w:val="44"/>
          <w:lang w:eastAsia="zh-CN"/>
        </w:rPr>
        <w:t>督查考核工作</w:t>
      </w:r>
      <w:r>
        <w:rPr>
          <w:rFonts w:hint="eastAsia" w:cs="宋体" w:asciiTheme="majorEastAsia" w:hAnsiTheme="majorEastAsia" w:eastAsiaTheme="majorEastAsia"/>
          <w:b/>
          <w:kern w:val="0"/>
          <w:sz w:val="44"/>
          <w:szCs w:val="44"/>
        </w:rPr>
        <w:t>领导小组成员名单</w:t>
      </w:r>
    </w:p>
    <w:p>
      <w:pPr>
        <w:ind w:firstLine="1095" w:firstLineChars="250"/>
        <w:rPr>
          <w:rFonts w:cs="宋体" w:asciiTheme="majorEastAsia" w:hAnsiTheme="majorEastAsia" w:eastAsiaTheme="majorEastAsia"/>
          <w:b/>
          <w:kern w:val="0"/>
          <w:sz w:val="44"/>
          <w:szCs w:val="44"/>
        </w:rPr>
      </w:pPr>
    </w:p>
    <w:p>
      <w:pPr>
        <w:spacing w:line="600" w:lineRule="exact"/>
        <w:ind w:firstLine="636" w:firstLineChars="200"/>
        <w:rPr>
          <w:rFonts w:ascii="仿宋" w:hAnsi="仿宋" w:eastAsia="仿宋" w:cs="宋体"/>
          <w:kern w:val="0"/>
          <w:szCs w:val="32"/>
        </w:rPr>
      </w:pPr>
      <w:r>
        <w:rPr>
          <w:rFonts w:hint="eastAsia" w:ascii="仿宋" w:hAnsi="仿宋" w:eastAsia="仿宋" w:cs="宋体"/>
          <w:kern w:val="0"/>
          <w:szCs w:val="32"/>
        </w:rPr>
        <w:t>组  长：马旭亮  市环保局副局长</w:t>
      </w:r>
    </w:p>
    <w:p>
      <w:pPr>
        <w:spacing w:line="600" w:lineRule="exact"/>
        <w:ind w:firstLine="636" w:firstLineChars="200"/>
        <w:rPr>
          <w:rFonts w:ascii="仿宋" w:hAnsi="仿宋" w:eastAsia="仿宋" w:cs="宋体"/>
          <w:kern w:val="0"/>
          <w:szCs w:val="32"/>
        </w:rPr>
      </w:pPr>
      <w:r>
        <w:rPr>
          <w:rFonts w:hint="eastAsia" w:ascii="仿宋" w:hAnsi="仿宋" w:eastAsia="仿宋" w:cs="宋体"/>
          <w:kern w:val="0"/>
          <w:szCs w:val="32"/>
        </w:rPr>
        <w:t>副组长：李  鹰  市环保局固体废物管理科科长</w:t>
      </w:r>
    </w:p>
    <w:p>
      <w:pPr>
        <w:spacing w:line="600" w:lineRule="exact"/>
        <w:ind w:firstLine="1956" w:firstLineChars="615"/>
        <w:rPr>
          <w:rFonts w:ascii="仿宋" w:hAnsi="仿宋" w:eastAsia="仿宋" w:cs="宋体"/>
          <w:kern w:val="0"/>
          <w:szCs w:val="32"/>
        </w:rPr>
      </w:pPr>
      <w:r>
        <w:rPr>
          <w:rFonts w:hint="eastAsia" w:ascii="仿宋" w:hAnsi="仿宋" w:eastAsia="仿宋" w:cs="宋体"/>
          <w:kern w:val="0"/>
          <w:szCs w:val="32"/>
        </w:rPr>
        <w:t>谢颖清  市环保局环境监察支队支队长</w:t>
      </w:r>
    </w:p>
    <w:p>
      <w:pPr>
        <w:spacing w:line="600" w:lineRule="exact"/>
        <w:ind w:firstLine="636" w:firstLineChars="200"/>
        <w:rPr>
          <w:rFonts w:ascii="仿宋" w:hAnsi="仿宋" w:eastAsia="仿宋" w:cs="宋体"/>
          <w:kern w:val="0"/>
          <w:szCs w:val="32"/>
        </w:rPr>
      </w:pPr>
      <w:r>
        <w:rPr>
          <w:rFonts w:hint="eastAsia" w:ascii="仿宋" w:hAnsi="仿宋" w:eastAsia="仿宋" w:cs="宋体"/>
          <w:kern w:val="0"/>
          <w:szCs w:val="32"/>
        </w:rPr>
        <w:t>成  员：郑伟春  市环保局环境影响评价科科长</w:t>
      </w:r>
    </w:p>
    <w:p>
      <w:pPr>
        <w:spacing w:line="600" w:lineRule="exact"/>
        <w:ind w:firstLine="1908" w:firstLineChars="600"/>
        <w:rPr>
          <w:rFonts w:ascii="仿宋" w:hAnsi="仿宋" w:eastAsia="仿宋" w:cs="宋体"/>
          <w:kern w:val="0"/>
          <w:szCs w:val="32"/>
        </w:rPr>
      </w:pPr>
      <w:r>
        <w:rPr>
          <w:rFonts w:hint="eastAsia" w:ascii="仿宋" w:hAnsi="仿宋" w:eastAsia="仿宋" w:cs="宋体"/>
          <w:kern w:val="0"/>
          <w:szCs w:val="32"/>
        </w:rPr>
        <w:t>朱红亮  市环保局自然保护科科长</w:t>
      </w:r>
    </w:p>
    <w:p>
      <w:pPr>
        <w:spacing w:line="600" w:lineRule="exact"/>
        <w:ind w:firstLine="1956" w:firstLineChars="615"/>
        <w:rPr>
          <w:rFonts w:ascii="仿宋" w:hAnsi="仿宋" w:eastAsia="仿宋" w:cs="宋体"/>
          <w:kern w:val="0"/>
          <w:szCs w:val="32"/>
        </w:rPr>
      </w:pPr>
      <w:r>
        <w:rPr>
          <w:rFonts w:hint="eastAsia" w:ascii="仿宋" w:hAnsi="仿宋" w:eastAsia="仿宋" w:cs="宋体"/>
          <w:kern w:val="0"/>
          <w:szCs w:val="32"/>
          <w:lang w:eastAsia="zh-CN"/>
        </w:rPr>
        <w:t>谭艳萍</w:t>
      </w:r>
      <w:r>
        <w:rPr>
          <w:rFonts w:hint="eastAsia" w:ascii="仿宋" w:hAnsi="仿宋" w:eastAsia="仿宋" w:cs="宋体"/>
          <w:kern w:val="0"/>
          <w:szCs w:val="32"/>
        </w:rPr>
        <w:t xml:space="preserve"> 市环保局污染管理科科长</w:t>
      </w:r>
    </w:p>
    <w:p>
      <w:pPr>
        <w:spacing w:line="600" w:lineRule="exact"/>
        <w:ind w:firstLine="1956" w:firstLineChars="615"/>
        <w:rPr>
          <w:rFonts w:ascii="仿宋" w:hAnsi="仿宋" w:eastAsia="仿宋" w:cs="宋体"/>
          <w:kern w:val="0"/>
          <w:szCs w:val="32"/>
        </w:rPr>
      </w:pPr>
      <w:r>
        <w:rPr>
          <w:rFonts w:hint="eastAsia" w:ascii="仿宋" w:hAnsi="仿宋" w:eastAsia="仿宋" w:cs="宋体"/>
          <w:kern w:val="0"/>
          <w:szCs w:val="32"/>
          <w:lang w:eastAsia="zh-CN"/>
        </w:rPr>
        <w:t>邓学军</w:t>
      </w:r>
      <w:r>
        <w:rPr>
          <w:rFonts w:hint="eastAsia" w:ascii="仿宋" w:hAnsi="仿宋" w:eastAsia="仿宋" w:cs="宋体"/>
          <w:kern w:val="0"/>
          <w:szCs w:val="32"/>
        </w:rPr>
        <w:t xml:space="preserve">  市环保局</w:t>
      </w:r>
      <w:r>
        <w:rPr>
          <w:rFonts w:hint="eastAsia" w:ascii="仿宋" w:hAnsi="仿宋" w:eastAsia="仿宋" w:cs="宋体"/>
          <w:kern w:val="0"/>
          <w:szCs w:val="32"/>
          <w:lang w:eastAsia="zh-CN"/>
        </w:rPr>
        <w:t>总量控制</w:t>
      </w:r>
      <w:r>
        <w:rPr>
          <w:rFonts w:hint="eastAsia" w:ascii="仿宋" w:hAnsi="仿宋" w:eastAsia="仿宋" w:cs="宋体"/>
          <w:kern w:val="0"/>
          <w:szCs w:val="32"/>
        </w:rPr>
        <w:t>科科长</w:t>
      </w:r>
    </w:p>
    <w:p>
      <w:pPr>
        <w:spacing w:line="600" w:lineRule="exact"/>
        <w:ind w:firstLine="1956" w:firstLineChars="615"/>
        <w:rPr>
          <w:rFonts w:hint="eastAsia" w:ascii="仿宋" w:hAnsi="仿宋" w:eastAsia="仿宋" w:cs="宋体"/>
          <w:kern w:val="0"/>
          <w:szCs w:val="32"/>
          <w:lang w:eastAsia="zh-CN"/>
        </w:rPr>
      </w:pPr>
      <w:r>
        <w:rPr>
          <w:rFonts w:hint="eastAsia" w:ascii="仿宋" w:hAnsi="仿宋" w:eastAsia="仿宋" w:cs="宋体"/>
          <w:kern w:val="0"/>
          <w:szCs w:val="32"/>
          <w:lang w:eastAsia="zh-CN"/>
        </w:rPr>
        <w:t>成</w:t>
      </w:r>
      <w:r>
        <w:rPr>
          <w:rFonts w:hint="eastAsia" w:ascii="仿宋" w:hAnsi="仿宋" w:eastAsia="仿宋" w:cs="宋体"/>
          <w:kern w:val="0"/>
          <w:szCs w:val="32"/>
          <w:lang w:val="en-US" w:eastAsia="zh-CN"/>
        </w:rPr>
        <w:t xml:space="preserve">  </w:t>
      </w:r>
      <w:r>
        <w:rPr>
          <w:rFonts w:hint="eastAsia" w:ascii="仿宋" w:hAnsi="仿宋" w:eastAsia="仿宋" w:cs="宋体"/>
          <w:kern w:val="0"/>
          <w:szCs w:val="32"/>
          <w:lang w:eastAsia="zh-CN"/>
        </w:rPr>
        <w:t>华</w:t>
      </w:r>
      <w:r>
        <w:rPr>
          <w:rFonts w:hint="eastAsia" w:ascii="仿宋" w:hAnsi="仿宋" w:eastAsia="仿宋" w:cs="宋体"/>
          <w:kern w:val="0"/>
          <w:szCs w:val="32"/>
        </w:rPr>
        <w:t xml:space="preserve">  市环保局</w:t>
      </w:r>
      <w:r>
        <w:rPr>
          <w:rFonts w:hint="eastAsia" w:ascii="仿宋" w:hAnsi="仿宋" w:eastAsia="仿宋" w:cs="宋体"/>
          <w:kern w:val="0"/>
          <w:szCs w:val="32"/>
          <w:lang w:eastAsia="zh-CN"/>
        </w:rPr>
        <w:t>排污权交易中心主任</w:t>
      </w:r>
    </w:p>
    <w:p>
      <w:pPr>
        <w:spacing w:line="600" w:lineRule="exact"/>
        <w:ind w:firstLine="636" w:firstLineChars="200"/>
        <w:rPr>
          <w:rFonts w:ascii="仿宋" w:hAnsi="仿宋" w:eastAsia="仿宋" w:cs="宋体"/>
          <w:kern w:val="0"/>
          <w:szCs w:val="32"/>
        </w:rPr>
      </w:pPr>
      <w:r>
        <w:rPr>
          <w:rFonts w:hint="eastAsia" w:ascii="仿宋" w:hAnsi="仿宋" w:eastAsia="仿宋" w:cs="宋体"/>
          <w:kern w:val="0"/>
          <w:szCs w:val="32"/>
        </w:rPr>
        <w:t>领导小组办公室设固废科，李鹰同志任办公室主任。</w:t>
      </w:r>
    </w:p>
    <w:p>
      <w:pPr>
        <w:pStyle w:val="4"/>
        <w:shd w:val="clear" w:color="auto" w:fill="FFFFFF"/>
        <w:spacing w:before="0" w:beforeAutospacing="0" w:after="0" w:afterAutospacing="0" w:line="598" w:lineRule="atLeast"/>
        <w:rPr>
          <w:rFonts w:ascii="仿宋" w:hAnsi="仿宋" w:eastAsia="仿宋"/>
          <w:sz w:val="32"/>
          <w:szCs w:val="32"/>
        </w:rPr>
      </w:pPr>
    </w:p>
    <w:p>
      <w:pPr>
        <w:pStyle w:val="4"/>
        <w:shd w:val="clear" w:color="auto" w:fill="FFFFFF"/>
        <w:spacing w:before="0" w:beforeAutospacing="0" w:after="0" w:afterAutospacing="0" w:line="598" w:lineRule="atLeast"/>
        <w:rPr>
          <w:rFonts w:ascii="仿宋" w:hAnsi="仿宋" w:eastAsia="仿宋"/>
          <w:sz w:val="32"/>
          <w:szCs w:val="32"/>
        </w:rPr>
      </w:pPr>
    </w:p>
    <w:p>
      <w:pPr>
        <w:pStyle w:val="4"/>
        <w:shd w:val="clear" w:color="auto" w:fill="FFFFFF"/>
        <w:spacing w:before="0" w:beforeAutospacing="0" w:after="0" w:afterAutospacing="0" w:line="598" w:lineRule="atLeast"/>
        <w:rPr>
          <w:rFonts w:ascii="仿宋" w:hAnsi="仿宋" w:eastAsia="仿宋"/>
          <w:sz w:val="32"/>
          <w:szCs w:val="32"/>
        </w:rPr>
      </w:pPr>
    </w:p>
    <w:p>
      <w:pPr>
        <w:topLinePunct/>
        <w:adjustRightInd w:val="0"/>
        <w:snapToGrid w:val="0"/>
        <w:jc w:val="left"/>
        <w:rPr>
          <w:rFonts w:hint="eastAsia" w:ascii="黑体" w:hAnsi="黑体" w:eastAsia="黑体"/>
          <w:szCs w:val="32"/>
        </w:rPr>
      </w:pPr>
    </w:p>
    <w:p>
      <w:pPr>
        <w:topLinePunct/>
        <w:adjustRightInd w:val="0"/>
        <w:snapToGrid w:val="0"/>
        <w:jc w:val="left"/>
        <w:rPr>
          <w:rFonts w:hint="eastAsia" w:ascii="黑体" w:hAnsi="黑体" w:eastAsia="黑体"/>
          <w:szCs w:val="32"/>
        </w:rPr>
      </w:pPr>
    </w:p>
    <w:p>
      <w:pPr>
        <w:topLinePunct/>
        <w:adjustRightInd w:val="0"/>
        <w:snapToGrid w:val="0"/>
        <w:jc w:val="left"/>
        <w:rPr>
          <w:rFonts w:hint="eastAsia" w:ascii="黑体" w:hAnsi="黑体" w:eastAsia="黑体"/>
          <w:szCs w:val="32"/>
        </w:rPr>
      </w:pPr>
    </w:p>
    <w:p>
      <w:pPr>
        <w:topLinePunct/>
        <w:adjustRightInd w:val="0"/>
        <w:snapToGrid w:val="0"/>
        <w:jc w:val="left"/>
        <w:rPr>
          <w:rFonts w:hint="eastAsia" w:ascii="黑体" w:hAnsi="黑体" w:eastAsia="黑体"/>
          <w:szCs w:val="32"/>
        </w:rPr>
      </w:pPr>
    </w:p>
    <w:p>
      <w:pPr>
        <w:topLinePunct/>
        <w:adjustRightInd w:val="0"/>
        <w:snapToGrid w:val="0"/>
        <w:jc w:val="left"/>
        <w:rPr>
          <w:rFonts w:hint="eastAsia" w:ascii="黑体" w:hAnsi="黑体" w:eastAsia="黑体"/>
          <w:szCs w:val="32"/>
        </w:rPr>
      </w:pPr>
    </w:p>
    <w:p>
      <w:pPr>
        <w:topLinePunct/>
        <w:adjustRightInd w:val="0"/>
        <w:snapToGrid w:val="0"/>
        <w:jc w:val="left"/>
        <w:rPr>
          <w:rFonts w:hint="eastAsia" w:ascii="黑体" w:hAnsi="黑体" w:eastAsia="黑体"/>
          <w:szCs w:val="32"/>
        </w:rPr>
      </w:pPr>
    </w:p>
    <w:p>
      <w:pPr>
        <w:topLinePunct/>
        <w:adjustRightInd w:val="0"/>
        <w:snapToGrid w:val="0"/>
        <w:jc w:val="left"/>
        <w:rPr>
          <w:rFonts w:hint="eastAsia" w:ascii="黑体" w:hAnsi="黑体" w:eastAsia="黑体"/>
          <w:szCs w:val="32"/>
        </w:rPr>
      </w:pPr>
    </w:p>
    <w:p>
      <w:pPr>
        <w:topLinePunct/>
        <w:adjustRightInd w:val="0"/>
        <w:snapToGrid w:val="0"/>
        <w:jc w:val="left"/>
        <w:rPr>
          <w:rFonts w:ascii="黑体" w:hAnsi="黑体" w:eastAsia="黑体"/>
          <w:szCs w:val="32"/>
        </w:rPr>
      </w:pPr>
      <w:r>
        <w:rPr>
          <w:rFonts w:hint="eastAsia" w:ascii="黑体" w:hAnsi="黑体" w:eastAsia="黑体"/>
          <w:szCs w:val="32"/>
        </w:rPr>
        <w:t>附</w:t>
      </w:r>
      <w:r>
        <w:rPr>
          <w:rFonts w:hint="eastAsia" w:ascii="黑体" w:hAnsi="黑体" w:eastAsia="黑体"/>
          <w:szCs w:val="32"/>
          <w:lang w:val="en-US" w:eastAsia="zh-CN"/>
        </w:rPr>
        <w:t>2</w:t>
      </w:r>
      <w:r>
        <w:rPr>
          <w:rFonts w:hint="eastAsia" w:ascii="黑体" w:hAnsi="黑体" w:eastAsia="黑体"/>
          <w:szCs w:val="32"/>
        </w:rPr>
        <w:t>：</w:t>
      </w:r>
    </w:p>
    <w:p>
      <w:pPr>
        <w:topLinePunct/>
        <w:adjustRightInd w:val="0"/>
        <w:snapToGrid w:val="0"/>
        <w:jc w:val="left"/>
        <w:rPr>
          <w:rFonts w:ascii="黑体" w:hAnsi="黑体" w:eastAsia="黑体"/>
          <w:szCs w:val="32"/>
        </w:rPr>
      </w:pPr>
    </w:p>
    <w:p>
      <w:pPr>
        <w:topLinePunct/>
        <w:adjustRightInd w:val="0"/>
        <w:snapToGrid w:val="0"/>
        <w:spacing w:line="740" w:lineRule="exact"/>
        <w:jc w:val="center"/>
        <w:rPr>
          <w:rFonts w:ascii="方正小标宋_GBK" w:hAnsi="仿宋" w:eastAsia="方正小标宋_GBK"/>
          <w:spacing w:val="-10"/>
          <w:sz w:val="40"/>
          <w:szCs w:val="40"/>
        </w:rPr>
      </w:pPr>
      <w:r>
        <w:rPr>
          <w:rFonts w:hint="eastAsia" w:ascii="方正小标宋_GBK" w:hAnsi="仿宋" w:eastAsia="方正小标宋_GBK"/>
          <w:spacing w:val="-10"/>
          <w:sz w:val="40"/>
          <w:szCs w:val="40"/>
          <w:lang w:eastAsia="zh-CN"/>
        </w:rPr>
        <w:t>区县（市）</w:t>
      </w:r>
      <w:r>
        <w:rPr>
          <w:rFonts w:hint="eastAsia" w:ascii="方正小标宋_GBK" w:hAnsi="仿宋" w:eastAsia="方正小标宋_GBK"/>
          <w:spacing w:val="-10"/>
          <w:sz w:val="40"/>
          <w:szCs w:val="40"/>
        </w:rPr>
        <w:t>危险废物规范化管理督查考核工作评级指标</w:t>
      </w:r>
    </w:p>
    <w:p>
      <w:pPr>
        <w:topLinePunct/>
        <w:adjustRightInd w:val="0"/>
        <w:snapToGrid w:val="0"/>
        <w:spacing w:line="600" w:lineRule="exact"/>
        <w:jc w:val="left"/>
        <w:rPr>
          <w:rFonts w:ascii="仿宋_GB2312" w:hAnsi="仿宋"/>
          <w:b/>
          <w:szCs w:val="32"/>
        </w:rPr>
      </w:pPr>
    </w:p>
    <w:p>
      <w:pPr>
        <w:topLinePunct/>
        <w:adjustRightInd w:val="0"/>
        <w:snapToGrid w:val="0"/>
        <w:spacing w:line="600" w:lineRule="exact"/>
        <w:ind w:firstLine="636" w:firstLineChars="200"/>
        <w:rPr>
          <w:rFonts w:ascii="仿宋_GB2312" w:hAnsi="仿宋"/>
          <w:color w:val="000000"/>
          <w:szCs w:val="32"/>
        </w:rPr>
      </w:pPr>
      <w:r>
        <w:rPr>
          <w:rFonts w:hint="eastAsia" w:ascii="仿宋_GB2312" w:hAnsi="仿宋"/>
          <w:color w:val="000000"/>
          <w:szCs w:val="32"/>
        </w:rPr>
        <w:t>对各</w:t>
      </w:r>
      <w:r>
        <w:rPr>
          <w:rFonts w:hint="eastAsia" w:ascii="仿宋_GB2312" w:hAnsi="仿宋"/>
          <w:color w:val="000000"/>
          <w:szCs w:val="32"/>
          <w:lang w:eastAsia="zh-CN"/>
        </w:rPr>
        <w:t>区县（市）</w:t>
      </w:r>
      <w:r>
        <w:rPr>
          <w:rFonts w:hint="eastAsia" w:ascii="仿宋_GB2312" w:hAnsi="仿宋"/>
          <w:color w:val="000000"/>
          <w:szCs w:val="32"/>
        </w:rPr>
        <w:t>环保局危险废物规范化管理督查考核工作的组织实施和工作成效等情况进行考评内容主要包括：</w:t>
      </w:r>
    </w:p>
    <w:p>
      <w:pPr>
        <w:topLinePunct/>
        <w:adjustRightInd w:val="0"/>
        <w:snapToGrid w:val="0"/>
        <w:spacing w:line="600" w:lineRule="exact"/>
        <w:ind w:firstLine="636" w:firstLineChars="200"/>
        <w:rPr>
          <w:rFonts w:ascii="仿宋_GB2312" w:hAnsi="仿宋"/>
          <w:color w:val="000000"/>
          <w:szCs w:val="32"/>
        </w:rPr>
      </w:pPr>
      <w:r>
        <w:rPr>
          <w:rFonts w:hint="eastAsia" w:ascii="仿宋_GB2312" w:hAnsi="仿宋"/>
          <w:color w:val="000000"/>
          <w:szCs w:val="32"/>
        </w:rPr>
        <w:t>一、产废单位和经营单位规范化管理抽查合格率情况；</w:t>
      </w:r>
    </w:p>
    <w:p>
      <w:pPr>
        <w:topLinePunct/>
        <w:adjustRightInd w:val="0"/>
        <w:snapToGrid w:val="0"/>
        <w:spacing w:line="600" w:lineRule="exact"/>
        <w:ind w:firstLine="636" w:firstLineChars="200"/>
        <w:rPr>
          <w:rFonts w:ascii="仿宋_GB2312" w:hAnsi="仿宋"/>
          <w:color w:val="000000"/>
          <w:szCs w:val="32"/>
        </w:rPr>
      </w:pPr>
      <w:r>
        <w:rPr>
          <w:rFonts w:hint="eastAsia" w:ascii="仿宋_GB2312" w:hAnsi="仿宋"/>
          <w:color w:val="000000"/>
          <w:szCs w:val="32"/>
        </w:rPr>
        <w:t>二、考核机制建立情况；</w:t>
      </w:r>
    </w:p>
    <w:p>
      <w:pPr>
        <w:topLinePunct/>
        <w:adjustRightInd w:val="0"/>
        <w:snapToGrid w:val="0"/>
        <w:spacing w:line="600" w:lineRule="exact"/>
        <w:ind w:firstLine="636" w:firstLineChars="200"/>
        <w:rPr>
          <w:rFonts w:ascii="仿宋_GB2312" w:hAnsi="仿宋"/>
          <w:color w:val="000000"/>
          <w:szCs w:val="32"/>
        </w:rPr>
      </w:pPr>
      <w:r>
        <w:rPr>
          <w:rFonts w:hint="eastAsia" w:ascii="仿宋_GB2312" w:hAnsi="仿宋"/>
          <w:color w:val="000000"/>
          <w:szCs w:val="32"/>
        </w:rPr>
        <w:t>三、工作组织实施情况；</w:t>
      </w:r>
    </w:p>
    <w:p>
      <w:pPr>
        <w:topLinePunct/>
        <w:adjustRightInd w:val="0"/>
        <w:snapToGrid w:val="0"/>
        <w:spacing w:line="600" w:lineRule="exact"/>
        <w:ind w:firstLine="636" w:firstLineChars="200"/>
        <w:rPr>
          <w:rFonts w:ascii="仿宋_GB2312" w:hAnsi="仿宋"/>
          <w:color w:val="000000"/>
          <w:szCs w:val="32"/>
        </w:rPr>
      </w:pPr>
      <w:r>
        <w:rPr>
          <w:rFonts w:hint="eastAsia" w:ascii="仿宋_GB2312" w:hAnsi="仿宋"/>
          <w:color w:val="000000"/>
          <w:szCs w:val="32"/>
        </w:rPr>
        <w:t>四、监管能力建设情况；</w:t>
      </w:r>
    </w:p>
    <w:p>
      <w:pPr>
        <w:topLinePunct/>
        <w:adjustRightInd w:val="0"/>
        <w:snapToGrid w:val="0"/>
        <w:spacing w:line="600" w:lineRule="exact"/>
        <w:ind w:firstLine="636" w:firstLineChars="200"/>
        <w:rPr>
          <w:rFonts w:ascii="仿宋_GB2312" w:hAnsi="仿宋"/>
          <w:color w:val="000000"/>
          <w:szCs w:val="32"/>
        </w:rPr>
      </w:pPr>
      <w:r>
        <w:rPr>
          <w:rFonts w:hint="eastAsia" w:ascii="仿宋_GB2312" w:hAnsi="仿宋"/>
          <w:color w:val="000000"/>
          <w:szCs w:val="32"/>
        </w:rPr>
        <w:t>五、处置能力保障情况；</w:t>
      </w:r>
    </w:p>
    <w:p>
      <w:pPr>
        <w:topLinePunct/>
        <w:adjustRightInd w:val="0"/>
        <w:snapToGrid w:val="0"/>
        <w:spacing w:line="600" w:lineRule="exact"/>
        <w:ind w:firstLine="636" w:firstLineChars="200"/>
        <w:rPr>
          <w:rFonts w:ascii="仿宋_GB2312" w:hAnsi="仿宋"/>
          <w:color w:val="000000"/>
          <w:szCs w:val="32"/>
        </w:rPr>
      </w:pPr>
      <w:r>
        <w:rPr>
          <w:rFonts w:hint="eastAsia" w:ascii="仿宋_GB2312" w:hAnsi="仿宋"/>
          <w:color w:val="000000"/>
          <w:szCs w:val="32"/>
        </w:rPr>
        <w:t>六、工作总结报送情况；</w:t>
      </w:r>
    </w:p>
    <w:p>
      <w:pPr>
        <w:topLinePunct/>
        <w:adjustRightInd w:val="0"/>
        <w:snapToGrid w:val="0"/>
        <w:spacing w:line="600" w:lineRule="exact"/>
        <w:ind w:firstLine="636" w:firstLineChars="200"/>
        <w:rPr>
          <w:rFonts w:ascii="仿宋_GB2312" w:hAnsi="仿宋"/>
          <w:color w:val="000000"/>
          <w:szCs w:val="32"/>
        </w:rPr>
      </w:pPr>
      <w:r>
        <w:rPr>
          <w:rFonts w:hint="eastAsia" w:ascii="仿宋_GB2312" w:hAnsi="仿宋"/>
          <w:color w:val="000000"/>
          <w:szCs w:val="32"/>
        </w:rPr>
        <w:t>七、违法企业惩罚情况。</w:t>
      </w:r>
    </w:p>
    <w:p>
      <w:pPr>
        <w:topLinePunct/>
        <w:adjustRightInd w:val="0"/>
        <w:snapToGrid w:val="0"/>
        <w:spacing w:line="600" w:lineRule="exact"/>
        <w:ind w:firstLine="636" w:firstLineChars="200"/>
        <w:rPr>
          <w:rFonts w:ascii="仿宋_GB2312" w:hAnsi="仿宋"/>
          <w:color w:val="000000"/>
          <w:szCs w:val="32"/>
        </w:rPr>
      </w:pPr>
      <w:r>
        <w:rPr>
          <w:rFonts w:hint="eastAsia" w:ascii="仿宋_GB2312" w:hAnsi="仿宋"/>
          <w:color w:val="000000"/>
          <w:szCs w:val="32"/>
        </w:rPr>
        <w:t>考评方法详见《</w:t>
      </w:r>
      <w:r>
        <w:rPr>
          <w:rFonts w:hint="eastAsia" w:ascii="仿宋_GB2312" w:hAnsi="仿宋"/>
          <w:color w:val="000000"/>
          <w:szCs w:val="32"/>
          <w:lang w:eastAsia="zh-CN"/>
        </w:rPr>
        <w:t>区县（市）</w:t>
      </w:r>
      <w:r>
        <w:rPr>
          <w:rFonts w:hint="eastAsia" w:ascii="仿宋_GB2312" w:hAnsi="仿宋"/>
          <w:color w:val="000000"/>
          <w:szCs w:val="32"/>
        </w:rPr>
        <w:t>危险废物规范化管理督查考核工作评级指标》。</w:t>
      </w:r>
    </w:p>
    <w:p>
      <w:pPr>
        <w:widowControl/>
        <w:jc w:val="left"/>
        <w:rPr>
          <w:rFonts w:hint="eastAsia" w:ascii="仿宋" w:hAnsi="仿宋" w:eastAsia="仿宋"/>
          <w:b/>
          <w:spacing w:val="-10"/>
          <w:sz w:val="36"/>
          <w:szCs w:val="36"/>
          <w:lang w:eastAsia="zh-CN"/>
        </w:rPr>
        <w:sectPr>
          <w:headerReference r:id="rId3" w:type="default"/>
          <w:footerReference r:id="rId4" w:type="default"/>
          <w:footerReference r:id="rId5" w:type="even"/>
          <w:pgSz w:w="11906" w:h="16838"/>
          <w:pgMar w:top="1701" w:right="1474" w:bottom="1134" w:left="1531" w:header="851" w:footer="964" w:gutter="0"/>
          <w:pgNumType w:fmt="numberInDash" w:start="1"/>
          <w:cols w:space="720" w:num="1"/>
          <w:titlePg/>
          <w:docGrid w:type="linesAndChars" w:linePitch="636" w:charSpace="-432"/>
        </w:sectPr>
      </w:pPr>
      <w:r>
        <w:rPr>
          <w:rFonts w:ascii="仿宋" w:hAnsi="仿宋" w:eastAsia="仿宋"/>
          <w:b/>
          <w:spacing w:val="-10"/>
          <w:sz w:val="36"/>
          <w:szCs w:val="36"/>
        </w:rPr>
        <w:br w:type="page"/>
      </w:r>
    </w:p>
    <w:p>
      <w:pPr>
        <w:topLinePunct/>
        <w:adjustRightInd w:val="0"/>
        <w:snapToGrid w:val="0"/>
        <w:spacing w:line="740" w:lineRule="exact"/>
        <w:jc w:val="center"/>
        <w:rPr>
          <w:rFonts w:ascii="方正小标宋_GBK" w:hAnsi="仿宋" w:eastAsia="方正小标宋_GBK"/>
          <w:spacing w:val="-10"/>
          <w:sz w:val="40"/>
          <w:szCs w:val="40"/>
        </w:rPr>
      </w:pPr>
      <w:r>
        <w:rPr>
          <w:rFonts w:hint="eastAsia" w:ascii="方正小标宋_GBK" w:hAnsi="仿宋" w:eastAsia="方正小标宋_GBK"/>
          <w:spacing w:val="-10"/>
          <w:sz w:val="40"/>
          <w:szCs w:val="40"/>
          <w:lang w:eastAsia="zh-CN"/>
        </w:rPr>
        <w:t>区县（市）</w:t>
      </w:r>
      <w:r>
        <w:rPr>
          <w:rFonts w:hint="eastAsia" w:ascii="方正小标宋_GBK" w:hAnsi="仿宋" w:eastAsia="方正小标宋_GBK"/>
          <w:spacing w:val="-10"/>
          <w:sz w:val="40"/>
          <w:szCs w:val="40"/>
        </w:rPr>
        <w:t>危险废物规范化管理督查考核工作评级指标</w:t>
      </w:r>
    </w:p>
    <w:tbl>
      <w:tblPr>
        <w:tblStyle w:val="6"/>
        <w:tblW w:w="136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
      <w:tblGrid>
        <w:gridCol w:w="1385"/>
        <w:gridCol w:w="1266"/>
        <w:gridCol w:w="775"/>
        <w:gridCol w:w="2353"/>
        <w:gridCol w:w="6662"/>
        <w:gridCol w:w="12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11" w:hRule="atLeast"/>
          <w:tblHeader/>
          <w:jc w:val="center"/>
        </w:trPr>
        <w:tc>
          <w:tcPr>
            <w:tcW w:w="1385" w:type="dxa"/>
            <w:tcBorders>
              <w:top w:val="single" w:color="auto" w:sz="8" w:space="0"/>
              <w:left w:val="single" w:color="auto" w:sz="8" w:space="0"/>
              <w:bottom w:val="single" w:color="auto" w:sz="4" w:space="0"/>
              <w:right w:val="single" w:color="auto" w:sz="4" w:space="0"/>
            </w:tcBorders>
            <w:vAlign w:val="center"/>
          </w:tcPr>
          <w:p>
            <w:pPr>
              <w:snapToGrid w:val="0"/>
              <w:spacing w:line="280" w:lineRule="exact"/>
              <w:jc w:val="center"/>
              <w:rPr>
                <w:rFonts w:ascii="仿宋_GB2312" w:hAnsi="仿宋"/>
                <w:b/>
                <w:sz w:val="24"/>
                <w:szCs w:val="24"/>
              </w:rPr>
            </w:pPr>
            <w:r>
              <w:rPr>
                <w:rFonts w:hint="eastAsia" w:ascii="仿宋_GB2312" w:hAnsi="仿宋"/>
                <w:b/>
                <w:sz w:val="24"/>
                <w:szCs w:val="24"/>
              </w:rPr>
              <w:t>考评项目</w:t>
            </w:r>
          </w:p>
        </w:tc>
        <w:tc>
          <w:tcPr>
            <w:tcW w:w="1266" w:type="dxa"/>
            <w:tcBorders>
              <w:top w:val="single" w:color="auto" w:sz="8"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b/>
                <w:sz w:val="24"/>
                <w:szCs w:val="24"/>
              </w:rPr>
            </w:pPr>
            <w:r>
              <w:rPr>
                <w:rFonts w:hint="eastAsia" w:ascii="仿宋_GB2312" w:hAnsi="仿宋"/>
                <w:b/>
                <w:sz w:val="24"/>
                <w:szCs w:val="24"/>
              </w:rPr>
              <w:t>考评内容</w:t>
            </w:r>
          </w:p>
        </w:tc>
        <w:tc>
          <w:tcPr>
            <w:tcW w:w="775" w:type="dxa"/>
            <w:tcBorders>
              <w:top w:val="single" w:color="auto" w:sz="8"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b/>
                <w:sz w:val="24"/>
                <w:szCs w:val="24"/>
              </w:rPr>
            </w:pPr>
            <w:r>
              <w:rPr>
                <w:rFonts w:hint="eastAsia" w:ascii="仿宋_GB2312" w:hAnsi="仿宋"/>
                <w:b/>
                <w:sz w:val="24"/>
                <w:szCs w:val="24"/>
              </w:rPr>
              <w:t>分值</w:t>
            </w:r>
          </w:p>
        </w:tc>
        <w:tc>
          <w:tcPr>
            <w:tcW w:w="2353" w:type="dxa"/>
            <w:tcBorders>
              <w:top w:val="single" w:color="auto" w:sz="8"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b/>
                <w:sz w:val="24"/>
                <w:szCs w:val="24"/>
              </w:rPr>
            </w:pPr>
            <w:r>
              <w:rPr>
                <w:rFonts w:hint="eastAsia" w:ascii="仿宋_GB2312" w:hAnsi="仿宋"/>
                <w:b/>
                <w:sz w:val="24"/>
                <w:szCs w:val="24"/>
              </w:rPr>
              <w:t>达标标准</w:t>
            </w:r>
          </w:p>
        </w:tc>
        <w:tc>
          <w:tcPr>
            <w:tcW w:w="6662" w:type="dxa"/>
            <w:tcBorders>
              <w:top w:val="single" w:color="auto" w:sz="8"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b/>
                <w:sz w:val="24"/>
                <w:szCs w:val="24"/>
              </w:rPr>
            </w:pPr>
            <w:r>
              <w:rPr>
                <w:rFonts w:hint="eastAsia" w:ascii="仿宋_GB2312" w:hAnsi="仿宋"/>
                <w:b/>
                <w:sz w:val="24"/>
                <w:szCs w:val="24"/>
              </w:rPr>
              <w:t>评分细则</w:t>
            </w:r>
          </w:p>
        </w:tc>
        <w:tc>
          <w:tcPr>
            <w:tcW w:w="1211" w:type="dxa"/>
            <w:tcBorders>
              <w:top w:val="single" w:color="auto" w:sz="8" w:space="0"/>
              <w:left w:val="single" w:color="auto" w:sz="4" w:space="0"/>
              <w:bottom w:val="single" w:color="auto" w:sz="4" w:space="0"/>
              <w:right w:val="single" w:color="auto" w:sz="8" w:space="0"/>
            </w:tcBorders>
            <w:vAlign w:val="center"/>
          </w:tcPr>
          <w:p>
            <w:pPr>
              <w:snapToGrid w:val="0"/>
              <w:spacing w:line="280" w:lineRule="exact"/>
              <w:jc w:val="center"/>
              <w:rPr>
                <w:rFonts w:ascii="仿宋_GB2312" w:hAnsi="仿宋"/>
                <w:b/>
                <w:sz w:val="24"/>
                <w:szCs w:val="24"/>
              </w:rPr>
            </w:pPr>
            <w:r>
              <w:rPr>
                <w:rFonts w:hint="eastAsia" w:ascii="仿宋_GB2312" w:hAnsi="仿宋"/>
                <w:b/>
                <w:sz w:val="24"/>
                <w:szCs w:val="24"/>
              </w:rPr>
              <w:t>检查方法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cantSplit/>
          <w:trHeight w:val="1447" w:hRule="atLeast"/>
          <w:jc w:val="center"/>
        </w:trPr>
        <w:tc>
          <w:tcPr>
            <w:tcW w:w="1385" w:type="dxa"/>
            <w:tcBorders>
              <w:top w:val="single" w:color="auto" w:sz="4" w:space="0"/>
              <w:left w:val="single" w:color="auto" w:sz="8" w:space="0"/>
              <w:bottom w:val="single" w:color="auto" w:sz="8"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抽查</w:t>
            </w:r>
          </w:p>
          <w:p>
            <w:pPr>
              <w:snapToGrid w:val="0"/>
              <w:spacing w:line="280" w:lineRule="exact"/>
              <w:jc w:val="center"/>
              <w:rPr>
                <w:rFonts w:ascii="仿宋_GB2312" w:hAnsi="仿宋"/>
                <w:sz w:val="24"/>
                <w:szCs w:val="24"/>
              </w:rPr>
            </w:pPr>
            <w:r>
              <w:rPr>
                <w:rFonts w:hint="eastAsia" w:ascii="仿宋_GB2312" w:hAnsi="仿宋"/>
                <w:sz w:val="24"/>
                <w:szCs w:val="24"/>
              </w:rPr>
              <w:t>合格率</w:t>
            </w:r>
          </w:p>
        </w:tc>
        <w:tc>
          <w:tcPr>
            <w:tcW w:w="1266" w:type="dxa"/>
            <w:tcBorders>
              <w:top w:val="single" w:color="auto" w:sz="4" w:space="0"/>
              <w:left w:val="single" w:color="auto" w:sz="4" w:space="0"/>
              <w:bottom w:val="single" w:color="auto" w:sz="8"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一、产废单位和经营单位危险废物规范化管理情况</w:t>
            </w:r>
          </w:p>
        </w:tc>
        <w:tc>
          <w:tcPr>
            <w:tcW w:w="775" w:type="dxa"/>
            <w:tcBorders>
              <w:top w:val="single" w:color="auto" w:sz="4" w:space="0"/>
              <w:left w:val="single" w:color="auto" w:sz="4" w:space="0"/>
              <w:bottom w:val="single" w:color="auto" w:sz="8"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70</w:t>
            </w:r>
          </w:p>
        </w:tc>
        <w:tc>
          <w:tcPr>
            <w:tcW w:w="2353" w:type="dxa"/>
            <w:tcBorders>
              <w:top w:val="single" w:color="auto" w:sz="4" w:space="0"/>
              <w:left w:val="single" w:color="auto" w:sz="4" w:space="0"/>
              <w:bottom w:val="single" w:color="auto" w:sz="8"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按照环境保护部2016年起实施的《危险废物规范化管理指标体系》执行。</w:t>
            </w:r>
          </w:p>
        </w:tc>
        <w:tc>
          <w:tcPr>
            <w:tcW w:w="6662" w:type="dxa"/>
            <w:tcBorders>
              <w:top w:val="single" w:color="auto" w:sz="4" w:space="0"/>
              <w:left w:val="single" w:color="auto" w:sz="4" w:space="0"/>
              <w:bottom w:val="single" w:color="auto" w:sz="8"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70×0.5×（产废单位危险废物规范化管理抽查合格率+经营单位危险废物规范化管理抽查合格率）</w:t>
            </w:r>
          </w:p>
        </w:tc>
        <w:tc>
          <w:tcPr>
            <w:tcW w:w="1211" w:type="dxa"/>
            <w:tcBorders>
              <w:top w:val="single" w:color="auto" w:sz="4" w:space="0"/>
              <w:left w:val="single" w:color="auto" w:sz="4" w:space="0"/>
              <w:bottom w:val="single" w:color="auto" w:sz="8" w:space="0"/>
              <w:right w:val="single" w:color="auto" w:sz="8"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查阅相关资料、实地抽查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cantSplit/>
          <w:trHeight w:val="156" w:hRule="atLeast"/>
          <w:jc w:val="center"/>
        </w:trPr>
        <w:tc>
          <w:tcPr>
            <w:tcW w:w="1385" w:type="dxa"/>
            <w:vMerge w:val="restart"/>
            <w:tcBorders>
              <w:top w:val="single" w:color="auto" w:sz="4" w:space="0"/>
              <w:left w:val="single" w:color="auto" w:sz="8"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部门</w:t>
            </w:r>
          </w:p>
          <w:p>
            <w:pPr>
              <w:snapToGrid w:val="0"/>
              <w:spacing w:line="280" w:lineRule="exact"/>
              <w:jc w:val="center"/>
              <w:rPr>
                <w:rFonts w:ascii="仿宋_GB2312" w:hAnsi="仿宋"/>
                <w:sz w:val="24"/>
                <w:szCs w:val="24"/>
              </w:rPr>
            </w:pPr>
            <w:r>
              <w:rPr>
                <w:rFonts w:hint="eastAsia" w:ascii="仿宋_GB2312" w:hAnsi="仿宋"/>
                <w:sz w:val="24"/>
                <w:szCs w:val="24"/>
              </w:rPr>
              <w:t>监管工作</w:t>
            </w:r>
          </w:p>
        </w:tc>
        <w:tc>
          <w:tcPr>
            <w:tcW w:w="12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二、考核机制建立情况</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3</w:t>
            </w:r>
          </w:p>
        </w:tc>
        <w:tc>
          <w:tcPr>
            <w:tcW w:w="235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建立规范化管理督查考核工作机制。</w:t>
            </w:r>
          </w:p>
        </w:tc>
        <w:tc>
          <w:tcPr>
            <w:tcW w:w="666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制定年度考核工作方案，明确实施考核工作的责任单位和岗位职责得1分，否则不得分。</w:t>
            </w:r>
          </w:p>
        </w:tc>
        <w:tc>
          <w:tcPr>
            <w:tcW w:w="1211" w:type="dxa"/>
            <w:vMerge w:val="restart"/>
            <w:tcBorders>
              <w:top w:val="single" w:color="auto" w:sz="4" w:space="0"/>
              <w:left w:val="single" w:color="auto" w:sz="4" w:space="0"/>
              <w:bottom w:val="single" w:color="auto" w:sz="4" w:space="0"/>
              <w:right w:val="single" w:color="auto" w:sz="8"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查阅文件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54" w:hRule="atLeast"/>
          <w:jc w:val="center"/>
        </w:trPr>
        <w:tc>
          <w:tcPr>
            <w:tcW w:w="1385" w:type="dxa"/>
            <w:vMerge w:val="continue"/>
            <w:tcBorders>
              <w:top w:val="single" w:color="auto" w:sz="4" w:space="0"/>
              <w:left w:val="single" w:color="auto" w:sz="8"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235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p>
        </w:tc>
        <w:tc>
          <w:tcPr>
            <w:tcW w:w="666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环境监察牵头将危险废物规范化管理督查考核工作融入“双随机”日常环境监管工作中得1分，否则不得分。</w:t>
            </w:r>
          </w:p>
        </w:tc>
        <w:tc>
          <w:tcPr>
            <w:tcW w:w="1211" w:type="dxa"/>
            <w:vMerge w:val="continue"/>
            <w:tcBorders>
              <w:top w:val="single" w:color="auto" w:sz="4" w:space="0"/>
              <w:left w:val="single" w:color="auto" w:sz="4" w:space="0"/>
              <w:bottom w:val="single" w:color="auto" w:sz="4" w:space="0"/>
              <w:right w:val="single" w:color="auto" w:sz="8" w:space="0"/>
            </w:tcBorders>
            <w:vAlign w:val="center"/>
          </w:tcPr>
          <w:p>
            <w:pPr>
              <w:snapToGrid w:val="0"/>
              <w:spacing w:line="280" w:lineRule="exact"/>
              <w:jc w:val="center"/>
              <w:rPr>
                <w:rFonts w:ascii="仿宋_GB2312" w:hAnsi="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cantSplit/>
          <w:trHeight w:val="337" w:hRule="atLeast"/>
          <w:jc w:val="center"/>
        </w:trPr>
        <w:tc>
          <w:tcPr>
            <w:tcW w:w="1385" w:type="dxa"/>
            <w:vMerge w:val="continue"/>
            <w:tcBorders>
              <w:top w:val="single" w:color="auto" w:sz="4" w:space="0"/>
              <w:left w:val="single" w:color="auto" w:sz="8"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235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p>
        </w:tc>
        <w:tc>
          <w:tcPr>
            <w:tcW w:w="666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突出考核重点得1分，否则不得分。</w:t>
            </w:r>
          </w:p>
        </w:tc>
        <w:tc>
          <w:tcPr>
            <w:tcW w:w="1211" w:type="dxa"/>
            <w:vMerge w:val="continue"/>
            <w:tcBorders>
              <w:top w:val="single" w:color="auto" w:sz="4" w:space="0"/>
              <w:left w:val="single" w:color="auto" w:sz="4" w:space="0"/>
              <w:bottom w:val="single" w:color="auto" w:sz="4" w:space="0"/>
              <w:right w:val="single" w:color="auto" w:sz="8" w:space="0"/>
            </w:tcBorders>
            <w:vAlign w:val="center"/>
          </w:tcPr>
          <w:p>
            <w:pPr>
              <w:snapToGrid w:val="0"/>
              <w:spacing w:line="280" w:lineRule="exact"/>
              <w:jc w:val="center"/>
              <w:rPr>
                <w:rFonts w:ascii="仿宋_GB2312" w:hAnsi="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54" w:hRule="atLeast"/>
          <w:jc w:val="center"/>
        </w:trPr>
        <w:tc>
          <w:tcPr>
            <w:tcW w:w="1385" w:type="dxa"/>
            <w:vMerge w:val="continue"/>
            <w:tcBorders>
              <w:top w:val="single" w:color="auto" w:sz="4" w:space="0"/>
              <w:left w:val="single" w:color="auto" w:sz="8"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12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三、工作组织</w:t>
            </w:r>
          </w:p>
          <w:p>
            <w:pPr>
              <w:snapToGrid w:val="0"/>
              <w:spacing w:line="280" w:lineRule="exact"/>
              <w:jc w:val="center"/>
              <w:rPr>
                <w:rFonts w:ascii="仿宋_GB2312" w:hAnsi="仿宋"/>
                <w:sz w:val="24"/>
                <w:szCs w:val="24"/>
              </w:rPr>
            </w:pPr>
            <w:r>
              <w:rPr>
                <w:rFonts w:hint="eastAsia" w:ascii="仿宋_GB2312" w:hAnsi="仿宋"/>
                <w:sz w:val="24"/>
                <w:szCs w:val="24"/>
              </w:rPr>
              <w:t>实施情况</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5</w:t>
            </w:r>
          </w:p>
        </w:tc>
        <w:tc>
          <w:tcPr>
            <w:tcW w:w="235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考核企业数量和质量达到标准要求。</w:t>
            </w:r>
          </w:p>
        </w:tc>
        <w:tc>
          <w:tcPr>
            <w:tcW w:w="666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hint="eastAsia" w:ascii="仿宋_GB2312" w:hAnsi="仿宋"/>
                <w:sz w:val="24"/>
                <w:szCs w:val="24"/>
              </w:rPr>
            </w:pPr>
            <w:r>
              <w:rPr>
                <w:rFonts w:hint="eastAsia" w:ascii="仿宋_GB2312" w:hAnsi="仿宋"/>
                <w:sz w:val="24"/>
                <w:szCs w:val="24"/>
              </w:rPr>
              <w:t>经营单位：辖区内所有的经营单位、医疗废物集中处置设施全部进行考核得1分，否则不得分。</w:t>
            </w:r>
          </w:p>
        </w:tc>
        <w:tc>
          <w:tcPr>
            <w:tcW w:w="1211" w:type="dxa"/>
            <w:vMerge w:val="restart"/>
            <w:tcBorders>
              <w:top w:val="single" w:color="auto" w:sz="4" w:space="0"/>
              <w:left w:val="single" w:color="auto" w:sz="4" w:space="0"/>
              <w:bottom w:val="single" w:color="auto" w:sz="4" w:space="0"/>
              <w:right w:val="single" w:color="auto" w:sz="8"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查阅相关资料（方案、考核企业清单、工作小结、总结）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cantSplit/>
          <w:trHeight w:val="1275" w:hRule="atLeast"/>
          <w:jc w:val="center"/>
        </w:trPr>
        <w:tc>
          <w:tcPr>
            <w:tcW w:w="1385" w:type="dxa"/>
            <w:vMerge w:val="continue"/>
            <w:tcBorders>
              <w:top w:val="single" w:color="auto" w:sz="4" w:space="0"/>
              <w:left w:val="single" w:color="auto" w:sz="8"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235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p>
        </w:tc>
        <w:tc>
          <w:tcPr>
            <w:tcW w:w="666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hint="eastAsia" w:ascii="仿宋_GB2312" w:hAnsi="仿宋"/>
                <w:sz w:val="24"/>
                <w:szCs w:val="24"/>
              </w:rPr>
            </w:pPr>
            <w:r>
              <w:rPr>
                <w:rFonts w:hint="eastAsia" w:ascii="仿宋_GB2312" w:hAnsi="仿宋"/>
                <w:sz w:val="24"/>
                <w:szCs w:val="24"/>
              </w:rPr>
              <w:t>重点产废单位：对纳入</w:t>
            </w:r>
            <w:r>
              <w:rPr>
                <w:rFonts w:hint="eastAsia" w:ascii="仿宋_GB2312" w:hAnsi="仿宋"/>
                <w:sz w:val="24"/>
                <w:szCs w:val="24"/>
                <w:lang w:eastAsia="zh-CN"/>
              </w:rPr>
              <w:t>国家级、省级、市</w:t>
            </w:r>
            <w:r>
              <w:rPr>
                <w:rFonts w:hint="eastAsia" w:ascii="仿宋_GB2312" w:hAnsi="仿宋"/>
                <w:sz w:val="24"/>
                <w:szCs w:val="24"/>
              </w:rPr>
              <w:t>级考核重点范围的所有产废单位进行考核。若</w:t>
            </w:r>
            <w:r>
              <w:rPr>
                <w:rFonts w:hint="eastAsia" w:ascii="仿宋_GB2312" w:hAnsi="仿宋"/>
                <w:sz w:val="24"/>
                <w:szCs w:val="24"/>
                <w:lang w:eastAsia="zh-CN"/>
              </w:rPr>
              <w:t>国家级、</w:t>
            </w:r>
            <w:r>
              <w:rPr>
                <w:rFonts w:hint="eastAsia" w:ascii="仿宋_GB2312" w:hAnsi="仿宋"/>
                <w:sz w:val="24"/>
                <w:szCs w:val="24"/>
              </w:rPr>
              <w:t>省级重点考核单位不足5家，增加抽查市级考核重点产废单位，</w:t>
            </w:r>
            <w:r>
              <w:rPr>
                <w:rFonts w:hint="eastAsia" w:ascii="仿宋_GB2312" w:hAnsi="仿宋"/>
                <w:sz w:val="24"/>
                <w:szCs w:val="24"/>
                <w:lang w:eastAsia="zh-CN"/>
              </w:rPr>
              <w:t>国家、</w:t>
            </w:r>
            <w:r>
              <w:rPr>
                <w:rFonts w:hint="eastAsia" w:ascii="仿宋_GB2312" w:hAnsi="仿宋"/>
                <w:sz w:val="24"/>
                <w:szCs w:val="24"/>
              </w:rPr>
              <w:t>省</w:t>
            </w:r>
            <w:r>
              <w:rPr>
                <w:rFonts w:hint="eastAsia" w:ascii="仿宋_GB2312" w:hAnsi="仿宋"/>
                <w:sz w:val="24"/>
                <w:szCs w:val="24"/>
                <w:lang w:eastAsia="zh-CN"/>
              </w:rPr>
              <w:t>、</w:t>
            </w:r>
            <w:r>
              <w:rPr>
                <w:rFonts w:hint="eastAsia" w:ascii="仿宋_GB2312" w:hAnsi="仿宋"/>
                <w:sz w:val="24"/>
                <w:szCs w:val="24"/>
              </w:rPr>
              <w:t>市</w:t>
            </w:r>
            <w:r>
              <w:rPr>
                <w:rFonts w:hint="eastAsia" w:ascii="仿宋_GB2312" w:hAnsi="仿宋"/>
                <w:sz w:val="24"/>
                <w:szCs w:val="24"/>
                <w:lang w:eastAsia="zh-CN"/>
              </w:rPr>
              <w:t>三</w:t>
            </w:r>
            <w:r>
              <w:rPr>
                <w:rFonts w:hint="eastAsia" w:ascii="仿宋_GB2312" w:hAnsi="仿宋"/>
                <w:sz w:val="24"/>
                <w:szCs w:val="24"/>
              </w:rPr>
              <w:t>级考核重点总数不少于</w:t>
            </w:r>
            <w:r>
              <w:rPr>
                <w:rFonts w:hint="eastAsia" w:ascii="仿宋_GB2312" w:hAnsi="仿宋"/>
                <w:sz w:val="24"/>
                <w:szCs w:val="24"/>
                <w:lang w:val="en-US" w:eastAsia="zh-CN"/>
              </w:rPr>
              <w:t>8</w:t>
            </w:r>
            <w:r>
              <w:rPr>
                <w:rFonts w:hint="eastAsia" w:ascii="仿宋_GB2312" w:hAnsi="仿宋"/>
                <w:sz w:val="24"/>
                <w:szCs w:val="24"/>
              </w:rPr>
              <w:t>家。若</w:t>
            </w:r>
            <w:r>
              <w:rPr>
                <w:rFonts w:hint="eastAsia" w:ascii="仿宋_GB2312" w:hAnsi="仿宋"/>
                <w:sz w:val="24"/>
                <w:szCs w:val="24"/>
                <w:lang w:eastAsia="zh-CN"/>
              </w:rPr>
              <w:t>三</w:t>
            </w:r>
            <w:r>
              <w:rPr>
                <w:rFonts w:hint="eastAsia" w:ascii="仿宋_GB2312" w:hAnsi="仿宋"/>
                <w:sz w:val="24"/>
                <w:szCs w:val="24"/>
              </w:rPr>
              <w:t>级考核重点产废单位总数不足</w:t>
            </w:r>
            <w:r>
              <w:rPr>
                <w:rFonts w:hint="eastAsia" w:ascii="仿宋_GB2312" w:hAnsi="仿宋"/>
                <w:sz w:val="24"/>
                <w:szCs w:val="24"/>
                <w:lang w:val="en-US" w:eastAsia="zh-CN"/>
              </w:rPr>
              <w:t>8</w:t>
            </w:r>
            <w:r>
              <w:rPr>
                <w:rFonts w:hint="eastAsia" w:ascii="仿宋_GB2312" w:hAnsi="仿宋"/>
                <w:sz w:val="24"/>
                <w:szCs w:val="24"/>
              </w:rPr>
              <w:t>家时，则全部进行考核得1分，否则不得分。</w:t>
            </w:r>
          </w:p>
        </w:tc>
        <w:tc>
          <w:tcPr>
            <w:tcW w:w="1211" w:type="dxa"/>
            <w:vMerge w:val="continue"/>
            <w:tcBorders>
              <w:top w:val="single" w:color="auto" w:sz="4" w:space="0"/>
              <w:left w:val="single" w:color="auto" w:sz="4" w:space="0"/>
              <w:bottom w:val="single" w:color="auto" w:sz="4" w:space="0"/>
              <w:right w:val="single" w:color="auto" w:sz="8" w:space="0"/>
            </w:tcBorders>
            <w:vAlign w:val="center"/>
          </w:tcPr>
          <w:p>
            <w:pPr>
              <w:snapToGrid w:val="0"/>
              <w:spacing w:line="280" w:lineRule="exact"/>
              <w:jc w:val="center"/>
              <w:rPr>
                <w:rFonts w:ascii="仿宋_GB2312" w:hAnsi="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54" w:hRule="atLeast"/>
          <w:jc w:val="center"/>
        </w:trPr>
        <w:tc>
          <w:tcPr>
            <w:tcW w:w="1385" w:type="dxa"/>
            <w:vMerge w:val="continue"/>
            <w:tcBorders>
              <w:top w:val="single" w:color="auto" w:sz="4" w:space="0"/>
              <w:left w:val="single" w:color="auto" w:sz="8"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235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p>
        </w:tc>
        <w:tc>
          <w:tcPr>
            <w:tcW w:w="666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其他产废单位：辖区内抽查不少于</w:t>
            </w:r>
            <w:r>
              <w:rPr>
                <w:rFonts w:hint="eastAsia" w:ascii="仿宋_GB2312" w:hAnsi="仿宋"/>
                <w:sz w:val="24"/>
                <w:szCs w:val="24"/>
                <w:lang w:val="en-US" w:eastAsia="zh-CN"/>
              </w:rPr>
              <w:t>2</w:t>
            </w:r>
            <w:r>
              <w:rPr>
                <w:rFonts w:hint="eastAsia" w:ascii="仿宋_GB2312" w:hAnsi="仿宋"/>
                <w:sz w:val="24"/>
                <w:szCs w:val="24"/>
              </w:rPr>
              <w:t>家。若其他产废单位总数不足</w:t>
            </w:r>
            <w:r>
              <w:rPr>
                <w:rFonts w:hint="eastAsia" w:ascii="仿宋_GB2312" w:hAnsi="仿宋"/>
                <w:sz w:val="24"/>
                <w:szCs w:val="24"/>
                <w:lang w:val="en-US" w:eastAsia="zh-CN"/>
              </w:rPr>
              <w:t>2</w:t>
            </w:r>
            <w:r>
              <w:rPr>
                <w:rFonts w:hint="eastAsia" w:ascii="仿宋_GB2312" w:hAnsi="仿宋"/>
                <w:sz w:val="24"/>
                <w:szCs w:val="24"/>
              </w:rPr>
              <w:t>家时，则全部进行考核得1分，否则不得分。</w:t>
            </w:r>
          </w:p>
        </w:tc>
        <w:tc>
          <w:tcPr>
            <w:tcW w:w="1211" w:type="dxa"/>
            <w:vMerge w:val="continue"/>
            <w:tcBorders>
              <w:top w:val="single" w:color="auto" w:sz="4" w:space="0"/>
              <w:left w:val="single" w:color="auto" w:sz="4" w:space="0"/>
              <w:bottom w:val="single" w:color="auto" w:sz="4" w:space="0"/>
              <w:right w:val="single" w:color="auto" w:sz="8" w:space="0"/>
            </w:tcBorders>
            <w:vAlign w:val="center"/>
          </w:tcPr>
          <w:p>
            <w:pPr>
              <w:snapToGrid w:val="0"/>
              <w:spacing w:line="280" w:lineRule="exact"/>
              <w:jc w:val="center"/>
              <w:rPr>
                <w:rFonts w:ascii="仿宋_GB2312" w:hAnsi="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54" w:hRule="atLeast"/>
          <w:jc w:val="center"/>
        </w:trPr>
        <w:tc>
          <w:tcPr>
            <w:tcW w:w="1385" w:type="dxa"/>
            <w:vMerge w:val="continue"/>
            <w:tcBorders>
              <w:top w:val="single" w:color="auto" w:sz="4" w:space="0"/>
              <w:left w:val="single" w:color="auto" w:sz="8"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2353"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p>
        </w:tc>
        <w:tc>
          <w:tcPr>
            <w:tcW w:w="666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按照《危险废物规范化管理指标体系》的要求打分，并全部填写《被抽查单位基本情况记录表》得2分，否则不得分。</w:t>
            </w:r>
          </w:p>
        </w:tc>
        <w:tc>
          <w:tcPr>
            <w:tcW w:w="1211" w:type="dxa"/>
            <w:vMerge w:val="continue"/>
            <w:tcBorders>
              <w:top w:val="single" w:color="auto" w:sz="4" w:space="0"/>
              <w:left w:val="single" w:color="auto" w:sz="4" w:space="0"/>
              <w:bottom w:val="single" w:color="auto" w:sz="4" w:space="0"/>
              <w:right w:val="single" w:color="auto" w:sz="8" w:space="0"/>
            </w:tcBorders>
            <w:vAlign w:val="center"/>
          </w:tcPr>
          <w:p>
            <w:pPr>
              <w:snapToGrid w:val="0"/>
              <w:spacing w:line="280" w:lineRule="exact"/>
              <w:jc w:val="center"/>
              <w:rPr>
                <w:rFonts w:ascii="仿宋_GB2312" w:hAnsi="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54" w:hRule="atLeast"/>
          <w:jc w:val="center"/>
        </w:trPr>
        <w:tc>
          <w:tcPr>
            <w:tcW w:w="1385" w:type="dxa"/>
            <w:vMerge w:val="restart"/>
            <w:tcBorders>
              <w:top w:val="nil"/>
              <w:left w:val="single" w:color="auto" w:sz="8"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部门</w:t>
            </w:r>
          </w:p>
          <w:p>
            <w:pPr>
              <w:snapToGrid w:val="0"/>
              <w:spacing w:line="280" w:lineRule="exact"/>
              <w:jc w:val="center"/>
              <w:rPr>
                <w:rFonts w:ascii="仿宋_GB2312" w:hAnsi="仿宋"/>
                <w:sz w:val="24"/>
                <w:szCs w:val="24"/>
              </w:rPr>
            </w:pPr>
            <w:r>
              <w:rPr>
                <w:rFonts w:hint="eastAsia" w:ascii="仿宋_GB2312" w:hAnsi="仿宋"/>
                <w:sz w:val="24"/>
                <w:szCs w:val="24"/>
              </w:rPr>
              <w:t>监管工作</w:t>
            </w:r>
          </w:p>
        </w:tc>
        <w:tc>
          <w:tcPr>
            <w:tcW w:w="1266" w:type="dxa"/>
            <w:vMerge w:val="restart"/>
            <w:tcBorders>
              <w:top w:val="nil"/>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4</w:t>
            </w:r>
          </w:p>
        </w:tc>
        <w:tc>
          <w:tcPr>
            <w:tcW w:w="235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建立辖区涉危险废物案件和问题清单销号制度。</w:t>
            </w:r>
          </w:p>
        </w:tc>
        <w:tc>
          <w:tcPr>
            <w:tcW w:w="666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对督查考核过程中发现的各类问题建立清单和管理台账，及时跟踪并按期解决，对结果进行总结归档得3分，否则不得分。</w:t>
            </w:r>
          </w:p>
        </w:tc>
        <w:tc>
          <w:tcPr>
            <w:tcW w:w="1211" w:type="dxa"/>
            <w:vMerge w:val="restart"/>
            <w:tcBorders>
              <w:top w:val="single" w:color="auto" w:sz="4" w:space="0"/>
              <w:left w:val="single" w:color="auto" w:sz="4" w:space="0"/>
              <w:bottom w:val="single" w:color="auto" w:sz="4" w:space="0"/>
              <w:right w:val="single" w:color="auto" w:sz="8"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查阅相关资料（方案、考核企业清单、工作小结、总结）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54" w:hRule="atLeast"/>
          <w:jc w:val="center"/>
        </w:trPr>
        <w:tc>
          <w:tcPr>
            <w:tcW w:w="1385" w:type="dxa"/>
            <w:vMerge w:val="continue"/>
            <w:tcBorders>
              <w:top w:val="nil"/>
              <w:left w:val="single" w:color="auto" w:sz="8"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1266" w:type="dxa"/>
            <w:vMerge w:val="continue"/>
            <w:tcBorders>
              <w:top w:val="nil"/>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235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开展考核结果排名通报。</w:t>
            </w:r>
          </w:p>
        </w:tc>
        <w:tc>
          <w:tcPr>
            <w:tcW w:w="666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参照省厅</w:t>
            </w:r>
            <w:r>
              <w:rPr>
                <w:rFonts w:hint="eastAsia" w:ascii="仿宋_GB2312" w:hAnsi="仿宋"/>
                <w:sz w:val="24"/>
                <w:szCs w:val="24"/>
                <w:lang w:eastAsia="zh-CN"/>
              </w:rPr>
              <w:t>、市局</w:t>
            </w:r>
            <w:r>
              <w:rPr>
                <w:rFonts w:hint="eastAsia" w:ascii="仿宋_GB2312" w:hAnsi="仿宋"/>
                <w:sz w:val="24"/>
                <w:szCs w:val="24"/>
              </w:rPr>
              <w:t>考核通报制度，对辖区内县区及企业考核情况进行排名通报得1分，否则不得分。</w:t>
            </w:r>
          </w:p>
        </w:tc>
        <w:tc>
          <w:tcPr>
            <w:tcW w:w="1211" w:type="dxa"/>
            <w:vMerge w:val="continue"/>
            <w:tcBorders>
              <w:top w:val="single" w:color="auto" w:sz="4" w:space="0"/>
              <w:left w:val="single" w:color="auto" w:sz="4" w:space="0"/>
              <w:bottom w:val="single" w:color="auto" w:sz="4" w:space="0"/>
              <w:right w:val="single" w:color="auto" w:sz="8" w:space="0"/>
            </w:tcBorders>
            <w:vAlign w:val="center"/>
          </w:tcPr>
          <w:p>
            <w:pPr>
              <w:snapToGrid w:val="0"/>
              <w:spacing w:line="280" w:lineRule="exact"/>
              <w:jc w:val="center"/>
              <w:rPr>
                <w:rFonts w:ascii="仿宋_GB2312" w:hAnsi="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54" w:hRule="atLeast"/>
          <w:jc w:val="center"/>
        </w:trPr>
        <w:tc>
          <w:tcPr>
            <w:tcW w:w="1385" w:type="dxa"/>
            <w:vMerge w:val="continue"/>
            <w:tcBorders>
              <w:top w:val="nil"/>
              <w:left w:val="single" w:color="auto" w:sz="8"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12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四、监管能力建设情况</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6</w:t>
            </w:r>
          </w:p>
        </w:tc>
        <w:tc>
          <w:tcPr>
            <w:tcW w:w="235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对相关管理人员开展业务培训。</w:t>
            </w:r>
          </w:p>
        </w:tc>
        <w:tc>
          <w:tcPr>
            <w:tcW w:w="666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按要求组织固体废物管理、环境监察、环境影响评价工作人员积极参加省厅</w:t>
            </w:r>
            <w:r>
              <w:rPr>
                <w:rFonts w:hint="eastAsia" w:ascii="仿宋_GB2312" w:hAnsi="仿宋"/>
                <w:sz w:val="24"/>
                <w:szCs w:val="24"/>
                <w:lang w:eastAsia="zh-CN"/>
              </w:rPr>
              <w:t>、市局</w:t>
            </w:r>
            <w:r>
              <w:rPr>
                <w:rFonts w:hint="eastAsia" w:ascii="仿宋_GB2312" w:hAnsi="仿宋"/>
                <w:sz w:val="24"/>
                <w:szCs w:val="24"/>
              </w:rPr>
              <w:t>有关固体废物管理业务培训，并自行开展相关培训，数量达到上述人员编制数量之和的30%（2年达到60%）得2分，否则不得分。</w:t>
            </w:r>
          </w:p>
        </w:tc>
        <w:tc>
          <w:tcPr>
            <w:tcW w:w="1211" w:type="dxa"/>
            <w:vMerge w:val="restart"/>
            <w:tcBorders>
              <w:top w:val="single" w:color="auto" w:sz="4" w:space="0"/>
              <w:left w:val="single" w:color="auto" w:sz="4" w:space="0"/>
              <w:bottom w:val="single" w:color="auto" w:sz="4" w:space="0"/>
              <w:right w:val="single" w:color="auto" w:sz="8"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查阅相关资料和查阅信息系统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54" w:hRule="atLeast"/>
          <w:jc w:val="center"/>
        </w:trPr>
        <w:tc>
          <w:tcPr>
            <w:tcW w:w="1385" w:type="dxa"/>
            <w:vMerge w:val="continue"/>
            <w:tcBorders>
              <w:top w:val="nil"/>
              <w:left w:val="single" w:color="auto" w:sz="8"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235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对相关企业人员开展业务培训。</w:t>
            </w:r>
          </w:p>
        </w:tc>
        <w:tc>
          <w:tcPr>
            <w:tcW w:w="666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按要求组织辖区内产废单位和经营单位参加省厅</w:t>
            </w:r>
            <w:r>
              <w:rPr>
                <w:rFonts w:hint="eastAsia" w:ascii="仿宋_GB2312" w:hAnsi="仿宋"/>
                <w:sz w:val="24"/>
                <w:szCs w:val="24"/>
                <w:lang w:eastAsia="zh-CN"/>
              </w:rPr>
              <w:t>、市局</w:t>
            </w:r>
            <w:r>
              <w:rPr>
                <w:rFonts w:hint="eastAsia" w:ascii="仿宋_GB2312" w:hAnsi="仿宋"/>
                <w:sz w:val="24"/>
                <w:szCs w:val="24"/>
              </w:rPr>
              <w:t>有关固体废物管理政策法规或技术培训，并自行开展相关培训，数量达到上述单位总数20%（2年达到40%）得2分，否则不得分。</w:t>
            </w:r>
          </w:p>
        </w:tc>
        <w:tc>
          <w:tcPr>
            <w:tcW w:w="1211" w:type="dxa"/>
            <w:vMerge w:val="continue"/>
            <w:tcBorders>
              <w:top w:val="single" w:color="auto" w:sz="4" w:space="0"/>
              <w:left w:val="single" w:color="auto" w:sz="4" w:space="0"/>
              <w:bottom w:val="single" w:color="auto" w:sz="4" w:space="0"/>
              <w:right w:val="single" w:color="auto" w:sz="8" w:space="0"/>
            </w:tcBorders>
            <w:vAlign w:val="center"/>
          </w:tcPr>
          <w:p>
            <w:pPr>
              <w:snapToGrid w:val="0"/>
              <w:spacing w:line="280" w:lineRule="exact"/>
              <w:jc w:val="center"/>
              <w:rPr>
                <w:rFonts w:ascii="仿宋_GB2312" w:hAnsi="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54" w:hRule="atLeast"/>
          <w:jc w:val="center"/>
        </w:trPr>
        <w:tc>
          <w:tcPr>
            <w:tcW w:w="1385" w:type="dxa"/>
            <w:vMerge w:val="continue"/>
            <w:tcBorders>
              <w:top w:val="nil"/>
              <w:left w:val="single" w:color="auto" w:sz="8"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235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全面推进信息系统应用。</w:t>
            </w:r>
          </w:p>
        </w:tc>
        <w:tc>
          <w:tcPr>
            <w:tcW w:w="666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按省厅</w:t>
            </w:r>
            <w:r>
              <w:rPr>
                <w:rFonts w:hint="eastAsia" w:ascii="仿宋_GB2312" w:hAnsi="仿宋"/>
                <w:sz w:val="24"/>
                <w:szCs w:val="24"/>
                <w:lang w:eastAsia="zh-CN"/>
              </w:rPr>
              <w:t>、市局</w:t>
            </w:r>
            <w:r>
              <w:rPr>
                <w:rFonts w:hint="eastAsia" w:ascii="仿宋_GB2312" w:hAnsi="仿宋"/>
                <w:sz w:val="24"/>
                <w:szCs w:val="24"/>
              </w:rPr>
              <w:t>要求开展信息系统应用。按时报送危险废物产生源、经营许可证年度经营情况的得1分；使用信息系统进行危险废物转移监管的得0.5分；按时报送年度信息系统使用情况报告的得0.5分。共计2分。</w:t>
            </w:r>
          </w:p>
        </w:tc>
        <w:tc>
          <w:tcPr>
            <w:tcW w:w="1211" w:type="dxa"/>
            <w:vMerge w:val="continue"/>
            <w:tcBorders>
              <w:top w:val="single" w:color="auto" w:sz="4" w:space="0"/>
              <w:left w:val="single" w:color="auto" w:sz="4" w:space="0"/>
              <w:bottom w:val="single" w:color="auto" w:sz="4" w:space="0"/>
              <w:right w:val="single" w:color="auto" w:sz="8" w:space="0"/>
            </w:tcBorders>
            <w:vAlign w:val="center"/>
          </w:tcPr>
          <w:p>
            <w:pPr>
              <w:snapToGrid w:val="0"/>
              <w:spacing w:line="280" w:lineRule="exact"/>
              <w:jc w:val="center"/>
              <w:rPr>
                <w:rFonts w:ascii="仿宋_GB2312" w:hAnsi="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54" w:hRule="atLeast"/>
          <w:jc w:val="center"/>
        </w:trPr>
        <w:tc>
          <w:tcPr>
            <w:tcW w:w="1385" w:type="dxa"/>
            <w:vMerge w:val="continue"/>
            <w:tcBorders>
              <w:top w:val="nil"/>
              <w:left w:val="single" w:color="auto" w:sz="8"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126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五、处置能力保障情况</w:t>
            </w:r>
          </w:p>
        </w:tc>
        <w:tc>
          <w:tcPr>
            <w:tcW w:w="77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5</w:t>
            </w:r>
          </w:p>
        </w:tc>
        <w:tc>
          <w:tcPr>
            <w:tcW w:w="235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保障危险废物环境无害化处置。</w:t>
            </w:r>
          </w:p>
        </w:tc>
        <w:tc>
          <w:tcPr>
            <w:tcW w:w="666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按照《“十三五”全省重点固体废物环境管理规划》要求</w:t>
            </w:r>
            <w:bookmarkStart w:id="0" w:name="_GoBack"/>
            <w:bookmarkEnd w:id="0"/>
            <w:r>
              <w:rPr>
                <w:rFonts w:hint="eastAsia" w:ascii="仿宋_GB2312" w:hAnsi="仿宋"/>
                <w:sz w:val="24"/>
                <w:szCs w:val="24"/>
              </w:rPr>
              <w:t>及时间进度，安排推进辖区内落实危险废物处置设施建设，推动超期贮存的危险废物得到环境无害化处置得5分，否则不得分。</w:t>
            </w:r>
          </w:p>
        </w:tc>
        <w:tc>
          <w:tcPr>
            <w:tcW w:w="1211" w:type="dxa"/>
            <w:tcBorders>
              <w:top w:val="single" w:color="auto" w:sz="4" w:space="0"/>
              <w:left w:val="single" w:color="auto" w:sz="4" w:space="0"/>
              <w:bottom w:val="single" w:color="auto" w:sz="4" w:space="0"/>
              <w:right w:val="single" w:color="auto" w:sz="8"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查阅相关资料和现场核查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54" w:hRule="atLeast"/>
          <w:jc w:val="center"/>
        </w:trPr>
        <w:tc>
          <w:tcPr>
            <w:tcW w:w="1385" w:type="dxa"/>
            <w:vMerge w:val="continue"/>
            <w:tcBorders>
              <w:top w:val="nil"/>
              <w:left w:val="single" w:color="auto" w:sz="8"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126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775"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235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规范发放危险废物经营许可证。</w:t>
            </w:r>
          </w:p>
        </w:tc>
        <w:tc>
          <w:tcPr>
            <w:tcW w:w="666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严格按照《危险废物经营许可证管理办法》《危险废物经营单位审查和许可指南》和省厅</w:t>
            </w:r>
            <w:r>
              <w:rPr>
                <w:rFonts w:hint="eastAsia" w:ascii="仿宋_GB2312" w:hAnsi="仿宋"/>
                <w:sz w:val="24"/>
                <w:szCs w:val="24"/>
                <w:lang w:eastAsia="zh-CN"/>
              </w:rPr>
              <w:t>、市局</w:t>
            </w:r>
            <w:r>
              <w:rPr>
                <w:rFonts w:hint="eastAsia" w:ascii="仿宋_GB2312" w:hAnsi="仿宋"/>
                <w:sz w:val="24"/>
                <w:szCs w:val="24"/>
              </w:rPr>
              <w:t>有关文件规定，开展相关环评审批</w:t>
            </w:r>
            <w:r>
              <w:rPr>
                <w:rFonts w:hint="eastAsia" w:ascii="仿宋_GB2312" w:hAnsi="仿宋"/>
                <w:sz w:val="24"/>
                <w:szCs w:val="24"/>
                <w:lang w:eastAsia="zh-CN"/>
              </w:rPr>
              <w:t>、</w:t>
            </w:r>
            <w:r>
              <w:rPr>
                <w:rFonts w:hint="eastAsia" w:ascii="仿宋_GB2312" w:hAnsi="仿宋"/>
                <w:sz w:val="24"/>
                <w:szCs w:val="24"/>
              </w:rPr>
              <w:t>核发危险废物经营许可证</w:t>
            </w:r>
            <w:r>
              <w:rPr>
                <w:rFonts w:hint="eastAsia" w:ascii="仿宋_GB2312" w:hAnsi="仿宋"/>
                <w:sz w:val="24"/>
                <w:szCs w:val="24"/>
                <w:lang w:eastAsia="zh-CN"/>
              </w:rPr>
              <w:t>。</w:t>
            </w:r>
            <w:r>
              <w:rPr>
                <w:rFonts w:hint="eastAsia" w:ascii="仿宋_GB2312" w:hAnsi="仿宋"/>
                <w:sz w:val="24"/>
                <w:szCs w:val="24"/>
              </w:rPr>
              <w:t>发现一份不按照规定审批、核发的扣1分，最多扣5分。</w:t>
            </w:r>
          </w:p>
        </w:tc>
        <w:tc>
          <w:tcPr>
            <w:tcW w:w="1211" w:type="dxa"/>
            <w:tcBorders>
              <w:top w:val="single" w:color="auto" w:sz="4" w:space="0"/>
              <w:left w:val="single" w:color="auto" w:sz="4" w:space="0"/>
              <w:bottom w:val="single" w:color="auto" w:sz="4" w:space="0"/>
              <w:right w:val="single" w:color="auto" w:sz="8"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查阅相关资料和现场核查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54" w:hRule="atLeast"/>
          <w:jc w:val="center"/>
        </w:trPr>
        <w:tc>
          <w:tcPr>
            <w:tcW w:w="1385" w:type="dxa"/>
            <w:vMerge w:val="restart"/>
            <w:tcBorders>
              <w:top w:val="single" w:color="auto" w:sz="4" w:space="0"/>
              <w:left w:val="single" w:color="auto" w:sz="8"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部门</w:t>
            </w:r>
          </w:p>
          <w:p>
            <w:pPr>
              <w:snapToGrid w:val="0"/>
              <w:spacing w:line="280" w:lineRule="exact"/>
              <w:jc w:val="center"/>
              <w:rPr>
                <w:rFonts w:ascii="仿宋_GB2312" w:hAnsi="仿宋"/>
                <w:sz w:val="24"/>
                <w:szCs w:val="24"/>
              </w:rPr>
            </w:pPr>
            <w:r>
              <w:rPr>
                <w:rFonts w:hint="eastAsia" w:ascii="仿宋_GB2312" w:hAnsi="仿宋"/>
                <w:sz w:val="24"/>
                <w:szCs w:val="24"/>
              </w:rPr>
              <w:t>监管工作</w:t>
            </w:r>
          </w:p>
        </w:tc>
        <w:tc>
          <w:tcPr>
            <w:tcW w:w="1266"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六、工作总结报送情况</w:t>
            </w:r>
          </w:p>
        </w:tc>
        <w:tc>
          <w:tcPr>
            <w:tcW w:w="77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1</w:t>
            </w:r>
          </w:p>
        </w:tc>
        <w:tc>
          <w:tcPr>
            <w:tcW w:w="235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落实信息报告制度。</w:t>
            </w:r>
          </w:p>
        </w:tc>
        <w:tc>
          <w:tcPr>
            <w:tcW w:w="666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年度考核工作总结11月</w:t>
            </w:r>
            <w:r>
              <w:rPr>
                <w:rFonts w:hint="eastAsia" w:ascii="仿宋_GB2312" w:hAnsi="仿宋"/>
                <w:sz w:val="24"/>
                <w:szCs w:val="24"/>
                <w:lang w:val="en-US" w:eastAsia="zh-CN"/>
              </w:rPr>
              <w:t>2</w:t>
            </w:r>
            <w:r>
              <w:rPr>
                <w:rFonts w:hint="eastAsia" w:ascii="仿宋_GB2312" w:hAnsi="仿宋"/>
                <w:sz w:val="24"/>
                <w:szCs w:val="24"/>
              </w:rPr>
              <w:t>0日前报</w:t>
            </w:r>
            <w:r>
              <w:rPr>
                <w:rFonts w:hint="eastAsia" w:ascii="仿宋_GB2312" w:hAnsi="仿宋"/>
                <w:sz w:val="24"/>
                <w:szCs w:val="24"/>
                <w:lang w:eastAsia="zh-CN"/>
              </w:rPr>
              <w:t>市局</w:t>
            </w:r>
            <w:r>
              <w:rPr>
                <w:rFonts w:hint="eastAsia" w:ascii="仿宋_GB2312" w:hAnsi="仿宋"/>
                <w:sz w:val="24"/>
                <w:szCs w:val="24"/>
              </w:rPr>
              <w:t>汇总得1分，否则不得分。</w:t>
            </w:r>
          </w:p>
        </w:tc>
        <w:tc>
          <w:tcPr>
            <w:tcW w:w="1211" w:type="dxa"/>
            <w:tcBorders>
              <w:top w:val="single" w:color="auto" w:sz="4" w:space="0"/>
              <w:left w:val="single" w:color="auto" w:sz="4" w:space="0"/>
              <w:bottom w:val="single" w:color="auto" w:sz="4" w:space="0"/>
              <w:right w:val="single" w:color="auto" w:sz="8"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查阅相关资料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54" w:hRule="atLeast"/>
          <w:jc w:val="center"/>
        </w:trPr>
        <w:tc>
          <w:tcPr>
            <w:tcW w:w="1385" w:type="dxa"/>
            <w:vMerge w:val="continue"/>
            <w:tcBorders>
              <w:top w:val="single" w:color="auto" w:sz="4" w:space="0"/>
              <w:left w:val="single" w:color="auto" w:sz="8"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1266"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七、违法企业惩罚情况</w:t>
            </w:r>
          </w:p>
        </w:tc>
        <w:tc>
          <w:tcPr>
            <w:tcW w:w="77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2</w:t>
            </w:r>
          </w:p>
        </w:tc>
        <w:tc>
          <w:tcPr>
            <w:tcW w:w="235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惩治违法企业。</w:t>
            </w:r>
          </w:p>
        </w:tc>
        <w:tc>
          <w:tcPr>
            <w:tcW w:w="666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严格考核结果应用，对督查考核基本达标产生单位和经营单位按要求实施联合惩戒，对考核中发现的严重环境违法行为，及时查处，触犯刑律的，确保移送公安机关立案查处。与环境执法工作相衔接得1分。开展联合惩戒得1分。共计2分。</w:t>
            </w:r>
          </w:p>
        </w:tc>
        <w:tc>
          <w:tcPr>
            <w:tcW w:w="1211" w:type="dxa"/>
            <w:tcBorders>
              <w:top w:val="single" w:color="auto" w:sz="4" w:space="0"/>
              <w:left w:val="single" w:color="auto" w:sz="4" w:space="0"/>
              <w:bottom w:val="single" w:color="auto" w:sz="4" w:space="0"/>
              <w:right w:val="single" w:color="auto" w:sz="8"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查阅相关资料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cantSplit/>
          <w:trHeight w:val="511" w:hRule="atLeast"/>
          <w:jc w:val="center"/>
        </w:trPr>
        <w:tc>
          <w:tcPr>
            <w:tcW w:w="1385" w:type="dxa"/>
            <w:vMerge w:val="restart"/>
            <w:tcBorders>
              <w:top w:val="nil"/>
              <w:left w:val="single" w:color="auto" w:sz="8"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工作创新</w:t>
            </w:r>
          </w:p>
        </w:tc>
        <w:tc>
          <w:tcPr>
            <w:tcW w:w="1266"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示范企业建设</w:t>
            </w:r>
          </w:p>
        </w:tc>
        <w:tc>
          <w:tcPr>
            <w:tcW w:w="77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2分</w:t>
            </w:r>
          </w:p>
        </w:tc>
        <w:tc>
          <w:tcPr>
            <w:tcW w:w="235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建立1-</w:t>
            </w:r>
            <w:r>
              <w:rPr>
                <w:rFonts w:hint="eastAsia" w:ascii="仿宋_GB2312" w:hAnsi="仿宋"/>
                <w:sz w:val="24"/>
                <w:szCs w:val="24"/>
                <w:lang w:val="en-US" w:eastAsia="zh-CN"/>
              </w:rPr>
              <w:t>2</w:t>
            </w:r>
            <w:r>
              <w:rPr>
                <w:rFonts w:hint="eastAsia" w:ascii="仿宋_GB2312" w:hAnsi="仿宋"/>
                <w:sz w:val="24"/>
                <w:szCs w:val="24"/>
              </w:rPr>
              <w:t>个区域示范企业。</w:t>
            </w:r>
          </w:p>
        </w:tc>
        <w:tc>
          <w:tcPr>
            <w:tcW w:w="666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每个</w:t>
            </w:r>
            <w:r>
              <w:rPr>
                <w:rFonts w:hint="eastAsia" w:ascii="仿宋_GB2312" w:hAnsi="仿宋"/>
                <w:sz w:val="24"/>
                <w:szCs w:val="24"/>
                <w:lang w:eastAsia="zh-CN"/>
              </w:rPr>
              <w:t>区县（市）</w:t>
            </w:r>
            <w:r>
              <w:rPr>
                <w:rFonts w:hint="eastAsia" w:ascii="仿宋_GB2312" w:hAnsi="仿宋"/>
                <w:sz w:val="24"/>
                <w:szCs w:val="24"/>
              </w:rPr>
              <w:t>对1-</w:t>
            </w:r>
            <w:r>
              <w:rPr>
                <w:rFonts w:hint="eastAsia" w:ascii="仿宋_GB2312" w:hAnsi="仿宋"/>
                <w:sz w:val="24"/>
                <w:szCs w:val="24"/>
                <w:lang w:val="en-US" w:eastAsia="zh-CN"/>
              </w:rPr>
              <w:t>2</w:t>
            </w:r>
            <w:r>
              <w:rPr>
                <w:rFonts w:hint="eastAsia" w:ascii="仿宋_GB2312" w:hAnsi="仿宋"/>
                <w:sz w:val="24"/>
                <w:szCs w:val="24"/>
              </w:rPr>
              <w:t>家基础较好、积极性高的企业重点辅导，建成规范化管理示范企业作为其它参观和学习的样板得2分。</w:t>
            </w:r>
          </w:p>
        </w:tc>
        <w:tc>
          <w:tcPr>
            <w:tcW w:w="1211" w:type="dxa"/>
            <w:tcBorders>
              <w:top w:val="single" w:color="auto" w:sz="4" w:space="0"/>
              <w:left w:val="single" w:color="auto" w:sz="4" w:space="0"/>
              <w:bottom w:val="single" w:color="auto" w:sz="4" w:space="0"/>
              <w:right w:val="single" w:color="auto" w:sz="8"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查阅相关资料、实地检查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108" w:type="dxa"/>
            <w:bottom w:w="57" w:type="dxa"/>
            <w:right w:w="108" w:type="dxa"/>
          </w:tblCellMar>
        </w:tblPrEx>
        <w:trPr>
          <w:cantSplit/>
          <w:trHeight w:val="454" w:hRule="atLeast"/>
          <w:jc w:val="center"/>
        </w:trPr>
        <w:tc>
          <w:tcPr>
            <w:tcW w:w="1385" w:type="dxa"/>
            <w:vMerge w:val="continue"/>
            <w:tcBorders>
              <w:left w:val="single" w:color="auto" w:sz="8"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p>
        </w:tc>
        <w:tc>
          <w:tcPr>
            <w:tcW w:w="1266"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工业园区落实危险废物监管责任</w:t>
            </w:r>
          </w:p>
        </w:tc>
        <w:tc>
          <w:tcPr>
            <w:tcW w:w="77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2分</w:t>
            </w:r>
          </w:p>
        </w:tc>
        <w:tc>
          <w:tcPr>
            <w:tcW w:w="2353"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鼓励1个工业园区建立危险废物区域防控责任体系。</w:t>
            </w:r>
          </w:p>
        </w:tc>
        <w:tc>
          <w:tcPr>
            <w:tcW w:w="6662"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仿宋"/>
                <w:sz w:val="24"/>
                <w:szCs w:val="24"/>
              </w:rPr>
            </w:pPr>
            <w:r>
              <w:rPr>
                <w:rFonts w:hint="eastAsia" w:ascii="仿宋_GB2312" w:hAnsi="仿宋"/>
                <w:sz w:val="24"/>
                <w:szCs w:val="24"/>
              </w:rPr>
              <w:t>各</w:t>
            </w:r>
            <w:r>
              <w:rPr>
                <w:rFonts w:hint="eastAsia" w:ascii="仿宋_GB2312" w:hAnsi="仿宋"/>
                <w:sz w:val="24"/>
                <w:szCs w:val="24"/>
                <w:lang w:eastAsia="zh-CN"/>
              </w:rPr>
              <w:t>区县（市）</w:t>
            </w:r>
            <w:r>
              <w:rPr>
                <w:rFonts w:hint="eastAsia" w:ascii="仿宋_GB2312" w:hAnsi="仿宋"/>
                <w:sz w:val="24"/>
                <w:szCs w:val="24"/>
              </w:rPr>
              <w:t>涉危险废物的工业园区建立危险废物区域防控责任体系，对园区内危险废物经营单位和重点产废单位的转移、贮存、利用处置及产生情况进行管理，建立园区危险废物规范化管理机制得2分。。</w:t>
            </w:r>
          </w:p>
        </w:tc>
        <w:tc>
          <w:tcPr>
            <w:tcW w:w="1211" w:type="dxa"/>
            <w:tcBorders>
              <w:top w:val="single" w:color="auto" w:sz="4" w:space="0"/>
              <w:left w:val="single" w:color="auto" w:sz="4" w:space="0"/>
              <w:bottom w:val="single" w:color="auto" w:sz="4" w:space="0"/>
              <w:right w:val="single" w:color="auto" w:sz="8" w:space="0"/>
            </w:tcBorders>
            <w:vAlign w:val="center"/>
          </w:tcPr>
          <w:p>
            <w:pPr>
              <w:snapToGrid w:val="0"/>
              <w:spacing w:line="280" w:lineRule="exact"/>
              <w:jc w:val="center"/>
              <w:rPr>
                <w:rFonts w:ascii="仿宋_GB2312" w:hAnsi="仿宋"/>
                <w:sz w:val="24"/>
                <w:szCs w:val="24"/>
              </w:rPr>
            </w:pPr>
            <w:r>
              <w:rPr>
                <w:rFonts w:hint="eastAsia" w:ascii="仿宋_GB2312" w:hAnsi="仿宋"/>
                <w:sz w:val="24"/>
                <w:szCs w:val="24"/>
              </w:rPr>
              <w:t>实地检查、查阅相关资料</w:t>
            </w:r>
          </w:p>
        </w:tc>
      </w:tr>
    </w:tbl>
    <w:p>
      <w:pPr>
        <w:topLinePunct/>
        <w:adjustRightInd w:val="0"/>
        <w:snapToGrid w:val="0"/>
        <w:spacing w:before="318" w:beforeLines="50" w:line="288" w:lineRule="auto"/>
        <w:rPr>
          <w:rFonts w:ascii="仿宋" w:hAnsi="仿宋" w:eastAsia="仿宋"/>
          <w:b/>
          <w:color w:val="000000"/>
          <w:kern w:val="0"/>
          <w:sz w:val="24"/>
          <w:szCs w:val="24"/>
        </w:rPr>
      </w:pPr>
      <w:r>
        <w:rPr>
          <w:rFonts w:hint="eastAsia" w:ascii="仿宋" w:hAnsi="仿宋" w:eastAsia="仿宋"/>
          <w:b/>
          <w:color w:val="000000"/>
          <w:kern w:val="0"/>
          <w:sz w:val="24"/>
          <w:szCs w:val="24"/>
        </w:rPr>
        <w:t>说明：</w:t>
      </w:r>
    </w:p>
    <w:p>
      <w:pPr>
        <w:topLinePunct/>
        <w:adjustRightInd w:val="0"/>
        <w:snapToGrid w:val="0"/>
        <w:spacing w:line="288" w:lineRule="auto"/>
        <w:ind w:firstLine="480" w:firstLineChars="200"/>
        <w:rPr>
          <w:rFonts w:ascii="仿宋" w:hAnsi="仿宋" w:eastAsia="仿宋"/>
          <w:color w:val="000000"/>
          <w:kern w:val="0"/>
          <w:sz w:val="24"/>
          <w:szCs w:val="24"/>
        </w:rPr>
      </w:pPr>
      <w:r>
        <w:rPr>
          <w:rFonts w:hint="eastAsia" w:ascii="仿宋" w:hAnsi="仿宋" w:eastAsia="仿宋"/>
          <w:color w:val="000000"/>
          <w:kern w:val="0"/>
          <w:sz w:val="24"/>
          <w:szCs w:val="24"/>
        </w:rPr>
        <w:t>1.产废单位危险废物规范化管理抽查合格率＝（经考核达标的危险废物产废单位数量+0.7×经考核基本达标的危险废物产废单位数量）÷危险废物产废单位抽查总数量。</w:t>
      </w:r>
    </w:p>
    <w:p>
      <w:pPr>
        <w:topLinePunct/>
        <w:adjustRightInd w:val="0"/>
        <w:snapToGrid w:val="0"/>
        <w:spacing w:line="288" w:lineRule="auto"/>
        <w:ind w:firstLine="480" w:firstLineChars="200"/>
        <w:rPr>
          <w:rFonts w:ascii="仿宋" w:hAnsi="仿宋" w:eastAsia="仿宋"/>
          <w:color w:val="000000"/>
          <w:kern w:val="0"/>
          <w:sz w:val="24"/>
          <w:szCs w:val="24"/>
        </w:rPr>
      </w:pPr>
      <w:r>
        <w:rPr>
          <w:rFonts w:hint="eastAsia" w:ascii="仿宋" w:hAnsi="仿宋" w:eastAsia="仿宋"/>
          <w:color w:val="000000"/>
          <w:kern w:val="0"/>
          <w:sz w:val="24"/>
          <w:szCs w:val="24"/>
        </w:rPr>
        <w:t>2.经营单位危险废物规范化管理抽查合格率＝（经考核达标的危险废物经营单位数量+0.7×经考核基本达标的危险废物经营单位数量）÷危险废物经营单位总数量。</w:t>
      </w:r>
    </w:p>
    <w:p>
      <w:pPr>
        <w:topLinePunct/>
        <w:adjustRightInd w:val="0"/>
        <w:snapToGrid w:val="0"/>
        <w:spacing w:line="288" w:lineRule="auto"/>
        <w:ind w:firstLine="480" w:firstLineChars="200"/>
        <w:rPr>
          <w:rFonts w:ascii="仿宋" w:hAnsi="仿宋" w:eastAsia="仿宋"/>
          <w:color w:val="000000"/>
          <w:kern w:val="0"/>
          <w:sz w:val="24"/>
          <w:szCs w:val="24"/>
        </w:rPr>
      </w:pPr>
      <w:r>
        <w:rPr>
          <w:rFonts w:hint="eastAsia" w:ascii="仿宋" w:hAnsi="仿宋" w:eastAsia="仿宋"/>
          <w:color w:val="000000"/>
          <w:kern w:val="0"/>
          <w:sz w:val="24"/>
          <w:szCs w:val="24"/>
        </w:rPr>
        <w:t>3.考核评定方式</w:t>
      </w:r>
    </w:p>
    <w:p>
      <w:pPr>
        <w:topLinePunct/>
        <w:adjustRightInd w:val="0"/>
        <w:snapToGrid w:val="0"/>
        <w:spacing w:line="288" w:lineRule="auto"/>
        <w:ind w:firstLine="480" w:firstLineChars="200"/>
        <w:rPr>
          <w:rFonts w:ascii="仿宋" w:hAnsi="仿宋" w:eastAsia="仿宋"/>
          <w:color w:val="000000"/>
          <w:kern w:val="0"/>
          <w:sz w:val="24"/>
          <w:szCs w:val="24"/>
        </w:rPr>
      </w:pPr>
      <w:r>
        <w:rPr>
          <w:rFonts w:hint="eastAsia" w:ascii="仿宋" w:hAnsi="仿宋" w:eastAsia="仿宋"/>
          <w:color w:val="000000"/>
          <w:kern w:val="0"/>
          <w:sz w:val="24"/>
          <w:szCs w:val="24"/>
        </w:rPr>
        <w:t>考核实行百分制评分，考评内容确有亮点的，可报</w:t>
      </w:r>
      <w:r>
        <w:rPr>
          <w:rFonts w:hint="eastAsia" w:ascii="仿宋" w:hAnsi="仿宋" w:eastAsia="仿宋"/>
          <w:color w:val="000000"/>
          <w:kern w:val="0"/>
          <w:sz w:val="24"/>
          <w:szCs w:val="24"/>
          <w:lang w:eastAsia="zh-CN"/>
        </w:rPr>
        <w:t>市局</w:t>
      </w:r>
      <w:r>
        <w:rPr>
          <w:rFonts w:hint="eastAsia" w:ascii="仿宋" w:hAnsi="仿宋" w:eastAsia="仿宋"/>
          <w:color w:val="000000"/>
          <w:kern w:val="0"/>
          <w:sz w:val="24"/>
          <w:szCs w:val="24"/>
        </w:rPr>
        <w:t>备案后适当加分，但最高得分不得超过该项目的分值。</w:t>
      </w:r>
    </w:p>
    <w:p>
      <w:pPr>
        <w:topLinePunct/>
        <w:adjustRightInd w:val="0"/>
        <w:snapToGrid w:val="0"/>
        <w:spacing w:line="288" w:lineRule="auto"/>
        <w:ind w:firstLine="480" w:firstLineChars="200"/>
        <w:rPr>
          <w:rFonts w:ascii="仿宋" w:hAnsi="仿宋" w:eastAsia="仿宋"/>
          <w:color w:val="000000"/>
          <w:kern w:val="0"/>
          <w:sz w:val="24"/>
          <w:szCs w:val="24"/>
        </w:rPr>
      </w:pPr>
      <w:r>
        <w:rPr>
          <w:rFonts w:hint="eastAsia" w:ascii="仿宋" w:hAnsi="仿宋" w:eastAsia="仿宋"/>
          <w:color w:val="000000"/>
          <w:kern w:val="0"/>
          <w:sz w:val="24"/>
          <w:szCs w:val="24"/>
        </w:rPr>
        <w:t>考核结果分为3个等级（以上包括本数，以下不包括本数）：</w:t>
      </w:r>
    </w:p>
    <w:p>
      <w:pPr>
        <w:topLinePunct/>
        <w:adjustRightInd w:val="0"/>
        <w:snapToGrid w:val="0"/>
        <w:spacing w:line="288" w:lineRule="auto"/>
        <w:ind w:firstLine="480" w:firstLineChars="200"/>
        <w:rPr>
          <w:rFonts w:ascii="仿宋" w:hAnsi="仿宋" w:eastAsia="仿宋"/>
          <w:color w:val="000000"/>
          <w:kern w:val="0"/>
          <w:sz w:val="24"/>
          <w:szCs w:val="24"/>
        </w:rPr>
      </w:pPr>
      <w:r>
        <w:rPr>
          <w:rFonts w:hint="eastAsia" w:ascii="仿宋" w:hAnsi="仿宋" w:eastAsia="仿宋"/>
          <w:color w:val="000000"/>
          <w:kern w:val="0"/>
          <w:sz w:val="24"/>
          <w:szCs w:val="24"/>
        </w:rPr>
        <w:t>得分90分以上为A；得分60分以上90分以下为B；得分60分以下为C。</w:t>
      </w:r>
    </w:p>
    <w:p>
      <w:pPr>
        <w:topLinePunct/>
        <w:adjustRightInd w:val="0"/>
        <w:snapToGrid w:val="0"/>
        <w:spacing w:line="288" w:lineRule="auto"/>
        <w:rPr>
          <w:rFonts w:ascii="黑体" w:hAnsi="黑体" w:eastAsia="黑体"/>
          <w:szCs w:val="32"/>
        </w:rPr>
      </w:pPr>
      <w:r>
        <w:rPr>
          <w:rFonts w:hint="eastAsia" w:ascii="黑体" w:hAnsi="黑体" w:eastAsia="黑体"/>
          <w:szCs w:val="32"/>
        </w:rPr>
        <w:t>附</w:t>
      </w:r>
      <w:r>
        <w:rPr>
          <w:rFonts w:hint="eastAsia" w:ascii="黑体" w:hAnsi="黑体" w:eastAsia="黑体"/>
          <w:szCs w:val="32"/>
          <w:lang w:val="en-US" w:eastAsia="zh-CN"/>
        </w:rPr>
        <w:t>3</w:t>
      </w:r>
      <w:r>
        <w:rPr>
          <w:rFonts w:hint="eastAsia" w:ascii="黑体" w:hAnsi="黑体" w:eastAsia="黑体"/>
          <w:szCs w:val="32"/>
        </w:rPr>
        <w:t>：</w:t>
      </w:r>
    </w:p>
    <w:p>
      <w:pPr>
        <w:topLinePunct/>
        <w:adjustRightInd w:val="0"/>
        <w:snapToGrid w:val="0"/>
        <w:spacing w:before="318" w:beforeLines="50" w:after="318" w:afterLines="50"/>
        <w:jc w:val="center"/>
        <w:rPr>
          <w:rFonts w:hint="eastAsia" w:ascii="方正小标宋_GBK" w:hAnsi="仿宋" w:eastAsia="方正小标宋_GBK"/>
          <w:spacing w:val="-10"/>
          <w:sz w:val="40"/>
          <w:szCs w:val="40"/>
        </w:rPr>
      </w:pPr>
      <w:r>
        <w:rPr>
          <w:rFonts w:hint="eastAsia" w:ascii="方正小标宋_GBK" w:hAnsi="仿宋" w:eastAsia="方正小标宋_GBK"/>
          <w:spacing w:val="-10"/>
          <w:sz w:val="40"/>
          <w:szCs w:val="40"/>
        </w:rPr>
        <w:t>被抽查单位基本情况记录汇总表</w:t>
      </w:r>
    </w:p>
    <w:tbl>
      <w:tblPr>
        <w:tblStyle w:val="6"/>
        <w:tblW w:w="1418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276"/>
        <w:gridCol w:w="1275"/>
        <w:gridCol w:w="1639"/>
        <w:gridCol w:w="1984"/>
        <w:gridCol w:w="2268"/>
        <w:gridCol w:w="2268"/>
        <w:gridCol w:w="1134"/>
        <w:gridCol w:w="14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5" w:type="dxa"/>
            <w:tcBorders>
              <w:top w:val="single" w:color="auto" w:sz="8" w:space="0"/>
              <w:left w:val="single" w:color="auto" w:sz="8" w:space="0"/>
              <w:bottom w:val="single" w:color="auto" w:sz="4" w:space="0"/>
              <w:right w:val="single" w:color="auto" w:sz="4" w:space="0"/>
            </w:tcBorders>
            <w:vAlign w:val="center"/>
          </w:tcPr>
          <w:p>
            <w:pPr>
              <w:topLinePunct/>
              <w:adjustRightInd w:val="0"/>
              <w:snapToGrid w:val="0"/>
              <w:jc w:val="center"/>
              <w:rPr>
                <w:rFonts w:hint="eastAsia" w:ascii="仿宋_GB2312" w:hAnsi="仿宋"/>
                <w:b/>
                <w:color w:val="000000"/>
                <w:sz w:val="24"/>
              </w:rPr>
            </w:pPr>
            <w:r>
              <w:rPr>
                <w:rFonts w:hint="eastAsia" w:ascii="仿宋_GB2312" w:hAnsi="仿宋"/>
                <w:b/>
                <w:color w:val="000000"/>
                <w:sz w:val="24"/>
              </w:rPr>
              <w:t>序号</w:t>
            </w:r>
          </w:p>
        </w:tc>
        <w:tc>
          <w:tcPr>
            <w:tcW w:w="1276" w:type="dxa"/>
            <w:tcBorders>
              <w:top w:val="single" w:color="auto" w:sz="8" w:space="0"/>
              <w:left w:val="single" w:color="auto" w:sz="4" w:space="0"/>
              <w:bottom w:val="single" w:color="auto" w:sz="4" w:space="0"/>
              <w:right w:val="single" w:color="auto" w:sz="4" w:space="0"/>
            </w:tcBorders>
            <w:vAlign w:val="center"/>
          </w:tcPr>
          <w:p>
            <w:pPr>
              <w:topLinePunct/>
              <w:adjustRightInd w:val="0"/>
              <w:snapToGrid w:val="0"/>
              <w:jc w:val="center"/>
              <w:rPr>
                <w:rFonts w:hint="eastAsia" w:ascii="仿宋_GB2312" w:hAnsi="仿宋"/>
                <w:b/>
                <w:color w:val="000000"/>
                <w:sz w:val="24"/>
              </w:rPr>
            </w:pPr>
            <w:r>
              <w:rPr>
                <w:rFonts w:hint="eastAsia" w:ascii="仿宋_GB2312" w:hAnsi="仿宋"/>
                <w:b/>
                <w:color w:val="000000"/>
                <w:sz w:val="24"/>
              </w:rPr>
              <w:t>单位名称</w:t>
            </w:r>
          </w:p>
        </w:tc>
        <w:tc>
          <w:tcPr>
            <w:tcW w:w="1275" w:type="dxa"/>
            <w:tcBorders>
              <w:top w:val="single" w:color="auto" w:sz="8" w:space="0"/>
              <w:left w:val="single" w:color="auto" w:sz="4" w:space="0"/>
              <w:bottom w:val="single" w:color="auto" w:sz="4" w:space="0"/>
              <w:right w:val="single" w:color="auto" w:sz="4" w:space="0"/>
            </w:tcBorders>
            <w:vAlign w:val="center"/>
          </w:tcPr>
          <w:p>
            <w:pPr>
              <w:topLinePunct/>
              <w:adjustRightInd w:val="0"/>
              <w:snapToGrid w:val="0"/>
              <w:jc w:val="center"/>
              <w:rPr>
                <w:rFonts w:hint="eastAsia" w:ascii="仿宋_GB2312" w:hAnsi="仿宋"/>
                <w:b/>
                <w:color w:val="000000"/>
                <w:sz w:val="24"/>
              </w:rPr>
            </w:pPr>
            <w:r>
              <w:rPr>
                <w:rFonts w:hint="eastAsia" w:ascii="仿宋_GB2312" w:hAnsi="仿宋"/>
                <w:b/>
                <w:color w:val="000000"/>
                <w:sz w:val="24"/>
              </w:rPr>
              <w:t>检查时间</w:t>
            </w:r>
          </w:p>
        </w:tc>
        <w:tc>
          <w:tcPr>
            <w:tcW w:w="1639" w:type="dxa"/>
            <w:tcBorders>
              <w:top w:val="single" w:color="auto" w:sz="8" w:space="0"/>
              <w:left w:val="single" w:color="auto" w:sz="4" w:space="0"/>
              <w:bottom w:val="single" w:color="auto" w:sz="4" w:space="0"/>
              <w:right w:val="single" w:color="auto" w:sz="4" w:space="0"/>
            </w:tcBorders>
            <w:vAlign w:val="center"/>
          </w:tcPr>
          <w:p>
            <w:pPr>
              <w:topLinePunct/>
              <w:adjustRightInd w:val="0"/>
              <w:snapToGrid w:val="0"/>
              <w:jc w:val="center"/>
              <w:rPr>
                <w:rFonts w:hint="eastAsia" w:ascii="仿宋_GB2312" w:hAnsi="仿宋"/>
                <w:b/>
                <w:color w:val="000000"/>
                <w:sz w:val="24"/>
              </w:rPr>
            </w:pPr>
            <w:r>
              <w:rPr>
                <w:rFonts w:hint="eastAsia" w:ascii="仿宋_GB2312" w:hAnsi="仿宋"/>
                <w:b/>
                <w:color w:val="000000"/>
                <w:sz w:val="24"/>
              </w:rPr>
              <w:t>单位类型</w:t>
            </w:r>
          </w:p>
        </w:tc>
        <w:tc>
          <w:tcPr>
            <w:tcW w:w="1984" w:type="dxa"/>
            <w:tcBorders>
              <w:top w:val="single" w:color="auto" w:sz="8" w:space="0"/>
              <w:left w:val="single" w:color="auto" w:sz="4" w:space="0"/>
              <w:bottom w:val="single" w:color="auto" w:sz="4" w:space="0"/>
              <w:right w:val="single" w:color="auto" w:sz="4" w:space="0"/>
            </w:tcBorders>
            <w:vAlign w:val="center"/>
          </w:tcPr>
          <w:p>
            <w:pPr>
              <w:topLinePunct/>
              <w:adjustRightInd w:val="0"/>
              <w:snapToGrid w:val="0"/>
              <w:jc w:val="center"/>
              <w:rPr>
                <w:rFonts w:hint="eastAsia" w:ascii="仿宋_GB2312" w:hAnsi="仿宋"/>
                <w:b/>
                <w:color w:val="000000"/>
                <w:sz w:val="24"/>
              </w:rPr>
            </w:pPr>
            <w:r>
              <w:rPr>
                <w:rFonts w:hint="eastAsia" w:ascii="仿宋_GB2312" w:hAnsi="仿宋"/>
                <w:b/>
                <w:color w:val="000000"/>
                <w:sz w:val="24"/>
              </w:rPr>
              <w:t>企业基本情况</w:t>
            </w:r>
          </w:p>
        </w:tc>
        <w:tc>
          <w:tcPr>
            <w:tcW w:w="2268" w:type="dxa"/>
            <w:tcBorders>
              <w:top w:val="single" w:color="auto" w:sz="8" w:space="0"/>
              <w:left w:val="single" w:color="auto" w:sz="4" w:space="0"/>
              <w:bottom w:val="single" w:color="auto" w:sz="4" w:space="0"/>
              <w:right w:val="single" w:color="auto" w:sz="4" w:space="0"/>
            </w:tcBorders>
            <w:vAlign w:val="center"/>
          </w:tcPr>
          <w:p>
            <w:pPr>
              <w:topLinePunct/>
              <w:adjustRightInd w:val="0"/>
              <w:snapToGrid w:val="0"/>
              <w:jc w:val="center"/>
              <w:rPr>
                <w:rFonts w:hint="eastAsia" w:ascii="仿宋_GB2312" w:hAnsi="仿宋"/>
                <w:b/>
                <w:color w:val="000000"/>
                <w:sz w:val="24"/>
              </w:rPr>
            </w:pPr>
            <w:r>
              <w:rPr>
                <w:rFonts w:hint="eastAsia" w:ascii="仿宋_GB2312" w:hAnsi="仿宋"/>
                <w:b/>
                <w:color w:val="000000"/>
                <w:sz w:val="24"/>
              </w:rPr>
              <w:t>危险废物产生情况</w:t>
            </w:r>
          </w:p>
        </w:tc>
        <w:tc>
          <w:tcPr>
            <w:tcW w:w="2268" w:type="dxa"/>
            <w:tcBorders>
              <w:top w:val="single" w:color="auto" w:sz="8" w:space="0"/>
              <w:left w:val="single" w:color="auto" w:sz="4" w:space="0"/>
              <w:bottom w:val="single" w:color="auto" w:sz="4" w:space="0"/>
              <w:right w:val="single" w:color="auto" w:sz="4" w:space="0"/>
            </w:tcBorders>
            <w:vAlign w:val="center"/>
          </w:tcPr>
          <w:p>
            <w:pPr>
              <w:topLinePunct/>
              <w:adjustRightInd w:val="0"/>
              <w:snapToGrid w:val="0"/>
              <w:jc w:val="center"/>
              <w:rPr>
                <w:rFonts w:hint="eastAsia" w:ascii="仿宋_GB2312" w:hAnsi="仿宋"/>
                <w:b/>
                <w:color w:val="000000"/>
                <w:sz w:val="24"/>
              </w:rPr>
            </w:pPr>
            <w:r>
              <w:rPr>
                <w:rFonts w:hint="eastAsia" w:ascii="仿宋_GB2312" w:hAnsi="仿宋"/>
                <w:b/>
                <w:color w:val="000000"/>
                <w:sz w:val="24"/>
              </w:rPr>
              <w:t>检查发现的问题</w:t>
            </w:r>
          </w:p>
        </w:tc>
        <w:tc>
          <w:tcPr>
            <w:tcW w:w="1134" w:type="dxa"/>
            <w:tcBorders>
              <w:top w:val="single" w:color="auto" w:sz="8" w:space="0"/>
              <w:left w:val="single" w:color="auto" w:sz="4" w:space="0"/>
              <w:bottom w:val="single" w:color="auto" w:sz="4" w:space="0"/>
              <w:right w:val="single" w:color="auto" w:sz="4" w:space="0"/>
            </w:tcBorders>
            <w:vAlign w:val="center"/>
          </w:tcPr>
          <w:p>
            <w:pPr>
              <w:topLinePunct/>
              <w:adjustRightInd w:val="0"/>
              <w:snapToGrid w:val="0"/>
              <w:jc w:val="center"/>
              <w:rPr>
                <w:rFonts w:hint="eastAsia" w:ascii="仿宋_GB2312" w:hAnsi="仿宋"/>
                <w:b/>
                <w:color w:val="000000"/>
                <w:sz w:val="24"/>
              </w:rPr>
            </w:pPr>
            <w:r>
              <w:rPr>
                <w:rFonts w:hint="eastAsia" w:ascii="仿宋_GB2312" w:hAnsi="仿宋"/>
                <w:b/>
                <w:color w:val="000000"/>
                <w:sz w:val="24"/>
              </w:rPr>
              <w:t>备注</w:t>
            </w:r>
          </w:p>
        </w:tc>
        <w:tc>
          <w:tcPr>
            <w:tcW w:w="1480" w:type="dxa"/>
            <w:tcBorders>
              <w:top w:val="single" w:color="auto" w:sz="8" w:space="0"/>
              <w:left w:val="single" w:color="auto" w:sz="4" w:space="0"/>
              <w:bottom w:val="single" w:color="auto" w:sz="4" w:space="0"/>
              <w:right w:val="single" w:color="auto" w:sz="8" w:space="0"/>
            </w:tcBorders>
            <w:vAlign w:val="center"/>
          </w:tcPr>
          <w:p>
            <w:pPr>
              <w:topLinePunct/>
              <w:adjustRightInd w:val="0"/>
              <w:snapToGrid w:val="0"/>
              <w:jc w:val="center"/>
              <w:rPr>
                <w:rFonts w:hint="eastAsia" w:ascii="仿宋_GB2312" w:hAnsi="仿宋"/>
                <w:b/>
                <w:color w:val="000000"/>
                <w:sz w:val="24"/>
              </w:rPr>
            </w:pPr>
            <w:r>
              <w:rPr>
                <w:rFonts w:hint="eastAsia" w:ascii="仿宋_GB2312" w:hAnsi="仿宋"/>
                <w:b/>
                <w:color w:val="000000"/>
                <w:sz w:val="24"/>
              </w:rPr>
              <w:t>检查人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jc w:val="center"/>
        </w:trPr>
        <w:tc>
          <w:tcPr>
            <w:tcW w:w="865" w:type="dxa"/>
            <w:tcBorders>
              <w:top w:val="single" w:color="auto" w:sz="4" w:space="0"/>
              <w:left w:val="single" w:color="auto" w:sz="8" w:space="0"/>
              <w:bottom w:val="single" w:color="auto" w:sz="4" w:space="0"/>
              <w:right w:val="single" w:color="auto" w:sz="4" w:space="0"/>
            </w:tcBorders>
            <w:vAlign w:val="center"/>
          </w:tcPr>
          <w:p>
            <w:pPr>
              <w:topLinePunct/>
              <w:adjustRightInd w:val="0"/>
              <w:snapToGrid w:val="0"/>
              <w:jc w:val="center"/>
              <w:rPr>
                <w:rFonts w:hint="eastAsia" w:ascii="仿宋_GB2312" w:hAnsi="仿宋"/>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hint="eastAsia" w:ascii="仿宋_GB2312" w:hAnsi="仿宋"/>
                <w:color w:val="00000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hint="eastAsia" w:ascii="仿宋_GB2312" w:hAnsi="仿宋"/>
                <w:color w:val="000000"/>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hint="eastAsia" w:ascii="仿宋_GB2312" w:hAnsi="仿宋"/>
                <w:color w:val="000000"/>
                <w:sz w:val="24"/>
              </w:rPr>
            </w:pPr>
            <w:r>
              <w:rPr>
                <w:rFonts w:hint="eastAsia" w:ascii="仿宋_GB2312" w:hAnsi="仿宋"/>
                <w:color w:val="000000"/>
                <w:sz w:val="24"/>
              </w:rPr>
              <w:t>（经营单位或产废单位）</w:t>
            </w:r>
          </w:p>
        </w:tc>
        <w:tc>
          <w:tcPr>
            <w:tcW w:w="1984"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hint="eastAsia" w:ascii="仿宋_GB2312" w:hAnsi="仿宋"/>
                <w:color w:val="000000"/>
                <w:sz w:val="24"/>
              </w:rPr>
            </w:pPr>
            <w:r>
              <w:rPr>
                <w:rFonts w:hint="eastAsia" w:ascii="仿宋_GB2312" w:hAnsi="仿宋"/>
                <w:color w:val="000000"/>
                <w:sz w:val="24"/>
              </w:rPr>
              <w:t>（主要产品产量，简单工艺描述）</w:t>
            </w:r>
          </w:p>
        </w:tc>
        <w:tc>
          <w:tcPr>
            <w:tcW w:w="2268"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hint="eastAsia" w:ascii="仿宋_GB2312" w:hAnsi="仿宋"/>
                <w:color w:val="000000"/>
                <w:sz w:val="24"/>
              </w:rPr>
            </w:pPr>
            <w:r>
              <w:rPr>
                <w:rFonts w:hint="eastAsia" w:ascii="仿宋_GB2312" w:hAnsi="仿宋"/>
                <w:color w:val="000000"/>
                <w:sz w:val="24"/>
              </w:rPr>
              <w:t>（危险废物种类和大致产生量）</w:t>
            </w:r>
          </w:p>
        </w:tc>
        <w:tc>
          <w:tcPr>
            <w:tcW w:w="2268"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hint="eastAsia" w:ascii="仿宋_GB2312" w:hAnsi="仿宋"/>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jc w:val="center"/>
              <w:rPr>
                <w:rFonts w:hint="eastAsia" w:ascii="仿宋_GB2312" w:hAnsi="仿宋"/>
                <w:color w:val="000000"/>
                <w:sz w:val="24"/>
              </w:rPr>
            </w:pPr>
          </w:p>
        </w:tc>
        <w:tc>
          <w:tcPr>
            <w:tcW w:w="1480" w:type="dxa"/>
            <w:tcBorders>
              <w:top w:val="single" w:color="auto" w:sz="4" w:space="0"/>
              <w:left w:val="single" w:color="auto" w:sz="4" w:space="0"/>
              <w:bottom w:val="single" w:color="auto" w:sz="4" w:space="0"/>
              <w:right w:val="single" w:color="auto" w:sz="8" w:space="0"/>
            </w:tcBorders>
            <w:vAlign w:val="center"/>
          </w:tcPr>
          <w:p>
            <w:pPr>
              <w:topLinePunct/>
              <w:adjustRightInd w:val="0"/>
              <w:snapToGrid w:val="0"/>
              <w:jc w:val="center"/>
              <w:rPr>
                <w:rFonts w:hint="eastAsia" w:ascii="仿宋_GB2312" w:hAnsi="仿宋"/>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865" w:type="dxa"/>
            <w:tcBorders>
              <w:top w:val="single" w:color="auto" w:sz="4" w:space="0"/>
              <w:left w:val="single" w:color="auto" w:sz="8" w:space="0"/>
              <w:bottom w:val="single" w:color="auto" w:sz="4" w:space="0"/>
              <w:right w:val="single" w:color="auto" w:sz="4" w:space="0"/>
            </w:tcBorders>
            <w:vAlign w:val="center"/>
          </w:tcPr>
          <w:p>
            <w:pPr>
              <w:topLinePunct/>
              <w:adjustRightInd w:val="0"/>
              <w:snapToGrid w:val="0"/>
              <w:rPr>
                <w:rFonts w:hint="eastAsia" w:ascii="仿宋_GB2312" w:hAnsi="仿宋"/>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rPr>
                <w:rFonts w:hint="eastAsia" w:ascii="仿宋_GB2312" w:hAnsi="仿宋"/>
                <w:color w:val="000000"/>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rPr>
                <w:rFonts w:hint="eastAsia" w:ascii="仿宋_GB2312" w:hAnsi="仿宋"/>
                <w:color w:val="000000"/>
                <w:sz w:val="24"/>
              </w:rPr>
            </w:pPr>
          </w:p>
        </w:tc>
        <w:tc>
          <w:tcPr>
            <w:tcW w:w="1639"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rPr>
                <w:rFonts w:hint="eastAsia" w:ascii="仿宋_GB2312" w:hAnsi="仿宋"/>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rPr>
                <w:rFonts w:hint="eastAsia" w:ascii="仿宋_GB2312" w:hAnsi="仿宋"/>
                <w:color w:val="00000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rPr>
                <w:rFonts w:hint="eastAsia" w:ascii="仿宋_GB2312" w:hAnsi="仿宋"/>
                <w:color w:val="00000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rPr>
                <w:rFonts w:hint="eastAsia" w:ascii="仿宋_GB2312" w:hAnsi="仿宋"/>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topLinePunct/>
              <w:adjustRightInd w:val="0"/>
              <w:snapToGrid w:val="0"/>
              <w:rPr>
                <w:rFonts w:hint="eastAsia" w:ascii="仿宋_GB2312" w:hAnsi="仿宋"/>
                <w:color w:val="000000"/>
                <w:sz w:val="24"/>
              </w:rPr>
            </w:pPr>
          </w:p>
        </w:tc>
        <w:tc>
          <w:tcPr>
            <w:tcW w:w="1480" w:type="dxa"/>
            <w:tcBorders>
              <w:top w:val="single" w:color="auto" w:sz="4" w:space="0"/>
              <w:left w:val="single" w:color="auto" w:sz="4" w:space="0"/>
              <w:bottom w:val="single" w:color="auto" w:sz="4" w:space="0"/>
              <w:right w:val="single" w:color="auto" w:sz="8" w:space="0"/>
            </w:tcBorders>
            <w:vAlign w:val="center"/>
          </w:tcPr>
          <w:p>
            <w:pPr>
              <w:topLinePunct/>
              <w:adjustRightInd w:val="0"/>
              <w:snapToGrid w:val="0"/>
              <w:rPr>
                <w:rFonts w:hint="eastAsia" w:ascii="仿宋_GB2312" w:hAnsi="仿宋"/>
                <w:color w:val="00000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jc w:val="center"/>
        </w:trPr>
        <w:tc>
          <w:tcPr>
            <w:tcW w:w="865" w:type="dxa"/>
            <w:tcBorders>
              <w:top w:val="single" w:color="auto" w:sz="4" w:space="0"/>
              <w:left w:val="single" w:color="auto" w:sz="8" w:space="0"/>
              <w:bottom w:val="single" w:color="auto" w:sz="8" w:space="0"/>
              <w:right w:val="single" w:color="auto" w:sz="4" w:space="0"/>
            </w:tcBorders>
            <w:vAlign w:val="center"/>
          </w:tcPr>
          <w:p>
            <w:pPr>
              <w:topLinePunct/>
              <w:adjustRightInd w:val="0"/>
              <w:snapToGrid w:val="0"/>
              <w:rPr>
                <w:rFonts w:hint="eastAsia" w:ascii="仿宋_GB2312" w:hAnsi="仿宋"/>
                <w:color w:val="000000"/>
                <w:sz w:val="24"/>
              </w:rPr>
            </w:pPr>
          </w:p>
        </w:tc>
        <w:tc>
          <w:tcPr>
            <w:tcW w:w="1276"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rPr>
                <w:rFonts w:hint="eastAsia" w:ascii="仿宋_GB2312" w:hAnsi="仿宋"/>
                <w:color w:val="000000"/>
                <w:sz w:val="24"/>
              </w:rPr>
            </w:pPr>
          </w:p>
        </w:tc>
        <w:tc>
          <w:tcPr>
            <w:tcW w:w="1275"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rPr>
                <w:rFonts w:hint="eastAsia" w:ascii="仿宋_GB2312" w:hAnsi="仿宋"/>
                <w:color w:val="000000"/>
                <w:sz w:val="24"/>
              </w:rPr>
            </w:pPr>
          </w:p>
        </w:tc>
        <w:tc>
          <w:tcPr>
            <w:tcW w:w="1639"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rPr>
                <w:rFonts w:hint="eastAsia" w:ascii="仿宋_GB2312" w:hAnsi="仿宋"/>
                <w:color w:val="000000"/>
                <w:sz w:val="24"/>
              </w:rPr>
            </w:pPr>
          </w:p>
        </w:tc>
        <w:tc>
          <w:tcPr>
            <w:tcW w:w="1984"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rPr>
                <w:rFonts w:hint="eastAsia" w:ascii="仿宋_GB2312" w:hAnsi="仿宋"/>
                <w:color w:val="000000"/>
                <w:sz w:val="24"/>
              </w:rPr>
            </w:pPr>
          </w:p>
        </w:tc>
        <w:tc>
          <w:tcPr>
            <w:tcW w:w="2268"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rPr>
                <w:rFonts w:hint="eastAsia" w:ascii="仿宋_GB2312" w:hAnsi="仿宋"/>
                <w:color w:val="000000"/>
                <w:sz w:val="24"/>
              </w:rPr>
            </w:pPr>
          </w:p>
        </w:tc>
        <w:tc>
          <w:tcPr>
            <w:tcW w:w="2268"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rPr>
                <w:rFonts w:hint="eastAsia" w:ascii="仿宋_GB2312" w:hAnsi="仿宋"/>
                <w:color w:val="000000"/>
                <w:sz w:val="24"/>
              </w:rPr>
            </w:pPr>
          </w:p>
        </w:tc>
        <w:tc>
          <w:tcPr>
            <w:tcW w:w="1134" w:type="dxa"/>
            <w:tcBorders>
              <w:top w:val="single" w:color="auto" w:sz="4" w:space="0"/>
              <w:left w:val="single" w:color="auto" w:sz="4" w:space="0"/>
              <w:bottom w:val="single" w:color="auto" w:sz="8" w:space="0"/>
              <w:right w:val="single" w:color="auto" w:sz="4" w:space="0"/>
            </w:tcBorders>
            <w:vAlign w:val="center"/>
          </w:tcPr>
          <w:p>
            <w:pPr>
              <w:topLinePunct/>
              <w:adjustRightInd w:val="0"/>
              <w:snapToGrid w:val="0"/>
              <w:rPr>
                <w:rFonts w:hint="eastAsia" w:ascii="仿宋_GB2312" w:hAnsi="仿宋"/>
                <w:color w:val="000000"/>
                <w:sz w:val="24"/>
              </w:rPr>
            </w:pPr>
          </w:p>
        </w:tc>
        <w:tc>
          <w:tcPr>
            <w:tcW w:w="1480" w:type="dxa"/>
            <w:tcBorders>
              <w:top w:val="single" w:color="auto" w:sz="4" w:space="0"/>
              <w:left w:val="single" w:color="auto" w:sz="4" w:space="0"/>
              <w:bottom w:val="single" w:color="auto" w:sz="8" w:space="0"/>
              <w:right w:val="single" w:color="auto" w:sz="8" w:space="0"/>
            </w:tcBorders>
            <w:vAlign w:val="center"/>
          </w:tcPr>
          <w:p>
            <w:pPr>
              <w:topLinePunct/>
              <w:adjustRightInd w:val="0"/>
              <w:snapToGrid w:val="0"/>
              <w:rPr>
                <w:rFonts w:hint="eastAsia" w:ascii="仿宋_GB2312" w:hAnsi="仿宋"/>
                <w:color w:val="000000"/>
                <w:sz w:val="24"/>
              </w:rPr>
            </w:pPr>
          </w:p>
        </w:tc>
      </w:tr>
    </w:tbl>
    <w:p>
      <w:pPr>
        <w:topLinePunct/>
        <w:adjustRightInd w:val="0"/>
        <w:snapToGrid w:val="0"/>
        <w:spacing w:line="360" w:lineRule="auto"/>
        <w:ind w:firstLine="640" w:firstLineChars="200"/>
        <w:rPr>
          <w:rFonts w:ascii="仿宋" w:hAnsi="仿宋" w:eastAsia="仿宋"/>
          <w:color w:val="000000"/>
          <w:szCs w:val="32"/>
        </w:rPr>
      </w:pPr>
    </w:p>
    <w:p>
      <w:pPr>
        <w:widowControl/>
        <w:jc w:val="left"/>
        <w:rPr>
          <w:rFonts w:hint="eastAsia" w:ascii="黑体" w:hAnsi="黑体" w:eastAsia="黑体"/>
          <w:szCs w:val="32"/>
          <w:lang w:eastAsia="zh-CN"/>
        </w:rPr>
        <w:sectPr>
          <w:pgSz w:w="16838" w:h="11906" w:orient="landscape"/>
          <w:pgMar w:top="1474" w:right="1134" w:bottom="1531" w:left="1701" w:header="851" w:footer="964" w:gutter="0"/>
          <w:pgNumType w:fmt="numberInDash" w:start="9"/>
          <w:cols w:space="720" w:num="1"/>
          <w:docGrid w:type="lines" w:linePitch="636" w:charSpace="-432"/>
        </w:sectPr>
      </w:pPr>
      <w:r>
        <w:rPr>
          <w:rFonts w:ascii="仿宋" w:hAnsi="仿宋" w:eastAsia="仿宋"/>
          <w:color w:val="000000"/>
          <w:szCs w:val="32"/>
        </w:rPr>
        <w:br w:type="page"/>
      </w:r>
    </w:p>
    <w:p>
      <w:pPr>
        <w:topLinePunct/>
        <w:adjustRightInd w:val="0"/>
        <w:snapToGrid w:val="0"/>
        <w:rPr>
          <w:rFonts w:ascii="黑体" w:hAnsi="黑体" w:eastAsia="黑体"/>
          <w:szCs w:val="32"/>
        </w:rPr>
      </w:pPr>
      <w:r>
        <w:rPr>
          <w:rFonts w:hint="eastAsia" w:ascii="黑体" w:hAnsi="黑体" w:eastAsia="黑体"/>
          <w:szCs w:val="32"/>
        </w:rPr>
        <w:t>附</w:t>
      </w:r>
      <w:r>
        <w:rPr>
          <w:rFonts w:hint="eastAsia" w:ascii="黑体" w:hAnsi="黑体" w:eastAsia="黑体"/>
          <w:szCs w:val="32"/>
          <w:lang w:val="en-US" w:eastAsia="zh-CN"/>
        </w:rPr>
        <w:t>4</w:t>
      </w:r>
      <w:r>
        <w:rPr>
          <w:rFonts w:hint="eastAsia" w:ascii="黑体" w:hAnsi="黑体" w:eastAsia="黑体"/>
          <w:szCs w:val="32"/>
        </w:rPr>
        <w:t>：</w:t>
      </w:r>
    </w:p>
    <w:p>
      <w:pPr>
        <w:topLinePunct/>
        <w:adjustRightInd w:val="0"/>
        <w:snapToGrid w:val="0"/>
        <w:spacing w:line="408" w:lineRule="auto"/>
        <w:jc w:val="left"/>
        <w:rPr>
          <w:rFonts w:ascii="仿宋" w:hAnsi="仿宋" w:eastAsia="仿宋"/>
          <w:szCs w:val="32"/>
        </w:rPr>
      </w:pPr>
    </w:p>
    <w:p>
      <w:pPr>
        <w:topLinePunct/>
        <w:adjustRightInd w:val="0"/>
        <w:snapToGrid w:val="0"/>
        <w:spacing w:line="740" w:lineRule="exact"/>
        <w:jc w:val="center"/>
        <w:rPr>
          <w:rFonts w:hint="eastAsia" w:ascii="方正小标宋_GBK" w:hAnsi="仿宋" w:eastAsia="方正小标宋_GBK"/>
          <w:spacing w:val="-10"/>
          <w:sz w:val="40"/>
          <w:szCs w:val="40"/>
        </w:rPr>
      </w:pPr>
      <w:r>
        <w:rPr>
          <w:rFonts w:hint="eastAsia" w:ascii="方正小标宋_GBK" w:hAnsi="仿宋" w:eastAsia="方正小标宋_GBK"/>
          <w:spacing w:val="-10"/>
          <w:sz w:val="40"/>
          <w:szCs w:val="40"/>
          <w:lang w:eastAsia="zh-CN"/>
        </w:rPr>
        <w:t>区县（市）</w:t>
      </w:r>
      <w:r>
        <w:rPr>
          <w:rFonts w:hint="eastAsia" w:ascii="方正小标宋_GBK" w:hAnsi="仿宋" w:eastAsia="方正小标宋_GBK"/>
          <w:spacing w:val="-10"/>
          <w:sz w:val="40"/>
          <w:szCs w:val="40"/>
        </w:rPr>
        <w:t>危险废物规范化管理督查考核年度</w:t>
      </w:r>
    </w:p>
    <w:p>
      <w:pPr>
        <w:topLinePunct/>
        <w:adjustRightInd w:val="0"/>
        <w:snapToGrid w:val="0"/>
        <w:spacing w:line="740" w:lineRule="exact"/>
        <w:jc w:val="center"/>
        <w:rPr>
          <w:rFonts w:hint="eastAsia" w:ascii="方正小标宋_GBK" w:hAnsi="仿宋" w:eastAsia="方正小标宋_GBK"/>
          <w:spacing w:val="-10"/>
          <w:sz w:val="40"/>
          <w:szCs w:val="40"/>
        </w:rPr>
      </w:pPr>
      <w:r>
        <w:rPr>
          <w:rFonts w:hint="eastAsia" w:ascii="方正小标宋_GBK" w:hAnsi="仿宋" w:eastAsia="方正小标宋_GBK"/>
          <w:spacing w:val="-10"/>
          <w:sz w:val="40"/>
          <w:szCs w:val="40"/>
        </w:rPr>
        <w:t>工作总结要求</w:t>
      </w:r>
    </w:p>
    <w:p>
      <w:pPr>
        <w:topLinePunct/>
        <w:adjustRightInd w:val="0"/>
        <w:snapToGrid w:val="0"/>
        <w:spacing w:line="600" w:lineRule="exact"/>
        <w:jc w:val="left"/>
        <w:rPr>
          <w:rFonts w:hint="eastAsia" w:ascii="仿宋_GB2312" w:hAnsi="仿宋"/>
          <w:szCs w:val="32"/>
        </w:rPr>
      </w:pPr>
    </w:p>
    <w:p>
      <w:pPr>
        <w:topLinePunct/>
        <w:adjustRightInd w:val="0"/>
        <w:snapToGrid w:val="0"/>
        <w:spacing w:line="600" w:lineRule="exact"/>
        <w:ind w:firstLine="636" w:firstLineChars="200"/>
        <w:rPr>
          <w:rFonts w:hint="eastAsia" w:ascii="仿宋_GB2312" w:hAnsi="仿宋"/>
          <w:color w:val="000000"/>
          <w:szCs w:val="32"/>
        </w:rPr>
      </w:pPr>
      <w:r>
        <w:rPr>
          <w:rFonts w:hint="eastAsia" w:ascii="仿宋_GB2312" w:hAnsi="仿宋"/>
          <w:color w:val="000000"/>
          <w:szCs w:val="32"/>
        </w:rPr>
        <w:t>督查考核工作总结报告应包括以下内容：</w:t>
      </w:r>
    </w:p>
    <w:p>
      <w:pPr>
        <w:topLinePunct/>
        <w:adjustRightInd w:val="0"/>
        <w:snapToGrid w:val="0"/>
        <w:spacing w:line="600" w:lineRule="exact"/>
        <w:ind w:firstLine="636" w:firstLineChars="200"/>
        <w:rPr>
          <w:rFonts w:hint="eastAsia" w:ascii="仿宋_GB2312" w:hAnsi="仿宋"/>
          <w:color w:val="000000"/>
          <w:szCs w:val="32"/>
        </w:rPr>
      </w:pPr>
      <w:r>
        <w:rPr>
          <w:rFonts w:hint="eastAsia" w:ascii="仿宋_GB2312" w:hAnsi="仿宋"/>
          <w:color w:val="000000"/>
          <w:szCs w:val="32"/>
        </w:rPr>
        <w:t>一、考核工作组织实施情况和自评打分情况，包括督查考核范围和内容、部门和岗位职责分工情况、主要工作过程、时间进度、完成情况等；</w:t>
      </w:r>
    </w:p>
    <w:p>
      <w:pPr>
        <w:topLinePunct/>
        <w:adjustRightInd w:val="0"/>
        <w:snapToGrid w:val="0"/>
        <w:spacing w:line="600" w:lineRule="exact"/>
        <w:ind w:firstLine="636" w:firstLineChars="200"/>
        <w:rPr>
          <w:rFonts w:hint="eastAsia" w:ascii="仿宋_GB2312" w:hAnsi="仿宋"/>
          <w:color w:val="000000"/>
          <w:szCs w:val="32"/>
        </w:rPr>
      </w:pPr>
      <w:r>
        <w:rPr>
          <w:rFonts w:hint="eastAsia" w:ascii="仿宋_GB2312" w:hAnsi="仿宋"/>
          <w:color w:val="000000"/>
          <w:szCs w:val="32"/>
        </w:rPr>
        <w:t>二、危险废物环境无害化处置推进情况，包括监管能力建设情况和处置能力保障情况；</w:t>
      </w:r>
    </w:p>
    <w:p>
      <w:pPr>
        <w:topLinePunct/>
        <w:adjustRightInd w:val="0"/>
        <w:snapToGrid w:val="0"/>
        <w:spacing w:line="600" w:lineRule="exact"/>
        <w:ind w:firstLine="636" w:firstLineChars="200"/>
        <w:rPr>
          <w:rFonts w:hint="eastAsia" w:ascii="仿宋_GB2312" w:hAnsi="仿宋"/>
          <w:color w:val="000000"/>
          <w:szCs w:val="32"/>
        </w:rPr>
      </w:pPr>
      <w:r>
        <w:rPr>
          <w:rFonts w:hint="eastAsia" w:ascii="仿宋_GB2312" w:hAnsi="仿宋"/>
          <w:color w:val="000000"/>
          <w:szCs w:val="32"/>
        </w:rPr>
        <w:t>三、产废单位和经营单位规范化管理抽查合格率情况和违法企业惩罚情况等；</w:t>
      </w:r>
    </w:p>
    <w:p>
      <w:pPr>
        <w:topLinePunct/>
        <w:adjustRightInd w:val="0"/>
        <w:snapToGrid w:val="0"/>
        <w:spacing w:line="600" w:lineRule="exact"/>
        <w:ind w:firstLine="636" w:firstLineChars="200"/>
        <w:rPr>
          <w:rFonts w:hint="eastAsia" w:ascii="仿宋_GB2312" w:hAnsi="仿宋"/>
          <w:color w:val="000000"/>
          <w:szCs w:val="32"/>
        </w:rPr>
      </w:pPr>
      <w:r>
        <w:rPr>
          <w:rFonts w:hint="eastAsia" w:ascii="仿宋_GB2312" w:hAnsi="仿宋"/>
          <w:color w:val="000000"/>
          <w:szCs w:val="32"/>
        </w:rPr>
        <w:t>四、取得的主要经验和发现的主要问题；</w:t>
      </w:r>
    </w:p>
    <w:p>
      <w:pPr>
        <w:topLinePunct/>
        <w:adjustRightInd w:val="0"/>
        <w:snapToGrid w:val="0"/>
        <w:spacing w:line="600" w:lineRule="exact"/>
        <w:ind w:firstLine="636" w:firstLineChars="200"/>
        <w:rPr>
          <w:rFonts w:hint="eastAsia" w:ascii="仿宋_GB2312" w:hAnsi="仿宋"/>
          <w:color w:val="000000"/>
          <w:szCs w:val="32"/>
        </w:rPr>
      </w:pPr>
      <w:r>
        <w:rPr>
          <w:rFonts w:hint="eastAsia" w:ascii="仿宋_GB2312" w:hAnsi="仿宋"/>
          <w:color w:val="000000"/>
          <w:szCs w:val="32"/>
        </w:rPr>
        <w:t>五、推进危险废物规范化管理的建议；</w:t>
      </w:r>
    </w:p>
    <w:p>
      <w:pPr>
        <w:topLinePunct/>
        <w:adjustRightInd w:val="0"/>
        <w:snapToGrid w:val="0"/>
        <w:spacing w:line="600" w:lineRule="exact"/>
        <w:ind w:firstLine="636" w:firstLineChars="200"/>
        <w:rPr>
          <w:rFonts w:hint="eastAsia" w:ascii="仿宋_GB2312" w:hAnsi="仿宋"/>
          <w:color w:val="000000"/>
          <w:szCs w:val="32"/>
        </w:rPr>
      </w:pPr>
      <w:r>
        <w:rPr>
          <w:rFonts w:hint="eastAsia" w:ascii="仿宋_GB2312" w:hAnsi="仿宋"/>
          <w:color w:val="000000"/>
          <w:szCs w:val="32"/>
        </w:rPr>
        <w:t>六、附件：被抽查单位基本情况记录表（附</w:t>
      </w:r>
      <w:r>
        <w:rPr>
          <w:rFonts w:hint="eastAsia" w:ascii="仿宋_GB2312" w:hAnsi="仿宋"/>
          <w:color w:val="000000"/>
          <w:szCs w:val="32"/>
          <w:lang w:val="en-US" w:eastAsia="zh-CN"/>
        </w:rPr>
        <w:t>3</w:t>
      </w:r>
      <w:r>
        <w:rPr>
          <w:rFonts w:hint="eastAsia" w:ascii="仿宋_GB2312" w:hAnsi="仿宋"/>
          <w:color w:val="000000"/>
          <w:szCs w:val="32"/>
        </w:rPr>
        <w:t>），不达标和基本达标企业规范化管理考核结果汇总表，不达标企业存在的问题及其处理情况、建议予以联合惩戒的有关人员名单等。</w:t>
      </w:r>
    </w:p>
    <w:p/>
    <w:sectPr>
      <w:pgSz w:w="11906" w:h="16838"/>
      <w:pgMar w:top="1701" w:right="1474" w:bottom="1134" w:left="1531" w:header="851" w:footer="964" w:gutter="0"/>
      <w:pgNumType w:fmt="numberInDash" w:start="13"/>
      <w:cols w:space="720" w:num="1"/>
      <w:docGrid w:type="linesAndChars" w:linePitch="636" w:char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7233"/>
        <w:tab w:val="right" w:pos="8901"/>
      </w:tabs>
      <w:wordWrap w:val="0"/>
      <w:jc w:val="right"/>
    </w:pPr>
    <w:r>
      <w:rPr>
        <w:rFonts w:ascii="宋体" w:hAnsi="宋体" w:eastAsia="宋体"/>
        <w:sz w:val="28"/>
        <w:szCs w:val="28"/>
      </w:rPr>
      <w:tab/>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13 -</w:t>
    </w:r>
    <w:r>
      <w:rPr>
        <w:rFonts w:ascii="宋体" w:hAnsi="宋体" w:eastAsia="宋体"/>
        <w:sz w:val="28"/>
        <w:szCs w:val="28"/>
      </w:rPr>
      <w:fldChar w:fldCharType="end"/>
    </w:r>
    <w:r>
      <w:rPr>
        <w:rFonts w:hint="eastAsia" w:ascii="宋体" w:hAnsi="宋体" w:eastAsia="宋体"/>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12 -</w:t>
    </w:r>
    <w:r>
      <w:rPr>
        <w:rFonts w:ascii="宋体" w:hAnsi="宋体" w:eastAsia="宋体"/>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F507A8"/>
    <w:rsid w:val="01593C6C"/>
    <w:rsid w:val="04A41BE7"/>
    <w:rsid w:val="08FD3068"/>
    <w:rsid w:val="0BB93866"/>
    <w:rsid w:val="0EE06934"/>
    <w:rsid w:val="131560E3"/>
    <w:rsid w:val="1A39002C"/>
    <w:rsid w:val="1AD5166D"/>
    <w:rsid w:val="1ADB7C2D"/>
    <w:rsid w:val="1EE72129"/>
    <w:rsid w:val="39C7787C"/>
    <w:rsid w:val="439C6072"/>
    <w:rsid w:val="46B84110"/>
    <w:rsid w:val="4870230F"/>
    <w:rsid w:val="498705E0"/>
    <w:rsid w:val="4B7A163F"/>
    <w:rsid w:val="4C3E2C40"/>
    <w:rsid w:val="4EC11066"/>
    <w:rsid w:val="517A12D9"/>
    <w:rsid w:val="58BB3B32"/>
    <w:rsid w:val="68323186"/>
    <w:rsid w:val="6BF507A8"/>
    <w:rsid w:val="6D576C22"/>
    <w:rsid w:val="729A4CF0"/>
    <w:rsid w:val="76972922"/>
    <w:rsid w:val="7CD81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jc w:val="center"/>
    </w:pPr>
    <w:rPr>
      <w:sz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2018-08-06T07:49:00Z</dcterms:created>
  <dc:creator>Administrator</dc:creator>
  <cp:lastModifiedBy>Administrator</cp:lastModifiedBy>
  <dcterms:modified xsi:type="dcterms:W3CDTF">2018-08-08T01:24:59Z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