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2023年度益阳市司法局本级部门整体支出</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绩效自评报告</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ind w:firstLine="1280" w:firstLineChars="400"/>
        <w:jc w:val="left"/>
        <w:rPr>
          <w:rFonts w:hint="eastAsia" w:ascii="黑体" w:hAnsi="黑体" w:eastAsia="黑体" w:cs="黑体"/>
          <w:sz w:val="32"/>
          <w:szCs w:val="32"/>
          <w:lang w:val="en-US" w:eastAsia="zh-CN"/>
        </w:rPr>
      </w:pPr>
    </w:p>
    <w:p>
      <w:pPr>
        <w:ind w:firstLine="1280" w:firstLineChars="400"/>
        <w:jc w:val="left"/>
        <w:rPr>
          <w:rFonts w:hint="eastAsia" w:ascii="黑体" w:hAnsi="黑体" w:eastAsia="黑体" w:cs="黑体"/>
          <w:sz w:val="32"/>
          <w:szCs w:val="32"/>
          <w:lang w:val="en-US" w:eastAsia="zh-CN"/>
        </w:rPr>
      </w:pPr>
    </w:p>
    <w:p>
      <w:pPr>
        <w:ind w:firstLine="1280" w:firstLineChars="400"/>
        <w:jc w:val="left"/>
        <w:rPr>
          <w:rFonts w:hint="eastAsia" w:ascii="黑体" w:hAnsi="黑体" w:eastAsia="黑体" w:cs="黑体"/>
          <w:sz w:val="32"/>
          <w:szCs w:val="32"/>
          <w:lang w:val="en-US" w:eastAsia="zh-CN"/>
        </w:rPr>
      </w:pPr>
    </w:p>
    <w:p>
      <w:pPr>
        <w:ind w:firstLine="1280" w:firstLineChars="400"/>
        <w:jc w:val="left"/>
        <w:rPr>
          <w:rFonts w:hint="eastAsia" w:ascii="黑体" w:hAnsi="黑体" w:eastAsia="黑体" w:cs="黑体"/>
          <w:sz w:val="32"/>
          <w:szCs w:val="32"/>
          <w:u w:val="single"/>
          <w:lang w:val="en-US" w:eastAsia="zh-CN"/>
        </w:rPr>
      </w:pPr>
      <w:r>
        <w:rPr>
          <w:rFonts w:hint="eastAsia" w:ascii="黑体" w:hAnsi="黑体" w:eastAsia="黑体" w:cs="黑体"/>
          <w:sz w:val="32"/>
          <w:szCs w:val="32"/>
          <w:lang w:val="en-US" w:eastAsia="zh-CN"/>
        </w:rPr>
        <w:t>部门（单位）名称：</w:t>
      </w:r>
      <w:r>
        <w:rPr>
          <w:rFonts w:hint="eastAsia" w:ascii="黑体" w:hAnsi="黑体" w:eastAsia="黑体" w:cs="黑体"/>
          <w:sz w:val="32"/>
          <w:szCs w:val="32"/>
          <w:u w:val="single"/>
          <w:lang w:val="en-US" w:eastAsia="zh-CN"/>
        </w:rPr>
        <w:t xml:space="preserve"> （盖章）             </w:t>
      </w:r>
    </w:p>
    <w:p>
      <w:pPr>
        <w:ind w:firstLine="1280" w:firstLineChars="400"/>
        <w:jc w:val="left"/>
        <w:rPr>
          <w:rFonts w:hint="eastAsia" w:ascii="黑体" w:hAnsi="黑体" w:eastAsia="黑体" w:cs="黑体"/>
          <w:sz w:val="32"/>
          <w:szCs w:val="32"/>
          <w:u w:val="none"/>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u w:val="none"/>
          <w:lang w:val="en-US" w:eastAsia="zh-CN"/>
        </w:rPr>
        <w:t xml:space="preserve">           年      月     日</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eastAsia="zh-CN"/>
        </w:rPr>
        <w:t>年度</w:t>
      </w:r>
      <w:r>
        <w:rPr>
          <w:rFonts w:hint="eastAsia" w:ascii="方正小标宋简体" w:hAnsi="方正小标宋简体" w:eastAsia="方正小标宋简体" w:cs="方正小标宋简体"/>
          <w:sz w:val="44"/>
          <w:szCs w:val="44"/>
        </w:rPr>
        <w:t>益阳市司法局</w:t>
      </w:r>
      <w:r>
        <w:rPr>
          <w:rFonts w:hint="eastAsia" w:ascii="方正小标宋简体" w:hAnsi="方正小标宋简体" w:eastAsia="方正小标宋简体" w:cs="方正小标宋简体"/>
          <w:sz w:val="44"/>
          <w:szCs w:val="44"/>
          <w:lang w:eastAsia="zh-CN"/>
        </w:rPr>
        <w:t>本级</w:t>
      </w: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整体支出绩效自评报告</w:t>
      </w:r>
    </w:p>
    <w:p>
      <w:pPr>
        <w:spacing w:line="560" w:lineRule="exact"/>
        <w:rPr>
          <w:rFonts w:hint="eastAsia" w:ascii="仿宋_GB2312" w:hAnsi="仿宋_GB2312" w:eastAsia="仿宋_GB2312" w:cs="仿宋_GB2312"/>
          <w:sz w:val="32"/>
          <w:szCs w:val="32"/>
        </w:rPr>
      </w:pPr>
    </w:p>
    <w:p>
      <w:pPr>
        <w:numPr>
          <w:ilvl w:val="0"/>
          <w:numId w:val="1"/>
        </w:numPr>
        <w:spacing w:line="360" w:lineRule="auto"/>
        <w:ind w:left="105" w:leftChars="50" w:firstLine="480" w:firstLineChars="150"/>
        <w:jc w:val="left"/>
        <w:rPr>
          <w:rFonts w:hint="eastAsia" w:ascii="黑体" w:hAnsi="黑体" w:eastAsia="黑体" w:cs="黑体"/>
          <w:sz w:val="32"/>
          <w:szCs w:val="32"/>
        </w:rPr>
      </w:pPr>
      <w:r>
        <w:rPr>
          <w:rFonts w:hint="eastAsia" w:ascii="黑体" w:hAnsi="黑体" w:eastAsia="黑体" w:cs="黑体"/>
          <w:sz w:val="32"/>
          <w:szCs w:val="32"/>
        </w:rPr>
        <w:t>部门（单位）基本情况</w:t>
      </w:r>
    </w:p>
    <w:p>
      <w:pPr>
        <w:spacing w:after="2"/>
        <w:ind w:left="63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1、承担全面依法治市重大问题的政策研究，协调有关方面提出全面依法治市中长期规划建议，负责有关重大决策部署督察工作。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承担统筹规划立法工作的责任。协调有关方面提出立法规划和年度立法工作计划的建议，负责跟踪了解各有关部门对立法工作计划的落实情况，加强组织协调和督促指导，研究提出立法与改革决策相衔接的意见、措施。负责面向社会征集法规规章制定项目建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3、负责起草或者组织起草有关地方性法规、规章草案。承办有关地方性法规和规章草案的审查工作。负责立法协调。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4、承办市政府规章的解释、立法后评估工作。负责协调各地区各部门实施法律法规和规章中的有关争议和问题。承办市政府规章报备、清理、编纂、翻译等工作。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指导全市规范性文件管理有关工作，承担市政府规范性文件送审稿的合法性审查和公平竞争审查工作。承办市政府及其部门规范性文件的统一登记、统一编号、统一公布工作。负责报送备案市政府规范性文件。负责区县（市）政府规范性文件备案审查工作。受理有关规范性文件违法的审查申请。组织开展规范性文件清理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6、承担市委、市政府法律顾问工作。负责对市政府重大行政决策和重大行政管理活动以及市政府重大民商事法律事务进行合法性审查或论证说明。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承担统筹推进法治政府建设的责任。指导、监督市政府各部门、各区县（市）政府依法行政工作。负责综合协调行政执法，承担推进行政执法体制改革有关工作，推进严格规范公正文明执法。指导、监督全市行政复议、行政应诉工作，负责市政府行政复议和行政应诉案件办理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承担统筹规划全市法治社会建设的责任。负责拟订法治宣传教育规划，组织实施普法宣传工作，组织对外法治宣传。推动人民参与和促进法治建设。指导依法治理和法治创建工作。指导调解工作和人民陪审员、人民监督员选任管理工作，推进司法所建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9、指导、管理社区矫正工作。指导刑满释放人员帮教安置工作。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10、负责司法行政戒毒场所管理工作。指导、监督本系统强制隔离戒毒执行和戒毒康复工作。对社区戒毒和社区康复工作提供指导、支持和协助。管理市强制隔离戒毒所。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11、负责拟订公共法律服务体系建设规划并指导实施，统筹和布局城乡、区域法律服务资源。指导、监督律师、法律援助、司法鉴定、公证、仲裁和基层法律服务管理工作。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12、负责全市国家统一法律职业资格考试的组织实施工作。负责全市国家统一法律职业资格和证书管理工作。负责规划和指导法律职业人员入职前培训工作。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13、负责本系统枪支、弹药、服装和警车管理工作，指导、监督本系统财务、装备、设施、场所等保障工作。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14、规划、协调、指导法治人才队伍建设相关工作。指导、监督本系统队伍建设。负责本系统警务管理和警务督察工作。协助各区县（市）管理司法局领导干部。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yellow"/>
        </w:rPr>
      </w:pPr>
      <w:r>
        <w:rPr>
          <w:rFonts w:hint="eastAsia" w:ascii="仿宋_GB2312" w:hAnsi="仿宋_GB2312" w:eastAsia="仿宋_GB2312" w:cs="仿宋_GB2312"/>
          <w:sz w:val="32"/>
          <w:szCs w:val="32"/>
        </w:rPr>
        <w:t>15、完成市委、市政府交办的其他任务。</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pacing w:after="2"/>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机构情况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益阳市司法局本级内设机构包括：司法局是行政事业单位，全局内设职能科室21个，分别是：市委依法治市办公室秘书科、办公室、法治调研与督察科、立法科、社区矫正管理科、行政复议与应诉一科、行政复议与应诉二科、行政执法协调监督科、规范性文件管理科、政府合同管理科、普法与依法治理科、人民参与和促进法治科、公共法律服务管理科、律师工作科、法律职业资格管理科、信息化建设和行政审批科、装备财务保障科、政治部、机关党委、律师行业党委。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益阳市司法局本级、非独立核算的益阳市法律援助中心</w:t>
      </w:r>
      <w:r>
        <w:rPr>
          <w:rFonts w:hint="eastAsia" w:ascii="仿宋_GB2312" w:hAnsi="仿宋_GB2312" w:eastAsia="仿宋_GB2312" w:cs="仿宋_GB2312"/>
          <w:color w:val="000000"/>
          <w:sz w:val="32"/>
          <w:szCs w:val="32"/>
        </w:rPr>
        <w:t>。</w:t>
      </w:r>
    </w:p>
    <w:p>
      <w:pPr>
        <w:keepNext w:val="0"/>
        <w:keepLines w:val="0"/>
        <w:pageBreakBefore w:val="0"/>
        <w:numPr>
          <w:ilvl w:val="0"/>
          <w:numId w:val="2"/>
        </w:numPr>
        <w:kinsoku/>
        <w:wordWrap/>
        <w:overflowPunct/>
        <w:topLinePunct w:val="0"/>
        <w:autoSpaceDE/>
        <w:autoSpaceDN/>
        <w:bidi w:val="0"/>
        <w:spacing w:line="600" w:lineRule="exact"/>
        <w:ind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至2023年底，人员编制数为行政60人，事业7人，实有人数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7人。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益阳市司法局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部门收入包括一般公共财政预算拨款和其他收入；支出包括一般公共预算支出和项目支出等。本年总收入为</w:t>
      </w:r>
      <w:r>
        <w:rPr>
          <w:rFonts w:hint="eastAsia" w:ascii="仿宋_GB2312" w:hAnsi="仿宋_GB2312" w:eastAsia="仿宋_GB2312" w:cs="仿宋_GB2312"/>
          <w:sz w:val="32"/>
          <w:szCs w:val="32"/>
          <w:lang w:val="en-US" w:eastAsia="zh-CN"/>
        </w:rPr>
        <w:t>2088.26</w:t>
      </w:r>
      <w:r>
        <w:rPr>
          <w:rFonts w:hint="eastAsia" w:ascii="仿宋_GB2312" w:hAnsi="仿宋_GB2312" w:eastAsia="仿宋_GB2312" w:cs="仿宋_GB2312"/>
          <w:sz w:val="32"/>
          <w:szCs w:val="32"/>
        </w:rPr>
        <w:t>万元，本年度总支出为</w:t>
      </w:r>
      <w:r>
        <w:rPr>
          <w:rFonts w:hint="eastAsia" w:ascii="仿宋_GB2312" w:hAnsi="仿宋_GB2312" w:eastAsia="仿宋_GB2312" w:cs="仿宋_GB2312"/>
          <w:sz w:val="32"/>
          <w:szCs w:val="32"/>
          <w:lang w:val="en-US" w:eastAsia="zh-CN"/>
        </w:rPr>
        <w:t>2088.26</w:t>
      </w:r>
      <w:r>
        <w:rPr>
          <w:rFonts w:hint="eastAsia" w:ascii="仿宋_GB2312" w:hAnsi="仿宋_GB2312" w:eastAsia="仿宋_GB2312" w:cs="仿宋_GB2312"/>
          <w:sz w:val="32"/>
          <w:szCs w:val="32"/>
        </w:rPr>
        <w:t>万元，预算收入完成率100%；决算总支出为</w:t>
      </w:r>
      <w:r>
        <w:rPr>
          <w:rFonts w:hint="eastAsia" w:ascii="仿宋_GB2312" w:hAnsi="仿宋_GB2312" w:eastAsia="仿宋_GB2312" w:cs="仿宋_GB2312"/>
          <w:sz w:val="32"/>
          <w:szCs w:val="32"/>
          <w:lang w:val="en-US" w:eastAsia="zh-CN"/>
        </w:rPr>
        <w:t>2088.26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益阳市司法局</w:t>
      </w:r>
      <w:r>
        <w:rPr>
          <w:rFonts w:hint="eastAsia" w:ascii="仿宋_GB2312" w:hAnsi="仿宋_GB2312" w:eastAsia="仿宋_GB2312" w:cs="仿宋_GB2312"/>
          <w:sz w:val="32"/>
          <w:szCs w:val="32"/>
          <w:lang w:val="en-US" w:eastAsia="zh-CN"/>
        </w:rPr>
        <w:t>本级部门</w:t>
      </w:r>
      <w:r>
        <w:rPr>
          <w:rFonts w:hint="eastAsia" w:ascii="仿宋_GB2312" w:hAnsi="仿宋_GB2312" w:eastAsia="仿宋_GB2312" w:cs="仿宋_GB2312"/>
          <w:sz w:val="32"/>
          <w:szCs w:val="32"/>
        </w:rPr>
        <w:t>整体支出绩效自评报告</w:t>
      </w:r>
      <w:r>
        <w:rPr>
          <w:rFonts w:hint="eastAsia" w:ascii="仿宋_GB2312" w:hAnsi="仿宋_GB2312" w:eastAsia="仿宋_GB2312" w:cs="仿宋_GB2312"/>
          <w:sz w:val="32"/>
          <w:szCs w:val="32"/>
          <w:lang w:eastAsia="zh-CN"/>
        </w:rPr>
        <w:t>得分</w:t>
      </w:r>
      <w:r>
        <w:rPr>
          <w:rFonts w:hint="eastAsia" w:ascii="仿宋_GB2312" w:hAnsi="仿宋_GB2312" w:eastAsia="仿宋_GB2312" w:cs="仿宋_GB2312"/>
          <w:sz w:val="32"/>
          <w:szCs w:val="32"/>
          <w:lang w:val="en-US" w:eastAsia="zh-CN"/>
        </w:rPr>
        <w:t>100分。</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二、一般公共预算支出情况</w:t>
      </w:r>
    </w:p>
    <w:p>
      <w:pPr>
        <w:keepNext w:val="0"/>
        <w:keepLines w:val="0"/>
        <w:pageBreakBefore w:val="0"/>
        <w:widowControl/>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我局基本支出主要用于人员经费和日常公用经费开支</w:t>
      </w:r>
      <w:r>
        <w:rPr>
          <w:rFonts w:hint="eastAsia" w:ascii="仿宋_GB2312" w:hAnsi="仿宋_GB2312" w:eastAsia="仿宋_GB2312" w:cs="仿宋_GB2312"/>
          <w:sz w:val="32"/>
          <w:szCs w:val="32"/>
          <w:lang w:val="en-US" w:eastAsia="zh-CN"/>
        </w:rPr>
        <w:t>总计1645.26万元</w:t>
      </w:r>
      <w:r>
        <w:rPr>
          <w:rFonts w:hint="eastAsia" w:ascii="仿宋_GB2312" w:hAnsi="仿宋_GB2312" w:eastAsia="仿宋_GB2312" w:cs="仿宋_GB2312"/>
          <w:sz w:val="32"/>
          <w:szCs w:val="32"/>
        </w:rPr>
        <w:t>，具体包括工资福利支出、商品和服务支出、对个人和家庭补助支出。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 （1）工资福利支出</w:t>
      </w:r>
      <w:r>
        <w:rPr>
          <w:rFonts w:hint="eastAsia" w:ascii="仿宋_GB2312" w:hAnsi="仿宋_GB2312" w:eastAsia="仿宋_GB2312" w:cs="仿宋_GB2312"/>
          <w:sz w:val="32"/>
          <w:szCs w:val="32"/>
          <w:lang w:val="en-US" w:eastAsia="zh-CN"/>
        </w:rPr>
        <w:t>1207.09</w:t>
      </w:r>
      <w:r>
        <w:rPr>
          <w:rFonts w:hint="eastAsia" w:ascii="仿宋_GB2312" w:hAnsi="仿宋_GB2312" w:eastAsia="仿宋_GB2312" w:cs="仿宋_GB2312"/>
          <w:sz w:val="32"/>
          <w:szCs w:val="32"/>
        </w:rPr>
        <w:t>万元，主要用于在职人员基本工资、津补贴、住房公积金、养老保险和综治奖、绩效奖励方面。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   （2）商品和服务支出</w:t>
      </w:r>
      <w:r>
        <w:rPr>
          <w:rFonts w:hint="eastAsia" w:ascii="仿宋_GB2312" w:hAnsi="仿宋_GB2312" w:eastAsia="仿宋_GB2312" w:cs="仿宋_GB2312"/>
          <w:sz w:val="32"/>
          <w:szCs w:val="32"/>
          <w:lang w:val="en-US" w:eastAsia="zh-CN"/>
        </w:rPr>
        <w:t>251.36</w:t>
      </w:r>
      <w:r>
        <w:rPr>
          <w:rFonts w:hint="eastAsia" w:ascii="仿宋_GB2312" w:hAnsi="仿宋_GB2312" w:eastAsia="仿宋_GB2312" w:cs="仿宋_GB2312"/>
          <w:sz w:val="32"/>
          <w:szCs w:val="32"/>
        </w:rPr>
        <w:t>万元，主要用于保障我局机构正常运转、完成日常工作任务而发生的支出，包括办公费、邮电费、印刷费、差旅费、会议费、工会经费、物业费、车辆运行费、公务接待费、水电燃气费、其他交通费等日常公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对个人和家庭补助支出</w:t>
      </w:r>
      <w:r>
        <w:rPr>
          <w:rFonts w:hint="eastAsia" w:ascii="仿宋_GB2312" w:hAnsi="仿宋_GB2312" w:eastAsia="仿宋_GB2312" w:cs="仿宋_GB2312"/>
          <w:sz w:val="32"/>
          <w:szCs w:val="32"/>
          <w:lang w:val="en-US" w:eastAsia="zh-CN"/>
        </w:rPr>
        <w:t>185.33</w:t>
      </w:r>
      <w:r>
        <w:rPr>
          <w:rFonts w:hint="eastAsia" w:ascii="仿宋_GB2312" w:hAnsi="仿宋_GB2312" w:eastAsia="仿宋_GB2312" w:cs="仿宋_GB2312"/>
          <w:sz w:val="32"/>
          <w:szCs w:val="32"/>
        </w:rPr>
        <w:t>万元。主要为离退休人员工资和绩效奖励、离休人员医疗、抚恤金、司法救济金等开支。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val="en-US" w:eastAsia="zh-CN"/>
        </w:rPr>
        <w:t>资本性支出为1.48万元，主要用于办公设备购置。</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b/>
          <w:bCs/>
          <w:spacing w:val="20"/>
          <w:sz w:val="32"/>
          <w:szCs w:val="32"/>
        </w:rPr>
        <w:t>（二）项目支出情况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项目资金支出</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sz w:val="32"/>
          <w:szCs w:val="32"/>
        </w:rPr>
        <w:t>万元，主要用于公共法律服务体系建设、社区矫正、律师工作、普法宣传、基层司法建设、依法行政指导、政府立法、行政复议、规范性文件管理、行政执法监督。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bookmarkStart w:id="0" w:name="_GoBack"/>
      <w:bookmarkEnd w:id="0"/>
      <w:r>
        <w:rPr>
          <w:rFonts w:hint="eastAsia" w:ascii="仿宋_GB2312" w:hAnsi="仿宋_GB2312" w:eastAsia="仿宋_GB2312" w:cs="仿宋_GB2312"/>
          <w:sz w:val="32"/>
          <w:szCs w:val="32"/>
        </w:rPr>
        <w:t>一般行政事务管理支出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万元。主要用于日常运转维护支出。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行政复议应诉工作专项支出40万元，主要用于市政府行政复议与应诉工作，其中包含办公费，委托业务费等。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法律援助经费可用</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万元，主要用于公共法律服务中心运行维护，法律援助</w:t>
      </w:r>
      <w:r>
        <w:rPr>
          <w:rFonts w:hint="eastAsia" w:ascii="仿宋_GB2312" w:hAnsi="仿宋_GB2312" w:eastAsia="仿宋_GB2312" w:cs="仿宋_GB2312"/>
          <w:sz w:val="32"/>
          <w:szCs w:val="32"/>
          <w:lang w:eastAsia="zh-CN"/>
        </w:rPr>
        <w:t>办案补贴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“中彩金”办案补贴，</w:t>
      </w:r>
      <w:r>
        <w:rPr>
          <w:rFonts w:hint="eastAsia" w:ascii="仿宋_GB2312" w:hAnsi="仿宋_GB2312" w:eastAsia="仿宋_GB2312" w:cs="仿宋_GB2312"/>
          <w:sz w:val="32"/>
          <w:szCs w:val="32"/>
        </w:rPr>
        <w:t>12348法律援助热线运行等。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市委市政府法律顾问</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万元，主要用于依法行政指导工作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为重大行政行为提供法律意见，参与重大合同的起草，提高依法执政、依法行政水平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市医调中心专项工作6.8万元，主要用于医调中心办公，调解等工作。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涉密资金 </w:t>
      </w:r>
      <w:r>
        <w:rPr>
          <w:rFonts w:hint="eastAsia" w:ascii="仿宋_GB2312" w:hAnsi="仿宋_GB2312" w:eastAsia="仿宋_GB2312" w:cs="仿宋_GB2312"/>
          <w:spacing w:val="20"/>
          <w:sz w:val="32"/>
          <w:szCs w:val="32"/>
        </w:rPr>
        <w:br w:type="textWrapping"/>
      </w:r>
      <w:r>
        <w:rPr>
          <w:rFonts w:hint="eastAsia" w:ascii="黑体" w:hAnsi="黑体" w:eastAsia="黑体" w:cs="黑体"/>
          <w:spacing w:val="20"/>
          <w:sz w:val="32"/>
          <w:szCs w:val="32"/>
        </w:rPr>
        <w:t>    三、政府性基金预算支出情况</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益阳市司法局无政府性基金</w:t>
      </w:r>
    </w:p>
    <w:p>
      <w:pPr>
        <w:keepNext w:val="0"/>
        <w:keepLines w:val="0"/>
        <w:pageBreakBefore w:val="0"/>
        <w:numPr>
          <w:ilvl w:val="0"/>
          <w:numId w:val="3"/>
        </w:numPr>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国有资本经营预算支出情况</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益阳市司法局无国有资本经营预算</w:t>
      </w:r>
    </w:p>
    <w:p>
      <w:pPr>
        <w:keepNext w:val="0"/>
        <w:keepLines w:val="0"/>
        <w:pageBreakBefore w:val="0"/>
        <w:numPr>
          <w:ilvl w:val="0"/>
          <w:numId w:val="3"/>
        </w:numPr>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社会保险基金预算支出情况</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益阳市司法局无社会保险基金预算</w:t>
      </w:r>
    </w:p>
    <w:p>
      <w:pPr>
        <w:keepNext w:val="0"/>
        <w:keepLines w:val="0"/>
        <w:pageBreakBefore w:val="0"/>
        <w:numPr>
          <w:ilvl w:val="0"/>
          <w:numId w:val="3"/>
        </w:numPr>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部门整体支出绩效情况</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我局继续按照统筹兼顾、厉行节约、讲究绩效、收支平衡的原则编制了部门预算，全年支出基本做到了按预算执行，既保障了干部职工工资及个人和家庭补助住处，又围绕中心，服务大局，具体绩效目标完成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绩效目标1：全面推行依法行政。</w:t>
      </w:r>
      <w:r>
        <w:rPr>
          <w:rFonts w:hint="eastAsia" w:ascii="仿宋_GB2312" w:hAnsi="仿宋_GB2312" w:eastAsia="仿宋_GB2312" w:cs="仿宋_GB2312"/>
          <w:b/>
          <w:sz w:val="32"/>
          <w:szCs w:val="32"/>
        </w:rPr>
        <w:t>一是立法工作高质发展。</w:t>
      </w:r>
      <w:r>
        <w:rPr>
          <w:rFonts w:hint="eastAsia" w:ascii="仿宋_GB2312" w:hAnsi="仿宋_GB2312" w:eastAsia="仿宋_GB2312" w:cs="仿宋_GB2312"/>
          <w:sz w:val="32"/>
          <w:szCs w:val="32"/>
        </w:rPr>
        <w:t>《益阳市殡葬管理条例（草案）》文稿初步成形，《益阳市大通湖湖泊保护管理办法》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《益阳市中心城区资江两岸风貌管控若干规定》已正式</w:t>
      </w:r>
      <w:r>
        <w:rPr>
          <w:rFonts w:hint="eastAsia" w:ascii="仿宋_GB2312" w:hAnsi="仿宋_GB2312" w:eastAsia="仿宋_GB2312" w:cs="仿宋_GB2312"/>
          <w:sz w:val="32"/>
          <w:szCs w:val="32"/>
          <w:lang w:eastAsia="zh-CN"/>
        </w:rPr>
        <w:t>颁布</w:t>
      </w:r>
      <w:r>
        <w:rPr>
          <w:rFonts w:hint="eastAsia" w:ascii="仿宋_GB2312" w:hAnsi="仿宋_GB2312" w:eastAsia="仿宋_GB2312" w:cs="仿宋_GB2312"/>
          <w:sz w:val="32"/>
          <w:szCs w:val="32"/>
        </w:rPr>
        <w:t>施行。</w:t>
      </w:r>
      <w:r>
        <w:rPr>
          <w:rFonts w:hint="eastAsia" w:ascii="仿宋_GB2312" w:hAnsi="仿宋_GB2312" w:eastAsia="仿宋_GB2312" w:cs="仿宋_GB2312"/>
          <w:b/>
          <w:sz w:val="32"/>
          <w:szCs w:val="32"/>
        </w:rPr>
        <w:t>二是执法协调监督</w:t>
      </w:r>
      <w:r>
        <w:rPr>
          <w:rFonts w:hint="eastAsia" w:ascii="仿宋_GB2312" w:hAnsi="仿宋_GB2312" w:eastAsia="仿宋_GB2312" w:cs="仿宋_GB2312"/>
          <w:b/>
          <w:sz w:val="32"/>
          <w:szCs w:val="32"/>
          <w:lang w:eastAsia="zh-CN"/>
        </w:rPr>
        <w:t>高位统筹</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lang w:eastAsia="zh-CN"/>
        </w:rPr>
        <w:t>开展“益阳市行政执法能力三年提升行动”，对全市行政执法部门的行政执法行为进行提质升级，</w:t>
      </w:r>
      <w:r>
        <w:rPr>
          <w:rFonts w:hint="eastAsia" w:ascii="仿宋_GB2312" w:hAnsi="仿宋_GB2312" w:eastAsia="仿宋_GB2312" w:cs="仿宋_GB2312"/>
          <w:sz w:val="32"/>
          <w:szCs w:val="32"/>
        </w:rPr>
        <w:t>着力加强行政执法制度化建设、执法队伍规范化建设、柔性执法常态化建设、执法监督多元化建设。对市发改委、市市场监管局、市生态环境局等多个单位开展规范行政执法及“三项制度”业务培训</w:t>
      </w:r>
      <w:r>
        <w:rPr>
          <w:rFonts w:hint="eastAsia" w:ascii="仿宋_GB2312" w:hAnsi="仿宋_GB2312" w:eastAsia="仿宋_GB2312" w:cs="仿宋_GB2312"/>
          <w:sz w:val="32"/>
          <w:szCs w:val="32"/>
          <w:lang w:eastAsia="zh-CN"/>
        </w:rPr>
        <w:t>，提升执法能力</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三是规范性文件和政府合同高效审查。</w:t>
      </w:r>
      <w:r>
        <w:rPr>
          <w:rFonts w:hint="eastAsia" w:ascii="仿宋_GB2312" w:hAnsi="仿宋_GB2312" w:eastAsia="仿宋_GB2312" w:cs="仿宋_GB2312"/>
          <w:sz w:val="32"/>
          <w:szCs w:val="32"/>
        </w:rPr>
        <w:t>加强规范性文件合法性审查，</w:t>
      </w:r>
      <w:r>
        <w:rPr>
          <w:rFonts w:hint="eastAsia" w:ascii="仿宋_GB2312" w:hAnsi="仿宋_GB2312" w:eastAsia="仿宋_GB2312" w:cs="仿宋_GB2312"/>
          <w:b w:val="0"/>
          <w:bCs w:val="0"/>
          <w:sz w:val="32"/>
          <w:szCs w:val="32"/>
        </w:rPr>
        <w:t>审查市委、市政府</w:t>
      </w:r>
      <w:r>
        <w:rPr>
          <w:rFonts w:hint="eastAsia" w:ascii="仿宋_GB2312" w:hAnsi="仿宋_GB2312" w:eastAsia="仿宋_GB2312" w:cs="仿宋_GB2312"/>
          <w:b w:val="0"/>
          <w:bCs w:val="0"/>
          <w:sz w:val="32"/>
          <w:szCs w:val="32"/>
          <w:lang w:eastAsia="zh-CN"/>
        </w:rPr>
        <w:t>规范性文件、会议纪要、项目合同等</w:t>
      </w:r>
      <w:r>
        <w:rPr>
          <w:rFonts w:hint="eastAsia" w:ascii="仿宋_GB2312" w:hAnsi="仿宋_GB2312" w:eastAsia="仿宋_GB2312" w:cs="仿宋_GB2312"/>
          <w:b w:val="0"/>
          <w:bCs w:val="0"/>
          <w:sz w:val="32"/>
          <w:szCs w:val="32"/>
          <w:lang w:val="en-US" w:eastAsia="zh-CN"/>
        </w:rPr>
        <w:t>152件，</w:t>
      </w:r>
      <w:r>
        <w:rPr>
          <w:rFonts w:hint="eastAsia" w:ascii="仿宋_GB2312" w:hAnsi="仿宋_GB2312" w:eastAsia="仿宋_GB2312" w:cs="仿宋_GB2312"/>
          <w:b w:val="0"/>
          <w:bCs w:val="0"/>
          <w:sz w:val="32"/>
          <w:szCs w:val="32"/>
        </w:rPr>
        <w:t>处理土地征收、税费减免、问题楼盘化解等政府涉法事务</w:t>
      </w:r>
      <w:r>
        <w:rPr>
          <w:rFonts w:hint="eastAsia" w:ascii="仿宋_GB2312" w:hAnsi="仿宋_GB2312" w:eastAsia="仿宋_GB2312" w:cs="仿宋_GB2312"/>
          <w:b w:val="0"/>
          <w:bCs w:val="0"/>
          <w:sz w:val="32"/>
          <w:szCs w:val="32"/>
          <w:lang w:val="en-US" w:eastAsia="zh-CN"/>
        </w:rPr>
        <w:t>59</w:t>
      </w:r>
      <w:r>
        <w:rPr>
          <w:rFonts w:hint="eastAsia" w:ascii="仿宋_GB2312" w:hAnsi="仿宋_GB2312" w:eastAsia="仿宋_GB2312" w:cs="仿宋_GB2312"/>
          <w:b w:val="0"/>
          <w:bCs w:val="0"/>
          <w:sz w:val="32"/>
          <w:szCs w:val="32"/>
        </w:rPr>
        <w:t>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参加市政府涉法事务专题会议</w:t>
      </w:r>
      <w:r>
        <w:rPr>
          <w:rFonts w:hint="eastAsia" w:ascii="仿宋_GB2312" w:hAnsi="仿宋_GB2312" w:eastAsia="仿宋_GB2312" w:cs="仿宋_GB2312"/>
          <w:sz w:val="32"/>
          <w:szCs w:val="32"/>
          <w:lang w:val="en-US" w:eastAsia="zh-CN"/>
        </w:rPr>
        <w:t>50余</w:t>
      </w:r>
      <w:r>
        <w:rPr>
          <w:rFonts w:hint="eastAsia" w:ascii="仿宋_GB2312" w:hAnsi="仿宋_GB2312" w:eastAsia="仿宋_GB2312" w:cs="仿宋_GB2312"/>
          <w:sz w:val="32"/>
          <w:szCs w:val="32"/>
        </w:rPr>
        <w:t>次，为市级重大合同落地和重点项目推进把好法律关，为依法行政提供法律服务。</w:t>
      </w:r>
      <w:r>
        <w:rPr>
          <w:rFonts w:hint="eastAsia" w:ascii="仿宋_GB2312" w:hAnsi="仿宋_GB2312" w:eastAsia="仿宋_GB2312" w:cs="仿宋_GB2312"/>
          <w:b/>
          <w:sz w:val="32"/>
          <w:szCs w:val="32"/>
        </w:rPr>
        <w:t>四是行政复议体制改革</w:t>
      </w:r>
      <w:r>
        <w:rPr>
          <w:rFonts w:hint="eastAsia" w:ascii="仿宋_GB2312" w:hAnsi="仿宋_GB2312" w:eastAsia="仿宋_GB2312" w:cs="仿宋_GB2312"/>
          <w:b/>
          <w:sz w:val="32"/>
          <w:szCs w:val="32"/>
          <w:lang w:eastAsia="zh-CN"/>
        </w:rPr>
        <w:t>高标</w:t>
      </w:r>
      <w:r>
        <w:rPr>
          <w:rFonts w:hint="eastAsia" w:ascii="仿宋_GB2312" w:hAnsi="仿宋_GB2312" w:eastAsia="仿宋_GB2312" w:cs="仿宋_GB2312"/>
          <w:b/>
          <w:sz w:val="32"/>
          <w:szCs w:val="32"/>
        </w:rPr>
        <w:t>推进。</w:t>
      </w:r>
      <w:r>
        <w:rPr>
          <w:rFonts w:hint="eastAsia" w:ascii="仿宋_GB2312" w:hAnsi="仿宋_GB2312" w:eastAsia="仿宋_GB2312" w:cs="仿宋_GB2312"/>
          <w:sz w:val="32"/>
          <w:szCs w:val="32"/>
          <w:lang w:val="en-US" w:eastAsia="zh-CN"/>
        </w:rPr>
        <w:t>受理行政复议申请125件，审结98件</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rPr>
        <w:t>对100件案件进行评查，</w:t>
      </w:r>
      <w:r>
        <w:rPr>
          <w:rFonts w:hint="eastAsia" w:ascii="仿宋_GB2312" w:hAnsi="仿宋_GB2312" w:eastAsia="仿宋_GB2312" w:cs="仿宋_GB2312"/>
          <w:sz w:val="32"/>
          <w:szCs w:val="32"/>
          <w:lang w:eastAsia="zh-CN"/>
        </w:rPr>
        <w:t>以评促改、以改提质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在</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en" w:eastAsia="zh-CN"/>
        </w:rPr>
        <w:t>全省行政复议案卷评查中，益阳市案卷评查综合得分全省排名第一</w:t>
      </w:r>
      <w:r>
        <w:rPr>
          <w:rFonts w:hint="eastAsia" w:ascii="仿宋_GB2312" w:hAnsi="仿宋_GB2312" w:eastAsia="仿宋_GB2312" w:cs="仿宋_GB2312"/>
          <w:sz w:val="32"/>
          <w:szCs w:val="32"/>
          <w:lang w:val="en-US" w:eastAsia="zh-CN"/>
        </w:rPr>
        <w:t>。</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绩效目标2：全力保障服务民生。</w:t>
      </w:r>
      <w:r>
        <w:rPr>
          <w:rFonts w:hint="eastAsia" w:ascii="楷体" w:hAnsi="楷体" w:eastAsia="楷体" w:cs="楷体"/>
          <w:sz w:val="32"/>
          <w:szCs w:val="32"/>
          <w:lang w:eastAsia="zh-CN"/>
        </w:rPr>
        <w:t>一</w:t>
      </w:r>
      <w:r>
        <w:rPr>
          <w:rFonts w:hint="eastAsia" w:ascii="仿宋_GB2312" w:hAnsi="仿宋_GB2312" w:eastAsia="仿宋_GB2312" w:cs="仿宋_GB2312"/>
          <w:b/>
          <w:sz w:val="32"/>
          <w:szCs w:val="32"/>
        </w:rPr>
        <w:t>是全面优化法治化营商环境。</w:t>
      </w:r>
      <w:r>
        <w:rPr>
          <w:rFonts w:hint="eastAsia" w:ascii="仿宋_GB2312" w:hAnsi="仿宋_GB2312" w:eastAsia="仿宋_GB2312" w:cs="仿宋_GB2312"/>
          <w:sz w:val="32"/>
          <w:szCs w:val="32"/>
        </w:rPr>
        <w:t>深入开展涉企柔性执法，推行分类检查制度，依法依规开展行政检查。深入开展“走基层·惠民生”主题活动，168名律师走访企业达</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家，解决法律问题1000余个。成立东创科技孵化器法律服务工作站，为企业提供</w:t>
      </w:r>
      <w:r>
        <w:rPr>
          <w:rFonts w:hint="eastAsia" w:ascii="仿宋_GB2312" w:hAnsi="仿宋_GB2312" w:eastAsia="仿宋_GB2312" w:cs="仿宋_GB2312"/>
          <w:sz w:val="32"/>
          <w:szCs w:val="32"/>
          <w:lang w:eastAsia="zh-CN"/>
        </w:rPr>
        <w:t>高效</w:t>
      </w:r>
      <w:r>
        <w:rPr>
          <w:rFonts w:hint="eastAsia" w:ascii="仿宋_GB2312" w:hAnsi="仿宋_GB2312" w:eastAsia="仿宋_GB2312" w:cs="仿宋_GB2312"/>
          <w:sz w:val="32"/>
          <w:szCs w:val="32"/>
        </w:rPr>
        <w:t>法律服务。</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是不断实化公共法律服务举措。</w:t>
      </w:r>
      <w:r>
        <w:rPr>
          <w:rFonts w:hint="eastAsia" w:ascii="仿宋_GB2312" w:hAnsi="仿宋_GB2312" w:eastAsia="仿宋_GB2312" w:cs="仿宋_GB2312"/>
          <w:sz w:val="32"/>
          <w:szCs w:val="32"/>
        </w:rPr>
        <w:t>持续推进现代公共法律服务体系</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深入推进便民利民服务方式，</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优化公证服务，</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sz w:val="32"/>
          <w:szCs w:val="32"/>
        </w:rPr>
        <w:t>“八办”便民服务举措，办好群众实事。今年以来，全市共受理法律援助案件</w:t>
      </w:r>
      <w:r>
        <w:rPr>
          <w:rFonts w:hint="eastAsia" w:ascii="仿宋_GB2312" w:hAnsi="仿宋_GB2312" w:eastAsia="仿宋_GB2312" w:cs="仿宋_GB2312"/>
          <w:sz w:val="32"/>
          <w:szCs w:val="32"/>
          <w:lang w:val="en-US" w:eastAsia="zh-CN"/>
        </w:rPr>
        <w:t>2838</w:t>
      </w:r>
      <w:r>
        <w:rPr>
          <w:rFonts w:hint="eastAsia" w:ascii="仿宋_GB2312" w:hAnsi="仿宋_GB2312" w:eastAsia="仿宋_GB2312" w:cs="仿宋_GB2312"/>
          <w:sz w:val="32"/>
          <w:szCs w:val="32"/>
        </w:rPr>
        <w:t>件，办理公证业务</w:t>
      </w:r>
      <w:r>
        <w:rPr>
          <w:rFonts w:hint="eastAsia" w:ascii="仿宋_GB2312" w:hAnsi="仿宋_GB2312" w:eastAsia="仿宋_GB2312" w:cs="仿宋_GB2312"/>
          <w:sz w:val="32"/>
          <w:szCs w:val="32"/>
          <w:lang w:val="en-US" w:eastAsia="zh-CN"/>
        </w:rPr>
        <w:t>9335</w:t>
      </w:r>
      <w:r>
        <w:rPr>
          <w:rFonts w:hint="eastAsia" w:ascii="仿宋_GB2312" w:hAnsi="仿宋_GB2312" w:eastAsia="仿宋_GB2312" w:cs="仿宋_GB2312"/>
          <w:sz w:val="32"/>
          <w:szCs w:val="32"/>
        </w:rPr>
        <w:t>件，司法鉴定业务</w:t>
      </w:r>
      <w:r>
        <w:rPr>
          <w:rFonts w:hint="eastAsia" w:ascii="仿宋_GB2312" w:hAnsi="仿宋_GB2312" w:eastAsia="仿宋_GB2312" w:cs="仿宋_GB2312"/>
          <w:sz w:val="32"/>
          <w:szCs w:val="32"/>
          <w:lang w:val="en-US" w:eastAsia="zh-CN"/>
        </w:rPr>
        <w:t>3710</w:t>
      </w:r>
      <w:r>
        <w:rPr>
          <w:rFonts w:hint="eastAsia" w:ascii="仿宋_GB2312" w:hAnsi="仿宋_GB2312" w:eastAsia="仿宋_GB2312" w:cs="仿宋_GB2312"/>
          <w:sz w:val="32"/>
          <w:szCs w:val="32"/>
        </w:rPr>
        <w:t>件，受理仲裁案件</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件，接听热线咨询</w:t>
      </w:r>
      <w:r>
        <w:rPr>
          <w:rFonts w:hint="eastAsia" w:ascii="仿宋_GB2312" w:hAnsi="仿宋_GB2312" w:eastAsia="仿宋_GB2312" w:cs="仿宋_GB2312"/>
          <w:sz w:val="32"/>
          <w:szCs w:val="32"/>
          <w:lang w:val="en-US" w:eastAsia="zh-CN"/>
        </w:rPr>
        <w:t>3335</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是</w:t>
      </w:r>
      <w:r>
        <w:rPr>
          <w:rFonts w:hint="eastAsia" w:ascii="仿宋_GB2312" w:hAnsi="仿宋_GB2312" w:eastAsia="仿宋_GB2312" w:cs="仿宋_GB2312"/>
          <w:b/>
          <w:sz w:val="32"/>
          <w:szCs w:val="32"/>
          <w:lang w:eastAsia="zh-CN"/>
        </w:rPr>
        <w:t>持续深化</w:t>
      </w:r>
      <w:r>
        <w:rPr>
          <w:rFonts w:hint="eastAsia" w:ascii="仿宋_GB2312" w:hAnsi="仿宋_GB2312" w:eastAsia="仿宋_GB2312" w:cs="仿宋_GB2312"/>
          <w:b/>
          <w:sz w:val="32"/>
          <w:szCs w:val="32"/>
        </w:rPr>
        <w:t>普法宣传。</w:t>
      </w:r>
      <w:r>
        <w:rPr>
          <w:rFonts w:hint="eastAsia" w:ascii="仿宋_GB2312" w:hAnsi="仿宋_GB2312" w:eastAsia="仿宋_GB2312" w:cs="仿宋_GB2312"/>
          <w:b w:val="0"/>
          <w:bCs w:val="0"/>
          <w:sz w:val="32"/>
          <w:szCs w:val="32"/>
          <w:lang w:eastAsia="zh-CN"/>
        </w:rPr>
        <w:t>抓实“八五”普法规划实施，以“</w:t>
      </w:r>
      <w:r>
        <w:rPr>
          <w:rFonts w:hint="eastAsia" w:ascii="仿宋_GB2312" w:hAnsi="仿宋_GB2312" w:eastAsia="仿宋_GB2312" w:cs="仿宋_GB2312"/>
          <w:b w:val="0"/>
          <w:bCs w:val="0"/>
          <w:sz w:val="32"/>
          <w:szCs w:val="32"/>
        </w:rPr>
        <w:t>美好生活·民法典相伴</w:t>
      </w:r>
      <w:r>
        <w:rPr>
          <w:rFonts w:hint="eastAsia" w:ascii="仿宋_GB2312" w:hAnsi="仿宋_GB2312" w:eastAsia="仿宋_GB2312" w:cs="仿宋_GB2312"/>
          <w:b w:val="0"/>
          <w:bCs w:val="0"/>
          <w:sz w:val="32"/>
          <w:szCs w:val="32"/>
          <w:lang w:eastAsia="zh-CN"/>
        </w:rPr>
        <w:t>”、大学生“送法下乡”、民主法治示范村（社区）创建等活动为切入点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全面提升公民法治素养。今年来，</w:t>
      </w:r>
      <w:r>
        <w:rPr>
          <w:rFonts w:hint="eastAsia" w:ascii="仿宋_GB2312" w:hAnsi="仿宋_GB2312" w:eastAsia="仿宋_GB2312" w:cs="仿宋_GB2312"/>
          <w:b w:val="0"/>
          <w:bCs w:val="0"/>
          <w:color w:val="auto"/>
          <w:kern w:val="0"/>
          <w:sz w:val="32"/>
          <w:szCs w:val="32"/>
          <w:shd w:val="clear" w:color="auto" w:fill="FFFFFF"/>
          <w:lang w:eastAsia="zh-CN"/>
        </w:rPr>
        <w:t>开展法治宣讲</w:t>
      </w:r>
      <w:r>
        <w:rPr>
          <w:rFonts w:hint="eastAsia" w:ascii="仿宋_GB2312" w:hAnsi="仿宋_GB2312" w:eastAsia="仿宋_GB2312" w:cs="仿宋_GB2312"/>
          <w:b w:val="0"/>
          <w:bCs w:val="0"/>
          <w:color w:val="auto"/>
          <w:kern w:val="0"/>
          <w:sz w:val="32"/>
          <w:szCs w:val="32"/>
          <w:shd w:val="clear" w:color="auto" w:fill="FFFFFF"/>
          <w:lang w:val="en-US" w:eastAsia="zh-CN"/>
        </w:rPr>
        <w:t>400余</w:t>
      </w:r>
      <w:r>
        <w:rPr>
          <w:rFonts w:hint="eastAsia" w:ascii="仿宋_GB2312" w:hAnsi="仿宋_GB2312" w:eastAsia="仿宋_GB2312" w:cs="仿宋_GB2312"/>
          <w:b w:val="0"/>
          <w:bCs w:val="0"/>
          <w:color w:val="auto"/>
          <w:kern w:val="0"/>
          <w:sz w:val="32"/>
          <w:szCs w:val="32"/>
          <w:shd w:val="clear" w:color="auto" w:fill="FFFFFF"/>
          <w:lang w:eastAsia="zh-CN"/>
        </w:rPr>
        <w:t>场，</w:t>
      </w:r>
      <w:r>
        <w:rPr>
          <w:rFonts w:hint="eastAsia" w:ascii="仿宋_GB2312" w:hAnsi="仿宋_GB2312" w:eastAsia="仿宋_GB2312" w:cs="仿宋_GB2312"/>
          <w:b w:val="0"/>
          <w:bCs w:val="0"/>
          <w:color w:val="auto"/>
          <w:kern w:val="0"/>
          <w:sz w:val="32"/>
          <w:szCs w:val="32"/>
          <w:shd w:val="clear" w:color="auto" w:fill="FFFFFF"/>
          <w:lang w:val="en-US" w:eastAsia="zh-CN"/>
        </w:rPr>
        <w:t>发放宣传资料30多</w:t>
      </w:r>
      <w:r>
        <w:rPr>
          <w:rFonts w:hint="eastAsia" w:ascii="仿宋_GB2312" w:hAnsi="仿宋_GB2312" w:eastAsia="仿宋_GB2312" w:cs="仿宋_GB2312"/>
          <w:b w:val="0"/>
          <w:bCs w:val="0"/>
          <w:color w:val="auto"/>
          <w:kern w:val="0"/>
          <w:sz w:val="32"/>
          <w:szCs w:val="32"/>
          <w:shd w:val="clear" w:color="auto" w:fill="FFFFFF"/>
          <w:lang w:eastAsia="zh-CN"/>
        </w:rPr>
        <w:t>万</w:t>
      </w:r>
      <w:r>
        <w:rPr>
          <w:rFonts w:hint="eastAsia" w:ascii="仿宋_GB2312" w:hAnsi="仿宋_GB2312" w:eastAsia="仿宋_GB2312" w:cs="仿宋_GB2312"/>
          <w:b w:val="0"/>
          <w:bCs w:val="0"/>
          <w:color w:val="auto"/>
          <w:kern w:val="0"/>
          <w:sz w:val="32"/>
          <w:szCs w:val="32"/>
          <w:shd w:val="clear" w:color="auto" w:fill="FFFFFF"/>
          <w:lang w:val="en-US" w:eastAsia="zh-CN"/>
        </w:rPr>
        <w:t>份，解答法律咨询</w:t>
      </w:r>
      <w:r>
        <w:rPr>
          <w:rFonts w:hint="eastAsia" w:ascii="仿宋_GB2312" w:hAnsi="仿宋_GB2312" w:eastAsia="仿宋_GB2312" w:cs="仿宋_GB2312"/>
          <w:b w:val="0"/>
          <w:bCs w:val="0"/>
          <w:color w:val="auto"/>
          <w:kern w:val="0"/>
          <w:sz w:val="32"/>
          <w:szCs w:val="32"/>
          <w:shd w:val="clear" w:color="auto" w:fill="FFFFFF"/>
          <w:lang w:eastAsia="zh-CN"/>
        </w:rPr>
        <w:t>近</w:t>
      </w:r>
      <w:r>
        <w:rPr>
          <w:rFonts w:hint="eastAsia" w:ascii="仿宋_GB2312" w:hAnsi="仿宋_GB2312" w:eastAsia="仿宋_GB2312" w:cs="仿宋_GB2312"/>
          <w:b w:val="0"/>
          <w:bCs w:val="0"/>
          <w:color w:val="auto"/>
          <w:kern w:val="0"/>
          <w:sz w:val="32"/>
          <w:szCs w:val="32"/>
          <w:shd w:val="clear" w:color="auto" w:fill="FFFFFF"/>
          <w:lang w:val="en-US" w:eastAsia="zh-CN"/>
        </w:rPr>
        <w:t>5</w:t>
      </w:r>
      <w:r>
        <w:rPr>
          <w:rFonts w:hint="eastAsia" w:ascii="仿宋_GB2312" w:hAnsi="仿宋_GB2312" w:eastAsia="仿宋_GB2312" w:cs="仿宋_GB2312"/>
          <w:b w:val="0"/>
          <w:bCs w:val="0"/>
          <w:color w:val="auto"/>
          <w:kern w:val="0"/>
          <w:sz w:val="32"/>
          <w:szCs w:val="32"/>
          <w:shd w:val="clear" w:color="auto" w:fill="FFFFFF"/>
          <w:lang w:eastAsia="zh-CN"/>
        </w:rPr>
        <w:t>万</w:t>
      </w:r>
      <w:r>
        <w:rPr>
          <w:rFonts w:hint="eastAsia" w:ascii="仿宋_GB2312" w:hAnsi="仿宋_GB2312" w:eastAsia="仿宋_GB2312" w:cs="仿宋_GB2312"/>
          <w:b w:val="0"/>
          <w:bCs w:val="0"/>
          <w:color w:val="auto"/>
          <w:kern w:val="0"/>
          <w:sz w:val="32"/>
          <w:szCs w:val="32"/>
          <w:shd w:val="clear" w:color="auto" w:fill="FFFFFF"/>
          <w:lang w:val="en-US" w:eastAsia="zh-CN"/>
        </w:rPr>
        <w:t>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绩效目标3：</w:t>
      </w:r>
      <w:r>
        <w:rPr>
          <w:rFonts w:hint="eastAsia" w:ascii="仿宋_GB2312" w:hAnsi="仿宋_GB2312" w:eastAsia="仿宋_GB2312" w:cs="仿宋_GB2312"/>
          <w:sz w:val="32"/>
          <w:szCs w:val="32"/>
        </w:rPr>
        <w:t>坚决确保安全稳定。</w:t>
      </w:r>
      <w:r>
        <w:rPr>
          <w:rFonts w:hint="eastAsia" w:ascii="仿宋_GB2312" w:hAnsi="仿宋_GB2312" w:eastAsia="仿宋_GB2312" w:cs="仿宋_GB2312"/>
          <w:b/>
          <w:sz w:val="32"/>
          <w:szCs w:val="32"/>
        </w:rPr>
        <w:t>一是聚焦风险隐患治理。</w:t>
      </w:r>
      <w:r>
        <w:rPr>
          <w:rFonts w:hint="eastAsia" w:ascii="仿宋_GB2312" w:hAnsi="仿宋_GB2312" w:eastAsia="仿宋_GB2312" w:cs="仿宋_GB2312"/>
          <w:sz w:val="32"/>
          <w:szCs w:val="32"/>
        </w:rPr>
        <w:t>组织开展防范非法集资和电信网络诈骗专项普法活动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全面排查经济金融、基层治理等方面的重大风险隐患和突出矛盾纠纷，主动为困难风险企业提供法律服务，正向引导诉求群众依法理性维权，有效防范群体性事件发生。</w:t>
      </w:r>
      <w:r>
        <w:rPr>
          <w:rFonts w:hint="eastAsia" w:ascii="仿宋_GB2312" w:hAnsi="仿宋_GB2312" w:eastAsia="仿宋_GB2312" w:cs="仿宋_GB2312"/>
          <w:b/>
          <w:sz w:val="32"/>
          <w:szCs w:val="32"/>
        </w:rPr>
        <w:t>二是</w:t>
      </w:r>
      <w:r>
        <w:rPr>
          <w:rFonts w:hint="eastAsia" w:ascii="仿宋_GB2312" w:hAnsi="仿宋_GB2312" w:eastAsia="仿宋_GB2312" w:cs="仿宋_GB2312"/>
          <w:b/>
          <w:sz w:val="32"/>
          <w:szCs w:val="32"/>
          <w:lang w:eastAsia="zh-CN"/>
        </w:rPr>
        <w:t>聚焦</w:t>
      </w:r>
      <w:r>
        <w:rPr>
          <w:rFonts w:hint="eastAsia" w:ascii="仿宋_GB2312" w:hAnsi="仿宋_GB2312" w:eastAsia="仿宋_GB2312" w:cs="仿宋_GB2312"/>
          <w:b/>
          <w:sz w:val="32"/>
          <w:szCs w:val="32"/>
        </w:rPr>
        <w:t>矛盾纠纷</w:t>
      </w:r>
      <w:r>
        <w:rPr>
          <w:rFonts w:hint="eastAsia" w:ascii="仿宋_GB2312" w:hAnsi="仿宋_GB2312" w:eastAsia="仿宋_GB2312" w:cs="仿宋_GB2312"/>
          <w:b/>
          <w:sz w:val="32"/>
          <w:szCs w:val="32"/>
          <w:lang w:eastAsia="zh-CN"/>
        </w:rPr>
        <w:t>化解</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深入开展“以调促稳”活动，</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sz w:val="32"/>
          <w:szCs w:val="32"/>
        </w:rPr>
        <w:t>“司法行政+人民调解”联调联动工作机制，</w:t>
      </w:r>
      <w:r>
        <w:rPr>
          <w:rFonts w:hint="eastAsia" w:ascii="仿宋_GB2312" w:hAnsi="仿宋_GB2312" w:eastAsia="仿宋_GB2312" w:cs="仿宋_GB2312"/>
          <w:b w:val="0"/>
          <w:bCs w:val="0"/>
          <w:sz w:val="32"/>
          <w:szCs w:val="32"/>
          <w:lang w:val="en-US" w:eastAsia="zh-CN"/>
        </w:rPr>
        <w:t>共调解各类矛盾纠纷17212件，调解成功16450件，调解成功率达95.57%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三是</w:t>
      </w:r>
      <w:r>
        <w:rPr>
          <w:rFonts w:hint="eastAsia" w:ascii="仿宋_GB2312" w:hAnsi="仿宋_GB2312" w:eastAsia="仿宋_GB2312" w:cs="仿宋_GB2312"/>
          <w:b/>
          <w:sz w:val="32"/>
          <w:szCs w:val="32"/>
          <w:lang w:eastAsia="zh-CN"/>
        </w:rPr>
        <w:t>聚焦</w:t>
      </w:r>
      <w:r>
        <w:rPr>
          <w:rFonts w:hint="eastAsia" w:ascii="仿宋_GB2312" w:hAnsi="仿宋_GB2312" w:eastAsia="仿宋_GB2312" w:cs="仿宋_GB2312"/>
          <w:b/>
          <w:sz w:val="32"/>
          <w:szCs w:val="32"/>
        </w:rPr>
        <w:t>特殊人群管控。</w:t>
      </w:r>
      <w:r>
        <w:rPr>
          <w:rFonts w:hint="eastAsia" w:ascii="仿宋_GB2312" w:hAnsi="仿宋_GB2312" w:eastAsia="仿宋_GB2312" w:cs="仿宋_GB2312"/>
          <w:b w:val="0"/>
          <w:bCs w:val="0"/>
          <w:sz w:val="32"/>
          <w:szCs w:val="32"/>
          <w:lang w:val="en-US" w:eastAsia="zh-CN"/>
        </w:rPr>
        <w:t>依托“智慧矫正”平台，对社区矫正对象实施全面有效监管。</w:t>
      </w:r>
      <w:r>
        <w:rPr>
          <w:rFonts w:hint="eastAsia" w:ascii="仿宋_GB2312" w:hAnsi="仿宋_GB2312" w:eastAsia="仿宋_GB2312" w:cs="仿宋_GB2312"/>
          <w:b w:val="0"/>
          <w:bCs w:val="0"/>
          <w:sz w:val="32"/>
          <w:szCs w:val="32"/>
        </w:rPr>
        <w:t>刑满释放人员安置率、帮教率均为100%。</w:t>
      </w:r>
      <w:r>
        <w:rPr>
          <w:rFonts w:hint="eastAsia" w:ascii="仿宋_GB2312" w:hAnsi="仿宋_GB2312" w:eastAsia="仿宋_GB2312" w:cs="仿宋_GB2312"/>
          <w:b w:val="0"/>
          <w:bCs w:val="0"/>
          <w:sz w:val="32"/>
          <w:szCs w:val="32"/>
          <w:lang w:val="en-US" w:eastAsia="zh-CN"/>
        </w:rPr>
        <w:t>市强戒所以“基础业务提升年”和“大培训、大练兵、大比武”等活动为抓手，推动戒治工作规范化建设，场所持续安全稳定。</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lang w:eastAsia="zh-CN"/>
        </w:rPr>
        <w:t>七</w:t>
      </w:r>
      <w:r>
        <w:rPr>
          <w:rFonts w:hint="eastAsia" w:ascii="黑体" w:hAnsi="黑体" w:eastAsia="黑体" w:cs="黑体"/>
          <w:spacing w:val="20"/>
          <w:sz w:val="32"/>
          <w:szCs w:val="32"/>
        </w:rPr>
        <w:t>、下一步改进措施</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（一）加强预算管理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梳理项目支出合理性，根据司法行政工作业务实际，单位内部建立项目预算合理性审定、绩效评价及结果应用、项目动态调整机制，使项目预算更为科学合理、客观真实，从项目申报立项到项目财评送审再到招标开建直至支付完结实现全流程无缝对接，切实提高预算执行效率。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（二）提高预算编制的精准度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开展单位内部分配预算编制工作，根据预算指标对应的所属业务处室，配合各业务处室按照预算指标额度，结合实际的工作开展计划，编制支出明细预算，经单位预算审批机构审核批准后，作为年度预算的补充，据以作为经费支出的管理和考核依据。 </w:t>
      </w:r>
    </w:p>
    <w:p>
      <w:pPr>
        <w:keepNext w:val="0"/>
        <w:keepLines w:val="0"/>
        <w:pageBreakBefore w:val="0"/>
        <w:kinsoku/>
        <w:wordWrap/>
        <w:overflowPunct/>
        <w:topLinePunct w:val="0"/>
        <w:autoSpaceDE/>
        <w:autoSpaceDN/>
        <w:bidi w:val="0"/>
        <w:spacing w:line="600" w:lineRule="exact"/>
        <w:ind w:firstLine="720" w:firstLineChars="200"/>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lang w:eastAsia="zh-CN"/>
        </w:rPr>
        <w:t>八</w:t>
      </w:r>
      <w:r>
        <w:rPr>
          <w:rFonts w:hint="eastAsia" w:ascii="黑体" w:hAnsi="黑体" w:eastAsia="黑体" w:cs="黑体"/>
          <w:spacing w:val="20"/>
          <w:sz w:val="32"/>
          <w:szCs w:val="32"/>
        </w:rPr>
        <w:t>、部门整体支出绩效自评结果拟应用和公开情况</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我单位积极落实评价结果报告、反馈和整改工作。及时将部门整体支出绩效情况以及具体各项目支出情况报局领导和各项目支出责任部门。督促项目支出责任部门或实施单位针对绩效评价所反映的问题进行认真研究、积极整改。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绩效评价结果与预算安排有机结合。优先考虑和重点支持绩效好、执行率高的项目，对达不到绩效目标或评价结果较差且无整改措施或整改无效的项目，相应核减或取消项目预算。 </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绩效管理信息公开。按照信息公开的有关规定，市司法局2023年绩效自评在本单位门户网依法主动公开。</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kern w:val="0"/>
          <w:sz w:val="32"/>
          <w:szCs w:val="32"/>
          <w:lang w:val="en-US" w:eastAsia="zh-CN" w:bidi="ar-SA"/>
        </w:rPr>
      </w:pPr>
    </w:p>
    <w:p>
      <w:pPr>
        <w:ind w:firstLine="1280" w:firstLineChars="400"/>
        <w:jc w:val="left"/>
        <w:rPr>
          <w:rFonts w:hint="default" w:ascii="仿宋_GB2312" w:hAnsi="仿宋_GB2312" w:eastAsia="仿宋_GB2312" w:cs="仿宋_GB2312"/>
          <w:kern w:val="0"/>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lang w:val="en-US" w:eastAsia="zh-CN" w:bidi="ar-SA"/>
        </w:rPr>
        <w:br w:type="page"/>
      </w:r>
    </w:p>
    <w:p>
      <w:pPr>
        <w:ind w:firstLine="1280" w:firstLineChars="400"/>
        <w:jc w:val="left"/>
        <w:rPr>
          <w:rFonts w:hint="default" w:ascii="黑体" w:hAnsi="黑体" w:eastAsia="黑体" w:cs="黑体"/>
          <w:sz w:val="32"/>
          <w:szCs w:val="32"/>
          <w:u w:val="none"/>
          <w:lang w:val="en-US" w:eastAsia="zh-CN"/>
        </w:rPr>
      </w:pPr>
    </w:p>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00"/>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DAB13"/>
    <w:multiLevelType w:val="singleLevel"/>
    <w:tmpl w:val="CA6DAB13"/>
    <w:lvl w:ilvl="0" w:tentative="0">
      <w:start w:val="3"/>
      <w:numFmt w:val="chineseCounting"/>
      <w:suff w:val="nothing"/>
      <w:lvlText w:val="（%1）"/>
      <w:lvlJc w:val="left"/>
      <w:rPr>
        <w:rFonts w:hint="eastAsia"/>
      </w:rPr>
    </w:lvl>
  </w:abstractNum>
  <w:abstractNum w:abstractNumId="1">
    <w:nsid w:val="1C161E49"/>
    <w:multiLevelType w:val="singleLevel"/>
    <w:tmpl w:val="1C161E49"/>
    <w:lvl w:ilvl="0" w:tentative="0">
      <w:start w:val="1"/>
      <w:numFmt w:val="chineseCounting"/>
      <w:suff w:val="nothing"/>
      <w:lvlText w:val="%1、"/>
      <w:lvlJc w:val="left"/>
      <w:rPr>
        <w:rFonts w:hint="eastAsia"/>
      </w:rPr>
    </w:lvl>
  </w:abstractNum>
  <w:abstractNum w:abstractNumId="2">
    <w:nsid w:val="622AA9B7"/>
    <w:multiLevelType w:val="singleLevel"/>
    <w:tmpl w:val="622AA9B7"/>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2Y2NzI2ZjNhOTI2MmQ4ODAxNTYwOWU5ODFlYmIifQ=="/>
  </w:docVars>
  <w:rsids>
    <w:rsidRoot w:val="6AE32D49"/>
    <w:rsid w:val="33980E87"/>
    <w:rsid w:val="6AE32D49"/>
    <w:rsid w:val="6CE3799A"/>
    <w:rsid w:val="747D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TOC1"/>
    <w:basedOn w:val="1"/>
    <w:next w:val="1"/>
    <w:autoRedefine/>
    <w:qFormat/>
    <w:locked/>
    <w:uiPriority w:val="0"/>
    <w:pPr>
      <w:pBdr>
        <w:bottom w:val="single" w:color="FFFFFF" w:sz="4" w:space="28"/>
      </w:pBdr>
      <w:snapToGrid w:val="0"/>
      <w:ind w:firstLine="200" w:firstLineChars="200"/>
      <w:jc w:val="both"/>
      <w:textAlignment w:val="baseline"/>
    </w:pPr>
    <w:rPr>
      <w:rFonts w:ascii="仿宋" w:hAnsi="Calibri" w:eastAsia="仿宋"/>
      <w:kern w:val="2"/>
      <w:sz w:val="32"/>
      <w:szCs w:val="32"/>
      <w:lang w:val="en-US" w:eastAsia="zh-CN" w:bidi="ar-SA"/>
    </w:rPr>
  </w:style>
  <w:style w:type="paragraph" w:styleId="3">
    <w:name w:val="Body Text"/>
    <w:basedOn w:val="1"/>
    <w:next w:val="4"/>
    <w:unhideWhenUsed/>
    <w:qFormat/>
    <w:uiPriority w:val="99"/>
    <w:rPr>
      <w:rFonts w:eastAsia="仿宋_GB2312"/>
      <w:sz w:val="32"/>
    </w:rPr>
  </w:style>
  <w:style w:type="paragraph" w:styleId="4">
    <w:name w:val="header"/>
    <w:basedOn w:val="1"/>
    <w:next w:val="5"/>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_Style 3"/>
    <w:next w:val="1"/>
    <w:autoRedefine/>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2024-05-07T00:51:00Z</dcterms:created>
  <dc:creator>Administrator</dc:creator>
  <cp:lastModifiedBy>Administrator</cp:lastModifiedBy>
  <cp:lastPrinted>2024-05-07T00:56:17Z</cp:lastPrinted>
  <dcterms:modified xsi:type="dcterms:W3CDTF">2024-05-07T07:07:59Z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11FE33BCD6E44595AFBDCBB728C84ADB_11</vt:lpwstr>
  </property>
</Properties>
</file>