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auto"/>
          <w:sz w:val="44"/>
          <w:szCs w:val="44"/>
          <w:lang w:eastAsia="zh-CN"/>
        </w:rPr>
      </w:pPr>
      <w:bookmarkStart w:id="0" w:name="_GoBack"/>
      <w:bookmarkEnd w:id="0"/>
      <w:r>
        <w:rPr>
          <w:rFonts w:hint="default" w:ascii="方正小标宋简体" w:hAnsi="方正小标宋简体" w:eastAsia="方正小标宋简体" w:cs="方正小标宋简体"/>
          <w:b w:val="0"/>
          <w:bCs/>
          <w:color w:val="auto"/>
          <w:sz w:val="44"/>
          <w:szCs w:val="44"/>
          <w:lang w:eastAsia="zh-CN"/>
        </w:rPr>
        <w:t>2023年益阳市市</w:t>
      </w:r>
      <w:r>
        <w:rPr>
          <w:rFonts w:hint="eastAsia" w:ascii="方正小标宋简体" w:hAnsi="方正小标宋简体" w:eastAsia="方正小标宋简体" w:cs="方正小标宋简体"/>
          <w:b w:val="0"/>
          <w:bCs/>
          <w:color w:val="auto"/>
          <w:sz w:val="44"/>
          <w:szCs w:val="44"/>
          <w:lang w:val="en" w:eastAsia="zh-CN"/>
        </w:rPr>
        <w:t>直</w:t>
      </w:r>
      <w:r>
        <w:rPr>
          <w:rFonts w:hint="default" w:ascii="方正小标宋简体" w:hAnsi="方正小标宋简体" w:eastAsia="方正小标宋简体" w:cs="方正小标宋简体"/>
          <w:b w:val="0"/>
          <w:bCs/>
          <w:color w:val="auto"/>
          <w:sz w:val="44"/>
          <w:szCs w:val="44"/>
          <w:lang w:eastAsia="zh-CN"/>
        </w:rPr>
        <w:t>国家</w:t>
      </w:r>
      <w:r>
        <w:rPr>
          <w:rFonts w:hint="eastAsia" w:ascii="方正小标宋简体" w:hAnsi="方正小标宋简体" w:eastAsia="方正小标宋简体" w:cs="方正小标宋简体"/>
          <w:b w:val="0"/>
          <w:bCs/>
          <w:color w:val="auto"/>
          <w:sz w:val="44"/>
          <w:szCs w:val="44"/>
          <w:lang w:val="en" w:eastAsia="zh-CN"/>
        </w:rPr>
        <w:t>机关及</w:t>
      </w:r>
      <w:r>
        <w:rPr>
          <w:rFonts w:hint="default" w:ascii="方正小标宋简体" w:hAnsi="方正小标宋简体" w:eastAsia="方正小标宋简体" w:cs="方正小标宋简体"/>
          <w:b w:val="0"/>
          <w:bCs/>
          <w:color w:val="auto"/>
          <w:sz w:val="44"/>
          <w:szCs w:val="44"/>
          <w:lang w:eastAsia="zh-CN"/>
        </w:rPr>
        <w:t>中央、省驻益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 w:eastAsia="zh-CN"/>
        </w:rPr>
        <w:t>有关单位普法责任清单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仿宋_GB2312"/>
          <w:b w:val="0"/>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outlineLvl w:val="0"/>
        <w:rPr>
          <w:rFonts w:hint="eastAsia" w:ascii="Times New Roman" w:hAnsi="Times New Roman" w:eastAsia="黑体"/>
          <w:color w:val="auto"/>
          <w:sz w:val="32"/>
          <w:szCs w:val="32"/>
          <w:lang w:val="en"/>
        </w:rPr>
      </w:pPr>
      <w:r>
        <w:rPr>
          <w:rFonts w:hint="eastAsia" w:ascii="Times New Roman" w:hAnsi="Times New Roman" w:eastAsia="黑体"/>
          <w:color w:val="auto"/>
          <w:sz w:val="32"/>
          <w:szCs w:val="32"/>
          <w:lang w:val="en"/>
        </w:rPr>
        <w:t>一、共性清单</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rPr>
          <w:rFonts w:hint="eastAsia" w:ascii="Times New Roman" w:hAnsi="Times New Roman" w:eastAsia="仿宋_GB2312"/>
          <w:color w:val="auto"/>
          <w:sz w:val="32"/>
          <w:szCs w:val="32"/>
          <w:lang w:val="en"/>
        </w:rPr>
      </w:pPr>
      <w:r>
        <w:rPr>
          <w:rFonts w:hint="eastAsia" w:ascii="仿宋_GB2312" w:hAnsi="仿宋_GB2312" w:eastAsia="仿宋_GB2312" w:cs="仿宋_GB2312"/>
          <w:b w:val="0"/>
          <w:bCs/>
          <w:color w:val="auto"/>
          <w:sz w:val="32"/>
          <w:szCs w:val="32"/>
          <w:lang w:eastAsia="zh-CN"/>
        </w:rPr>
        <w:t>深入学习宣传贯彻党的二十大精神</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
        </w:rPr>
        <w:t>习近平法治思想，持续深入开展宪法宣传教育，深入开展民法典的宣传普及，</w:t>
      </w:r>
      <w:r>
        <w:rPr>
          <w:rFonts w:hint="eastAsia" w:ascii="仿宋_GB2312" w:hAnsi="仿宋_GB2312" w:eastAsia="仿宋_GB2312" w:cs="仿宋_GB2312"/>
          <w:color w:val="auto"/>
          <w:sz w:val="32"/>
          <w:szCs w:val="32"/>
          <w:highlight w:val="none"/>
          <w:lang w:val="en"/>
        </w:rPr>
        <w:t>深入学习宣传党内法规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rPr>
        <w:t>深入宣传促进高质量发展、助推“三高四新”战略实施相关的法律法规，深入宣传与社会治理现代化密切相关的法律法规，深入宣传促进高质量发展、助推全市重大发展战略实施相关的法律法规，积极开展优化营商环境条例</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湖南省优化营商环境规定、</w:t>
      </w:r>
      <w:r>
        <w:rPr>
          <w:rFonts w:hint="eastAsia" w:ascii="仿宋_GB2312" w:hAnsi="仿宋_GB2312" w:eastAsia="仿宋_GB2312" w:cs="仿宋_GB2312"/>
          <w:color w:val="auto"/>
          <w:sz w:val="32"/>
          <w:szCs w:val="32"/>
          <w:lang w:val="en"/>
        </w:rPr>
        <w:t>益阳市文明行为促进条例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vertAlign w:val="baseline"/>
          <w:lang w:eastAsia="zh-CN"/>
        </w:rPr>
        <w:t>益阳市生活垃圾分类管理条例</w:t>
      </w:r>
      <w:r>
        <w:rPr>
          <w:rFonts w:hint="eastAsia" w:ascii="仿宋_GB2312" w:hAnsi="仿宋_GB2312" w:eastAsia="仿宋_GB2312" w:cs="仿宋_GB2312"/>
          <w:color w:val="auto"/>
          <w:sz w:val="32"/>
          <w:szCs w:val="32"/>
          <w:lang w:val="en"/>
        </w:rPr>
        <w:t>等法律法规宣传</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outlineLvl w:val="0"/>
        <w:rPr>
          <w:rFonts w:hint="eastAsia" w:ascii="Times New Roman" w:hAnsi="Times New Roman" w:eastAsia="黑体"/>
          <w:color w:val="auto"/>
          <w:sz w:val="32"/>
          <w:szCs w:val="32"/>
        </w:rPr>
      </w:pPr>
      <w:r>
        <w:rPr>
          <w:rFonts w:hint="eastAsia" w:ascii="Times New Roman" w:hAnsi="Times New Roman" w:eastAsia="黑体"/>
          <w:color w:val="auto"/>
          <w:sz w:val="32"/>
          <w:szCs w:val="32"/>
        </w:rPr>
        <w:t>二、个性清单</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sz w:val="32"/>
          <w:szCs w:val="32"/>
          <w:lang w:eastAsia="zh-CN"/>
        </w:rPr>
      </w:pPr>
      <w:r>
        <w:rPr>
          <w:rFonts w:hint="default" w:ascii="楷体_GB2312" w:hAnsi="Times New Roman" w:eastAsia="楷体_GB2312"/>
          <w:color w:val="auto"/>
          <w:sz w:val="32"/>
          <w:szCs w:val="32"/>
          <w:lang w:val="en"/>
        </w:rPr>
        <w:t>（一）</w:t>
      </w:r>
      <w:r>
        <w:rPr>
          <w:rFonts w:hint="default" w:ascii="楷体_GB2312" w:hAnsi="Times New Roman" w:eastAsia="楷体_GB2312"/>
          <w:color w:val="auto"/>
          <w:sz w:val="32"/>
          <w:szCs w:val="32"/>
        </w:rPr>
        <w:t>市</w:t>
      </w:r>
      <w:r>
        <w:rPr>
          <w:rFonts w:hint="default" w:ascii="楷体_GB2312" w:hAnsi="Times New Roman" w:eastAsia="楷体_GB2312"/>
          <w:color w:val="auto"/>
          <w:sz w:val="32"/>
          <w:szCs w:val="32"/>
          <w:lang w:val="en"/>
        </w:rPr>
        <w:t>纪委监委</w:t>
      </w:r>
      <w:r>
        <w:rPr>
          <w:rFonts w:hint="default" w:ascii="楷体_GB2312" w:hAnsi="Times New Roman" w:eastAsia="楷体_GB2312"/>
          <w:color w:val="auto"/>
          <w:sz w:val="32"/>
          <w:szCs w:val="32"/>
        </w:rPr>
        <w:t>:</w:t>
      </w:r>
      <w:r>
        <w:rPr>
          <w:rFonts w:hint="eastAsia" w:ascii="仿宋_GB2312" w:hAnsi="仿宋_GB2312" w:eastAsia="仿宋_GB2312" w:cs="仿宋_GB2312"/>
          <w:color w:val="auto"/>
          <w:sz w:val="32"/>
          <w:szCs w:val="32"/>
        </w:rPr>
        <w:t>重点宣传普及</w:t>
      </w:r>
      <w:r>
        <w:rPr>
          <w:rFonts w:hint="eastAsia" w:ascii="仿宋_GB2312" w:hAnsi="仿宋_GB2312" w:eastAsia="仿宋_GB2312" w:cs="仿宋_GB2312"/>
          <w:sz w:val="32"/>
          <w:szCs w:val="32"/>
        </w:rPr>
        <w:t>公职人员政务处分法</w:t>
      </w:r>
      <w:r>
        <w:rPr>
          <w:rFonts w:hint="eastAsia" w:ascii="仿宋_GB2312" w:hAnsi="仿宋_GB2312" w:eastAsia="仿宋_GB2312" w:cs="仿宋_GB2312"/>
          <w:sz w:val="32"/>
          <w:szCs w:val="32"/>
          <w:lang w:eastAsia="zh-CN"/>
        </w:rPr>
        <w:t>、监察官法、监察法、</w:t>
      </w:r>
      <w:r>
        <w:rPr>
          <w:rFonts w:hint="eastAsia" w:ascii="仿宋_GB2312" w:hAnsi="仿宋_GB2312" w:eastAsia="仿宋_GB2312" w:cs="仿宋_GB2312"/>
          <w:sz w:val="32"/>
          <w:szCs w:val="32"/>
          <w:lang w:val="en-US" w:eastAsia="zh-CN"/>
        </w:rPr>
        <w:t>监察法实施条例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"http://www.sxfj.gov.cn/news/10982216.html"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中国共产党纪律处分条例</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eastAsia="zh-CN"/>
        </w:rPr>
        <w:t>、中国共产党纪律检查委员会工作条例等涉及纪检监察</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的党内法规和</w:t>
      </w:r>
      <w:r>
        <w:rPr>
          <w:rFonts w:hint="default" w:ascii="仿宋_GB2312" w:hAnsi="仿宋_GB2312" w:eastAsia="仿宋_GB2312" w:cs="仿宋_GB2312"/>
          <w:sz w:val="32"/>
          <w:szCs w:val="32"/>
          <w:lang w:eastAsia="zh-CN"/>
        </w:rPr>
        <w:t>国家</w:t>
      </w:r>
      <w:r>
        <w:rPr>
          <w:rFonts w:hint="eastAsia" w:ascii="仿宋_GB2312" w:hAnsi="仿宋_GB2312" w:eastAsia="仿宋_GB2312" w:cs="仿宋_GB2312"/>
          <w:sz w:val="32"/>
          <w:szCs w:val="32"/>
          <w:lang w:eastAsia="zh-CN"/>
        </w:rPr>
        <w:t>法律</w:t>
      </w:r>
      <w:r>
        <w:rPr>
          <w:rFonts w:hint="default" w:ascii="仿宋_GB2312" w:hAnsi="仿宋_GB2312" w:eastAsia="仿宋_GB2312" w:cs="仿宋_GB2312"/>
          <w:sz w:val="32"/>
          <w:szCs w:val="32"/>
          <w:lang w:eastAsia="zh-CN"/>
        </w:rPr>
        <w:t>法规</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rPr>
      </w:pPr>
      <w:r>
        <w:rPr>
          <w:rFonts w:hint="default" w:ascii="楷体_GB2312" w:hAnsi="Times New Roman" w:eastAsia="楷体_GB2312"/>
          <w:color w:val="auto"/>
          <w:sz w:val="32"/>
          <w:szCs w:val="32"/>
        </w:rPr>
        <w:t>（二）市委网信办（市互联信息办）：</w:t>
      </w:r>
      <w:r>
        <w:rPr>
          <w:rFonts w:hint="eastAsia" w:ascii="仿宋_GB2312" w:hAnsi="仿宋_GB2312" w:eastAsia="仿宋_GB2312" w:cs="仿宋_GB2312"/>
          <w:color w:val="auto"/>
          <w:sz w:val="32"/>
          <w:szCs w:val="32"/>
        </w:rPr>
        <w:t>重点宣传普及</w:t>
      </w:r>
      <w:r>
        <w:rPr>
          <w:rFonts w:hint="eastAsia" w:ascii="仿宋_GB2312" w:hAnsi="仿宋_GB2312" w:eastAsia="仿宋_GB2312" w:cs="仿宋_GB2312"/>
          <w:sz w:val="32"/>
          <w:szCs w:val="32"/>
          <w:vertAlign w:val="baseline"/>
          <w:lang w:val="en-US" w:eastAsia="zh-CN"/>
        </w:rPr>
        <w:t>网络安全</w:t>
      </w:r>
      <w:r>
        <w:rPr>
          <w:rFonts w:hint="default" w:ascii="仿宋_GB2312" w:hAnsi="仿宋_GB2312" w:eastAsia="仿宋_GB2312" w:cs="仿宋_GB2312"/>
          <w:sz w:val="32"/>
          <w:szCs w:val="32"/>
          <w:vertAlign w:val="baseline"/>
          <w:lang w:eastAsia="zh-CN"/>
        </w:rPr>
        <w:t>法</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全国人民代表大会常务委员会关于加强网络信息保护的决定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全国人民代表大会常务委员会关于维护互联网安全的决定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计算机软件保护条例</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计算机信息网络国际联网安全保护管理办法</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计算机信息网络国际联网管理暂行规定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计算机信息系统安全保护条例</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国务院关于授权国家互联网信息办公室负责互联网信息内容管理工作的通知</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互联网信息服务管理办法</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网络信息内容生态治理规定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区块链信息服务管理规定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互联网新闻信息服务管理规定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互联网信息内容管理行政执法程序规定</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互联网新闻信息服务单位内容管理从业人员管理办法</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互联网跟帖评论服务管理规定</w:t>
      </w:r>
      <w:r>
        <w:rPr>
          <w:rFonts w:hint="eastAsia" w:ascii="仿宋_GB2312" w:hAnsi="仿宋_GB2312" w:eastAsia="仿宋_GB2312" w:cs="仿宋_GB2312"/>
          <w:color w:val="auto"/>
          <w:sz w:val="32"/>
          <w:szCs w:val="32"/>
        </w:rPr>
        <w:t>等加强网络信息保护、维护互联网安全方面的法律法规。</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sz w:val="32"/>
          <w:szCs w:val="32"/>
        </w:rPr>
      </w:pPr>
      <w:r>
        <w:rPr>
          <w:rFonts w:hint="default" w:ascii="楷体_GB2312" w:hAnsi="Times New Roman" w:eastAsia="楷体_GB2312"/>
          <w:color w:val="auto"/>
          <w:sz w:val="32"/>
          <w:szCs w:val="32"/>
        </w:rPr>
        <w:t>（三）市委办公室（市外事办）：</w:t>
      </w:r>
      <w:r>
        <w:rPr>
          <w:rFonts w:hint="eastAsia" w:ascii="Times New Roman" w:hAnsi="Times New Roman" w:eastAsia="仿宋_GB2312"/>
          <w:color w:val="auto"/>
          <w:sz w:val="32"/>
          <w:szCs w:val="32"/>
        </w:rPr>
        <w:t>重点宣传普及护照法、出境入境管理法、保守国家秘密法、国家安全法、反间谍法、反恐怖主义法、外商投资法、外交特权与豁免条例、领事特权与豁免条例等法律法规。</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sz w:val="32"/>
          <w:szCs w:val="32"/>
        </w:rPr>
      </w:pPr>
      <w:r>
        <w:rPr>
          <w:rFonts w:hint="default" w:ascii="楷体_GB2312" w:hAnsi="Times New Roman" w:eastAsia="楷体_GB2312"/>
          <w:color w:val="auto"/>
          <w:sz w:val="32"/>
          <w:szCs w:val="32"/>
        </w:rPr>
        <w:t>（四）市委办公室（市台办）：</w:t>
      </w:r>
      <w:r>
        <w:rPr>
          <w:rFonts w:hint="eastAsia" w:ascii="Times New Roman" w:hAnsi="Times New Roman" w:eastAsia="仿宋_GB2312"/>
          <w:color w:val="auto"/>
          <w:sz w:val="32"/>
          <w:szCs w:val="32"/>
        </w:rPr>
        <w:t>重点宣传普及反分裂国家法、台湾同胞投资保护法、台湾同胞投资保护法实施细则、湖南省实施《中华人民共和国台湾同胞投资保护法》办法等法律法规。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
        </w:rPr>
      </w:pPr>
      <w:r>
        <w:rPr>
          <w:rFonts w:hint="default" w:ascii="楷体_GB2312" w:hAnsi="Times New Roman" w:eastAsia="楷体_GB2312"/>
          <w:color w:val="auto"/>
          <w:sz w:val="32"/>
          <w:szCs w:val="32"/>
        </w:rPr>
        <w:t>（五）市委统战部（市民宗局）：</w:t>
      </w:r>
      <w:r>
        <w:rPr>
          <w:rFonts w:hint="eastAsia" w:ascii="仿宋_GB2312" w:hAnsi="仿宋_GB2312" w:eastAsia="仿宋_GB2312" w:cs="仿宋_GB2312"/>
          <w:color w:val="auto"/>
          <w:kern w:val="0"/>
          <w:sz w:val="32"/>
          <w:szCs w:val="32"/>
        </w:rPr>
        <w:t>重点宣传普及民族区域自治法、</w:t>
      </w:r>
      <w:r>
        <w:rPr>
          <w:rFonts w:hint="eastAsia" w:ascii="仿宋_GB2312" w:hAnsi="仿宋_GB2312" w:eastAsia="仿宋_GB2312" w:cs="仿宋_GB2312"/>
          <w:b w:val="0"/>
          <w:bCs/>
          <w:color w:val="auto"/>
          <w:kern w:val="0"/>
          <w:sz w:val="32"/>
          <w:szCs w:val="32"/>
          <w:lang w:eastAsia="zh-CN" w:bidi="ar-SA"/>
        </w:rPr>
        <w:t>中国共产党政治协商工作条例、</w:t>
      </w:r>
      <w:r>
        <w:rPr>
          <w:rFonts w:hint="eastAsia" w:ascii="仿宋_GB2312" w:hAnsi="仿宋_GB2312" w:eastAsia="仿宋_GB2312" w:cs="仿宋_GB2312"/>
          <w:color w:val="auto"/>
          <w:kern w:val="0"/>
          <w:sz w:val="32"/>
          <w:szCs w:val="32"/>
        </w:rPr>
        <w:t>城市民族工作条例、民族乡行政工作条例、宗教事务条例、</w:t>
      </w:r>
      <w:r>
        <w:rPr>
          <w:rFonts w:hint="eastAsia" w:ascii="仿宋_GB2312" w:hAnsi="仿宋_GB2312" w:eastAsia="仿宋_GB2312" w:cs="仿宋_GB2312"/>
          <w:spacing w:val="0"/>
          <w:sz w:val="32"/>
          <w:szCs w:val="32"/>
        </w:rPr>
        <w:t>互联网宗教信息服务管理办法、</w:t>
      </w:r>
      <w:r>
        <w:rPr>
          <w:rFonts w:hint="eastAsia" w:ascii="仿宋_GB2312" w:hAnsi="仿宋_GB2312" w:eastAsia="仿宋_GB2312" w:cs="仿宋_GB2312"/>
          <w:sz w:val="32"/>
          <w:szCs w:val="32"/>
          <w:lang w:val="en-US" w:eastAsia="zh-CN"/>
        </w:rPr>
        <w:t>湖南省民间信仰活动场所管理办法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rPr>
        <w:t>湖南省散居少数民族工作条例、湖南省宗教事务条例等民族宗教方面的法律法规。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sz w:val="32"/>
          <w:szCs w:val="32"/>
          <w:lang w:val="en"/>
        </w:rPr>
      </w:pPr>
      <w:r>
        <w:rPr>
          <w:rFonts w:hint="default" w:ascii="楷体_GB2312" w:hAnsi="Times New Roman" w:eastAsia="楷体_GB2312"/>
          <w:color w:val="auto"/>
          <w:sz w:val="32"/>
          <w:szCs w:val="32"/>
          <w:lang w:val="en"/>
        </w:rPr>
        <w:t>（</w:t>
      </w:r>
      <w:r>
        <w:rPr>
          <w:rFonts w:hint="default" w:ascii="楷体_GB2312" w:hAnsi="Times New Roman" w:eastAsia="楷体_GB2312"/>
          <w:color w:val="auto"/>
          <w:sz w:val="32"/>
          <w:szCs w:val="32"/>
        </w:rPr>
        <w:t>六</w:t>
      </w:r>
      <w:r>
        <w:rPr>
          <w:rFonts w:hint="default" w:ascii="楷体_GB2312" w:hAnsi="Times New Roman" w:eastAsia="楷体_GB2312"/>
          <w:color w:val="auto"/>
          <w:sz w:val="32"/>
          <w:szCs w:val="32"/>
          <w:lang w:val="en"/>
        </w:rPr>
        <w:t>）</w:t>
      </w:r>
      <w:r>
        <w:rPr>
          <w:rFonts w:hint="default" w:ascii="楷体_GB2312" w:hAnsi="Times New Roman" w:eastAsia="楷体_GB2312"/>
          <w:color w:val="auto"/>
          <w:sz w:val="32"/>
          <w:szCs w:val="32"/>
        </w:rPr>
        <w:t>市</w:t>
      </w:r>
      <w:r>
        <w:rPr>
          <w:rFonts w:hint="default" w:ascii="楷体_GB2312" w:hAnsi="Times New Roman" w:eastAsia="楷体_GB2312"/>
          <w:color w:val="auto"/>
          <w:sz w:val="32"/>
          <w:szCs w:val="32"/>
          <w:lang w:val="en"/>
        </w:rPr>
        <w:t>人民法院：</w:t>
      </w:r>
      <w:r>
        <w:rPr>
          <w:rFonts w:hint="eastAsia" w:ascii="Times New Roman" w:hAnsi="Times New Roman"/>
          <w:color w:val="auto"/>
          <w:kern w:val="0"/>
          <w:sz w:val="32"/>
          <w:szCs w:val="32"/>
          <w:lang w:val="en"/>
        </w:rPr>
        <w:t>重点宣传普及刑法、民事诉讼法、刑事诉讼法、</w:t>
      </w:r>
      <w:r>
        <w:rPr>
          <w:rFonts w:hint="default" w:ascii="Times New Roman" w:hAnsi="Times New Roman"/>
          <w:color w:val="auto"/>
          <w:kern w:val="0"/>
          <w:sz w:val="32"/>
          <w:szCs w:val="32"/>
        </w:rPr>
        <w:t>行政法、</w:t>
      </w:r>
      <w:r>
        <w:rPr>
          <w:rFonts w:hint="eastAsia" w:ascii="Times New Roman" w:hAnsi="Times New Roman"/>
          <w:color w:val="auto"/>
          <w:kern w:val="0"/>
          <w:sz w:val="32"/>
          <w:szCs w:val="32"/>
          <w:lang w:val="en"/>
        </w:rPr>
        <w:t>行政诉讼法、</w:t>
      </w:r>
      <w:r>
        <w:rPr>
          <w:rFonts w:hint="default" w:ascii="Times New Roman" w:hAnsi="Times New Roman"/>
          <w:color w:val="auto"/>
          <w:kern w:val="0"/>
          <w:sz w:val="32"/>
          <w:szCs w:val="32"/>
        </w:rPr>
        <w:t>反有组织犯罪法、未成年人保护法</w:t>
      </w:r>
      <w:r>
        <w:rPr>
          <w:rFonts w:hint="eastAsia" w:ascii="Times New Roman" w:hAnsi="Times New Roman"/>
          <w:color w:val="auto"/>
          <w:kern w:val="0"/>
          <w:sz w:val="32"/>
          <w:szCs w:val="32"/>
          <w:lang w:val="en"/>
        </w:rPr>
        <w:t>等法律法规</w:t>
      </w:r>
      <w:r>
        <w:rPr>
          <w:rFonts w:hint="eastAsia" w:ascii="仿宋_GB2312" w:hAnsi="仿宋_GB2312" w:eastAsia="仿宋_GB2312" w:cs="仿宋_GB2312"/>
          <w:color w:val="auto"/>
          <w:kern w:val="0"/>
          <w:sz w:val="32"/>
          <w:szCs w:val="32"/>
          <w:lang w:val="en"/>
        </w:rPr>
        <w:t>及“两高”的司法解释</w:t>
      </w:r>
      <w:r>
        <w:rPr>
          <w:rFonts w:hint="eastAsia" w:ascii="Times New Roman" w:hAnsi="Times New Roman"/>
          <w:color w:val="auto"/>
          <w:spacing w:val="-6"/>
          <w:kern w:val="0"/>
          <w:sz w:val="32"/>
          <w:szCs w:val="32"/>
          <w:lang w:val="en"/>
        </w:rPr>
        <w:t>。</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lang w:val="en"/>
        </w:rPr>
      </w:pPr>
      <w:r>
        <w:rPr>
          <w:rFonts w:hint="default" w:ascii="楷体_GB2312" w:hAnsi="Times New Roman" w:eastAsia="楷体_GB2312"/>
          <w:color w:val="auto"/>
          <w:sz w:val="32"/>
          <w:szCs w:val="32"/>
        </w:rPr>
        <w:t>（七）市人民检察院：</w:t>
      </w:r>
      <w:r>
        <w:rPr>
          <w:rFonts w:hint="eastAsia" w:ascii="仿宋_GB2312" w:hAnsi="仿宋_GB2312" w:eastAsia="仿宋_GB2312" w:cs="仿宋_GB2312"/>
          <w:color w:val="auto"/>
          <w:kern w:val="0"/>
          <w:sz w:val="32"/>
          <w:szCs w:val="32"/>
          <w:lang w:val="en"/>
        </w:rPr>
        <w:t>重点宣传普及</w:t>
      </w:r>
      <w:r>
        <w:rPr>
          <w:rFonts w:hint="eastAsia" w:ascii="仿宋_GB2312" w:hAnsi="仿宋_GB2312" w:eastAsia="仿宋_GB2312" w:cs="仿宋_GB2312"/>
          <w:i w:val="0"/>
          <w:color w:val="000000"/>
          <w:kern w:val="0"/>
          <w:sz w:val="32"/>
          <w:szCs w:val="32"/>
          <w:u w:val="none"/>
          <w:lang w:val="en-US" w:eastAsia="zh-CN" w:bidi="ar"/>
        </w:rPr>
        <w:t>刑法、</w:t>
      </w:r>
      <w:r>
        <w:rPr>
          <w:rFonts w:hint="eastAsia" w:ascii="仿宋_GB2312" w:hAnsi="仿宋_GB2312" w:eastAsia="仿宋_GB2312" w:cs="仿宋_GB2312"/>
          <w:color w:val="auto"/>
          <w:kern w:val="0"/>
          <w:sz w:val="32"/>
          <w:szCs w:val="32"/>
          <w:lang w:val="en"/>
        </w:rPr>
        <w:t>刑事诉讼法</w:t>
      </w:r>
      <w:r>
        <w:rPr>
          <w:rFonts w:hint="eastAsia" w:ascii="仿宋_GB2312" w:hAnsi="仿宋_GB2312" w:eastAsia="仿宋_GB2312" w:cs="仿宋_GB2312"/>
          <w:i w:val="0"/>
          <w:color w:val="000000"/>
          <w:kern w:val="0"/>
          <w:sz w:val="32"/>
          <w:szCs w:val="32"/>
          <w:u w:val="none"/>
          <w:lang w:val="en-US" w:eastAsia="zh-CN" w:bidi="ar"/>
        </w:rPr>
        <w:t>、未成年人保护法、预防未成年人犯罪</w:t>
      </w:r>
      <w:r>
        <w:rPr>
          <w:rFonts w:hint="eastAsia" w:ascii="仿宋_GB2312" w:hAnsi="仿宋_GB2312" w:eastAsia="仿宋_GB2312" w:cs="仿宋_GB2312"/>
          <w:i w:val="0"/>
          <w:color w:val="000000"/>
          <w:kern w:val="0"/>
          <w:sz w:val="32"/>
          <w:szCs w:val="32"/>
          <w:u w:val="none"/>
          <w:lang w:eastAsia="zh-CN" w:bidi="ar"/>
        </w:rPr>
        <w:t>法、</w:t>
      </w:r>
      <w:r>
        <w:rPr>
          <w:rFonts w:hint="eastAsia" w:ascii="仿宋_GB2312" w:hAnsi="仿宋_GB2312" w:eastAsia="仿宋_GB2312" w:cs="仿宋_GB2312"/>
          <w:i w:val="0"/>
          <w:color w:val="000000"/>
          <w:kern w:val="0"/>
          <w:sz w:val="32"/>
          <w:szCs w:val="32"/>
          <w:u w:val="none"/>
          <w:lang w:val="en-US" w:eastAsia="zh-CN" w:bidi="ar"/>
        </w:rPr>
        <w:t>反有组织犯罪法、国家安全法</w:t>
      </w:r>
      <w:r>
        <w:rPr>
          <w:rFonts w:hint="eastAsia" w:ascii="仿宋_GB2312" w:hAnsi="仿宋_GB2312" w:eastAsia="仿宋_GB2312" w:cs="仿宋_GB2312"/>
          <w:i w:val="0"/>
          <w:color w:val="000000"/>
          <w:kern w:val="0"/>
          <w:sz w:val="32"/>
          <w:szCs w:val="32"/>
          <w:u w:val="none"/>
          <w:lang w:eastAsia="zh-CN" w:bidi="ar"/>
        </w:rPr>
        <w:t>、</w:t>
      </w:r>
      <w:r>
        <w:rPr>
          <w:rFonts w:hint="eastAsia" w:ascii="仿宋_GB2312" w:hAnsi="仿宋_GB2312" w:eastAsia="仿宋_GB2312" w:cs="仿宋_GB2312"/>
          <w:color w:val="auto"/>
          <w:kern w:val="0"/>
          <w:sz w:val="32"/>
          <w:szCs w:val="32"/>
          <w:lang w:val="en"/>
        </w:rPr>
        <w:t>民事诉讼法</w:t>
      </w:r>
      <w:r>
        <w:rPr>
          <w:rFonts w:hint="eastAsia" w:ascii="仿宋_GB2312" w:hAnsi="仿宋_GB2312" w:eastAsia="仿宋_GB2312" w:cs="仿宋_GB2312"/>
          <w:i w:val="0"/>
          <w:color w:val="000000"/>
          <w:kern w:val="0"/>
          <w:sz w:val="32"/>
          <w:szCs w:val="32"/>
          <w:u w:val="none"/>
          <w:lang w:val="en-US" w:eastAsia="zh-CN" w:bidi="ar"/>
        </w:rPr>
        <w:t>、行政诉讼法、行政处罚法、行政强制法</w:t>
      </w:r>
      <w:r>
        <w:rPr>
          <w:rFonts w:hint="eastAsia" w:ascii="仿宋_GB2312" w:hAnsi="仿宋_GB2312" w:eastAsia="仿宋_GB2312" w:cs="仿宋_GB2312"/>
          <w:i w:val="0"/>
          <w:color w:val="000000"/>
          <w:kern w:val="0"/>
          <w:sz w:val="32"/>
          <w:szCs w:val="32"/>
          <w:u w:val="none"/>
          <w:lang w:eastAsia="zh-CN" w:bidi="ar"/>
        </w:rPr>
        <w:t>、</w:t>
      </w:r>
      <w:r>
        <w:rPr>
          <w:rFonts w:hint="eastAsia" w:ascii="仿宋_GB2312" w:hAnsi="仿宋_GB2312" w:eastAsia="仿宋_GB2312" w:cs="仿宋_GB2312"/>
          <w:i w:val="0"/>
          <w:color w:val="000000"/>
          <w:kern w:val="0"/>
          <w:sz w:val="32"/>
          <w:szCs w:val="32"/>
          <w:u w:val="none"/>
          <w:lang w:val="en-US" w:eastAsia="zh-CN" w:bidi="ar"/>
        </w:rPr>
        <w:t>国家赔偿法、法律援助法</w:t>
      </w:r>
      <w:r>
        <w:rPr>
          <w:rFonts w:hint="eastAsia" w:ascii="仿宋_GB2312" w:hAnsi="仿宋_GB2312" w:eastAsia="仿宋_GB2312" w:cs="仿宋_GB2312"/>
          <w:color w:val="auto"/>
          <w:kern w:val="0"/>
          <w:sz w:val="32"/>
          <w:szCs w:val="32"/>
          <w:lang w:val="en"/>
        </w:rPr>
        <w:t>等法律法规及“两高”的司法解释。</w:t>
      </w:r>
    </w:p>
    <w:p>
      <w:pPr>
        <w:pStyle w:val="13"/>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（八）市发改委（市粮食储备局）：</w:t>
      </w:r>
      <w:r>
        <w:rPr>
          <w:rFonts w:hint="eastAsia" w:ascii="Times New Roman" w:hAnsi="Times New Roman"/>
          <w:color w:val="auto"/>
          <w:kern w:val="0"/>
          <w:sz w:val="32"/>
          <w:szCs w:val="32"/>
        </w:rPr>
        <w:t>重点宣传普及循环经济促进法、清洁生产促进法、节约能源法、可再生能源法、长江保护法、招标投标法、价格法、</w:t>
      </w:r>
      <w:r>
        <w:rPr>
          <w:rFonts w:hint="default" w:ascii="Times New Roman" w:hAnsi="Times New Roman"/>
          <w:color w:val="auto"/>
          <w:kern w:val="0"/>
          <w:sz w:val="32"/>
          <w:szCs w:val="32"/>
        </w:rPr>
        <w:t>反不正当竞争法、</w:t>
      </w:r>
      <w:r>
        <w:rPr>
          <w:rFonts w:hint="eastAsia" w:ascii="Times New Roman" w:hAnsi="Times New Roman"/>
          <w:color w:val="auto"/>
          <w:kern w:val="0"/>
          <w:sz w:val="32"/>
          <w:szCs w:val="32"/>
        </w:rPr>
        <w:t>招标投标法实施条例、湖南省社会信用条例、湖南省洞庭湖保护条例、政府投资条例、企业投资项目核准和备案管理条例、湖南省服务价格管理条例、湖南省价格监督管理条例等法律法规。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eastAsia" w:ascii="Times New Roman" w:hAnsi="Times New Roman"/>
          <w:color w:val="auto"/>
          <w:kern w:val="0"/>
          <w:sz w:val="32"/>
          <w:szCs w:val="32"/>
        </w:rPr>
        <w:t>重点宣传普及反食品浪费法、粮食流通管理条例等法律法规。</w:t>
      </w:r>
    </w:p>
    <w:p>
      <w:pPr>
        <w:keepNext w:val="0"/>
        <w:keepLines w:val="0"/>
        <w:pageBreakBefore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重点宣传普及国防法、国防动员法、人民防空法、国防教育法、建设工程质量管理条例、湖南省实施《中华人民共和国人民防空法》办法等法律法规。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rPr>
      </w:pPr>
      <w:r>
        <w:rPr>
          <w:rFonts w:hint="default" w:ascii="楷体_GB2312" w:hAnsi="Times New Roman" w:eastAsia="楷体_GB2312"/>
          <w:color w:val="auto"/>
          <w:sz w:val="32"/>
          <w:szCs w:val="32"/>
        </w:rPr>
        <w:t>（九）市教育局：</w:t>
      </w:r>
      <w:r>
        <w:rPr>
          <w:rFonts w:hint="eastAsia" w:ascii="仿宋_GB2312" w:hAnsi="仿宋_GB2312" w:eastAsia="仿宋_GB2312" w:cs="仿宋_GB2312"/>
          <w:color w:val="auto"/>
          <w:kern w:val="0"/>
          <w:sz w:val="32"/>
          <w:szCs w:val="32"/>
        </w:rPr>
        <w:t>重点宣传普及</w:t>
      </w:r>
      <w:r>
        <w:rPr>
          <w:rFonts w:hint="eastAsia" w:ascii="仿宋_GB2312" w:hAnsi="仿宋_GB2312" w:eastAsia="仿宋_GB2312" w:cs="仿宋_GB2312"/>
          <w:sz w:val="32"/>
          <w:szCs w:val="32"/>
          <w:lang w:val="en-US" w:eastAsia="zh-CN"/>
        </w:rPr>
        <w:t>教育法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义务教育法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民办教育促进法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职业教育法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国家通用语言文字法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预防未成年人犯罪法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家庭教育促进法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未成年人保护法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行政许可法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行政复议法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行政诉讼法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民办教育促进法实施条例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学校体育工作条例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残疾人教育条例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高等教育自学考试暂行条例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教育督导条例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校车安全管理条例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教学成果奖励条例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学校卫生工作条例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幼儿园管理条例</w:t>
      </w:r>
      <w:r>
        <w:rPr>
          <w:rFonts w:hint="eastAsia" w:ascii="仿宋_GB2312" w:hAnsi="仿宋_GB2312" w:eastAsia="仿宋_GB2312" w:cs="仿宋_GB2312"/>
          <w:color w:val="auto"/>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（十）市科技局：</w:t>
      </w:r>
      <w:r>
        <w:rPr>
          <w:rFonts w:hint="eastAsia" w:ascii="Times New Roman" w:hAnsi="Times New Roman"/>
          <w:color w:val="auto"/>
          <w:kern w:val="0"/>
          <w:sz w:val="32"/>
          <w:szCs w:val="32"/>
        </w:rPr>
        <w:t>重点宣传普及科学技术进步法、科学技术普及法、促进科技成果转化法、国家科学技术奖励条例、实验动物管理条例、湖南省科学技术普及条例、湖南省高新技术发展条例</w:t>
      </w:r>
      <w:r>
        <w:rPr>
          <w:rFonts w:hint="eastAsia" w:ascii="Times New Roman" w:hAnsi="Times New Roman"/>
          <w:color w:val="auto"/>
          <w:spacing w:val="-6"/>
          <w:kern w:val="0"/>
          <w:sz w:val="32"/>
          <w:szCs w:val="32"/>
        </w:rPr>
        <w:t>、湖南省技术市场条例</w:t>
      </w:r>
      <w:r>
        <w:rPr>
          <w:rFonts w:hint="eastAsia" w:ascii="Times New Roman" w:hAnsi="Times New Roman"/>
          <w:color w:val="auto"/>
          <w:kern w:val="0"/>
          <w:sz w:val="32"/>
          <w:szCs w:val="32"/>
        </w:rPr>
        <w:t>、湖南省实施《中华人民共和</w:t>
      </w:r>
      <w:r>
        <w:rPr>
          <w:rFonts w:hint="eastAsia" w:ascii="Times New Roman" w:hAnsi="Times New Roman"/>
          <w:color w:val="auto"/>
          <w:spacing w:val="-6"/>
          <w:kern w:val="0"/>
          <w:sz w:val="32"/>
          <w:szCs w:val="32"/>
        </w:rPr>
        <w:t>国促进科技成果转化法》办法等法律法规。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（十一）市工信局：</w:t>
      </w:r>
      <w:r>
        <w:rPr>
          <w:rFonts w:hint="eastAsia" w:ascii="Times New Roman" w:hAnsi="Times New Roman"/>
          <w:color w:val="auto"/>
          <w:kern w:val="0"/>
          <w:sz w:val="32"/>
          <w:szCs w:val="32"/>
        </w:rPr>
        <w:t>重点宣传普及</w:t>
      </w:r>
      <w:r>
        <w:rPr>
          <w:rFonts w:hint="eastAsia" w:ascii="Times New Roman" w:hAnsi="Times New Roman"/>
          <w:color w:val="auto"/>
          <w:kern w:val="0"/>
          <w:sz w:val="32"/>
          <w:szCs w:val="32"/>
          <w:highlight w:val="none"/>
        </w:rPr>
        <w:t>中小企业促进法、节约能源法、清洁生产促进法、</w:t>
      </w:r>
      <w:r>
        <w:rPr>
          <w:rFonts w:hint="default" w:ascii="Times New Roman" w:hAnsi="Times New Roman"/>
          <w:color w:val="auto"/>
          <w:kern w:val="0"/>
          <w:sz w:val="32"/>
          <w:szCs w:val="32"/>
          <w:highlight w:val="none"/>
        </w:rPr>
        <w:t>电力法、安全生产法、统计法固定废物污染环境防治法、工业节能监察办法、</w:t>
      </w:r>
      <w:r>
        <w:rPr>
          <w:rFonts w:hint="eastAsia" w:ascii="Times New Roman" w:hAnsi="Times New Roman"/>
          <w:color w:val="auto"/>
          <w:kern w:val="0"/>
          <w:sz w:val="32"/>
          <w:szCs w:val="32"/>
          <w:highlight w:val="none"/>
        </w:rPr>
        <w:t>无线电管理条例、湖南省无线电管理条例、湖南省新型墙体材料推广应用条例、湖南省散装水泥条例、湖南省网络安全和信息化条例、湖南省实施《中华人民共和国中小企业促进法》办法等工业和信息化行业管理方面的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（十二）市公安局：</w:t>
      </w:r>
      <w:r>
        <w:rPr>
          <w:rFonts w:hint="eastAsia" w:ascii="Times New Roman" w:hAnsi="Times New Roman"/>
          <w:color w:val="auto"/>
          <w:kern w:val="0"/>
          <w:sz w:val="32"/>
          <w:szCs w:val="32"/>
        </w:rPr>
        <w:t>重点宣传普及刑法、刑事诉讼法、治安管理处罚法、行政处罚法、行政复议法、国家赔偿法、行政强制法、人民警察法、道路交通安全法、居民身份证法、枪支管理法、集会游行示威法、禁毒法、反恐怖主义法、国家安全法、</w:t>
      </w:r>
      <w:r>
        <w:rPr>
          <w:rFonts w:hint="default" w:ascii="Times New Roman" w:hAnsi="Times New Roman"/>
          <w:color w:val="auto"/>
          <w:kern w:val="0"/>
          <w:sz w:val="32"/>
          <w:szCs w:val="32"/>
        </w:rPr>
        <w:t>网络安全法、</w:t>
      </w:r>
      <w:r>
        <w:rPr>
          <w:rFonts w:hint="eastAsia" w:ascii="Times New Roman" w:hAnsi="Times New Roman"/>
          <w:color w:val="auto"/>
          <w:kern w:val="0"/>
          <w:sz w:val="32"/>
          <w:szCs w:val="32"/>
        </w:rPr>
        <w:t>护照法、出境入境管理法、反有组织犯罪法、</w:t>
      </w:r>
      <w:r>
        <w:rPr>
          <w:rFonts w:hint="eastAsia" w:ascii="宋体" w:hAnsi="宋体" w:cs="宋体"/>
          <w:sz w:val="32"/>
          <w:szCs w:val="32"/>
        </w:rPr>
        <w:t>数据安全法</w:t>
      </w:r>
      <w:r>
        <w:rPr>
          <w:rFonts w:hint="default" w:ascii="宋体" w:cs="宋体"/>
          <w:sz w:val="32"/>
          <w:szCs w:val="32"/>
        </w:rPr>
        <w:t>、</w:t>
      </w:r>
      <w:r>
        <w:rPr>
          <w:rFonts w:hint="eastAsia" w:ascii="Times New Roman" w:hAnsi="Times New Roman"/>
          <w:color w:val="auto"/>
          <w:kern w:val="0"/>
          <w:sz w:val="32"/>
          <w:szCs w:val="32"/>
        </w:rPr>
        <w:t>人民警察警衔条例、人民警察使用警械和武器条例、道路交通安全法实施条例、城市道路管理条例、校车安全管理条例、保安服务管理条例、危险化学品安全管理条例、烟花爆竹安全管理条例、民用爆炸物品安全管理条例、集会游行示威法实施条例、娱乐场所管理条例、公安机关督察条例、湖南省电动自行车管理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（十三）市民政局：</w:t>
      </w:r>
      <w:r>
        <w:rPr>
          <w:rFonts w:hint="eastAsia" w:ascii="Times New Roman" w:hAnsi="Times New Roman"/>
          <w:color w:val="auto"/>
          <w:kern w:val="0"/>
          <w:sz w:val="32"/>
          <w:szCs w:val="32"/>
        </w:rPr>
        <w:t>重点宣传普及村民委员会组织法、城市居民委员会组织法、未成年人保护法、</w:t>
      </w:r>
      <w:r>
        <w:rPr>
          <w:rFonts w:hint="eastAsia"/>
          <w:spacing w:val="-23"/>
          <w:kern w:val="16"/>
          <w:sz w:val="32"/>
          <w:szCs w:val="32"/>
          <w:vertAlign w:val="baseline"/>
          <w:lang w:eastAsia="zh-CN"/>
        </w:rPr>
        <w:t>预防未成年人犯罪法</w:t>
      </w:r>
      <w:r>
        <w:rPr>
          <w:rFonts w:hint="default" w:ascii="Times New Roman" w:hAnsi="Times New Roman" w:cs="仿宋_GB2312"/>
          <w:b w:val="0"/>
          <w:bCs/>
          <w:color w:val="FF0000"/>
          <w:kern w:val="0"/>
          <w:sz w:val="32"/>
          <w:szCs w:val="32"/>
          <w:lang w:eastAsia="zh-CN" w:bidi="ar-SA"/>
        </w:rPr>
        <w:t>、</w:t>
      </w:r>
      <w:r>
        <w:rPr>
          <w:rFonts w:hint="eastAsia" w:ascii="Times New Roman" w:hAnsi="Times New Roman"/>
          <w:color w:val="auto"/>
          <w:kern w:val="0"/>
          <w:sz w:val="32"/>
          <w:szCs w:val="32"/>
        </w:rPr>
        <w:t>老年人权益保障法、慈善法、残疾人保障法、公益事业捐赠法、无障碍环境建设条例、残疾预防和残疾人康复条例、残疾人就业条例、殡葬管理条例、行政区划管理条例、地名管理条例、行政区域界线管理条例、社会团体登记管理条例、基金会管理条例、民办非企业单位登记管理暂行条例、湖南省募捐条例、湖南省志愿服务条例、湖南省实施《中华人民共和国慈善法》若干规定、湖南省实施《中华人民共和国老年人权益保障法》办法、湖南省实施《中华人民共和国村民委员会组织法》办法、湖南省实施《中华人民共和国城市居民委员会组织法》办法、湖南省实施《中华人民共和国残疾人保障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（十四）市司法局：</w:t>
      </w:r>
      <w:r>
        <w:rPr>
          <w:rFonts w:hint="eastAsia" w:ascii="Times New Roman" w:hAnsi="Times New Roman"/>
          <w:color w:val="auto"/>
          <w:kern w:val="0"/>
          <w:sz w:val="32"/>
          <w:szCs w:val="32"/>
        </w:rPr>
        <w:t>重点宣传普及仲裁法、行政复议法、人民调解法、社区矫正法、行政诉讼法、民事诉讼法、反有组织犯罪法、律师法、公证法、法律援助法、立法法、湖南省法制宣传教育条例、行政复议法实施条例等法律法规。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（十五）市财政局：</w:t>
      </w:r>
      <w:r>
        <w:rPr>
          <w:rFonts w:hint="eastAsia" w:ascii="Times New Roman" w:hAnsi="Times New Roman"/>
          <w:color w:val="auto"/>
          <w:kern w:val="0"/>
          <w:sz w:val="32"/>
          <w:szCs w:val="32"/>
        </w:rPr>
        <w:t>重点宣传普及预算法</w:t>
      </w:r>
      <w:r>
        <w:rPr>
          <w:rFonts w:hint="default" w:ascii="Times New Roman" w:hAnsi="Times New Roman"/>
          <w:color w:val="auto"/>
          <w:kern w:val="0"/>
          <w:sz w:val="32"/>
          <w:szCs w:val="32"/>
        </w:rPr>
        <w:t>、</w:t>
      </w:r>
      <w:r>
        <w:rPr>
          <w:rFonts w:hint="eastAsia" w:ascii="Times New Roman" w:hAnsi="Times New Roman" w:eastAsia="仿宋_GB2312" w:cs="Times New Roman"/>
          <w:sz w:val="32"/>
          <w:szCs w:val="32"/>
        </w:rPr>
        <w:t>预算法实施条例</w:t>
      </w:r>
      <w:r>
        <w:rPr>
          <w:rFonts w:hint="eastAsia" w:ascii="Times New Roman" w:hAnsi="Times New Roman"/>
          <w:color w:val="auto"/>
          <w:kern w:val="0"/>
          <w:sz w:val="32"/>
          <w:szCs w:val="32"/>
        </w:rPr>
        <w:t>、政府采购法</w:t>
      </w:r>
      <w:r>
        <w:rPr>
          <w:rFonts w:hint="default" w:ascii="Times New Roman" w:hAnsi="Times New Roman"/>
          <w:color w:val="auto"/>
          <w:kern w:val="0"/>
          <w:sz w:val="32"/>
          <w:szCs w:val="32"/>
        </w:rPr>
        <w:t>、</w:t>
      </w:r>
      <w:r>
        <w:rPr>
          <w:rFonts w:hint="eastAsia" w:ascii="Times New Roman" w:hAnsi="Times New Roman" w:eastAsia="仿宋_GB2312" w:cs="Times New Roman"/>
          <w:sz w:val="32"/>
          <w:szCs w:val="32"/>
        </w:rPr>
        <w:t>政府采购法实施条例</w:t>
      </w:r>
      <w:r>
        <w:rPr>
          <w:rFonts w:hint="eastAsia" w:ascii="Times New Roman" w:hAnsi="Times New Roman"/>
          <w:color w:val="auto"/>
          <w:kern w:val="0"/>
          <w:sz w:val="32"/>
          <w:szCs w:val="32"/>
        </w:rPr>
        <w:t>、注册会计师法、会计法、</w:t>
      </w:r>
      <w:r>
        <w:rPr>
          <w:rFonts w:hint="eastAsia" w:ascii="Times New Roman" w:hAnsi="Times New Roman" w:eastAsia="仿宋_GB2312" w:cs="Times New Roman"/>
          <w:sz w:val="32"/>
          <w:szCs w:val="32"/>
          <w:lang w:val="en-US" w:eastAsia="zh-CN"/>
        </w:rPr>
        <w:t>湖南省财政厅行政处罚裁量权基准实施办法</w:t>
      </w:r>
      <w:r>
        <w:rPr>
          <w:rFonts w:hint="default" w:ascii="Times New Roman" w:hAnsi="Times New Roman" w:cs="Times New Roman"/>
          <w:sz w:val="32"/>
          <w:szCs w:val="32"/>
          <w:lang w:eastAsia="zh-CN"/>
        </w:rPr>
        <w:t>、</w:t>
      </w:r>
      <w:r>
        <w:rPr>
          <w:rFonts w:hint="eastAsia" w:ascii="Times New Roman" w:hAnsi="Times New Roman" w:eastAsia="仿宋_GB2312" w:cs="Times New Roman"/>
          <w:sz w:val="32"/>
          <w:szCs w:val="32"/>
          <w:lang w:val="en-US" w:eastAsia="zh-CN"/>
        </w:rPr>
        <w:t>湖南省财政厅行政处罚裁量权基准</w:t>
      </w:r>
      <w:r>
        <w:rPr>
          <w:rFonts w:hint="eastAsia" w:ascii="Times New Roman" w:hAnsi="Times New Roman"/>
          <w:color w:val="auto"/>
          <w:kern w:val="0"/>
          <w:sz w:val="32"/>
          <w:szCs w:val="32"/>
        </w:rPr>
        <w:t>等方面的法律法规。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（十六）市人社局：</w:t>
      </w:r>
      <w:r>
        <w:rPr>
          <w:rFonts w:hint="eastAsia" w:ascii="Times New Roman" w:hAnsi="Times New Roman"/>
          <w:color w:val="auto"/>
          <w:kern w:val="0"/>
          <w:sz w:val="32"/>
          <w:szCs w:val="32"/>
        </w:rPr>
        <w:t>重点宣传普及劳动法、劳动合同法、就业促进法、社会保险法、职业教育法、劳动争议调解仲裁法、工伤保险条例、劳动保障监察条例、湖南省职业教育条例、人力资源市场暂行条例、事业单位人事管理条例、职工带薪年休假条例、保障农民工工资支付条例、湖南省实施《中华人民共和国就业促进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（十七）市自然资源和规划局：</w:t>
      </w:r>
      <w:r>
        <w:rPr>
          <w:rFonts w:hint="eastAsia" w:ascii="Times New Roman" w:hAnsi="Times New Roman"/>
          <w:color w:val="auto"/>
          <w:kern w:val="0"/>
          <w:sz w:val="32"/>
          <w:szCs w:val="32"/>
        </w:rPr>
        <w:t>重点宣传普及土地管理法、城乡规划法、测绘法、长江保护法、土壤污染防治法、行政许可法、矿产资源法、耕地占用税法、土地复垦条例、测绘成果管理条例、测量标志保护条例、基础测绘条例、地图管理条例、土地管理法实施条例、不动产登记暂行条例、土地调查条例、地下水管理条例、城镇国有土地使用权出让和转让暂行条例、基本农田保护条例、湖南省环境保护条例、湖南省实施《中华人民共和国土地管理法》办法、湖南省实施《中华人民共和国城乡规划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楷体_GB2312" w:hAnsi="Times New Roman" w:eastAsia="楷体_GB2312"/>
          <w:color w:val="auto"/>
          <w:sz w:val="32"/>
          <w:szCs w:val="32"/>
        </w:rPr>
      </w:pPr>
      <w:r>
        <w:rPr>
          <w:rFonts w:hint="default" w:ascii="楷体_GB2312" w:hAnsi="Times New Roman" w:eastAsia="楷体_GB2312"/>
          <w:color w:val="auto"/>
          <w:sz w:val="32"/>
          <w:szCs w:val="32"/>
        </w:rPr>
        <w:t>（十八）市生态环境局：</w:t>
      </w:r>
      <w:r>
        <w:rPr>
          <w:rFonts w:hint="eastAsia" w:ascii="Times New Roman" w:hAnsi="Times New Roman"/>
          <w:color w:val="auto"/>
          <w:kern w:val="0"/>
          <w:sz w:val="32"/>
          <w:szCs w:val="32"/>
        </w:rPr>
        <w:t>重点宣传普及环境保护法、</w:t>
      </w:r>
      <w:r>
        <w:rPr>
          <w:rFonts w:hint="default" w:ascii="Times New Roman" w:hAnsi="Times New Roman"/>
          <w:color w:val="auto"/>
          <w:kern w:val="0"/>
          <w:sz w:val="32"/>
          <w:szCs w:val="32"/>
        </w:rPr>
        <w:t>核安全法、</w:t>
      </w:r>
      <w:r>
        <w:rPr>
          <w:rFonts w:hint="eastAsia" w:ascii="Times New Roman" w:hAnsi="Times New Roman"/>
          <w:color w:val="auto"/>
          <w:kern w:val="0"/>
          <w:sz w:val="32"/>
          <w:szCs w:val="32"/>
        </w:rPr>
        <w:t>水污染防治法、土壤污染防治法、固体废物污染环境防治法、大气污染防治法、噪声污染防治法、环境影响评价法、清洁生产促进法、长江保护法、湖南省洞庭湖保护条例、湖南省环境保护条例、湖南省实施《中华人民共和国土壤污染防治法》办法、湖南省实施《中华人民共和国固体废物污染环境防治法》办法、湖南省大气污染防治条例</w:t>
      </w:r>
      <w:r>
        <w:rPr>
          <w:rFonts w:hint="default" w:ascii="Times New Roman" w:hAnsi="Times New Roman"/>
          <w:color w:val="auto"/>
          <w:kern w:val="0"/>
          <w:sz w:val="32"/>
          <w:szCs w:val="32"/>
        </w:rPr>
        <w:t>、益阳市资江保护条例</w:t>
      </w:r>
      <w:r>
        <w:rPr>
          <w:rFonts w:hint="eastAsia" w:ascii="Times New Roman" w:hAnsi="Times New Roman"/>
          <w:color w:val="auto"/>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（十九）市住建局（市人防办）：</w:t>
      </w:r>
      <w:r>
        <w:rPr>
          <w:rFonts w:hint="eastAsia" w:ascii="Times New Roman" w:hAnsi="Times New Roman"/>
          <w:color w:val="auto"/>
          <w:kern w:val="0"/>
          <w:sz w:val="32"/>
          <w:szCs w:val="32"/>
        </w:rPr>
        <w:t>重点宣传普及城市房地产管理法、建筑法、</w:t>
      </w:r>
      <w:r>
        <w:rPr>
          <w:rFonts w:hint="default" w:ascii="Times New Roman" w:hAnsi="Times New Roman"/>
          <w:color w:val="auto"/>
          <w:kern w:val="0"/>
          <w:sz w:val="32"/>
          <w:szCs w:val="32"/>
        </w:rPr>
        <w:t>安全生产法、</w:t>
      </w:r>
      <w:r>
        <w:rPr>
          <w:rFonts w:hint="eastAsia" w:ascii="Times New Roman" w:hAnsi="Times New Roman"/>
          <w:color w:val="auto"/>
          <w:kern w:val="0"/>
          <w:sz w:val="32"/>
          <w:szCs w:val="32"/>
        </w:rPr>
        <w:t>物业管理条例、湖南省物业管理条例、建设工程勘察设计管理条例、建设工程抗震管理条例、湖南省绿色建筑发展条例、城市供水条例、</w:t>
      </w:r>
      <w:r>
        <w:rPr>
          <w:rFonts w:hint="default" w:ascii="Times New Roman" w:hAnsi="Times New Roman"/>
          <w:color w:val="auto"/>
          <w:kern w:val="0"/>
          <w:sz w:val="32"/>
          <w:szCs w:val="32"/>
        </w:rPr>
        <w:t>湖南省公共租赁住房管理办法</w:t>
      </w:r>
      <w:r>
        <w:rPr>
          <w:rFonts w:hint="eastAsia" w:ascii="Times New Roman" w:hAnsi="Times New Roman"/>
          <w:color w:val="auto"/>
          <w:kern w:val="0"/>
          <w:sz w:val="32"/>
          <w:szCs w:val="32"/>
        </w:rPr>
        <w:t>、湖南省建设工程质量和安全生产管理条例等法律法规。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sz w:val="32"/>
          <w:szCs w:val="32"/>
        </w:rPr>
      </w:pPr>
      <w:r>
        <w:rPr>
          <w:rFonts w:hint="eastAsia" w:ascii="Times New Roman" w:hAnsi="Times New Roman"/>
          <w:color w:val="auto"/>
          <w:kern w:val="0"/>
          <w:sz w:val="32"/>
          <w:szCs w:val="32"/>
        </w:rPr>
        <w:t>重点宣传普及国防法、人民防空法、国防教育法、湖南省实施《中华人民共和国人民防空法》办法等法律法规。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rPr>
      </w:pPr>
      <w:r>
        <w:rPr>
          <w:rFonts w:hint="default" w:ascii="楷体_GB2312" w:hAnsi="Times New Roman" w:eastAsia="楷体_GB2312"/>
          <w:color w:val="auto"/>
          <w:sz w:val="32"/>
          <w:szCs w:val="32"/>
        </w:rPr>
        <w:t>（二十）市交通局：</w:t>
      </w:r>
      <w:r>
        <w:rPr>
          <w:rFonts w:hint="eastAsia" w:ascii="仿宋_GB2312" w:hAnsi="仿宋_GB2312" w:eastAsia="仿宋_GB2312" w:cs="仿宋_GB2312"/>
          <w:color w:val="auto"/>
          <w:kern w:val="0"/>
          <w:sz w:val="32"/>
          <w:szCs w:val="32"/>
        </w:rPr>
        <w:t>重点宣传普及</w:t>
      </w:r>
      <w:r>
        <w:rPr>
          <w:rFonts w:hint="eastAsia" w:ascii="仿宋_GB2312" w:hAnsi="仿宋_GB2312" w:eastAsia="仿宋_GB2312" w:cs="仿宋_GB2312"/>
          <w:color w:val="auto"/>
          <w:sz w:val="32"/>
          <w:szCs w:val="32"/>
          <w:lang w:eastAsia="zh-CN"/>
        </w:rPr>
        <w:t>立法法、行政强制法、行政许可法、行政处罚法、行政复议法、行政诉讼法、</w:t>
      </w:r>
      <w:r>
        <w:rPr>
          <w:rFonts w:hint="eastAsia" w:ascii="仿宋_GB2312" w:hAnsi="仿宋_GB2312" w:eastAsia="仿宋_GB2312" w:cs="仿宋_GB2312"/>
          <w:color w:val="auto"/>
          <w:kern w:val="0"/>
          <w:sz w:val="32"/>
          <w:szCs w:val="32"/>
        </w:rPr>
        <w:t>公路法、港口法、航道法、长江保护法、安全生产法、公路安全保护条例、国内水路运输管理条例、内河交通安全管理条例、道路运输条例、湖南省水上交通安全条例、湖南省高速公路条例、湖南省乡村公路条例、湖南省道路运输条例、湖南省治理货物运输车辆超限超载条例、湖南省安全生产条例、湖南省铁路安全管理条例、湖南省交通建设工程质量与安全生产条例、湖南省实施《中华人民共和国公路法》办法、湖南省实施《中华人民共和国港口法》办法、路政管理规定等道路交通运输方面的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Times New Roman" w:hAnsi="Times New Roman" w:eastAsia="Times New Roman"/>
          <w:color w:val="auto"/>
          <w:kern w:val="0"/>
          <w:sz w:val="32"/>
          <w:szCs w:val="32"/>
        </w:rPr>
      </w:pPr>
      <w:r>
        <w:rPr>
          <w:rFonts w:hint="default" w:ascii="楷体_GB2312" w:hAnsi="Times New Roman" w:eastAsia="楷体_GB2312"/>
          <w:color w:val="auto"/>
          <w:sz w:val="32"/>
          <w:szCs w:val="32"/>
        </w:rPr>
        <w:t>（二十一）市水利局：</w:t>
      </w:r>
      <w:r>
        <w:rPr>
          <w:rFonts w:hint="eastAsia" w:ascii="Times New Roman" w:hAnsi="Times New Roman"/>
          <w:color w:val="auto"/>
          <w:kern w:val="0"/>
          <w:sz w:val="32"/>
          <w:szCs w:val="32"/>
        </w:rPr>
        <w:t>重点宣传普及水法、</w:t>
      </w:r>
      <w:r>
        <w:rPr>
          <w:rFonts w:hint="default" w:ascii="Times New Roman" w:hAnsi="Times New Roman"/>
          <w:color w:val="auto"/>
          <w:kern w:val="0"/>
          <w:sz w:val="32"/>
          <w:szCs w:val="32"/>
        </w:rPr>
        <w:t>长江保护法、</w:t>
      </w:r>
      <w:r>
        <w:rPr>
          <w:rFonts w:hint="eastAsia" w:ascii="Times New Roman" w:hAnsi="Times New Roman"/>
          <w:color w:val="auto"/>
          <w:kern w:val="0"/>
          <w:sz w:val="32"/>
          <w:szCs w:val="32"/>
        </w:rPr>
        <w:t>防洪法、水土保持法、</w:t>
      </w:r>
      <w:r>
        <w:rPr>
          <w:rFonts w:hint="default" w:ascii="Times New Roman" w:hAnsi="Times New Roman"/>
          <w:color w:val="auto"/>
          <w:kern w:val="0"/>
          <w:sz w:val="32"/>
          <w:szCs w:val="32"/>
        </w:rPr>
        <w:t>水污染防治法、环境保护法、电力法、</w:t>
      </w:r>
      <w:r>
        <w:rPr>
          <w:rFonts w:hint="eastAsia" w:ascii="Times New Roman" w:hAnsi="Times New Roman"/>
          <w:color w:val="auto"/>
          <w:kern w:val="0"/>
          <w:sz w:val="32"/>
          <w:szCs w:val="32"/>
        </w:rPr>
        <w:t>河道管理条例、取水许可和水资源费征收管理条例</w:t>
      </w:r>
      <w:r>
        <w:rPr>
          <w:rFonts w:hint="default" w:ascii="Times New Roman" w:hAnsi="Times New Roman"/>
          <w:color w:val="auto"/>
          <w:kern w:val="0"/>
          <w:sz w:val="32"/>
          <w:szCs w:val="32"/>
        </w:rPr>
        <w:t>、防汛条例、抗旱条例、</w:t>
      </w:r>
      <w:r>
        <w:rPr>
          <w:rFonts w:hint="eastAsia" w:ascii="Times New Roman" w:hAnsi="Times New Roman"/>
          <w:color w:val="auto"/>
          <w:kern w:val="0"/>
          <w:sz w:val="32"/>
          <w:szCs w:val="32"/>
        </w:rPr>
        <w:t>湖南省饮用水水源保护条例、湖南省洞庭湖区水利管理条例、</w:t>
      </w:r>
      <w:r>
        <w:rPr>
          <w:rFonts w:hint="default" w:ascii="Times New Roman" w:hAnsi="Times New Roman"/>
          <w:color w:val="auto"/>
          <w:kern w:val="0"/>
          <w:sz w:val="32"/>
          <w:szCs w:val="32"/>
        </w:rPr>
        <w:t>益阳市资江保护条例、</w:t>
      </w:r>
      <w:r>
        <w:rPr>
          <w:rFonts w:hint="eastAsia" w:ascii="Times New Roman" w:hAnsi="Times New Roman"/>
          <w:color w:val="auto"/>
          <w:kern w:val="0"/>
          <w:sz w:val="32"/>
          <w:szCs w:val="32"/>
        </w:rPr>
        <w:t>湖南省实施《中华人民共和国防洪法》办法等法律法规。</w:t>
      </w:r>
    </w:p>
    <w:p>
      <w:pPr>
        <w:keepNext w:val="0"/>
        <w:keepLines w:val="0"/>
        <w:pageBreakBefore w:val="0"/>
        <w:widowControl/>
        <w:suppressLineNumbers w:val="0"/>
        <w:kinsoku/>
        <w:wordWrap/>
        <w:overflowPunct/>
        <w:topLinePunct w:val="0"/>
        <w:autoSpaceDE/>
        <w:autoSpaceDN/>
        <w:bidi w:val="0"/>
        <w:adjustRightInd/>
        <w:spacing w:line="594" w:lineRule="exact"/>
        <w:ind w:firstLine="640" w:firstLineChars="200"/>
        <w:jc w:val="left"/>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sz w:val="32"/>
          <w:szCs w:val="32"/>
        </w:rPr>
        <w:t>（二十二）</w:t>
      </w:r>
      <w:r>
        <w:rPr>
          <w:rFonts w:hint="eastAsia" w:ascii="楷体_GB2312" w:hAnsi="楷体_GB2312" w:eastAsia="楷体_GB2312" w:cs="楷体_GB2312"/>
          <w:b w:val="0"/>
          <w:bCs w:val="0"/>
          <w:color w:val="auto"/>
          <w:sz w:val="32"/>
          <w:szCs w:val="32"/>
        </w:rPr>
        <w:t>市农业农村局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rPr>
        <w:t>重点宣传普及农业法、渔业法、长江保护法、农村土地承包法、土地管理法、农村土地承包经营纠纷调解仲裁法、农民专业合作社法、农业技术推广法、土壤污染防治法、农产品质量安全法、种子法、野生动物保护法、畜牧法、动物防疫法、生物安全法、农业机械化促进法、乡村振兴促进法、农业转基因生物安全管理条例、野生植物保护条例、植物新品种保护条例、湖南省耕地质量管理条例、湖南省农业环境保护条例、湖南省农村可再生能源条例、基本农田保护条例、水产资源繁殖保护条例、水生野生动物保护实施条例、</w:t>
      </w:r>
      <w:r>
        <w:rPr>
          <w:rFonts w:hint="eastAsia" w:ascii="仿宋_GB2312" w:hAnsi="仿宋_GB2312" w:eastAsia="仿宋_GB2312" w:cs="仿宋_GB2312"/>
          <w:b w:val="0"/>
          <w:bCs w:val="0"/>
          <w:i w:val="0"/>
          <w:caps w:val="0"/>
          <w:color w:val="333333"/>
          <w:spacing w:val="0"/>
          <w:kern w:val="0"/>
          <w:sz w:val="32"/>
          <w:szCs w:val="32"/>
          <w:shd w:val="clear" w:fill="FFFFFF"/>
          <w:lang w:val="en-US" w:eastAsia="zh-CN" w:bidi="ar"/>
        </w:rPr>
        <w:t>农业综合行政执法管理办法</w:t>
      </w:r>
      <w:r>
        <w:rPr>
          <w:rFonts w:hint="eastAsia" w:ascii="仿宋_GB2312" w:hAnsi="仿宋_GB2312" w:eastAsia="仿宋_GB2312" w:cs="仿宋_GB2312"/>
          <w:b w:val="0"/>
          <w:bCs w:val="0"/>
          <w:color w:val="auto"/>
          <w:kern w:val="0"/>
          <w:sz w:val="32"/>
          <w:szCs w:val="32"/>
        </w:rPr>
        <w:t>、农药管理条例、植物检疫条例、饲料和饲料添加剂管理条例、肥料登记管理办法、湖南省渔业条例、湖南省基本农田保护条例、生猪屠宰管理条例、湖南省生猪屠宰管理条例、</w:t>
      </w:r>
      <w:r>
        <w:rPr>
          <w:rFonts w:hint="eastAsia" w:ascii="仿宋_GB2312" w:hAnsi="仿宋_GB2312" w:eastAsia="仿宋_GB2312" w:cs="仿宋_GB2312"/>
          <w:b w:val="0"/>
          <w:bCs w:val="0"/>
          <w:color w:val="000000"/>
          <w:sz w:val="32"/>
          <w:szCs w:val="32"/>
          <w:lang w:val="en-US" w:eastAsia="zh-CN"/>
        </w:rPr>
        <w:t>益阳市畜禽水产养殖污染防治条例</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农药包装废弃物回收处理管理办法</w:t>
      </w:r>
      <w:r>
        <w:rPr>
          <w:rFonts w:hint="eastAsia" w:ascii="仿宋_GB2312" w:hAnsi="仿宋_GB2312" w:eastAsia="仿宋_GB2312" w:cs="仿宋_GB2312"/>
          <w:b w:val="0"/>
          <w:bCs w:val="0"/>
          <w:color w:val="auto"/>
          <w:kern w:val="0"/>
          <w:sz w:val="32"/>
          <w:szCs w:val="32"/>
        </w:rPr>
        <w:t>等法律法规。</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（二十三）市商务局：</w:t>
      </w:r>
      <w:r>
        <w:rPr>
          <w:rFonts w:hint="eastAsia" w:ascii="Times New Roman" w:hAnsi="Times New Roman" w:eastAsia="仿宋_GB2312"/>
          <w:color w:val="auto"/>
          <w:kern w:val="0"/>
          <w:sz w:val="32"/>
          <w:szCs w:val="32"/>
        </w:rPr>
        <w:t>重点宣传普及对外贸易法、外商投资法、电子商务法、拍卖法、反垄断法、反不正当竞争法、商业特许经营管理条例、对外劳务合作管理条例、外商投资法实施条例、反倾销条例、反补贴条例、直销管理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b w:val="0"/>
          <w:bCs/>
          <w:color w:val="auto"/>
          <w:kern w:val="0"/>
          <w:sz w:val="32"/>
          <w:szCs w:val="32"/>
        </w:rPr>
      </w:pPr>
      <w:r>
        <w:rPr>
          <w:rFonts w:hint="default" w:ascii="楷体_GB2312" w:hAnsi="Times New Roman" w:eastAsia="楷体_GB2312"/>
          <w:color w:val="auto"/>
          <w:sz w:val="32"/>
          <w:szCs w:val="32"/>
        </w:rPr>
        <w:t>（二十四）市文旅广体局：</w:t>
      </w:r>
      <w:r>
        <w:rPr>
          <w:rFonts w:hint="eastAsia" w:ascii="仿宋_GB2312" w:hAnsi="仿宋_GB2312" w:eastAsia="仿宋_GB2312" w:cs="仿宋_GB2312"/>
          <w:b w:val="0"/>
          <w:bCs/>
          <w:color w:val="auto"/>
          <w:kern w:val="0"/>
          <w:sz w:val="32"/>
          <w:szCs w:val="32"/>
        </w:rPr>
        <w:t>重点宣传普及文物保护法、公共图书馆法、公共文化服务保障法、非物质文化遗产法、旅游法、营业性演出管理条例、娱乐场所管理条例、互联网上网服务营业场所管理条例、旅行社条例、导游人员管理条例、湖南省红色资源保护和利用条例、</w:t>
      </w:r>
      <w:r>
        <w:rPr>
          <w:rFonts w:hint="eastAsia" w:ascii="仿宋_GB2312" w:hAnsi="仿宋_GB2312" w:eastAsia="仿宋_GB2312" w:cs="仿宋_GB2312"/>
          <w:b w:val="0"/>
          <w:bCs/>
          <w:spacing w:val="5"/>
          <w:sz w:val="32"/>
          <w:szCs w:val="32"/>
          <w:highlight w:val="none"/>
          <w:lang w:val="en-US" w:eastAsia="zh-CN"/>
        </w:rPr>
        <w:t>湖南省实施</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中华人民共和国非物质文化遗产法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办法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湖南省实施《中华人民共和国公共文化服务保障法》办法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湖南省实施</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中华人民共和国旅游法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办法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益阳市不可移动文物保护办法</w:t>
      </w:r>
      <w:r>
        <w:rPr>
          <w:rFonts w:hint="eastAsia" w:ascii="仿宋_GB2312" w:hAnsi="仿宋_GB2312" w:eastAsia="仿宋_GB2312" w:cs="仿宋_GB2312"/>
          <w:b w:val="0"/>
          <w:bCs/>
          <w:color w:val="auto"/>
          <w:kern w:val="0"/>
          <w:sz w:val="32"/>
          <w:szCs w:val="32"/>
        </w:rPr>
        <w:t>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重点宣传普及广播电视管理条例、广播电视设施保护条例、广播电视无线传输覆盖网管理办法、广播电视安全播出管理规定、卫星电视广播地面接收设施管理规定、</w:t>
      </w:r>
      <w:r>
        <w:rPr>
          <w:rFonts w:hint="eastAsia" w:ascii="仿宋_GB2312" w:hAnsi="仿宋_GB2312" w:eastAsia="仿宋_GB2312" w:cs="仿宋_GB2312"/>
          <w:b w:val="0"/>
          <w:bCs/>
          <w:spacing w:val="5"/>
          <w:sz w:val="32"/>
          <w:szCs w:val="32"/>
          <w:highlight w:val="none"/>
          <w:lang w:val="en-US" w:eastAsia="zh-CN"/>
        </w:rPr>
        <w:t>互联网视听节目服务管理规定</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中外合作制作电视局管理规定</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电视局内容管理规定</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广播电视视频点播管理办法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广播电台电视台审批管理办法</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广播电视设备器材入网认定管理办法</w:t>
      </w:r>
      <w:r>
        <w:rPr>
          <w:rFonts w:hint="eastAsia" w:ascii="仿宋_GB2312" w:hAnsi="仿宋_GB2312" w:eastAsia="仿宋_GB2312" w:cs="仿宋_GB2312"/>
          <w:b w:val="0"/>
          <w:bCs/>
          <w:color w:val="auto"/>
          <w:kern w:val="0"/>
          <w:sz w:val="32"/>
          <w:szCs w:val="32"/>
        </w:rPr>
        <w:t>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0"/>
          <w:sz w:val="32"/>
          <w:szCs w:val="32"/>
        </w:rPr>
        <w:t>重点宣传普及体育法、全民健身条例、</w:t>
      </w:r>
      <w:r>
        <w:rPr>
          <w:rFonts w:hint="eastAsia" w:ascii="仿宋_GB2312" w:hAnsi="仿宋_GB2312" w:eastAsia="仿宋_GB2312" w:cs="仿宋_GB2312"/>
          <w:b w:val="0"/>
          <w:bCs/>
          <w:spacing w:val="5"/>
          <w:sz w:val="32"/>
          <w:szCs w:val="32"/>
          <w:highlight w:val="none"/>
          <w:lang w:val="en-US" w:eastAsia="zh-CN"/>
        </w:rPr>
        <w:t>湖南省全民健身条例</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湖南省体育经营活动管理条例</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公共文化体育设施条例</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湖南省实施</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公共文化体育设施条例</w:t>
      </w:r>
      <w:r>
        <w:rPr>
          <w:rFonts w:hint="eastAsia" w:ascii="仿宋_GB2312" w:hAnsi="仿宋_GB2312" w:eastAsia="仿宋_GB2312" w:cs="仿宋_GB2312"/>
          <w:b w:val="0"/>
          <w:bCs/>
          <w:spacing w:val="5"/>
          <w:sz w:val="32"/>
          <w:szCs w:val="32"/>
          <w:highlight w:val="none"/>
          <w:lang w:eastAsia="zh-CN"/>
        </w:rPr>
        <w:t>》</w:t>
      </w:r>
      <w:r>
        <w:rPr>
          <w:rFonts w:hint="eastAsia" w:ascii="仿宋_GB2312" w:hAnsi="仿宋_GB2312" w:eastAsia="仿宋_GB2312" w:cs="仿宋_GB2312"/>
          <w:b w:val="0"/>
          <w:bCs/>
          <w:spacing w:val="5"/>
          <w:sz w:val="32"/>
          <w:szCs w:val="32"/>
          <w:highlight w:val="none"/>
          <w:lang w:val="en-US" w:eastAsia="zh-CN"/>
        </w:rPr>
        <w:t>办法</w:t>
      </w:r>
      <w:r>
        <w:rPr>
          <w:rFonts w:hint="eastAsia" w:ascii="仿宋_GB2312" w:hAnsi="仿宋_GB2312" w:eastAsia="仿宋_GB2312" w:cs="仿宋_GB2312"/>
          <w:b w:val="0"/>
          <w:bCs/>
          <w:color w:val="auto"/>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（二十五）市卫生健康委：</w:t>
      </w:r>
      <w:r>
        <w:rPr>
          <w:rFonts w:hint="eastAsia" w:ascii="Times New Roman" w:hAnsi="Times New Roman"/>
          <w:color w:val="auto"/>
          <w:kern w:val="0"/>
          <w:sz w:val="32"/>
          <w:szCs w:val="32"/>
        </w:rPr>
        <w:t>重点宣传普及基本医疗卫生与健康促进法、传染病防治法、精神卫生法、疫苗管理法、医师法、献血法、生物安全法、食品安全法、母婴保健法、职业病防治法、人口与计划生育法、中医药法、公共场所卫生管理条例、艾滋病防治条例、血吸虫病防治条例、医疗机构管理条例、医疗纠纷预防和处理条例、医疗事故处理条例、护士条例、医疗废物管理条例、乡村医生从业管理条例、突发公共卫生事件应急条例、病原微生物实验室生物安全管理条例、湖南省爱国卫生条例、湖南省血吸虫病防治条例、湖南省现场救护条例、湖南省人口与计划生育条例、湖南省实施《中华人民共和国献血法》办法、湖南省实施《中华人民共和国老年人权益保障法》办法、湖南省实施《中华人民共和国母婴保健法》办法、湖南省实施《中华人民共和国中医药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（二十六）市审计局：</w:t>
      </w:r>
      <w:r>
        <w:rPr>
          <w:rFonts w:hint="eastAsia" w:ascii="Times New Roman" w:hAnsi="Times New Roman"/>
          <w:color w:val="auto"/>
          <w:kern w:val="0"/>
          <w:sz w:val="32"/>
          <w:szCs w:val="32"/>
        </w:rPr>
        <w:t>重点宣传普及审计法及其实施条例、预算法及其实施条例、财政违法行为处罚处分条例、湖南省内部审计办法等法律法规。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rPr>
      </w:pPr>
      <w:r>
        <w:rPr>
          <w:rFonts w:hint="default" w:ascii="楷体_GB2312" w:hAnsi="Times New Roman" w:eastAsia="楷体_GB2312"/>
          <w:color w:val="auto"/>
          <w:sz w:val="32"/>
          <w:szCs w:val="32"/>
        </w:rPr>
        <w:t>（二十七）市退役军人事务局：</w:t>
      </w:r>
      <w:r>
        <w:rPr>
          <w:rFonts w:hint="eastAsia" w:ascii="Times New Roman" w:hAnsi="Times New Roman"/>
          <w:color w:val="auto"/>
          <w:kern w:val="0"/>
          <w:sz w:val="32"/>
          <w:szCs w:val="32"/>
        </w:rPr>
        <w:t>重点宣传普及兵役法、退役军人保障法、军人地位和权益保障</w:t>
      </w:r>
      <w:r>
        <w:rPr>
          <w:rFonts w:hint="eastAsia" w:ascii="仿宋_GB2312" w:hAnsi="仿宋_GB2312" w:eastAsia="仿宋_GB2312" w:cs="仿宋_GB2312"/>
          <w:color w:val="auto"/>
          <w:kern w:val="0"/>
          <w:sz w:val="32"/>
          <w:szCs w:val="32"/>
        </w:rPr>
        <w:t>法、</w:t>
      </w:r>
      <w:r>
        <w:rPr>
          <w:rFonts w:hint="eastAsia" w:ascii="仿宋_GB2312" w:hAnsi="仿宋_GB2312" w:eastAsia="仿宋_GB2312" w:cs="仿宋_GB2312"/>
          <w:b w:val="0"/>
          <w:i w:val="0"/>
          <w:iCs w:val="0"/>
          <w:color w:val="000000"/>
          <w:kern w:val="0"/>
          <w:sz w:val="32"/>
          <w:szCs w:val="32"/>
          <w:u w:val="none"/>
          <w:lang w:val="en-US" w:eastAsia="zh-CN" w:bidi="ar"/>
        </w:rPr>
        <w:t>优抚对象医疗保障办法</w:t>
      </w:r>
      <w:r>
        <w:rPr>
          <w:rFonts w:hint="eastAsia" w:ascii="仿宋_GB2312" w:hAnsi="仿宋_GB2312" w:eastAsia="仿宋_GB2312" w:cs="仿宋_GB2312"/>
          <w:b w:val="0"/>
          <w:i w:val="0"/>
          <w:iCs w:val="0"/>
          <w:color w:val="000000"/>
          <w:kern w:val="0"/>
          <w:sz w:val="32"/>
          <w:szCs w:val="32"/>
          <w:u w:val="none"/>
          <w:lang w:eastAsia="zh-CN" w:bidi="ar"/>
        </w:rPr>
        <w:t>、</w:t>
      </w:r>
      <w:r>
        <w:rPr>
          <w:rFonts w:hint="eastAsia" w:ascii="仿宋_GB2312" w:hAnsi="仿宋_GB2312" w:eastAsia="仿宋_GB2312" w:cs="仿宋_GB2312"/>
          <w:b w:val="0"/>
          <w:i w:val="0"/>
          <w:iCs w:val="0"/>
          <w:color w:val="000000"/>
          <w:kern w:val="0"/>
          <w:sz w:val="32"/>
          <w:szCs w:val="32"/>
          <w:u w:val="none"/>
          <w:lang w:val="en-US" w:eastAsia="zh-CN" w:bidi="ar"/>
        </w:rPr>
        <w:t>烈士纪念设施保护管理办法</w:t>
      </w:r>
      <w:r>
        <w:rPr>
          <w:rFonts w:hint="eastAsia" w:ascii="仿宋_GB2312" w:hAnsi="仿宋_GB2312" w:eastAsia="仿宋_GB2312" w:cs="仿宋_GB2312"/>
          <w:b w:val="0"/>
          <w:i w:val="0"/>
          <w:iCs w:val="0"/>
          <w:color w:val="000000"/>
          <w:kern w:val="0"/>
          <w:sz w:val="32"/>
          <w:szCs w:val="32"/>
          <w:u w:val="none"/>
          <w:lang w:eastAsia="zh-CN" w:bidi="ar"/>
        </w:rPr>
        <w:t>、</w:t>
      </w:r>
      <w:r>
        <w:rPr>
          <w:rFonts w:hint="eastAsia" w:ascii="仿宋_GB2312" w:hAnsi="仿宋_GB2312" w:eastAsia="仿宋_GB2312" w:cs="仿宋_GB2312"/>
          <w:b w:val="0"/>
          <w:i w:val="0"/>
          <w:iCs w:val="0"/>
          <w:color w:val="000000"/>
          <w:kern w:val="0"/>
          <w:sz w:val="32"/>
          <w:szCs w:val="32"/>
          <w:u w:val="none"/>
          <w:lang w:val="en-US" w:eastAsia="zh-CN" w:bidi="ar"/>
        </w:rPr>
        <w:t>烈士公祭办法</w:t>
      </w:r>
      <w:r>
        <w:rPr>
          <w:rFonts w:hint="eastAsia" w:ascii="仿宋_GB2312" w:hAnsi="仿宋_GB2312" w:eastAsia="仿宋_GB2312" w:cs="仿宋_GB2312"/>
          <w:color w:val="auto"/>
          <w:spacing w:val="-6"/>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（二十八）市应急管理局：</w:t>
      </w:r>
      <w:r>
        <w:rPr>
          <w:rFonts w:hint="eastAsia" w:ascii="Times New Roman" w:hAnsi="Times New Roman"/>
          <w:color w:val="auto"/>
          <w:kern w:val="0"/>
          <w:sz w:val="32"/>
          <w:szCs w:val="32"/>
        </w:rPr>
        <w:t>重点宣传普及突发事件应对法、安全生产法、防洪法、防震减灾法、矿山安全法、生产安全事故应急条例、自然灾害救助条例、森林防火条例、抗旱条例、防汛条例、地质灾害防治条例、危险化学品安全管理条例、烟花爆竹安全管理条例、生产安全事故报告和调查处理条例</w:t>
      </w:r>
      <w:r>
        <w:rPr>
          <w:rFonts w:hint="default" w:ascii="Times New Roman" w:hAnsi="Times New Roman"/>
          <w:color w:val="auto"/>
          <w:kern w:val="0"/>
          <w:sz w:val="32"/>
          <w:szCs w:val="32"/>
        </w:rPr>
        <w:t>、湖南省安全生产条例</w:t>
      </w:r>
      <w:r>
        <w:rPr>
          <w:rFonts w:hint="eastAsia" w:ascii="Times New Roman" w:hAnsi="Times New Roman"/>
          <w:color w:val="auto"/>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（二十九）市国资委：</w:t>
      </w:r>
      <w:r>
        <w:rPr>
          <w:rFonts w:hint="eastAsia" w:ascii="Times New Roman" w:hAnsi="Times New Roman"/>
          <w:color w:val="auto"/>
          <w:kern w:val="0"/>
          <w:sz w:val="32"/>
          <w:szCs w:val="32"/>
        </w:rPr>
        <w:t>重点宣传普及公司法、证券法、企业国有资产法、企业国有资产监督管理暂行条例等法律法规。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b w:val="0"/>
          <w:bCs/>
          <w:color w:val="auto"/>
          <w:kern w:val="0"/>
          <w:sz w:val="32"/>
          <w:szCs w:val="32"/>
        </w:rPr>
      </w:pPr>
      <w:r>
        <w:rPr>
          <w:rFonts w:hint="default" w:ascii="楷体_GB2312" w:hAnsi="Times New Roman" w:eastAsia="楷体_GB2312"/>
          <w:color w:val="auto"/>
          <w:sz w:val="32"/>
          <w:szCs w:val="32"/>
        </w:rPr>
        <w:t>（三十）市林业局：</w:t>
      </w:r>
      <w:r>
        <w:rPr>
          <w:rFonts w:hint="eastAsia" w:ascii="Times New Roman" w:hAnsi="Times New Roman"/>
          <w:color w:val="auto"/>
          <w:kern w:val="0"/>
          <w:sz w:val="32"/>
          <w:szCs w:val="32"/>
        </w:rPr>
        <w:t>重点宣传普及</w:t>
      </w:r>
      <w:r>
        <w:rPr>
          <w:rFonts w:hint="eastAsia" w:ascii="Times New Roman" w:hAnsi="Times New Roman"/>
          <w:b w:val="0"/>
          <w:bCs/>
          <w:color w:val="auto"/>
          <w:kern w:val="0"/>
          <w:sz w:val="32"/>
          <w:szCs w:val="32"/>
        </w:rPr>
        <w:t>森林法、</w:t>
      </w:r>
      <w:r>
        <w:rPr>
          <w:rFonts w:hint="default" w:ascii="Times New Roman" w:hAnsi="Times New Roman"/>
          <w:b w:val="0"/>
          <w:bCs/>
          <w:color w:val="auto"/>
          <w:kern w:val="0"/>
          <w:sz w:val="32"/>
          <w:szCs w:val="32"/>
        </w:rPr>
        <w:t>生物安全法、</w:t>
      </w:r>
      <w:r>
        <w:rPr>
          <w:rFonts w:hint="eastAsia" w:ascii="Times New Roman" w:hAnsi="Times New Roman"/>
          <w:b w:val="0"/>
          <w:bCs/>
          <w:color w:val="auto"/>
          <w:kern w:val="0"/>
          <w:sz w:val="32"/>
          <w:szCs w:val="32"/>
        </w:rPr>
        <w:t>野生动物保护法、</w:t>
      </w:r>
      <w:r>
        <w:rPr>
          <w:rFonts w:hint="default" w:ascii="Times New Roman" w:hAnsi="Times New Roman"/>
          <w:b w:val="0"/>
          <w:bCs/>
          <w:color w:val="auto"/>
          <w:kern w:val="0"/>
          <w:sz w:val="32"/>
          <w:szCs w:val="32"/>
        </w:rPr>
        <w:t>长江保护法、</w:t>
      </w:r>
      <w:r>
        <w:rPr>
          <w:rFonts w:hint="eastAsia" w:ascii="Times New Roman" w:hAnsi="Times New Roman"/>
          <w:b w:val="0"/>
          <w:bCs/>
          <w:color w:val="auto"/>
          <w:kern w:val="0"/>
          <w:sz w:val="32"/>
          <w:szCs w:val="32"/>
        </w:rPr>
        <w:t>种子法、湿地保护法、湖南省森林防火实施办法</w:t>
      </w:r>
      <w:r>
        <w:rPr>
          <w:rFonts w:hint="default" w:ascii="Times New Roman" w:hAnsi="Times New Roman"/>
          <w:b w:val="0"/>
          <w:bCs/>
          <w:color w:val="auto"/>
          <w:kern w:val="0"/>
          <w:sz w:val="32"/>
          <w:szCs w:val="32"/>
        </w:rPr>
        <w:t>、湖南省洞庭湖保护条例、</w:t>
      </w:r>
      <w:r>
        <w:rPr>
          <w:rFonts w:hint="eastAsia" w:ascii="Times New Roman" w:hAnsi="Times New Roman"/>
          <w:b w:val="0"/>
          <w:bCs/>
          <w:color w:val="auto"/>
          <w:kern w:val="0"/>
          <w:sz w:val="32"/>
          <w:szCs w:val="32"/>
        </w:rPr>
        <w:t>森林防火条例、植物检疫条例等法律法规。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（三十一）市市场监督管理局（市知识产权局）：</w:t>
      </w:r>
      <w:r>
        <w:rPr>
          <w:rFonts w:hint="eastAsia" w:ascii="Times New Roman" w:hAnsi="Times New Roman" w:eastAsia="仿宋_GB2312"/>
          <w:color w:val="auto"/>
          <w:kern w:val="0"/>
          <w:sz w:val="32"/>
          <w:szCs w:val="32"/>
        </w:rPr>
        <w:t>重点宣传普及</w:t>
      </w:r>
      <w:r>
        <w:rPr>
          <w:rFonts w:hint="default" w:ascii="Times New Roman" w:hAnsi="Times New Roman" w:eastAsia="仿宋_GB2312" w:cs="Times New Roman"/>
          <w:sz w:val="32"/>
          <w:szCs w:val="32"/>
        </w:rPr>
        <w:t>行政诉讼法、行政处罚法、行政许可法、行政强制法、消费者权益保护法、价格法、商标法、专利法、反垄断法、反不正当竞争法、电子商务法、食品安全法、广告法、产品质量法、特种设备安全法、计量法、标准化法、药品管理法、疫苗管理法、中医药法、特种设备安全监察条例、医疗用毒性药品管理办法、放射性药品管理办法、化妆品监督管理条例、中药品种保护条例、药品管理法实施条例、医疗器械监督管理条例计量法实施细则、标准化法实施条例、认证认可条例、公益广告促进和管理暂行办法、网络交易监督管理办法、互联网广告管理办法、工业产品生产许可证管理条例、棉花质量监督管理条例、地方党政领导干部食品安全责任制规定、食品安全法实施条例、市场主体登记管理条例、企业信息公示暂行条例、市场主体登记管理条例实施细则、市场监督管理严重违法失信名单管理办法、</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省消费者权益保护条例、侵害消费者权益行为处罚办法、商标法实施条例、</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省知识产权保护</w:t>
      </w:r>
      <w:r>
        <w:rPr>
          <w:rFonts w:hint="default" w:ascii="Times New Roman" w:hAnsi="Times New Roman" w:eastAsia="仿宋_GB2312" w:cs="Times New Roman"/>
          <w:sz w:val="32"/>
          <w:szCs w:val="32"/>
          <w:lang w:eastAsia="zh-CN"/>
        </w:rPr>
        <w:t>和促进条例、</w:t>
      </w:r>
      <w:r>
        <w:rPr>
          <w:rFonts w:hint="default" w:ascii="Times New Roman" w:hAnsi="Times New Roman" w:eastAsia="仿宋_GB2312" w:cs="Times New Roman"/>
          <w:sz w:val="32"/>
          <w:szCs w:val="32"/>
        </w:rPr>
        <w:t>价格违法行为行政处罚规定、直销管理条例、禁止传销条例</w:t>
      </w:r>
      <w:r>
        <w:rPr>
          <w:rFonts w:hint="default" w:ascii="Times New Roman" w:hAnsi="Times New Roman" w:eastAsia="仿宋_GB2312"/>
          <w:color w:val="auto"/>
          <w:kern w:val="0"/>
          <w:sz w:val="32"/>
          <w:szCs w:val="32"/>
        </w:rPr>
        <w:t>等</w:t>
      </w:r>
      <w:r>
        <w:rPr>
          <w:rFonts w:hint="eastAsia" w:ascii="Times New Roman" w:hAnsi="Times New Roman" w:eastAsia="仿宋_GB2312"/>
          <w:color w:val="auto"/>
          <w:kern w:val="0"/>
          <w:sz w:val="32"/>
          <w:szCs w:val="32"/>
        </w:rPr>
        <w:t>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（三十二）市统计局：</w:t>
      </w:r>
      <w:r>
        <w:rPr>
          <w:rFonts w:hint="eastAsia" w:ascii="Times New Roman" w:hAnsi="Times New Roman" w:eastAsia="仿宋_GB2312"/>
          <w:color w:val="auto"/>
          <w:kern w:val="0"/>
          <w:sz w:val="32"/>
          <w:szCs w:val="32"/>
        </w:rPr>
        <w:t>重点宣传普及统计法、统计法实施条例、全国经济普查条例、湖南省统计管理条例等法律法规。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Times New Roman" w:hAnsi="Times New Roman" w:eastAsia="Times New Roman"/>
          <w:color w:val="auto"/>
          <w:kern w:val="0"/>
          <w:sz w:val="32"/>
          <w:szCs w:val="32"/>
        </w:rPr>
      </w:pPr>
      <w:r>
        <w:rPr>
          <w:rFonts w:hint="default" w:ascii="楷体_GB2312" w:hAnsi="Times New Roman" w:eastAsia="楷体_GB2312"/>
          <w:color w:val="auto"/>
          <w:sz w:val="32"/>
          <w:szCs w:val="32"/>
        </w:rPr>
        <w:t>（三十三）市机关事务局：</w:t>
      </w:r>
      <w:r>
        <w:rPr>
          <w:rFonts w:hint="eastAsia" w:ascii="Times New Roman" w:hAnsi="Times New Roman"/>
          <w:color w:val="auto"/>
          <w:kern w:val="0"/>
          <w:sz w:val="32"/>
          <w:szCs w:val="32"/>
        </w:rPr>
        <w:t>重点宣传普及反食品浪费法、公共机构节能条例等法律法规。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rPr>
      </w:pPr>
      <w:r>
        <w:rPr>
          <w:rFonts w:hint="default" w:ascii="楷体_GB2312" w:hAnsi="Times New Roman" w:eastAsia="楷体_GB2312"/>
          <w:color w:val="auto"/>
          <w:sz w:val="32"/>
          <w:szCs w:val="32"/>
        </w:rPr>
        <w:t>（三十四）市政府金融办：</w:t>
      </w:r>
      <w:r>
        <w:rPr>
          <w:rFonts w:hint="eastAsia" w:ascii="仿宋_GB2312" w:hAnsi="仿宋_GB2312" w:eastAsia="仿宋_GB2312" w:cs="仿宋_GB2312"/>
          <w:color w:val="auto"/>
          <w:kern w:val="0"/>
          <w:sz w:val="32"/>
          <w:szCs w:val="32"/>
        </w:rPr>
        <w:t>重点宣传普及融资担保公司监督管理条例、防范和处置非法集资条例和反洗钱、</w:t>
      </w:r>
      <w:r>
        <w:rPr>
          <w:rFonts w:hint="eastAsia" w:ascii="仿宋_GB2312" w:hAnsi="仿宋_GB2312" w:eastAsia="仿宋_GB2312" w:cs="仿宋_GB2312"/>
          <w:i w:val="0"/>
          <w:caps w:val="0"/>
          <w:color w:val="000000"/>
          <w:spacing w:val="0"/>
          <w:kern w:val="0"/>
          <w:sz w:val="32"/>
          <w:szCs w:val="32"/>
          <w:lang w:val="en-US" w:eastAsia="zh-CN" w:bidi="ar"/>
        </w:rPr>
        <w:t>湖南省地方金融监督管理条例</w:t>
      </w:r>
      <w:r>
        <w:rPr>
          <w:rFonts w:hint="eastAsia" w:ascii="仿宋_GB2312" w:hAnsi="仿宋_GB2312" w:eastAsia="仿宋_GB2312" w:cs="仿宋_GB2312"/>
          <w:color w:val="auto"/>
          <w:kern w:val="0"/>
          <w:sz w:val="32"/>
          <w:szCs w:val="32"/>
        </w:rPr>
        <w:t>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（三十五）市信访局：</w:t>
      </w:r>
      <w:r>
        <w:rPr>
          <w:rFonts w:hint="eastAsia" w:ascii="Times New Roman" w:hAnsi="Times New Roman"/>
          <w:color w:val="auto"/>
          <w:kern w:val="0"/>
          <w:sz w:val="32"/>
          <w:szCs w:val="32"/>
        </w:rPr>
        <w:t>重点宣传普及信访工作条例等法律法规。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（三十六）市乡村振兴局：</w:t>
      </w:r>
      <w:r>
        <w:rPr>
          <w:rFonts w:hint="eastAsia" w:ascii="Times New Roman" w:hAnsi="Times New Roman"/>
          <w:color w:val="auto"/>
          <w:kern w:val="0"/>
          <w:sz w:val="32"/>
          <w:szCs w:val="32"/>
        </w:rPr>
        <w:t>重点宣传普及乡村振兴促进法</w:t>
      </w:r>
      <w:r>
        <w:rPr>
          <w:rFonts w:hint="default" w:ascii="Times New Roman" w:hAnsi="Times New Roman"/>
          <w:color w:val="auto"/>
          <w:kern w:val="0"/>
          <w:sz w:val="32"/>
          <w:szCs w:val="32"/>
        </w:rPr>
        <w:t>、</w:t>
      </w:r>
      <w:r>
        <w:rPr>
          <w:rFonts w:hint="default" w:ascii="Times New Roman" w:hAnsi="Times New Roman" w:cs="仿宋_GB2312"/>
          <w:b w:val="0"/>
          <w:bCs/>
          <w:color w:val="auto"/>
          <w:kern w:val="0"/>
          <w:sz w:val="32"/>
          <w:szCs w:val="32"/>
          <w:lang w:eastAsia="zh-CN" w:bidi="ar-SA"/>
        </w:rPr>
        <w:t>湖南省</w:t>
      </w:r>
      <w:r>
        <w:rPr>
          <w:rFonts w:hint="eastAsia" w:ascii="Times New Roman" w:hAnsi="Times New Roman" w:cs="仿宋_GB2312"/>
          <w:b w:val="0"/>
          <w:bCs/>
          <w:color w:val="auto"/>
          <w:kern w:val="0"/>
          <w:sz w:val="32"/>
          <w:szCs w:val="32"/>
          <w:lang w:val="en-US" w:eastAsia="zh-CN" w:bidi="ar-SA"/>
        </w:rPr>
        <w:t>乡村振兴促进</w:t>
      </w:r>
      <w:r>
        <w:rPr>
          <w:rFonts w:hint="default" w:ascii="Times New Roman" w:hAnsi="Times New Roman" w:cs="仿宋_GB2312"/>
          <w:b w:val="0"/>
          <w:bCs/>
          <w:color w:val="auto"/>
          <w:kern w:val="0"/>
          <w:sz w:val="32"/>
          <w:szCs w:val="32"/>
          <w:lang w:eastAsia="zh-CN" w:bidi="ar-SA"/>
        </w:rPr>
        <w:t>条例等</w:t>
      </w:r>
      <w:r>
        <w:rPr>
          <w:rFonts w:hint="eastAsia" w:ascii="Times New Roman" w:hAnsi="Times New Roman"/>
          <w:color w:val="auto"/>
          <w:kern w:val="0"/>
          <w:sz w:val="32"/>
          <w:szCs w:val="32"/>
        </w:rPr>
        <w:t>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auto"/>
          <w:kern w:val="0"/>
          <w:sz w:val="32"/>
          <w:szCs w:val="32"/>
        </w:rPr>
      </w:pPr>
      <w:r>
        <w:rPr>
          <w:rFonts w:hint="default" w:ascii="楷体_GB2312" w:hAnsi="Times New Roman" w:eastAsia="楷体_GB2312"/>
          <w:color w:val="auto"/>
          <w:sz w:val="32"/>
          <w:szCs w:val="32"/>
        </w:rPr>
        <w:t>（三十七）市医保局：</w:t>
      </w:r>
      <w:r>
        <w:rPr>
          <w:rFonts w:hint="eastAsia" w:ascii="仿宋_GB2312" w:hAnsi="仿宋_GB2312" w:eastAsia="仿宋_GB2312" w:cs="仿宋_GB2312"/>
          <w:color w:val="auto"/>
          <w:kern w:val="0"/>
          <w:sz w:val="32"/>
          <w:szCs w:val="32"/>
        </w:rPr>
        <w:t>重点宣传普及基本医疗卫生与健康促进法、社会保险法、</w:t>
      </w:r>
      <w:r>
        <w:rPr>
          <w:rFonts w:hint="eastAsia" w:ascii="仿宋_GB2312" w:hAnsi="仿宋_GB2312" w:eastAsia="仿宋_GB2312" w:cs="仿宋_GB2312"/>
          <w:sz w:val="32"/>
          <w:szCs w:val="32"/>
          <w:vertAlign w:val="baseline"/>
          <w:lang w:val="en-US" w:eastAsia="zh-CN"/>
        </w:rPr>
        <w:t>医疗保障行政处罚程序暂行规定</w:t>
      </w:r>
      <w:r>
        <w:rPr>
          <w:rFonts w:hint="eastAsia" w:ascii="仿宋_GB2312" w:hAnsi="仿宋_GB2312" w:eastAsia="仿宋_GB2312" w:cs="仿宋_GB2312"/>
          <w:color w:val="auto"/>
          <w:kern w:val="0"/>
          <w:sz w:val="32"/>
          <w:szCs w:val="32"/>
        </w:rPr>
        <w:t>、医疗保障基金使用监督管理条例以及</w:t>
      </w:r>
      <w:r>
        <w:rPr>
          <w:rFonts w:hint="eastAsia" w:ascii="仿宋_GB2312" w:hAnsi="仿宋_GB2312" w:eastAsia="仿宋_GB2312" w:cs="仿宋_GB2312"/>
          <w:sz w:val="32"/>
          <w:szCs w:val="32"/>
          <w:vertAlign w:val="baseline"/>
          <w:lang w:val="en-US" w:eastAsia="zh-CN"/>
        </w:rPr>
        <w:t>涉及医疗保障经办管理</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门诊共济</w:t>
      </w:r>
      <w:r>
        <w:rPr>
          <w:rFonts w:hint="eastAsia" w:ascii="仿宋_GB2312" w:hAnsi="仿宋_GB2312" w:eastAsia="仿宋_GB2312" w:cs="仿宋_GB2312"/>
          <w:color w:val="auto"/>
          <w:kern w:val="0"/>
          <w:sz w:val="32"/>
          <w:szCs w:val="32"/>
        </w:rPr>
        <w:t>等方面的法律法规。</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仿宋_GB2312" w:hAnsi="仿宋_GB2312" w:eastAsia="仿宋_GB2312" w:cs="仿宋_GB2312"/>
          <w:color w:val="FF0000"/>
          <w:sz w:val="32"/>
          <w:szCs w:val="32"/>
        </w:rPr>
      </w:pPr>
      <w:r>
        <w:rPr>
          <w:rFonts w:hint="default" w:ascii="楷体_GB2312" w:hAnsi="Times New Roman" w:eastAsia="楷体_GB2312"/>
          <w:color w:val="auto"/>
          <w:sz w:val="32"/>
          <w:szCs w:val="32"/>
        </w:rPr>
        <w:t>（三十八）市城管局：</w:t>
      </w:r>
      <w:r>
        <w:rPr>
          <w:rFonts w:hint="eastAsia" w:ascii="仿宋_GB2312" w:hAnsi="仿宋_GB2312" w:eastAsia="仿宋_GB2312" w:cs="仿宋_GB2312"/>
          <w:color w:val="auto"/>
          <w:kern w:val="0"/>
          <w:sz w:val="32"/>
          <w:szCs w:val="32"/>
        </w:rPr>
        <w:t>重点宣传普及</w:t>
      </w:r>
      <w:r>
        <w:rPr>
          <w:rFonts w:hint="eastAsia" w:ascii="仿宋_GB2312" w:hAnsi="仿宋_GB2312" w:eastAsia="仿宋_GB2312" w:cs="仿宋_GB2312"/>
          <w:b w:val="0"/>
          <w:bCs w:val="0"/>
          <w:sz w:val="32"/>
          <w:szCs w:val="32"/>
          <w:vertAlign w:val="baseline"/>
          <w:lang w:val="en-US" w:eastAsia="zh-CN"/>
        </w:rPr>
        <w:t>行政处罚法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行政许可法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行政强制法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行政复议法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行政诉讼法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城乡规划法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湖南省城市综合管理条例</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湖南省实施</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中华人民共和国城乡规划法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办法</w:t>
      </w:r>
      <w:r>
        <w:rPr>
          <w:rFonts w:hint="eastAsia" w:ascii="仿宋_GB2312" w:hAnsi="仿宋_GB2312" w:eastAsia="仿宋_GB2312" w:cs="仿宋_GB2312"/>
          <w:b w:val="0"/>
          <w:bCs w:val="0"/>
          <w:sz w:val="32"/>
          <w:szCs w:val="32"/>
          <w:vertAlign w:val="baseline"/>
          <w:lang w:eastAsia="zh-CN"/>
        </w:rPr>
        <w:t>、湖南省行政程序规定、湖南省政府服务规定、湖南省规范行政裁量权办法、城市管理执法办法、</w:t>
      </w:r>
      <w:r>
        <w:rPr>
          <w:rFonts w:hint="eastAsia" w:ascii="仿宋_GB2312" w:hAnsi="仿宋_GB2312" w:eastAsia="仿宋_GB2312" w:cs="仿宋_GB2312"/>
          <w:b w:val="0"/>
          <w:bCs w:val="0"/>
          <w:sz w:val="32"/>
          <w:szCs w:val="32"/>
          <w:vertAlign w:val="baseline"/>
          <w:lang w:val="en-US" w:eastAsia="zh-CN"/>
        </w:rPr>
        <w:t>城市绿线管理办法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城市绿化条例</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益阳市城市综合管理办法</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益阳市中心城区养犬管理规定</w:t>
      </w:r>
      <w:r>
        <w:rPr>
          <w:rFonts w:hint="eastAsia" w:ascii="仿宋_GB2312" w:hAnsi="仿宋_GB2312" w:eastAsia="仿宋_GB2312" w:cs="仿宋_GB2312"/>
          <w:color w:val="auto"/>
          <w:kern w:val="0"/>
          <w:sz w:val="32"/>
          <w:szCs w:val="32"/>
        </w:rPr>
        <w:t>等城市综合管理方面的法律法规。</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Times New Roman" w:hAnsi="Times New Roman" w:eastAsia="Times New Roman"/>
          <w:color w:val="FF0000"/>
          <w:sz w:val="32"/>
          <w:szCs w:val="32"/>
        </w:rPr>
      </w:pPr>
      <w:r>
        <w:rPr>
          <w:rFonts w:hint="default" w:ascii="楷体_GB2312" w:hAnsi="Times New Roman" w:eastAsia="楷体_GB2312"/>
          <w:color w:val="auto"/>
          <w:sz w:val="32"/>
          <w:szCs w:val="32"/>
        </w:rPr>
        <w:t>（三十九）市政务管理服务局：</w:t>
      </w:r>
      <w:r>
        <w:rPr>
          <w:rFonts w:hint="eastAsia" w:ascii="Times New Roman" w:hAnsi="Times New Roman" w:eastAsia="仿宋_GB2312"/>
          <w:color w:val="auto"/>
          <w:kern w:val="0"/>
          <w:sz w:val="32"/>
          <w:szCs w:val="32"/>
        </w:rPr>
        <w:t>重点宣传普及打造市场化法治化国际化营商政务环境、“一件事一次办”改革等工作方面的</w:t>
      </w:r>
      <w:r>
        <w:rPr>
          <w:rFonts w:hint="default" w:ascii="Times New Roman" w:hAnsi="Times New Roman" w:eastAsia="仿宋_GB2312"/>
          <w:color w:val="auto"/>
          <w:kern w:val="0"/>
          <w:sz w:val="32"/>
          <w:szCs w:val="32"/>
        </w:rPr>
        <w:t>法律法规</w:t>
      </w:r>
      <w:r>
        <w:rPr>
          <w:rFonts w:hint="eastAsia" w:ascii="Times New Roman" w:hAnsi="Times New Roman" w:eastAsia="仿宋_GB2312"/>
          <w:color w:val="auto"/>
          <w:kern w:val="0"/>
          <w:sz w:val="32"/>
          <w:szCs w:val="32"/>
        </w:rPr>
        <w:t>。</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楷体_GB2312" w:hAnsi="Times New Roman" w:eastAsia="楷体_GB2312"/>
          <w:color w:val="auto"/>
          <w:sz w:val="32"/>
          <w:szCs w:val="32"/>
        </w:rPr>
      </w:pPr>
      <w:r>
        <w:rPr>
          <w:rFonts w:hint="default" w:ascii="楷体_GB2312" w:hAnsi="Times New Roman" w:eastAsia="楷体_GB2312"/>
          <w:color w:val="auto"/>
          <w:sz w:val="32"/>
          <w:szCs w:val="32"/>
        </w:rPr>
        <w:t>（四十）市工商联：</w:t>
      </w:r>
      <w:r>
        <w:rPr>
          <w:rFonts w:hint="eastAsia" w:ascii="Times New Roman" w:hAnsi="Times New Roman"/>
          <w:color w:val="auto"/>
          <w:kern w:val="0"/>
          <w:sz w:val="32"/>
          <w:szCs w:val="32"/>
        </w:rPr>
        <w:t>重点宣传普及</w:t>
      </w:r>
      <w:r>
        <w:rPr>
          <w:rFonts w:hint="eastAsia" w:ascii="Times New Roman" w:hAnsi="Times New Roman"/>
          <w:color w:val="auto"/>
          <w:kern w:val="0"/>
          <w:sz w:val="32"/>
          <w:szCs w:val="32"/>
          <w:lang w:val="en"/>
        </w:rPr>
        <w:t>劳动法、劳动合同法</w:t>
      </w:r>
      <w:r>
        <w:rPr>
          <w:rFonts w:hint="eastAsia" w:ascii="Times New Roman" w:hAnsi="Times New Roman"/>
          <w:color w:val="auto"/>
          <w:kern w:val="0"/>
          <w:sz w:val="32"/>
          <w:szCs w:val="32"/>
        </w:rPr>
        <w:t>、</w:t>
      </w:r>
      <w:r>
        <w:rPr>
          <w:rFonts w:hint="eastAsia" w:ascii="Times New Roman" w:hAnsi="Times New Roman"/>
          <w:color w:val="auto"/>
          <w:kern w:val="0"/>
          <w:sz w:val="32"/>
          <w:szCs w:val="32"/>
          <w:lang w:val="en"/>
        </w:rPr>
        <w:t>公司法、企业破产法、反不正当竞争法、</w:t>
      </w:r>
      <w:r>
        <w:rPr>
          <w:rFonts w:hint="eastAsia" w:ascii="Times New Roman" w:hAnsi="Times New Roman"/>
          <w:color w:val="auto"/>
          <w:kern w:val="0"/>
          <w:sz w:val="32"/>
          <w:szCs w:val="32"/>
        </w:rPr>
        <w:t>合伙企业法、个人独资企业法、商标法、</w:t>
      </w:r>
      <w:r>
        <w:rPr>
          <w:rFonts w:hint="default" w:ascii="Times New Roman" w:hAnsi="Times New Roman"/>
          <w:color w:val="auto"/>
          <w:kern w:val="0"/>
          <w:sz w:val="32"/>
          <w:szCs w:val="32"/>
        </w:rPr>
        <w:t>专利法、</w:t>
      </w:r>
      <w:r>
        <w:rPr>
          <w:rFonts w:hint="eastAsia" w:ascii="Times New Roman" w:hAnsi="Times New Roman"/>
          <w:color w:val="auto"/>
          <w:kern w:val="0"/>
          <w:sz w:val="32"/>
          <w:szCs w:val="32"/>
        </w:rPr>
        <w:t>反垄断法等法律法规。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（四十一）市总工会：</w:t>
      </w:r>
      <w:r>
        <w:rPr>
          <w:rFonts w:hint="eastAsia" w:ascii="Times New Roman" w:hAnsi="Times New Roman"/>
          <w:color w:val="auto"/>
          <w:kern w:val="0"/>
          <w:sz w:val="32"/>
          <w:szCs w:val="32"/>
        </w:rPr>
        <w:t>重点宣传普及工会法、劳动法、职业病防治法</w:t>
      </w:r>
      <w:r>
        <w:rPr>
          <w:rFonts w:hint="default" w:ascii="Times New Roman" w:hAnsi="Times New Roman"/>
          <w:color w:val="auto"/>
          <w:kern w:val="0"/>
          <w:sz w:val="32"/>
          <w:szCs w:val="32"/>
        </w:rPr>
        <w:t>、</w:t>
      </w:r>
      <w:r>
        <w:rPr>
          <w:rFonts w:hint="eastAsia" w:ascii="仿宋_GB2312" w:hAnsi="仿宋_GB2312" w:eastAsia="仿宋_GB2312" w:cs="仿宋_GB2312"/>
          <w:color w:val="333333"/>
          <w:kern w:val="36"/>
          <w:sz w:val="32"/>
          <w:szCs w:val="32"/>
          <w:vertAlign w:val="baseline"/>
          <w:lang w:eastAsia="zh-CN"/>
        </w:rPr>
        <w:t>女职工劳动保护特别规定</w:t>
      </w:r>
      <w:r>
        <w:rPr>
          <w:rFonts w:hint="default" w:hAnsi="仿宋_GB2312" w:cs="仿宋_GB2312"/>
          <w:color w:val="333333"/>
          <w:kern w:val="36"/>
          <w:sz w:val="32"/>
          <w:szCs w:val="32"/>
          <w:vertAlign w:val="baseline"/>
          <w:lang w:eastAsia="zh-CN"/>
        </w:rPr>
        <w:t>、</w:t>
      </w:r>
      <w:r>
        <w:rPr>
          <w:rFonts w:hint="default" w:ascii="Times New Roman" w:hAnsi="Times New Roman"/>
          <w:color w:val="auto"/>
          <w:kern w:val="0"/>
          <w:sz w:val="32"/>
          <w:szCs w:val="32"/>
        </w:rPr>
        <w:t>湖南省工会劳动法律监督条例</w:t>
      </w:r>
      <w:r>
        <w:rPr>
          <w:rFonts w:hint="eastAsia" w:ascii="Times New Roman" w:hAnsi="Times New Roman"/>
          <w:color w:val="auto"/>
          <w:kern w:val="0"/>
          <w:sz w:val="32"/>
          <w:szCs w:val="32"/>
        </w:rPr>
        <w:t>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楷体"/>
          <w:color w:val="auto"/>
          <w:kern w:val="0"/>
          <w:sz w:val="32"/>
          <w:szCs w:val="32"/>
        </w:rPr>
      </w:pPr>
      <w:r>
        <w:rPr>
          <w:rFonts w:hint="default" w:ascii="楷体_GB2312" w:hAnsi="Times New Roman" w:eastAsia="楷体_GB2312"/>
          <w:color w:val="auto"/>
          <w:sz w:val="32"/>
          <w:szCs w:val="32"/>
        </w:rPr>
        <w:t>（四十二）团市委：</w:t>
      </w:r>
      <w:r>
        <w:rPr>
          <w:rFonts w:hint="eastAsia" w:ascii="Times New Roman" w:hAnsi="Times New Roman" w:eastAsia="仿宋_GB2312"/>
          <w:color w:val="auto"/>
          <w:kern w:val="0"/>
          <w:sz w:val="32"/>
          <w:szCs w:val="32"/>
        </w:rPr>
        <w:t>重点宣传普及未成年人保护法、预防未成年人犯罪法、禁毒法、</w:t>
      </w:r>
      <w:r>
        <w:rPr>
          <w:rFonts w:hint="eastAsia" w:ascii="Times New Roman" w:hAnsi="Times New Roman" w:eastAsia="仿宋_GB2312"/>
          <w:color w:val="auto"/>
          <w:spacing w:val="-6"/>
          <w:kern w:val="0"/>
          <w:sz w:val="32"/>
          <w:szCs w:val="32"/>
        </w:rPr>
        <w:t>家庭教育促进法、</w:t>
      </w:r>
      <w:r>
        <w:rPr>
          <w:rFonts w:hint="eastAsia" w:ascii="Times New Roman" w:hAnsi="Times New Roman" w:eastAsia="仿宋_GB2312"/>
          <w:color w:val="auto"/>
          <w:kern w:val="0"/>
          <w:sz w:val="32"/>
          <w:szCs w:val="32"/>
        </w:rPr>
        <w:t>湖南省实施《中华人民共和国未成年人保护法》办法、湖南省实施《中华人民共和国预防未成年</w:t>
      </w:r>
      <w:r>
        <w:rPr>
          <w:rFonts w:hint="eastAsia" w:ascii="Times New Roman" w:hAnsi="Times New Roman" w:eastAsia="仿宋_GB2312"/>
          <w:color w:val="auto"/>
          <w:spacing w:val="-6"/>
          <w:kern w:val="0"/>
          <w:sz w:val="32"/>
          <w:szCs w:val="32"/>
        </w:rPr>
        <w:t>人犯罪法》办法等法律法规。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（四十三）市妇联：</w:t>
      </w:r>
      <w:r>
        <w:rPr>
          <w:rFonts w:hint="eastAsia" w:ascii="Times New Roman" w:hAnsi="Times New Roman" w:eastAsia="仿宋_GB2312"/>
          <w:color w:val="auto"/>
          <w:kern w:val="0"/>
          <w:sz w:val="32"/>
          <w:szCs w:val="32"/>
        </w:rPr>
        <w:t>重点宣传普及妇女权益保障法、反家庭暴力法、未成年人保护法、家庭教育促进法、湖南省家庭教育促进条例、湖南省实施《中华人民共和国反家庭暴力法》办法等法律法规。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（四十四）市科协：</w:t>
      </w:r>
      <w:r>
        <w:rPr>
          <w:rFonts w:hint="eastAsia" w:ascii="Times New Roman" w:hAnsi="Times New Roman" w:eastAsia="仿宋_GB2312"/>
          <w:color w:val="auto"/>
          <w:kern w:val="0"/>
          <w:sz w:val="32"/>
          <w:szCs w:val="32"/>
        </w:rPr>
        <w:t>重点宣传普及科学技术普及法等法律法规。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楷体_GB2312" w:hAnsi="Times New Roman" w:eastAsia="楷体_GB2312"/>
          <w:color w:val="auto"/>
          <w:sz w:val="32"/>
          <w:szCs w:val="32"/>
        </w:rPr>
      </w:pPr>
      <w:r>
        <w:rPr>
          <w:rFonts w:hint="default" w:ascii="楷体_GB2312" w:hAnsi="Times New Roman" w:eastAsia="楷体_GB2312"/>
          <w:color w:val="auto"/>
          <w:sz w:val="32"/>
          <w:szCs w:val="32"/>
        </w:rPr>
        <w:t>（四十五）市侨联：</w:t>
      </w:r>
      <w:r>
        <w:rPr>
          <w:rFonts w:hint="eastAsia" w:ascii="Times New Roman" w:hAnsi="Times New Roman" w:eastAsia="仿宋_GB2312"/>
          <w:color w:val="auto"/>
          <w:kern w:val="0"/>
          <w:sz w:val="32"/>
          <w:szCs w:val="32"/>
        </w:rPr>
        <w:t>重点宣传普及归侨侨眷权益保护法、归侨侨眷权益保护法实施办法、湖南省实施《中华人民共和国归侨侨眷权益保护法》办法等法律法规。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（四十六）市残联：</w:t>
      </w:r>
      <w:r>
        <w:rPr>
          <w:rFonts w:hint="eastAsia" w:ascii="Times New Roman" w:hAnsi="Times New Roman"/>
          <w:color w:val="auto"/>
          <w:kern w:val="0"/>
          <w:sz w:val="32"/>
          <w:szCs w:val="32"/>
        </w:rPr>
        <w:t>重点宣传普及残疾人保障法、无障碍环境建设条例、残疾预防和残疾人康复条例、残疾人就业条例、湖南省实施《中华人民共和国残疾人保障法》办法等法律法规。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（四十七）市红十字会：</w:t>
      </w:r>
      <w:r>
        <w:rPr>
          <w:rFonts w:hint="eastAsia" w:ascii="Times New Roman" w:hAnsi="Times New Roman"/>
          <w:color w:val="auto"/>
          <w:kern w:val="0"/>
          <w:sz w:val="32"/>
          <w:szCs w:val="32"/>
        </w:rPr>
        <w:t>重点宣传普及红十字会法、公益事业捐赠法、慈善法、人体器官移植条例、湖南省现场救护条例等法律法规。</w:t>
      </w:r>
    </w:p>
    <w:p>
      <w:pPr>
        <w:pStyle w:val="12"/>
        <w:keepNext w:val="0"/>
        <w:keepLines w:val="0"/>
        <w:pageBreakBefore w:val="0"/>
        <w:widowControl w:val="0"/>
        <w:kinsoku/>
        <w:wordWrap/>
        <w:overflowPunct/>
        <w:topLinePunct w:val="0"/>
        <w:autoSpaceDE/>
        <w:autoSpaceDN/>
        <w:bidi w:val="0"/>
        <w:adjustRightInd/>
        <w:spacing w:after="0" w:line="594" w:lineRule="exact"/>
        <w:ind w:firstLine="640" w:firstLineChars="200"/>
        <w:rPr>
          <w:rFonts w:hint="default"/>
          <w:b w:val="0"/>
          <w:bCs w:val="0"/>
          <w:color w:val="auto"/>
          <w:spacing w:val="0"/>
          <w:kern w:val="0"/>
          <w:sz w:val="32"/>
          <w:szCs w:val="32"/>
        </w:rPr>
      </w:pPr>
      <w:r>
        <w:rPr>
          <w:rFonts w:hint="default"/>
          <w:color w:val="auto"/>
          <w:spacing w:val="0"/>
          <w:sz w:val="32"/>
          <w:szCs w:val="32"/>
        </w:rPr>
        <w:t xml:space="preserve">  </w:t>
      </w:r>
      <w:r>
        <w:rPr>
          <w:rFonts w:hint="default" w:ascii="楷体_GB2312" w:eastAsia="楷体_GB2312"/>
          <w:color w:val="auto"/>
          <w:spacing w:val="0"/>
          <w:sz w:val="32"/>
          <w:szCs w:val="32"/>
        </w:rPr>
        <w:t>（四十八）市住房保障中心：</w:t>
      </w:r>
      <w:r>
        <w:rPr>
          <w:rFonts w:hint="eastAsia" w:eastAsia="仿宋_GB2312"/>
          <w:color w:val="auto"/>
          <w:spacing w:val="0"/>
          <w:kern w:val="0"/>
          <w:sz w:val="32"/>
          <w:szCs w:val="32"/>
        </w:rPr>
        <w:t>重点宣传</w:t>
      </w:r>
      <w:r>
        <w:rPr>
          <w:rFonts w:hint="eastAsia" w:eastAsia="仿宋_GB2312"/>
          <w:b w:val="0"/>
          <w:bCs w:val="0"/>
          <w:color w:val="auto"/>
          <w:spacing w:val="0"/>
          <w:kern w:val="0"/>
          <w:sz w:val="32"/>
          <w:szCs w:val="32"/>
        </w:rPr>
        <w:t>普及</w:t>
      </w:r>
      <w:r>
        <w:rPr>
          <w:rFonts w:hint="default" w:eastAsia="仿宋_GB2312"/>
          <w:b w:val="0"/>
          <w:bCs w:val="0"/>
          <w:color w:val="auto"/>
          <w:spacing w:val="0"/>
          <w:kern w:val="0"/>
          <w:sz w:val="32"/>
          <w:szCs w:val="32"/>
        </w:rPr>
        <w:t>安全生产法、</w:t>
      </w:r>
      <w:r>
        <w:rPr>
          <w:rFonts w:hint="eastAsia" w:eastAsia="仿宋_GB2312"/>
          <w:b w:val="0"/>
          <w:bCs w:val="0"/>
          <w:color w:val="auto"/>
          <w:spacing w:val="0"/>
          <w:kern w:val="0"/>
          <w:sz w:val="32"/>
          <w:szCs w:val="32"/>
        </w:rPr>
        <w:t>国有土地上房屋征收与补偿条例、湖南省公共租赁住房管理办法</w:t>
      </w:r>
      <w:r>
        <w:rPr>
          <w:rFonts w:hint="default" w:eastAsia="仿宋_GB2312"/>
          <w:b w:val="0"/>
          <w:bCs w:val="0"/>
          <w:color w:val="auto"/>
          <w:spacing w:val="0"/>
          <w:kern w:val="0"/>
          <w:sz w:val="32"/>
          <w:szCs w:val="32"/>
        </w:rPr>
        <w:t>、国有土地上房屋征收与补偿条例、</w:t>
      </w:r>
      <w:r>
        <w:rPr>
          <w:rFonts w:hint="eastAsia" w:eastAsia="仿宋_GB2312"/>
          <w:b w:val="0"/>
          <w:bCs w:val="0"/>
          <w:color w:val="auto"/>
          <w:spacing w:val="0"/>
          <w:kern w:val="0"/>
          <w:sz w:val="32"/>
          <w:szCs w:val="32"/>
        </w:rPr>
        <w:t>湖南省实施《国有土地上房屋征收与补偿条例》办法、益阳市国有土地上房屋征收与补偿实施办法、征收补偿和房屋拆除“十严禁”工作纪律等</w:t>
      </w:r>
      <w:r>
        <w:rPr>
          <w:rFonts w:hint="default" w:eastAsia="仿宋_GB2312"/>
          <w:b w:val="0"/>
          <w:bCs w:val="0"/>
          <w:color w:val="auto"/>
          <w:spacing w:val="0"/>
          <w:kern w:val="0"/>
          <w:sz w:val="32"/>
          <w:szCs w:val="32"/>
        </w:rPr>
        <w:t>方面的法律法规</w:t>
      </w:r>
      <w:r>
        <w:rPr>
          <w:rFonts w:hint="eastAsia" w:eastAsia="仿宋_GB2312"/>
          <w:b w:val="0"/>
          <w:bCs w:val="0"/>
          <w:color w:val="auto"/>
          <w:spacing w:val="0"/>
          <w:kern w:val="0"/>
          <w:sz w:val="32"/>
          <w:szCs w:val="32"/>
        </w:rPr>
        <w:t>。</w:t>
      </w:r>
    </w:p>
    <w:p>
      <w:pPr>
        <w:pStyle w:val="12"/>
        <w:keepNext w:val="0"/>
        <w:keepLines w:val="0"/>
        <w:pageBreakBefore w:val="0"/>
        <w:widowControl w:val="0"/>
        <w:kinsoku/>
        <w:wordWrap/>
        <w:overflowPunct/>
        <w:topLinePunct w:val="0"/>
        <w:autoSpaceDE/>
        <w:autoSpaceDN/>
        <w:bidi w:val="0"/>
        <w:adjustRightInd/>
        <w:spacing w:after="0" w:line="594" w:lineRule="exact"/>
        <w:ind w:firstLine="640" w:firstLineChars="200"/>
        <w:rPr>
          <w:rFonts w:hint="default"/>
          <w:color w:val="auto"/>
          <w:spacing w:val="0"/>
          <w:kern w:val="0"/>
          <w:sz w:val="32"/>
          <w:szCs w:val="32"/>
        </w:rPr>
      </w:pPr>
      <w:r>
        <w:rPr>
          <w:rFonts w:hint="default"/>
          <w:color w:val="auto"/>
          <w:spacing w:val="0"/>
          <w:sz w:val="32"/>
          <w:szCs w:val="32"/>
        </w:rPr>
        <w:t xml:space="preserve">  </w:t>
      </w:r>
      <w:r>
        <w:rPr>
          <w:rFonts w:hint="default" w:ascii="楷体_GB2312" w:eastAsia="楷体_GB2312"/>
          <w:color w:val="auto"/>
          <w:spacing w:val="0"/>
          <w:sz w:val="32"/>
          <w:szCs w:val="32"/>
        </w:rPr>
        <w:t>（四十九）市公积金中心：</w:t>
      </w:r>
      <w:r>
        <w:rPr>
          <w:rFonts w:hint="eastAsia" w:eastAsia="仿宋_GB2312"/>
          <w:color w:val="auto"/>
          <w:spacing w:val="0"/>
          <w:kern w:val="0"/>
          <w:sz w:val="32"/>
          <w:szCs w:val="32"/>
        </w:rPr>
        <w:t>重点宣传普及住房公积金管理条例、益阳市住房公积金缴存管理办法、益阳市住房公积金提取管理办法、益阳市住房公积金个人住房贷款管理办法等法规政策。</w:t>
      </w:r>
    </w:p>
    <w:p>
      <w:pPr>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Times New Roman" w:hAnsi="Times New Roman" w:eastAsia="Times New Roman"/>
          <w:color w:val="auto"/>
          <w:kern w:val="0"/>
          <w:sz w:val="32"/>
          <w:szCs w:val="32"/>
          <w:lang w:val="en"/>
        </w:rPr>
      </w:pPr>
      <w:r>
        <w:rPr>
          <w:rFonts w:hint="default" w:ascii="楷体_GB2312" w:hAnsi="Times New Roman" w:eastAsia="楷体_GB2312"/>
          <w:color w:val="auto"/>
          <w:sz w:val="32"/>
          <w:szCs w:val="32"/>
        </w:rPr>
        <w:t>（五十）</w:t>
      </w:r>
      <w:r>
        <w:rPr>
          <w:rFonts w:hint="default" w:ascii="楷体_GB2312" w:hAnsi="Times New Roman" w:eastAsia="楷体_GB2312"/>
          <w:color w:val="auto"/>
          <w:sz w:val="32"/>
          <w:szCs w:val="32"/>
          <w:lang w:val="en"/>
        </w:rPr>
        <w:t>市供销合作社：</w:t>
      </w:r>
      <w:r>
        <w:rPr>
          <w:rFonts w:hint="eastAsia" w:ascii="Times New Roman" w:hAnsi="Times New Roman" w:eastAsia="仿宋_GB2312"/>
          <w:color w:val="auto"/>
          <w:kern w:val="0"/>
          <w:sz w:val="32"/>
          <w:szCs w:val="32"/>
          <w:lang w:val="en"/>
        </w:rPr>
        <w:t>重点宣传普及乡村振兴促进法、农民专业合作社法等“三农”方面的法律法规。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color w:val="auto"/>
          <w:kern w:val="0"/>
          <w:sz w:val="32"/>
          <w:szCs w:val="32"/>
        </w:rPr>
      </w:pPr>
      <w:r>
        <w:rPr>
          <w:rFonts w:hint="default" w:ascii="楷体_GB2312" w:hAnsi="Times New Roman" w:eastAsia="楷体_GB2312"/>
          <w:color w:val="auto"/>
          <w:sz w:val="32"/>
          <w:szCs w:val="32"/>
        </w:rPr>
        <w:t>（五十一）市税务局：</w:t>
      </w:r>
      <w:r>
        <w:rPr>
          <w:rFonts w:hint="eastAsia" w:ascii="Times New Roman" w:hAnsi="Times New Roman"/>
          <w:color w:val="auto"/>
          <w:kern w:val="0"/>
          <w:sz w:val="32"/>
          <w:szCs w:val="32"/>
        </w:rPr>
        <w:t>重点宣传普及企业所得税法、个人所得税法、车船税法、环境保护税法、烟叶税法、耕地占用税法、车辆购置税法、资源税法、契税法、城市维护建设税法、印花税法、税收征收管理法、社会保险法、船舶吨税法</w:t>
      </w:r>
      <w:r>
        <w:rPr>
          <w:rFonts w:hint="default" w:ascii="Times New Roman" w:hAnsi="Times New Roman"/>
          <w:color w:val="auto"/>
          <w:kern w:val="0"/>
          <w:sz w:val="32"/>
          <w:szCs w:val="32"/>
        </w:rPr>
        <w:t>、</w:t>
      </w:r>
      <w:r>
        <w:rPr>
          <w:rFonts w:hint="eastAsia" w:ascii="Times New Roman" w:hAnsi="Times New Roman"/>
          <w:color w:val="auto"/>
          <w:kern w:val="0"/>
          <w:sz w:val="32"/>
          <w:szCs w:val="32"/>
        </w:rPr>
        <w:t>增值税暂行条例、消费税暂行条例、房产税暂行条例、城镇土地使用税暂行条例等法律法规。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（五十二）市邮政管理局：</w:t>
      </w:r>
      <w:r>
        <w:rPr>
          <w:rFonts w:hint="eastAsia" w:ascii="Times New Roman" w:hAnsi="Times New Roman" w:eastAsia="仿宋_GB2312"/>
          <w:color w:val="auto"/>
          <w:kern w:val="0"/>
          <w:sz w:val="32"/>
          <w:szCs w:val="32"/>
        </w:rPr>
        <w:t>重点宣传普及邮政法、快递暂行条例等邮政、快递业监管方面的法律法规。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（五十三）市气象局：</w:t>
      </w:r>
      <w:r>
        <w:rPr>
          <w:rFonts w:hint="eastAsia" w:ascii="Times New Roman" w:hAnsi="Times New Roman" w:eastAsia="仿宋_GB2312"/>
          <w:color w:val="auto"/>
          <w:kern w:val="0"/>
          <w:sz w:val="32"/>
          <w:szCs w:val="32"/>
        </w:rPr>
        <w:t>重点宣传普及</w:t>
      </w:r>
      <w:r>
        <w:rPr>
          <w:rFonts w:hint="eastAsia" w:ascii="Times New Roman" w:hAnsi="Times New Roman" w:eastAsia="仿宋_GB2312"/>
          <w:b w:val="0"/>
          <w:bCs w:val="0"/>
          <w:color w:val="auto"/>
          <w:kern w:val="0"/>
          <w:sz w:val="32"/>
          <w:szCs w:val="32"/>
        </w:rPr>
        <w:t>气象法、</w:t>
      </w:r>
      <w:r>
        <w:rPr>
          <w:rFonts w:hint="default" w:ascii="Times New Roman" w:hAnsi="Times New Roman" w:eastAsia="仿宋_GB2312"/>
          <w:b w:val="0"/>
          <w:bCs w:val="0"/>
          <w:color w:val="auto"/>
          <w:kern w:val="0"/>
          <w:sz w:val="32"/>
          <w:szCs w:val="32"/>
        </w:rPr>
        <w:t>安全生产法、</w:t>
      </w:r>
      <w:r>
        <w:rPr>
          <w:rFonts w:hint="eastAsia" w:ascii="Times New Roman" w:hAnsi="Times New Roman" w:eastAsia="仿宋_GB2312"/>
          <w:b w:val="0"/>
          <w:bCs w:val="0"/>
          <w:color w:val="auto"/>
          <w:kern w:val="0"/>
          <w:sz w:val="32"/>
          <w:szCs w:val="32"/>
        </w:rPr>
        <w:t>传染病防治法、突发事件应对法、国</w:t>
      </w:r>
      <w:r>
        <w:rPr>
          <w:rFonts w:hint="eastAsia" w:ascii="Times New Roman" w:hAnsi="Times New Roman" w:eastAsia="仿宋_GB2312"/>
          <w:color w:val="auto"/>
          <w:kern w:val="0"/>
          <w:sz w:val="32"/>
          <w:szCs w:val="32"/>
        </w:rPr>
        <w:t>境卫生检疫法、野生动物保护法、动物防疫法、畜牧法、长江保护法、气象灾害防御条例、人工影响天气管理条例、气象设施和气象探测环境保护条例、湖南省实施《中华人民共和国气象法》办法等气象防灾减灾方面的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（五十四）</w:t>
      </w:r>
      <w:r>
        <w:rPr>
          <w:rFonts w:hint="default" w:ascii="楷体_GB2312" w:hAnsi="Times New Roman" w:eastAsia="楷体_GB2312"/>
          <w:color w:val="auto"/>
          <w:sz w:val="32"/>
          <w:szCs w:val="32"/>
          <w:lang w:val="en"/>
        </w:rPr>
        <w:t>国家统计局益阳调查队：</w:t>
      </w:r>
      <w:r>
        <w:rPr>
          <w:rFonts w:hint="eastAsia" w:ascii="Times New Roman" w:hAnsi="Times New Roman" w:eastAsia="仿宋_GB2312"/>
          <w:color w:val="auto"/>
          <w:kern w:val="0"/>
          <w:sz w:val="32"/>
          <w:szCs w:val="32"/>
          <w:lang w:val="en"/>
        </w:rPr>
        <w:t>重点宣传统计法及其实施条例、关于深化统计管理体制改革提高统计数据真实性的意见、统计违纪违法责任人处分处理办法、防范和惩治统计造假、弄虚作假督察工作规定、关于更加有效发挥统计监督职能作用的意见等法律法规</w:t>
      </w:r>
      <w:r>
        <w:rPr>
          <w:rFonts w:hint="eastAsia" w:ascii="Times New Roman" w:hAnsi="Times New Roman" w:eastAsia="仿宋_GB2312"/>
          <w:color w:val="auto"/>
          <w:kern w:val="0"/>
          <w:sz w:val="32"/>
          <w:szCs w:val="32"/>
        </w:rPr>
        <w:t>。</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（五十五）益阳海关：</w:t>
      </w:r>
      <w:r>
        <w:rPr>
          <w:rFonts w:hint="eastAsia" w:ascii="Times New Roman" w:hAnsi="Times New Roman" w:eastAsia="仿宋_GB2312"/>
          <w:color w:val="auto"/>
          <w:kern w:val="0"/>
          <w:sz w:val="32"/>
          <w:szCs w:val="32"/>
        </w:rPr>
        <w:t>重点宣传普及海关法、国家安全法、保守国家秘密法、国境卫生检疫法、生物安全法、安全生产法、食品安全法、进出口关税条例、知识产权海关保护条例、中国（湖南）自由贸易试验区条例、进出境动植物检疫法及其实施</w:t>
      </w:r>
      <w:r>
        <w:rPr>
          <w:rFonts w:hint="default" w:ascii="Times New Roman" w:hAnsi="Times New Roman" w:eastAsia="仿宋_GB2312"/>
          <w:color w:val="auto"/>
          <w:kern w:val="0"/>
          <w:sz w:val="32"/>
          <w:szCs w:val="32"/>
        </w:rPr>
        <w:t>细则</w:t>
      </w:r>
      <w:r>
        <w:rPr>
          <w:rFonts w:hint="eastAsia" w:ascii="Times New Roman" w:hAnsi="Times New Roman" w:eastAsia="仿宋_GB2312"/>
          <w:color w:val="auto"/>
          <w:kern w:val="0"/>
          <w:sz w:val="32"/>
          <w:szCs w:val="32"/>
        </w:rPr>
        <w:t>、进出口商品检验法及其实施条例等法律法规。</w:t>
      </w:r>
    </w:p>
    <w:p>
      <w:pPr>
        <w:pStyle w:val="13"/>
        <w:keepNext w:val="0"/>
        <w:keepLines w:val="0"/>
        <w:pageBreakBefore w:val="0"/>
        <w:widowControl w:val="0"/>
        <w:kinsoku/>
        <w:wordWrap/>
        <w:overflowPunct/>
        <w:topLinePunct w:val="0"/>
        <w:autoSpaceDE/>
        <w:autoSpaceDN/>
        <w:bidi w:val="0"/>
        <w:adjustRightInd/>
        <w:spacing w:line="594" w:lineRule="exact"/>
        <w:ind w:firstLine="640" w:firstLineChars="200"/>
        <w:rPr>
          <w:rFonts w:hint="default" w:ascii="楷体_GB2312" w:hAnsi="Times New Roman" w:eastAsia="楷体_GB2312"/>
          <w:color w:val="auto"/>
          <w:sz w:val="32"/>
          <w:szCs w:val="32"/>
        </w:rPr>
      </w:pPr>
      <w:r>
        <w:rPr>
          <w:rFonts w:hint="default" w:ascii="楷体_GB2312" w:hAnsi="Times New Roman" w:eastAsia="楷体_GB2312"/>
          <w:color w:val="auto"/>
          <w:sz w:val="32"/>
          <w:szCs w:val="32"/>
        </w:rPr>
        <w:t>（五十六）人民银行益阳支行：</w:t>
      </w:r>
      <w:r>
        <w:rPr>
          <w:rFonts w:hint="eastAsia" w:ascii="Times New Roman" w:hAnsi="Times New Roman"/>
          <w:b w:val="0"/>
          <w:bCs/>
          <w:color w:val="auto"/>
          <w:kern w:val="0"/>
          <w:sz w:val="32"/>
          <w:szCs w:val="32"/>
        </w:rPr>
        <w:t>重点宣传普</w:t>
      </w:r>
      <w:r>
        <w:rPr>
          <w:rFonts w:hint="eastAsia" w:ascii="Times New Roman" w:hAnsi="Times New Roman"/>
          <w:b w:val="0"/>
          <w:bCs/>
          <w:color w:val="auto"/>
          <w:kern w:val="0"/>
          <w:sz w:val="32"/>
          <w:szCs w:val="32"/>
          <w:highlight w:val="none"/>
        </w:rPr>
        <w:t>及中国人民银行法、反洗钱法、</w:t>
      </w:r>
      <w:r>
        <w:rPr>
          <w:rFonts w:hint="eastAsia" w:ascii="仿宋_GB2312" w:hAnsi="仿宋_GB2312" w:eastAsia="仿宋_GB2312" w:cs="仿宋_GB2312"/>
          <w:b w:val="0"/>
          <w:bCs/>
          <w:color w:val="auto"/>
          <w:sz w:val="32"/>
          <w:szCs w:val="32"/>
          <w:highlight w:val="none"/>
          <w:vertAlign w:val="baseline"/>
          <w:lang w:eastAsia="zh-CN"/>
        </w:rPr>
        <w:t>消费者权益保护法</w:t>
      </w:r>
      <w:r>
        <w:rPr>
          <w:rFonts w:hint="default" w:hAnsi="仿宋_GB2312" w:cs="仿宋_GB2312"/>
          <w:b w:val="0"/>
          <w:bCs/>
          <w:color w:val="auto"/>
          <w:sz w:val="32"/>
          <w:szCs w:val="32"/>
          <w:highlight w:val="none"/>
          <w:vertAlign w:val="baseline"/>
          <w:lang w:eastAsia="zh-CN"/>
        </w:rPr>
        <w:t>、</w:t>
      </w:r>
      <w:r>
        <w:rPr>
          <w:rFonts w:hint="eastAsia" w:ascii="仿宋_GB2312" w:hAnsi="仿宋_GB2312" w:eastAsia="仿宋_GB2312" w:cs="仿宋_GB2312"/>
          <w:b w:val="0"/>
          <w:bCs/>
          <w:color w:val="auto"/>
          <w:sz w:val="32"/>
          <w:szCs w:val="32"/>
          <w:highlight w:val="none"/>
          <w:vertAlign w:val="baseline"/>
          <w:lang w:eastAsia="zh-CN"/>
        </w:rPr>
        <w:t>中国人民银行金融</w:t>
      </w:r>
      <w:r>
        <w:rPr>
          <w:rFonts w:hint="eastAsia" w:ascii="仿宋_GB2312" w:hAnsi="仿宋_GB2312" w:eastAsia="仿宋_GB2312" w:cs="仿宋_GB2312"/>
          <w:b w:val="0"/>
          <w:bCs/>
          <w:sz w:val="32"/>
          <w:szCs w:val="32"/>
          <w:vertAlign w:val="baseline"/>
          <w:lang w:eastAsia="zh-CN"/>
        </w:rPr>
        <w:t>消费者权益保护实施办法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跨境贸易人民币结算试点管理办法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大额存单管理暂行办法</w:t>
      </w:r>
      <w:r>
        <w:rPr>
          <w:rFonts w:hint="default" w:hAnsi="仿宋_GB2312" w:cs="仿宋_GB2312"/>
          <w:b w:val="0"/>
          <w:bCs/>
          <w:sz w:val="32"/>
          <w:szCs w:val="32"/>
          <w:vertAlign w:val="baseline"/>
          <w:lang w:eastAsia="zh-CN"/>
        </w:rPr>
        <w:t>、</w:t>
      </w:r>
      <w:r>
        <w:rPr>
          <w:rFonts w:hint="eastAsia" w:ascii="Times New Roman" w:hAnsi="Times New Roman"/>
          <w:b w:val="0"/>
          <w:bCs/>
          <w:color w:val="auto"/>
          <w:kern w:val="0"/>
          <w:sz w:val="32"/>
          <w:szCs w:val="32"/>
        </w:rPr>
        <w:t>存款保险条例、</w:t>
      </w:r>
      <w:r>
        <w:rPr>
          <w:rFonts w:hint="eastAsia" w:ascii="仿宋_GB2312" w:hAnsi="仿宋_GB2312" w:eastAsia="仿宋_GB2312" w:cs="仿宋_GB2312"/>
          <w:b w:val="0"/>
          <w:bCs/>
          <w:sz w:val="32"/>
          <w:szCs w:val="32"/>
          <w:vertAlign w:val="baseline"/>
          <w:lang w:eastAsia="zh-CN"/>
        </w:rPr>
        <w:t>金融统计管理规定</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防范和处置非法集资条例</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个人存款账户实名制规定</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人民币结算账户管理办法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中国人民银行货币鉴别及假币收缴、鉴定管理办法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人民币管理条例</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中国人民银行残缺污损人民币兑换办法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国家金库条例</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储蓄国债管理办法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征信业管理条例</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征信业务管理办法</w:t>
      </w:r>
      <w:r>
        <w:rPr>
          <w:rFonts w:hint="default" w:hAnsi="仿宋_GB2312" w:cs="仿宋_GB2312"/>
          <w:b w:val="0"/>
          <w:bCs/>
          <w:sz w:val="32"/>
          <w:szCs w:val="32"/>
          <w:vertAlign w:val="baseline"/>
          <w:lang w:eastAsia="zh-CN"/>
        </w:rPr>
        <w:t>、</w:t>
      </w:r>
      <w:r>
        <w:rPr>
          <w:rFonts w:hint="eastAsia" w:ascii="仿宋_GB2312" w:hAnsi="仿宋_GB2312" w:eastAsia="仿宋_GB2312" w:cs="仿宋_GB2312"/>
          <w:b w:val="0"/>
          <w:bCs/>
          <w:sz w:val="32"/>
          <w:szCs w:val="32"/>
          <w:vertAlign w:val="baseline"/>
          <w:lang w:eastAsia="zh-CN"/>
        </w:rPr>
        <w:t>个人信用信息基础数据库管理暂行办法</w:t>
      </w:r>
      <w:r>
        <w:rPr>
          <w:rFonts w:hint="eastAsia" w:ascii="Times New Roman" w:hAnsi="Times New Roman"/>
          <w:b w:val="0"/>
          <w:bCs/>
          <w:color w:val="auto"/>
          <w:kern w:val="0"/>
          <w:sz w:val="32"/>
          <w:szCs w:val="32"/>
        </w:rPr>
        <w:t>等法律法规。</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rPr>
          <w:rFonts w:hint="eastAsia" w:ascii="Times New Roman" w:hAnsi="Times New Roman" w:eastAsia="仿宋_GB2312"/>
          <w:color w:val="auto"/>
          <w:kern w:val="0"/>
          <w:sz w:val="32"/>
          <w:szCs w:val="32"/>
        </w:rPr>
      </w:pPr>
      <w:r>
        <w:rPr>
          <w:rFonts w:hint="default" w:ascii="楷体_GB2312" w:hAnsi="Times New Roman" w:eastAsia="楷体_GB2312"/>
          <w:color w:val="auto"/>
          <w:sz w:val="32"/>
          <w:szCs w:val="32"/>
        </w:rPr>
        <w:t>（五十七）市消防救援支队：</w:t>
      </w:r>
      <w:r>
        <w:rPr>
          <w:rFonts w:hint="eastAsia" w:ascii="Times New Roman" w:hAnsi="Times New Roman" w:eastAsia="仿宋_GB2312"/>
          <w:color w:val="auto"/>
          <w:kern w:val="0"/>
          <w:sz w:val="32"/>
          <w:szCs w:val="32"/>
        </w:rPr>
        <w:t>重点宣传普及消防法、</w:t>
      </w:r>
      <w:r>
        <w:rPr>
          <w:rFonts w:hint="default" w:ascii="Times New Roman" w:hAnsi="Times New Roman" w:eastAsia="仿宋_GB2312"/>
          <w:color w:val="auto"/>
          <w:kern w:val="0"/>
          <w:sz w:val="32"/>
          <w:szCs w:val="32"/>
        </w:rPr>
        <w:t>行政许可法、行政处罚法、湖南省专职消防队伍管理办法、</w:t>
      </w:r>
      <w:r>
        <w:rPr>
          <w:rFonts w:hint="eastAsia" w:ascii="Times New Roman" w:hAnsi="Times New Roman" w:eastAsia="仿宋_GB2312"/>
          <w:color w:val="auto"/>
          <w:kern w:val="0"/>
          <w:sz w:val="32"/>
          <w:szCs w:val="32"/>
        </w:rPr>
        <w:t>益阳市居民住宅区消防安全管理办法等法律法规。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color w:val="222222"/>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5"/>
        <w:rPr>
          <w:rFonts w:hint="default" w:ascii="Times New Roman" w:hAnsi="Times New Roman" w:cs="Times New Roman"/>
          <w:lang w:val="en-US" w:eastAsia="zh-CN"/>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10"/>
        <w:rPr>
          <w:rFonts w:hint="default"/>
          <w:sz w:val="21"/>
          <w:szCs w:val="24"/>
        </w:rPr>
      </w:pPr>
    </w:p>
    <w:p>
      <w:pPr>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pStyle w:val="2"/>
        <w:rPr>
          <w:rFonts w:hint="default"/>
          <w:sz w:val="21"/>
          <w:szCs w:val="24"/>
        </w:rPr>
      </w:pPr>
    </w:p>
    <w:p>
      <w:pPr>
        <w:rPr>
          <w:rFonts w:hint="default"/>
          <w:sz w:val="21"/>
          <w:szCs w:val="24"/>
        </w:rPr>
      </w:pPr>
    </w:p>
    <w:p>
      <w:pPr>
        <w:pStyle w:val="10"/>
        <w:rPr>
          <w:rFonts w:hint="default"/>
          <w:sz w:val="21"/>
          <w:szCs w:val="24"/>
        </w:r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widowControl/>
        <w:jc w:val="left"/>
        <w:rPr>
          <w:rFonts w:hint="eastAsia" w:ascii="仿宋_GB2312" w:hAnsi="仿宋_GB2312" w:eastAsia="仿宋_GB2312" w:cs="仿宋_GB2312"/>
          <w:sz w:val="21"/>
          <w:szCs w:val="32"/>
        </w:rPr>
      </w:pPr>
    </w:p>
    <w:p>
      <w:r>
        <w:rPr>
          <w:rFonts w:hint="default"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367665</wp:posOffset>
                </wp:positionV>
                <wp:extent cx="5618480" cy="0"/>
                <wp:effectExtent l="0" t="0" r="0" b="0"/>
                <wp:wrapNone/>
                <wp:docPr id="2" name="自选图形 7"/>
                <wp:cNvGraphicFramePr/>
                <a:graphic xmlns:a="http://schemas.openxmlformats.org/drawingml/2006/main">
                  <a:graphicData uri="http://schemas.microsoft.com/office/word/2010/wordprocessingShape">
                    <wps:wsp>
                      <wps:cNvCnPr/>
                      <wps:spPr>
                        <a:xfrm>
                          <a:off x="0" y="0"/>
                          <a:ext cx="561848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7" o:spid="_x0000_s1026" o:spt="32" type="#_x0000_t32" style="position:absolute;left:0pt;margin-left:0pt;margin-top:28.95pt;height:0pt;width:442.4pt;z-index:251660288;mso-width-relative:page;mso-height-relative:page;" filled="f" stroked="t" coordsize="21600,21600" o:gfxdata="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8zSkfVAAAABgEAAA8AAAAAAAAAAQAgAAAAOAAAAGRycy9kb3ducmV2LnhtbFBLAQIU&#10;ABQAAAAIAIdO4kCRk1iE4AEAAJ8DAAAOAAAAAAAAAAEAIAAAADoBAABkcnMvZTJvRG9jLnhtbFBL&#10;BQYAAAAABgAGAFkBAACMBQAAAAA=&#10;">
                <v:fill on="f" focussize="0,0"/>
                <v:stroke color="#000000" joinstyle="round"/>
                <v:imagedata o:title=""/>
                <o:lock v:ext="edit" aspectratio="f"/>
              </v:shape>
            </w:pict>
          </mc:Fallback>
        </mc:AlternateContent>
      </w:r>
      <w:r>
        <w:rPr>
          <w:rFonts w:hint="default"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8480" cy="0"/>
                <wp:effectExtent l="0" t="0" r="0" b="0"/>
                <wp:wrapNone/>
                <wp:docPr id="3" name="自选图形 6"/>
                <wp:cNvGraphicFramePr/>
                <a:graphic xmlns:a="http://schemas.openxmlformats.org/drawingml/2006/main">
                  <a:graphicData uri="http://schemas.microsoft.com/office/word/2010/wordprocessingShape">
                    <wps:wsp>
                      <wps:cNvCnPr/>
                      <wps:spPr>
                        <a:xfrm>
                          <a:off x="0" y="0"/>
                          <a:ext cx="561848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6" o:spid="_x0000_s1026" o:spt="32" type="#_x0000_t32" style="position:absolute;left:0pt;margin-left:0pt;margin-top:0pt;height:0pt;width:442.4pt;z-index:251661312;mso-width-relative:page;mso-height-relative:page;" filled="f" stroked="t" coordsize="21600,21600" o:gfxdata="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iaIin0QAAAAIBAAAPAAAAAAAAAAEAIAAAADgAAABkcnMvZG93bnJldi54bWxQSwECFAAUAAAA&#10;CACHTuJA3b7ANd8BAACfAwAADgAAAAAAAAABACAAAAA2AQAAZHJzL2Uyb0RvYy54bWxQSwUGAAAA&#10;AAYABgBZAQAAhwUAAAAA&#10;">
                <v:fill on="f" focussize="0,0"/>
                <v:stroke color="#000000" joinstyle="round"/>
                <v:imagedata o:title=""/>
                <o:lock v:ext="edit" aspectratio="f"/>
              </v:shape>
            </w:pict>
          </mc:Fallback>
        </mc:AlternateConten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益阳市守法普法工作办公室               202</w:t>
      </w:r>
      <w:r>
        <w:rPr>
          <w:rFonts w:hint="default" w:ascii="仿宋_GB2312" w:hAnsi="仿宋_GB2312" w:eastAsia="仿宋_GB2312" w:cs="仿宋_GB2312"/>
          <w:sz w:val="28"/>
          <w:szCs w:val="28"/>
        </w:rPr>
        <w:t>3</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rPr>
        <w:t>6</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rPr>
        <w:t>16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印发</w:t>
      </w:r>
    </w:p>
    <w:sectPr>
      <w:footerReference r:id="rId3" w:type="default"/>
      <w:pgSz w:w="11906" w:h="16838"/>
      <w:pgMar w:top="1814" w:right="1361" w:bottom="1587"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8"/>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ODdhOWFiMjkzZWQ2YTk4NTA0Mjg2NzQ5MmMyMTIifQ=="/>
  </w:docVars>
  <w:rsids>
    <w:rsidRoot w:val="00000000"/>
    <w:rsid w:val="26FF7521"/>
    <w:rsid w:val="2B5F6937"/>
    <w:rsid w:val="3A4F7BEF"/>
    <w:rsid w:val="3B93192B"/>
    <w:rsid w:val="3DFD7144"/>
    <w:rsid w:val="3EAB0813"/>
    <w:rsid w:val="4EE9F193"/>
    <w:rsid w:val="547DA712"/>
    <w:rsid w:val="56E98369"/>
    <w:rsid w:val="5E7EB91B"/>
    <w:rsid w:val="5FFFAC61"/>
    <w:rsid w:val="6D7E9672"/>
    <w:rsid w:val="6FE7BB67"/>
    <w:rsid w:val="6FFF7367"/>
    <w:rsid w:val="75FEDC45"/>
    <w:rsid w:val="77DF2518"/>
    <w:rsid w:val="77E5967C"/>
    <w:rsid w:val="77F3D9E1"/>
    <w:rsid w:val="7AFDBA25"/>
    <w:rsid w:val="7DAFE0C9"/>
    <w:rsid w:val="7EFE83DF"/>
    <w:rsid w:val="7F5F274D"/>
    <w:rsid w:val="7F7F9E6A"/>
    <w:rsid w:val="7FDF118B"/>
    <w:rsid w:val="7FFD4EC0"/>
    <w:rsid w:val="AFFF66DE"/>
    <w:rsid w:val="B9CDC168"/>
    <w:rsid w:val="BD3579EA"/>
    <w:rsid w:val="BDFFC59F"/>
    <w:rsid w:val="BEAFFF1E"/>
    <w:rsid w:val="BF7AE078"/>
    <w:rsid w:val="BFEF8D7B"/>
    <w:rsid w:val="CEB72640"/>
    <w:rsid w:val="CF7F0D61"/>
    <w:rsid w:val="DDDDDB40"/>
    <w:rsid w:val="DFD22F4A"/>
    <w:rsid w:val="EB3FB1A6"/>
    <w:rsid w:val="EBEBE16A"/>
    <w:rsid w:val="EEC2AB8D"/>
    <w:rsid w:val="F9BDFC3D"/>
    <w:rsid w:val="FEB7D19F"/>
    <w:rsid w:val="FFDEDE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paragraph" w:styleId="4">
    <w:name w:val="Body Text"/>
    <w:basedOn w:val="1"/>
    <w:next w:val="5"/>
    <w:qFormat/>
    <w:uiPriority w:val="0"/>
    <w:pPr>
      <w:jc w:val="center"/>
    </w:pPr>
    <w:rPr>
      <w:rFonts w:eastAsia="隶书"/>
      <w:b/>
      <w:sz w:val="72"/>
      <w:szCs w:val="20"/>
    </w:rPr>
  </w:style>
  <w:style w:type="paragraph" w:styleId="5">
    <w:name w:val="Body Text 2"/>
    <w:basedOn w:val="1"/>
    <w:qFormat/>
    <w:uiPriority w:val="99"/>
    <w:pPr>
      <w:spacing w:after="120" w:line="480" w:lineRule="auto"/>
    </w:pPr>
  </w:style>
  <w:style w:type="paragraph" w:styleId="6">
    <w:name w:val="Body Text Indent"/>
    <w:basedOn w:val="1"/>
    <w:next w:val="7"/>
    <w:qFormat/>
    <w:uiPriority w:val="0"/>
    <w:pPr>
      <w:ind w:firstLine="600" w:firstLineChars="200"/>
    </w:pPr>
    <w:rPr>
      <w:rFonts w:ascii="仿宋_GB2312" w:hAnsi="宋体" w:eastAsia="仿宋_GB2312" w:cs="Arial"/>
      <w:bCs/>
      <w:sz w:val="30"/>
      <w:szCs w:val="28"/>
    </w:rPr>
  </w:style>
  <w:style w:type="paragraph" w:styleId="7">
    <w:name w:val="envelope return"/>
    <w:basedOn w:val="1"/>
    <w:qFormat/>
    <w:uiPriority w:val="0"/>
    <w:pPr>
      <w:snapToGrid w:val="0"/>
    </w:pPr>
    <w:rPr>
      <w:rFonts w:ascii="Arial" w:hAnsi="Arial"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8700</Words>
  <Characters>8737</Characters>
  <Lines>0</Lines>
  <Paragraphs>0</Paragraphs>
  <TotalTime>69</TotalTime>
  <ScaleCrop>false</ScaleCrop>
  <LinksUpToDate>false</LinksUpToDate>
  <CharactersWithSpaces>8757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user</cp:lastModifiedBy>
  <cp:lastPrinted>2023-10-12T15:49:37Z</cp:lastPrinted>
  <dcterms:modified xsi:type="dcterms:W3CDTF">2023-10-12T15:49:40Z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9E934FF9AA0A4DCA9F3E9A4418378528_12</vt:lpwstr>
  </property>
</Properties>
</file>