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小标宋_GBK" w:cs="Times New Roman"/>
          <w:b w:val="0"/>
          <w:bCs/>
          <w:color w:val="auto"/>
          <w:sz w:val="44"/>
          <w:szCs w:val="44"/>
        </w:rPr>
      </w:pPr>
      <w:r>
        <w:rPr>
          <w:rFonts w:hint="default" w:ascii="Times New Roman" w:hAnsi="Times New Roman" w:eastAsia="黑体" w:cs="Times New Roman"/>
          <w:color w:val="auto"/>
          <w:sz w:val="32"/>
          <w:szCs w:val="24"/>
        </w:rPr>
        <w:t>附</w:t>
      </w:r>
      <w:r>
        <w:rPr>
          <w:rFonts w:hint="default" w:ascii="Times New Roman" w:hAnsi="Times New Roman" w:eastAsia="黑体" w:cs="Times New Roman"/>
          <w:color w:val="auto"/>
          <w:sz w:val="32"/>
          <w:szCs w:val="24"/>
          <w:lang w:eastAsia="zh-CN"/>
        </w:rPr>
        <w:t>件</w:t>
      </w:r>
      <w:r>
        <w:rPr>
          <w:rFonts w:hint="default" w:ascii="Times New Roman" w:hAnsi="Times New Roman" w:eastAsia="黑体" w:cs="Times New Roman"/>
          <w:color w:val="auto"/>
          <w:sz w:val="32"/>
          <w:szCs w:val="24"/>
          <w:lang w:val="en-US" w:eastAsia="zh-CN"/>
        </w:rPr>
        <w:t>1</w:t>
      </w:r>
    </w:p>
    <w:p>
      <w:pPr>
        <w:spacing w:line="592" w:lineRule="exact"/>
        <w:jc w:val="center"/>
        <w:rPr>
          <w:rFonts w:hint="default" w:ascii="Times New Roman" w:hAnsi="Times New Roman" w:eastAsia="方正小标宋_GBK" w:cs="Times New Roman"/>
          <w:b w:val="0"/>
          <w:bCs/>
          <w:color w:val="auto"/>
          <w:sz w:val="44"/>
          <w:szCs w:val="44"/>
        </w:rPr>
      </w:pPr>
      <w:bookmarkStart w:id="0" w:name="_GoBack"/>
      <w:r>
        <w:rPr>
          <w:rFonts w:hint="default" w:ascii="Times New Roman" w:hAnsi="Times New Roman" w:eastAsia="方正小标宋_GBK" w:cs="Times New Roman"/>
          <w:b w:val="0"/>
          <w:bCs/>
          <w:color w:val="auto"/>
          <w:sz w:val="44"/>
          <w:szCs w:val="44"/>
        </w:rPr>
        <w:t>医疗服务价格调整监测评估指标</w:t>
      </w:r>
      <w:bookmarkEnd w:id="0"/>
    </w:p>
    <w:p>
      <w:pPr>
        <w:pStyle w:val="2"/>
        <w:keepNext w:val="0"/>
        <w:keepLines w:val="0"/>
        <w:pageBreakBefore w:val="0"/>
        <w:widowControl w:val="0"/>
        <w:kinsoku/>
        <w:wordWrap/>
        <w:overflowPunct/>
        <w:topLinePunct w:val="0"/>
        <w:autoSpaceDE w:val="0"/>
        <w:autoSpaceDN w:val="0"/>
        <w:bidi w:val="0"/>
        <w:adjustRightInd w:val="0"/>
        <w:snapToGrid/>
        <w:spacing w:line="200" w:lineRule="exact"/>
        <w:textAlignment w:val="auto"/>
        <w:rPr>
          <w:rFonts w:hint="default"/>
          <w:color w:val="auto"/>
        </w:rPr>
      </w:pPr>
    </w:p>
    <w:p>
      <w:pPr>
        <w:keepNext w:val="0"/>
        <w:keepLines w:val="0"/>
        <w:pageBreakBefore w:val="0"/>
        <w:widowControl w:val="0"/>
        <w:kinsoku/>
        <w:wordWrap/>
        <w:overflowPunct/>
        <w:topLinePunct w:val="0"/>
        <w:autoSpaceDE/>
        <w:autoSpaceDN/>
        <w:bidi w:val="0"/>
        <w:adjustRightInd/>
        <w:snapToGrid/>
        <w:spacing w:after="95" w:afterLines="20" w:line="592" w:lineRule="exact"/>
        <w:jc w:val="left"/>
        <w:textAlignment w:val="auto"/>
        <w:rPr>
          <w:rFonts w:hint="default" w:ascii="Times New Roman" w:hAnsi="Times New Roman" w:eastAsia="仿宋_GB2312" w:cs="Times New Roman"/>
          <w:b/>
          <w:color w:val="auto"/>
          <w:sz w:val="32"/>
          <w:szCs w:val="24"/>
        </w:rPr>
      </w:pPr>
      <w:r>
        <w:rPr>
          <w:rFonts w:hint="default" w:ascii="Times New Roman" w:hAnsi="Times New Roman" w:eastAsia="仿宋_GB2312" w:cs="Times New Roman"/>
          <w:b/>
          <w:color w:val="auto"/>
          <w:sz w:val="32"/>
          <w:szCs w:val="24"/>
        </w:rPr>
        <w:t xml:space="preserve">1.1 </w:t>
      </w:r>
      <w:r>
        <w:rPr>
          <w:rFonts w:hint="eastAsia" w:ascii="Times New Roman" w:hAnsi="Times New Roman" w:cs="Times New Roman"/>
          <w:b/>
          <w:color w:val="auto"/>
          <w:sz w:val="32"/>
          <w:szCs w:val="24"/>
          <w:lang w:eastAsia="zh-CN"/>
        </w:rPr>
        <w:t>医疗服务</w:t>
      </w:r>
      <w:r>
        <w:rPr>
          <w:rFonts w:hint="default" w:ascii="Times New Roman" w:hAnsi="Times New Roman" w:eastAsia="仿宋_GB2312" w:cs="Times New Roman"/>
          <w:b/>
          <w:color w:val="auto"/>
          <w:sz w:val="32"/>
          <w:szCs w:val="24"/>
        </w:rPr>
        <w:t>价格调整监测评估相关基本数据</w:t>
      </w:r>
    </w:p>
    <w:tbl>
      <w:tblPr>
        <w:tblStyle w:val="3"/>
        <w:tblW w:w="13765" w:type="dxa"/>
        <w:tblInd w:w="13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38"/>
        <w:gridCol w:w="894"/>
        <w:gridCol w:w="964"/>
        <w:gridCol w:w="1014"/>
        <w:gridCol w:w="1080"/>
        <w:gridCol w:w="1157"/>
        <w:gridCol w:w="1231"/>
        <w:gridCol w:w="1171"/>
        <w:gridCol w:w="1223"/>
        <w:gridCol w:w="785"/>
        <w:gridCol w:w="785"/>
        <w:gridCol w:w="796"/>
        <w:gridCol w:w="785"/>
        <w:gridCol w:w="9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38"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年份</w:t>
            </w:r>
          </w:p>
        </w:tc>
        <w:tc>
          <w:tcPr>
            <w:tcW w:w="3952" w:type="dxa"/>
            <w:gridSpan w:val="4"/>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color w:val="auto"/>
                <w:sz w:val="20"/>
                <w:szCs w:val="20"/>
              </w:rPr>
            </w:pPr>
            <w:r>
              <w:rPr>
                <w:rFonts w:hint="eastAsia" w:ascii="方正书宋简体" w:hAnsi="方正书宋简体" w:eastAsia="方正书宋简体" w:cs="方正书宋简体"/>
                <w:b/>
                <w:color w:val="auto"/>
                <w:sz w:val="20"/>
                <w:szCs w:val="20"/>
              </w:rPr>
              <w:t>社会宏观经济发展</w:t>
            </w:r>
          </w:p>
        </w:tc>
        <w:tc>
          <w:tcPr>
            <w:tcW w:w="4782" w:type="dxa"/>
            <w:gridSpan w:val="4"/>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color w:val="auto"/>
                <w:sz w:val="20"/>
                <w:szCs w:val="20"/>
              </w:rPr>
            </w:pPr>
            <w:r>
              <w:rPr>
                <w:rFonts w:hint="eastAsia" w:ascii="方正书宋简体" w:hAnsi="方正书宋简体" w:eastAsia="方正书宋简体" w:cs="方正书宋简体"/>
                <w:b/>
                <w:color w:val="auto"/>
                <w:sz w:val="20"/>
                <w:szCs w:val="20"/>
              </w:rPr>
              <w:t>医保筹资情况</w:t>
            </w:r>
          </w:p>
        </w:tc>
        <w:tc>
          <w:tcPr>
            <w:tcW w:w="4093" w:type="dxa"/>
            <w:gridSpan w:val="5"/>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color w:val="auto"/>
                <w:sz w:val="20"/>
                <w:szCs w:val="20"/>
              </w:rPr>
            </w:pPr>
            <w:r>
              <w:rPr>
                <w:rFonts w:hint="eastAsia" w:ascii="方正书宋简体" w:hAnsi="方正书宋简体" w:eastAsia="方正书宋简体" w:cs="方正书宋简体"/>
                <w:b/>
                <w:color w:val="auto"/>
                <w:sz w:val="20"/>
                <w:szCs w:val="20"/>
              </w:rPr>
              <w:t>价格管理涉及医疗机构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38"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894"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GDP增速（%）</w:t>
            </w:r>
          </w:p>
        </w:tc>
        <w:tc>
          <w:tcPr>
            <w:tcW w:w="964"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CPI增速（%）</w:t>
            </w:r>
          </w:p>
        </w:tc>
        <w:tc>
          <w:tcPr>
            <w:tcW w:w="1014"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社平工资（元）</w:t>
            </w:r>
          </w:p>
        </w:tc>
        <w:tc>
          <w:tcPr>
            <w:tcW w:w="1080"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社平工资增速（%）</w:t>
            </w:r>
          </w:p>
        </w:tc>
        <w:tc>
          <w:tcPr>
            <w:tcW w:w="1157" w:type="dxa"/>
            <w:vMerge w:val="restart"/>
            <w:tcBorders>
              <w:top w:val="nil"/>
              <w:left w:val="single" w:color="auto" w:sz="4" w:space="0"/>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职工医保人均筹资（元）</w:t>
            </w:r>
          </w:p>
        </w:tc>
        <w:tc>
          <w:tcPr>
            <w:tcW w:w="1231" w:type="dxa"/>
            <w:vMerge w:val="restart"/>
            <w:tcBorders>
              <w:top w:val="nil"/>
              <w:left w:val="single" w:color="auto" w:sz="4" w:space="0"/>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职工医保参保人数（人）</w:t>
            </w:r>
          </w:p>
        </w:tc>
        <w:tc>
          <w:tcPr>
            <w:tcW w:w="1171"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城乡</w:t>
            </w:r>
            <w:r>
              <w:rPr>
                <w:rFonts w:hint="eastAsia" w:ascii="方正书宋简体" w:hAnsi="方正书宋简体" w:eastAsia="方正书宋简体" w:cs="方正书宋简体"/>
                <w:b/>
                <w:bCs/>
                <w:color w:val="auto"/>
                <w:sz w:val="20"/>
                <w:szCs w:val="20"/>
                <w:lang w:eastAsia="zh-CN"/>
              </w:rPr>
              <w:t>居民</w:t>
            </w:r>
            <w:r>
              <w:rPr>
                <w:rFonts w:hint="eastAsia" w:ascii="方正书宋简体" w:hAnsi="方正书宋简体" w:eastAsia="方正书宋简体" w:cs="方正书宋简体"/>
                <w:b/>
                <w:bCs/>
                <w:color w:val="auto"/>
                <w:sz w:val="20"/>
                <w:szCs w:val="20"/>
              </w:rPr>
              <w:t>医保人均筹资（元）</w:t>
            </w:r>
          </w:p>
        </w:tc>
        <w:tc>
          <w:tcPr>
            <w:tcW w:w="1223"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城乡</w:t>
            </w:r>
            <w:r>
              <w:rPr>
                <w:rFonts w:hint="eastAsia" w:ascii="方正书宋简体" w:hAnsi="方正书宋简体" w:eastAsia="方正书宋简体" w:cs="方正书宋简体"/>
                <w:b/>
                <w:bCs/>
                <w:color w:val="auto"/>
                <w:sz w:val="20"/>
                <w:szCs w:val="20"/>
                <w:lang w:eastAsia="zh-CN"/>
              </w:rPr>
              <w:t>居民</w:t>
            </w:r>
            <w:r>
              <w:rPr>
                <w:rFonts w:hint="eastAsia" w:ascii="方正书宋简体" w:hAnsi="方正书宋简体" w:eastAsia="方正书宋简体" w:cs="方正书宋简体"/>
                <w:b/>
                <w:bCs/>
                <w:color w:val="auto"/>
                <w:sz w:val="20"/>
                <w:szCs w:val="20"/>
              </w:rPr>
              <w:t>医保参保人数（人）</w:t>
            </w:r>
          </w:p>
        </w:tc>
        <w:tc>
          <w:tcPr>
            <w:tcW w:w="2366" w:type="dxa"/>
            <w:gridSpan w:val="3"/>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公立（家）</w:t>
            </w:r>
          </w:p>
        </w:tc>
        <w:tc>
          <w:tcPr>
            <w:tcW w:w="1727"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非公立（家）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38"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894"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964"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014"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080"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157" w:type="dxa"/>
            <w:vMerge w:val="continue"/>
            <w:tcBorders>
              <w:top w:val="nil"/>
              <w:left w:val="single" w:color="auto" w:sz="4" w:space="0"/>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231" w:type="dxa"/>
            <w:vMerge w:val="continue"/>
            <w:tcBorders>
              <w:top w:val="nil"/>
              <w:left w:val="single" w:color="auto" w:sz="4" w:space="0"/>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171"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122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三级</w:t>
            </w: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二级</w:t>
            </w:r>
          </w:p>
        </w:tc>
        <w:tc>
          <w:tcPr>
            <w:tcW w:w="79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一级</w:t>
            </w: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营利</w:t>
            </w:r>
          </w:p>
        </w:tc>
        <w:tc>
          <w:tcPr>
            <w:tcW w:w="9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非营利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38"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2019年</w:t>
            </w:r>
          </w:p>
        </w:tc>
        <w:tc>
          <w:tcPr>
            <w:tcW w:w="89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8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5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2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9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38"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2020年</w:t>
            </w:r>
          </w:p>
        </w:tc>
        <w:tc>
          <w:tcPr>
            <w:tcW w:w="89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8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5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2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9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938"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b/>
                <w:bCs/>
                <w:color w:val="auto"/>
                <w:sz w:val="20"/>
                <w:szCs w:val="20"/>
              </w:rPr>
            </w:pPr>
            <w:r>
              <w:rPr>
                <w:rFonts w:hint="eastAsia" w:ascii="方正书宋简体" w:hAnsi="方正书宋简体" w:eastAsia="方正书宋简体" w:cs="方正书宋简体"/>
                <w:b/>
                <w:bCs/>
                <w:color w:val="auto"/>
                <w:sz w:val="20"/>
                <w:szCs w:val="20"/>
              </w:rPr>
              <w:t>2021年</w:t>
            </w:r>
          </w:p>
        </w:tc>
        <w:tc>
          <w:tcPr>
            <w:tcW w:w="89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1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08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5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17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122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9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78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c>
          <w:tcPr>
            <w:tcW w:w="9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eastAsia" w:ascii="方正书宋简体" w:hAnsi="方正书宋简体" w:eastAsia="方正书宋简体" w:cs="方正书宋简体"/>
                <w:color w:val="auto"/>
                <w:sz w:val="20"/>
                <w:szCs w:val="20"/>
              </w:rPr>
            </w:pPr>
          </w:p>
        </w:tc>
      </w:tr>
    </w:tbl>
    <w:p>
      <w:pPr>
        <w:keepNext w:val="0"/>
        <w:keepLines w:val="0"/>
        <w:pageBreakBefore w:val="0"/>
        <w:widowControl w:val="0"/>
        <w:kinsoku/>
        <w:wordWrap/>
        <w:overflowPunct/>
        <w:topLinePunct w:val="0"/>
        <w:autoSpaceDE/>
        <w:autoSpaceDN/>
        <w:bidi w:val="0"/>
        <w:adjustRightInd w:val="0"/>
        <w:snapToGrid w:val="0"/>
        <w:spacing w:line="100" w:lineRule="exact"/>
        <w:ind w:firstLine="0" w:firstLineChars="0"/>
        <w:textAlignment w:val="auto"/>
        <w:rPr>
          <w:rFonts w:hint="eastAsia" w:ascii="方正书宋简体" w:hAnsi="方正书宋简体" w:eastAsia="方正书宋简体" w:cs="方正书宋简体"/>
          <w:color w:val="auto"/>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b/>
          <w:bCs/>
          <w:color w:val="auto"/>
          <w:sz w:val="20"/>
          <w:szCs w:val="20"/>
        </w:rPr>
        <w:t>注：</w:t>
      </w:r>
      <w:r>
        <w:rPr>
          <w:rFonts w:hint="eastAsia" w:ascii="方正书宋简体" w:hAnsi="方正书宋简体" w:eastAsia="方正书宋简体" w:cs="方正书宋简体"/>
          <w:color w:val="auto"/>
          <w:sz w:val="20"/>
          <w:szCs w:val="20"/>
        </w:rPr>
        <w:t>1、社平工资指“城镇非私营单位从业人员年平均工资”，以统计部门公布数据为准。</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eastAsia" w:ascii="方正书宋简体" w:hAnsi="方正书宋简体" w:eastAsia="方正书宋简体" w:cs="方正书宋简体"/>
          <w:color w:val="auto"/>
          <w:sz w:val="20"/>
          <w:szCs w:val="20"/>
        </w:rPr>
      </w:pPr>
      <w:r>
        <w:rPr>
          <w:rFonts w:hint="eastAsia" w:ascii="方正书宋简体" w:hAnsi="方正书宋简体" w:eastAsia="方正书宋简体" w:cs="方正书宋简体"/>
          <w:color w:val="auto"/>
          <w:sz w:val="20"/>
          <w:szCs w:val="20"/>
        </w:rPr>
        <w:t>2、一级公立医疗机构包括基层卫生院及社区卫生服务中心。</w:t>
      </w:r>
    </w:p>
    <w:p>
      <w:pPr>
        <w:jc w:val="center"/>
        <w:rPr>
          <w:rFonts w:hint="default" w:ascii="Times New Roman" w:hAnsi="Times New Roman" w:eastAsia="仿宋" w:cs="Times New Roman"/>
          <w:b/>
          <w:sz w:val="32"/>
          <w:szCs w:val="24"/>
        </w:rPr>
      </w:pPr>
    </w:p>
    <w:p>
      <w:pPr>
        <w:jc w:val="center"/>
        <w:rPr>
          <w:rFonts w:hint="default" w:ascii="Times New Roman" w:hAnsi="Times New Roman" w:eastAsia="仿宋" w:cs="Times New Roman"/>
          <w:b/>
          <w:sz w:val="32"/>
          <w:szCs w:val="24"/>
        </w:rPr>
      </w:pPr>
    </w:p>
    <w:p>
      <w:pPr>
        <w:jc w:val="left"/>
        <w:rPr>
          <w:rFonts w:hint="default" w:ascii="Times New Roman" w:hAnsi="Times New Roman" w:eastAsia="仿宋_GB2312" w:cs="Times New Roman"/>
          <w:b/>
          <w:bCs w:val="0"/>
          <w:sz w:val="32"/>
          <w:szCs w:val="32"/>
        </w:rPr>
      </w:pPr>
    </w:p>
    <w:p>
      <w:pPr>
        <w:keepNext w:val="0"/>
        <w:keepLines w:val="0"/>
        <w:pageBreakBefore w:val="0"/>
        <w:widowControl w:val="0"/>
        <w:kinsoku/>
        <w:wordWrap/>
        <w:overflowPunct/>
        <w:topLinePunct w:val="0"/>
        <w:autoSpaceDE/>
        <w:autoSpaceDN/>
        <w:bidi w:val="0"/>
        <w:adjustRightInd/>
        <w:snapToGrid/>
        <w:spacing w:after="95" w:afterLines="20" w:line="592" w:lineRule="exact"/>
        <w:jc w:val="left"/>
        <w:textAlignment w:val="auto"/>
        <w:rPr>
          <w:rFonts w:hint="default" w:ascii="Times New Roman" w:hAnsi="Times New Roman" w:eastAsia="仿宋_GB2312" w:cs="Times New Roman"/>
          <w:b/>
          <w:sz w:val="32"/>
          <w:szCs w:val="24"/>
        </w:rPr>
      </w:pPr>
      <w:r>
        <w:rPr>
          <w:rFonts w:hint="default" w:ascii="Times New Roman" w:hAnsi="Times New Roman" w:eastAsia="仿宋_GB2312" w:cs="Times New Roman"/>
          <w:b/>
          <w:sz w:val="32"/>
          <w:szCs w:val="24"/>
        </w:rPr>
        <w:t>1.2 医保基金运行情况</w:t>
      </w:r>
      <w:r>
        <w:rPr>
          <w:rFonts w:hint="eastAsia" w:ascii="Times New Roman" w:hAnsi="Times New Roman" w:eastAsia="仿宋_GB2312" w:cs="Times New Roman"/>
          <w:b/>
          <w:sz w:val="32"/>
          <w:szCs w:val="24"/>
          <w:lang w:eastAsia="zh-CN"/>
        </w:rPr>
        <w:t>表</w:t>
      </w:r>
    </w:p>
    <w:tbl>
      <w:tblPr>
        <w:tblStyle w:val="3"/>
        <w:tblW w:w="13763" w:type="dxa"/>
        <w:tblInd w:w="11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46"/>
        <w:gridCol w:w="1155"/>
        <w:gridCol w:w="1165"/>
        <w:gridCol w:w="1165"/>
        <w:gridCol w:w="1156"/>
        <w:gridCol w:w="1198"/>
        <w:gridCol w:w="1269"/>
        <w:gridCol w:w="964"/>
        <w:gridCol w:w="975"/>
        <w:gridCol w:w="964"/>
        <w:gridCol w:w="966"/>
        <w:gridCol w:w="975"/>
        <w:gridCol w:w="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46"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年份</w:t>
            </w:r>
          </w:p>
        </w:tc>
        <w:tc>
          <w:tcPr>
            <w:tcW w:w="7108" w:type="dxa"/>
            <w:gridSpan w:val="6"/>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职工医保基金运行情况</w:t>
            </w:r>
          </w:p>
        </w:tc>
        <w:tc>
          <w:tcPr>
            <w:tcW w:w="5709" w:type="dxa"/>
            <w:gridSpan w:val="6"/>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eastAsia" w:ascii="方正书宋简体" w:hAnsi="方正书宋简体" w:eastAsia="方正书宋简体" w:cs="方正书宋简体"/>
                <w:b/>
                <w:bCs/>
                <w:sz w:val="20"/>
                <w:szCs w:val="20"/>
                <w:lang w:eastAsia="zh-CN"/>
              </w:rPr>
              <w:t>城乡</w:t>
            </w:r>
            <w:r>
              <w:rPr>
                <w:rFonts w:hint="default" w:ascii="方正书宋简体" w:hAnsi="方正书宋简体" w:eastAsia="方正书宋简体" w:cs="方正书宋简体"/>
                <w:b/>
                <w:bCs/>
                <w:sz w:val="20"/>
                <w:szCs w:val="20"/>
              </w:rPr>
              <w:t>居民医保基金运行情况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9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155" w:type="dxa"/>
            <w:tcBorders>
              <w:top w:val="nil"/>
              <w:left w:val="nil"/>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医保基金收入（万元）</w:t>
            </w:r>
          </w:p>
        </w:tc>
        <w:tc>
          <w:tcPr>
            <w:tcW w:w="1165" w:type="dxa"/>
            <w:tcBorders>
              <w:top w:val="nil"/>
              <w:left w:val="single" w:color="auto" w:sz="4" w:space="0"/>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医保基金支出（万元）</w:t>
            </w:r>
          </w:p>
        </w:tc>
        <w:tc>
          <w:tcPr>
            <w:tcW w:w="1165"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医保基金当期结余（万元）</w:t>
            </w:r>
          </w:p>
        </w:tc>
        <w:tc>
          <w:tcPr>
            <w:tcW w:w="115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医保基金累计结余（万元）</w:t>
            </w:r>
          </w:p>
        </w:tc>
        <w:tc>
          <w:tcPr>
            <w:tcW w:w="119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住院实际报销比例（%）</w:t>
            </w:r>
          </w:p>
        </w:tc>
        <w:tc>
          <w:tcPr>
            <w:tcW w:w="12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医保住院率（%）</w:t>
            </w:r>
          </w:p>
        </w:tc>
        <w:tc>
          <w:tcPr>
            <w:tcW w:w="964" w:type="dxa"/>
            <w:tcBorders>
              <w:top w:val="nil"/>
              <w:left w:val="nil"/>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医保基金收入（万元）</w:t>
            </w:r>
          </w:p>
        </w:tc>
        <w:tc>
          <w:tcPr>
            <w:tcW w:w="975" w:type="dxa"/>
            <w:tcBorders>
              <w:top w:val="nil"/>
              <w:left w:val="single" w:color="auto" w:sz="4" w:space="0"/>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医保基金支出（万元）</w:t>
            </w:r>
          </w:p>
        </w:tc>
        <w:tc>
          <w:tcPr>
            <w:tcW w:w="964"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医保基金当期结余（万元）</w:t>
            </w:r>
          </w:p>
        </w:tc>
        <w:tc>
          <w:tcPr>
            <w:tcW w:w="9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医保基金累计结余（万元）</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住院实际报销比例（%）</w:t>
            </w:r>
          </w:p>
        </w:tc>
        <w:tc>
          <w:tcPr>
            <w:tcW w:w="8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医保住院率（%）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4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2019年</w:t>
            </w:r>
          </w:p>
        </w:tc>
        <w:tc>
          <w:tcPr>
            <w:tcW w:w="115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5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9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2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4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2020年</w:t>
            </w:r>
          </w:p>
        </w:tc>
        <w:tc>
          <w:tcPr>
            <w:tcW w:w="11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5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9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2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946"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2021年</w:t>
            </w:r>
          </w:p>
        </w:tc>
        <w:tc>
          <w:tcPr>
            <w:tcW w:w="11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5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19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26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6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97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6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p>
      <w:pPr>
        <w:keepNext w:val="0"/>
        <w:keepLines w:val="0"/>
        <w:pageBreakBefore w:val="0"/>
        <w:widowControl w:val="0"/>
        <w:kinsoku/>
        <w:wordWrap/>
        <w:overflowPunct/>
        <w:topLinePunct w:val="0"/>
        <w:autoSpaceDE/>
        <w:autoSpaceDN/>
        <w:bidi w:val="0"/>
        <w:adjustRightInd/>
        <w:snapToGrid/>
        <w:spacing w:after="95" w:afterLines="20"/>
        <w:textAlignment w:val="auto"/>
        <w:rPr>
          <w:rFonts w:hint="default" w:ascii="Times New Roman" w:hAnsi="Times New Roman" w:eastAsia="仿宋" w:cs="Times New Roman"/>
          <w:sz w:val="32"/>
          <w:szCs w:val="24"/>
        </w:rPr>
      </w:pPr>
      <w:r>
        <w:rPr>
          <w:rFonts w:hint="default" w:ascii="Times New Roman" w:hAnsi="Times New Roman" w:eastAsia="仿宋" w:cs="Times New Roman"/>
          <w:sz w:val="32"/>
          <w:szCs w:val="24"/>
        </w:rPr>
        <w:br w:type="page"/>
      </w:r>
      <w:r>
        <w:rPr>
          <w:rFonts w:hint="default" w:ascii="Times New Roman" w:hAnsi="Times New Roman" w:eastAsia="仿宋_GB2312" w:cs="Times New Roman"/>
          <w:b/>
          <w:sz w:val="32"/>
          <w:szCs w:val="24"/>
        </w:rPr>
        <w:t>1.2.1医保住院统筹基金支出和病人流向统计表</w:t>
      </w:r>
    </w:p>
    <w:tbl>
      <w:tblPr>
        <w:tblStyle w:val="3"/>
        <w:tblW w:w="13768" w:type="dxa"/>
        <w:tblInd w:w="1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9"/>
        <w:gridCol w:w="654"/>
        <w:gridCol w:w="642"/>
        <w:gridCol w:w="708"/>
        <w:gridCol w:w="771"/>
        <w:gridCol w:w="729"/>
        <w:gridCol w:w="739"/>
        <w:gridCol w:w="728"/>
        <w:gridCol w:w="654"/>
        <w:gridCol w:w="696"/>
        <w:gridCol w:w="815"/>
        <w:gridCol w:w="825"/>
        <w:gridCol w:w="760"/>
        <w:gridCol w:w="858"/>
        <w:gridCol w:w="696"/>
        <w:gridCol w:w="761"/>
        <w:gridCol w:w="728"/>
        <w:gridCol w:w="884"/>
        <w:gridCol w:w="6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29"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项目</w:t>
            </w:r>
          </w:p>
        </w:tc>
        <w:tc>
          <w:tcPr>
            <w:tcW w:w="6321"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医保住院统筹基金支出流向</w:t>
            </w:r>
          </w:p>
        </w:tc>
        <w:tc>
          <w:tcPr>
            <w:tcW w:w="7018" w:type="dxa"/>
            <w:gridSpan w:val="9"/>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医保住院病人流向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54"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基金支出总额（万元）</w:t>
            </w:r>
          </w:p>
        </w:tc>
        <w:tc>
          <w:tcPr>
            <w:tcW w:w="13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0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467"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350"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非公立医疗机构</w:t>
            </w:r>
          </w:p>
        </w:tc>
        <w:tc>
          <w:tcPr>
            <w:tcW w:w="815" w:type="dxa"/>
            <w:vMerge w:val="restart"/>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住院病人总数（人）</w:t>
            </w:r>
          </w:p>
        </w:tc>
        <w:tc>
          <w:tcPr>
            <w:tcW w:w="158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54"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489"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75" w:type="dxa"/>
            <w:gridSpan w:val="2"/>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非公立医疗</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机构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atLeast"/>
        </w:trPr>
        <w:tc>
          <w:tcPr>
            <w:tcW w:w="429"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54"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42"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基金支出（万元）</w:t>
            </w:r>
          </w:p>
        </w:tc>
        <w:tc>
          <w:tcPr>
            <w:tcW w:w="708"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771" w:type="dxa"/>
            <w:tcBorders>
              <w:top w:val="single" w:color="000000" w:sz="4" w:space="0"/>
              <w:left w:val="single" w:color="000000" w:sz="4" w:space="0"/>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基金支出（万元）</w:t>
            </w:r>
          </w:p>
        </w:tc>
        <w:tc>
          <w:tcPr>
            <w:tcW w:w="729" w:type="dxa"/>
            <w:tcBorders>
              <w:top w:val="single" w:color="000000" w:sz="4" w:space="0"/>
              <w:left w:val="single" w:color="000000" w:sz="4" w:space="0"/>
              <w:bottom w:val="nil"/>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739"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基金支出（万元）</w:t>
            </w:r>
          </w:p>
        </w:tc>
        <w:tc>
          <w:tcPr>
            <w:tcW w:w="728"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654"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基金支出（万元）</w:t>
            </w:r>
          </w:p>
        </w:tc>
        <w:tc>
          <w:tcPr>
            <w:tcW w:w="696" w:type="dxa"/>
            <w:tcBorders>
              <w:top w:val="single" w:color="000000" w:sz="4" w:space="0"/>
              <w:left w:val="single" w:color="000000" w:sz="4" w:space="0"/>
              <w:bottom w:val="nil"/>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815" w:type="dxa"/>
            <w:vMerge w:val="continue"/>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住院病人数（人）</w:t>
            </w: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住院病人数（人）</w:t>
            </w: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住院病人数（人）</w:t>
            </w: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c>
          <w:tcPr>
            <w:tcW w:w="8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住院病人数（人）</w:t>
            </w:r>
          </w:p>
        </w:tc>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调价后</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134" w:hRule="atLeast"/>
        </w:trPr>
        <w:tc>
          <w:tcPr>
            <w:tcW w:w="4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调价前后差额</w:t>
            </w: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42"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0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7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39"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5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1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25"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0"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5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6"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6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728"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884"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691" w:type="dxa"/>
            <w:tcBorders>
              <w:top w:val="single" w:color="000000" w:sz="4" w:space="0"/>
              <w:left w:val="single" w:color="000000" w:sz="4" w:space="0"/>
              <w:bottom w:val="single" w:color="000000"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r>
    </w:tbl>
    <w:p>
      <w:pPr>
        <w:keepNext w:val="0"/>
        <w:keepLines w:val="0"/>
        <w:pageBreakBefore w:val="0"/>
        <w:widowControl w:val="0"/>
        <w:kinsoku/>
        <w:wordWrap/>
        <w:overflowPunct/>
        <w:topLinePunct w:val="0"/>
        <w:autoSpaceDE/>
        <w:autoSpaceDN/>
        <w:bidi w:val="0"/>
        <w:adjustRightInd w:val="0"/>
        <w:snapToGrid w:val="0"/>
        <w:spacing w:before="95" w:beforeLines="20" w:line="240" w:lineRule="auto"/>
        <w:ind w:firstLine="0" w:firstLineChars="0"/>
        <w:textAlignment w:val="auto"/>
        <w:rPr>
          <w:rFonts w:hint="eastAsia" w:ascii="方正书宋简体" w:hAnsi="方正书宋简体" w:eastAsia="方正书宋简体" w:cs="方正书宋简体"/>
          <w:sz w:val="20"/>
          <w:szCs w:val="20"/>
        </w:rPr>
      </w:pPr>
      <w:r>
        <w:rPr>
          <w:rFonts w:hint="default" w:ascii="方正书宋简体" w:hAnsi="方正书宋简体" w:eastAsia="方正书宋简体" w:cs="方正书宋简体"/>
          <w:b/>
          <w:bCs/>
          <w:sz w:val="20"/>
          <w:szCs w:val="20"/>
        </w:rPr>
        <w:t>说明：</w:t>
      </w:r>
      <w:r>
        <w:rPr>
          <w:rFonts w:hint="default" w:ascii="方正书宋简体" w:hAnsi="方正书宋简体" w:eastAsia="方正书宋简体" w:cs="方正书宋简体"/>
          <w:sz w:val="20"/>
          <w:szCs w:val="20"/>
        </w:rPr>
        <w:t>一级公立医疗机构包括基层卫生院及社区卫生服务中心。</w:t>
      </w:r>
    </w:p>
    <w:p>
      <w:pPr>
        <w:pStyle w:val="2"/>
        <w:rPr>
          <w:rFonts w:hint="default"/>
        </w:rPr>
      </w:pPr>
    </w:p>
    <w:p>
      <w:pPr>
        <w:pStyle w:val="2"/>
        <w:rPr>
          <w:rFonts w:hint="default"/>
        </w:rPr>
      </w:pPr>
    </w:p>
    <w:p>
      <w:pPr>
        <w:pStyle w:val="2"/>
        <w:rPr>
          <w:rFonts w:hint="default"/>
        </w:rPr>
        <w:sectPr>
          <w:pgSz w:w="16838" w:h="11900" w:orient="landscape"/>
          <w:pgMar w:top="1531" w:right="1531" w:bottom="1531" w:left="1531" w:header="850" w:footer="992" w:gutter="0"/>
          <w:pgBorders>
            <w:top w:val="none" w:sz="0" w:space="0"/>
            <w:left w:val="none" w:sz="0" w:space="0"/>
            <w:bottom w:val="none" w:sz="0" w:space="0"/>
            <w:right w:val="none" w:sz="0" w:space="0"/>
          </w:pgBorders>
          <w:lnNumType w:countBy="0" w:distance="360"/>
          <w:pgNumType w:fmt="numberInDash"/>
          <w:cols w:space="720" w:num="1"/>
          <w:titlePg/>
          <w:rtlGutter w:val="0"/>
          <w:docGrid w:type="lines" w:linePitch="468" w:charSpace="0"/>
        </w:sectPr>
      </w:pPr>
    </w:p>
    <w:p>
      <w:pPr>
        <w:keepNext w:val="0"/>
        <w:keepLines w:val="0"/>
        <w:pageBreakBefore w:val="0"/>
        <w:widowControl w:val="0"/>
        <w:kinsoku/>
        <w:wordWrap/>
        <w:overflowPunct/>
        <w:topLinePunct w:val="0"/>
        <w:autoSpaceDE/>
        <w:autoSpaceDN/>
        <w:bidi w:val="0"/>
        <w:adjustRightInd/>
        <w:snapToGrid/>
        <w:spacing w:after="95" w:afterLines="20"/>
        <w:jc w:val="left"/>
        <w:textAlignment w:val="auto"/>
        <w:rPr>
          <w:rFonts w:hint="default" w:ascii="Times New Roman" w:hAnsi="Times New Roman" w:eastAsia="仿宋_GB2312" w:cs="Times New Roman"/>
          <w:b/>
          <w:bCs w:val="0"/>
          <w:sz w:val="32"/>
          <w:szCs w:val="32"/>
        </w:rPr>
      </w:pPr>
      <w:r>
        <w:rPr>
          <w:rFonts w:hint="default" w:ascii="Times New Roman" w:hAnsi="Times New Roman" w:eastAsia="仿宋_GB2312" w:cs="Times New Roman"/>
          <w:b/>
          <w:bCs w:val="0"/>
          <w:sz w:val="32"/>
          <w:szCs w:val="32"/>
        </w:rPr>
        <w:t>1.3价格调整医疗机构收入变化情况</w:t>
      </w:r>
      <w:r>
        <w:rPr>
          <w:rFonts w:hint="eastAsia" w:ascii="Times New Roman" w:hAnsi="Times New Roman" w:cs="Times New Roman"/>
          <w:b/>
          <w:bCs/>
          <w:sz w:val="32"/>
          <w:szCs w:val="24"/>
          <w:lang w:eastAsia="zh-CN"/>
        </w:rPr>
        <w:t>表</w:t>
      </w:r>
    </w:p>
    <w:tbl>
      <w:tblPr>
        <w:tblStyle w:val="3"/>
        <w:tblW w:w="13805" w:type="dxa"/>
        <w:tblInd w:w="8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63"/>
        <w:gridCol w:w="1546"/>
        <w:gridCol w:w="1553"/>
        <w:gridCol w:w="1553"/>
        <w:gridCol w:w="1553"/>
        <w:gridCol w:w="1553"/>
        <w:gridCol w:w="1553"/>
        <w:gridCol w:w="1553"/>
        <w:gridCol w:w="147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lang w:val="en-US" w:eastAsia="zh-CN"/>
              </w:rPr>
            </w:pPr>
            <w:r>
              <w:rPr>
                <w:rFonts w:hint="default" w:ascii="方正书宋简体" w:hAnsi="方正书宋简体" w:eastAsia="方正书宋简体" w:cs="方正书宋简体"/>
                <w:b/>
                <w:bCs/>
                <w:sz w:val="20"/>
                <w:szCs w:val="20"/>
              </w:rPr>
              <w:t>时段</w:t>
            </w:r>
          </w:p>
        </w:tc>
        <w:tc>
          <w:tcPr>
            <w:tcW w:w="1546" w:type="dxa"/>
            <w:vMerge w:val="restart"/>
            <w:tcBorders>
              <w:top w:val="single" w:color="auto" w:sz="4" w:space="0"/>
              <w:left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lang w:val="en-US" w:eastAsia="zh-CN"/>
              </w:rPr>
            </w:pPr>
            <w:r>
              <w:rPr>
                <w:rFonts w:hint="default" w:ascii="方正书宋简体" w:hAnsi="方正书宋简体" w:eastAsia="方正书宋简体" w:cs="方正书宋简体"/>
                <w:b/>
                <w:bCs/>
                <w:sz w:val="20"/>
                <w:szCs w:val="20"/>
              </w:rPr>
              <w:t>医院</w:t>
            </w:r>
          </w:p>
        </w:tc>
        <w:tc>
          <w:tcPr>
            <w:tcW w:w="1553" w:type="dxa"/>
            <w:vMerge w:val="restart"/>
            <w:tcBorders>
              <w:top w:val="single" w:color="auto" w:sz="4" w:space="0"/>
              <w:left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医疗收入</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lang w:val="en-US" w:eastAsia="zh-CN"/>
              </w:rPr>
            </w:pPr>
            <w:r>
              <w:rPr>
                <w:rFonts w:hint="default" w:ascii="方正书宋简体" w:hAnsi="方正书宋简体" w:eastAsia="方正书宋简体" w:cs="方正书宋简体"/>
                <w:b/>
                <w:bCs/>
                <w:sz w:val="20"/>
                <w:szCs w:val="20"/>
              </w:rPr>
              <w:t>（万元）</w:t>
            </w:r>
          </w:p>
        </w:tc>
        <w:tc>
          <w:tcPr>
            <w:tcW w:w="1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药品收入</w:t>
            </w:r>
          </w:p>
        </w:tc>
        <w:tc>
          <w:tcPr>
            <w:tcW w:w="1553" w:type="dxa"/>
            <w:vMerge w:val="restart"/>
            <w:tcBorders>
              <w:top w:val="single" w:color="auto" w:sz="4" w:space="0"/>
              <w:left w:val="single" w:color="auto" w:sz="4" w:space="0"/>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耗材收入</w:t>
            </w:r>
          </w:p>
        </w:tc>
        <w:tc>
          <w:tcPr>
            <w:tcW w:w="1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检查收入</w:t>
            </w:r>
          </w:p>
        </w:tc>
        <w:tc>
          <w:tcPr>
            <w:tcW w:w="1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化验收入</w:t>
            </w:r>
          </w:p>
        </w:tc>
        <w:tc>
          <w:tcPr>
            <w:tcW w:w="1553"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技术劳务</w:t>
            </w:r>
          </w:p>
        </w:tc>
        <w:tc>
          <w:tcPr>
            <w:tcW w:w="147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single" w:color="auto" w:sz="4" w:space="0"/>
              <w:left w:val="single" w:color="auto" w:sz="4" w:space="0"/>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nil"/>
              <w:left w:val="single" w:color="auto" w:sz="4" w:space="0"/>
              <w:bottom w:val="single" w:color="auto" w:sz="4" w:space="0"/>
              <w:right w:val="nil"/>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5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47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w:t>
            </w: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调价后</w:t>
            </w: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调价前后</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差额</w:t>
            </w: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调价前后增减幅度</w:t>
            </w: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463"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5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7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p>
      <w:pPr>
        <w:keepNext w:val="0"/>
        <w:keepLines w:val="0"/>
        <w:pageBreakBefore w:val="0"/>
        <w:widowControl w:val="0"/>
        <w:kinsoku/>
        <w:wordWrap/>
        <w:overflowPunct/>
        <w:topLinePunct w:val="0"/>
        <w:autoSpaceDE/>
        <w:autoSpaceDN/>
        <w:bidi w:val="0"/>
        <w:adjustRightInd w:val="0"/>
        <w:snapToGrid w:val="0"/>
        <w:spacing w:line="100" w:lineRule="exact"/>
        <w:ind w:firstLine="0" w:firstLineChars="0"/>
        <w:textAlignment w:val="auto"/>
        <w:rPr>
          <w:rFonts w:hint="default" w:ascii="方正书宋简体" w:hAnsi="方正书宋简体" w:eastAsia="方正书宋简体" w:cs="方正书宋简体"/>
          <w:b w:val="0"/>
          <w:bCs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注：</w:t>
      </w:r>
      <w:r>
        <w:rPr>
          <w:rFonts w:hint="default" w:ascii="方正书宋简体" w:hAnsi="方正书宋简体" w:eastAsia="方正书宋简体" w:cs="方正书宋简体"/>
          <w:b w:val="0"/>
          <w:bCs w:val="0"/>
          <w:sz w:val="20"/>
          <w:szCs w:val="20"/>
        </w:rPr>
        <w:t>1、分析实际收入及收入结构，评估价格调整对医疗机构收入变化和实际效果。</w:t>
      </w:r>
    </w:p>
    <w:p>
      <w:pPr>
        <w:keepNext w:val="0"/>
        <w:keepLines w:val="0"/>
        <w:pageBreakBefore w:val="0"/>
        <w:widowControl w:val="0"/>
        <w:kinsoku/>
        <w:wordWrap/>
        <w:overflowPunct/>
        <w:topLinePunct w:val="0"/>
        <w:autoSpaceDE/>
        <w:autoSpaceDN/>
        <w:bidi w:val="0"/>
        <w:adjustRightInd w:val="0"/>
        <w:snapToGrid w:val="0"/>
        <w:spacing w:line="240" w:lineRule="auto"/>
        <w:ind w:firstLine="400" w:firstLineChars="200"/>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2、一级公立医疗机构包括基层卫生院及社区卫生服务中心。</w:t>
      </w:r>
    </w:p>
    <w:p>
      <w:pPr>
        <w:keepNext w:val="0"/>
        <w:keepLines w:val="0"/>
        <w:pageBreakBefore w:val="0"/>
        <w:widowControl w:val="0"/>
        <w:kinsoku/>
        <w:wordWrap/>
        <w:overflowPunct/>
        <w:topLinePunct w:val="0"/>
        <w:autoSpaceDE/>
        <w:autoSpaceDN/>
        <w:bidi w:val="0"/>
        <w:adjustRightInd/>
        <w:snapToGrid/>
        <w:spacing w:after="95" w:afterLines="20"/>
        <w:textAlignment w:val="auto"/>
        <w:rPr>
          <w:rFonts w:hint="default" w:ascii="Times New Roman" w:hAnsi="Times New Roman" w:eastAsia="仿宋_GB2312" w:cs="Times New Roman"/>
          <w:b/>
          <w:bCs w:val="0"/>
          <w:sz w:val="32"/>
          <w:szCs w:val="24"/>
        </w:rPr>
      </w:pPr>
      <w:r>
        <w:rPr>
          <w:rFonts w:hint="default" w:ascii="Times New Roman" w:hAnsi="Times New Roman" w:eastAsia="仿宋" w:cs="Times New Roman"/>
          <w:sz w:val="18"/>
          <w:szCs w:val="24"/>
        </w:rPr>
        <w:br w:type="page"/>
      </w:r>
      <w:r>
        <w:rPr>
          <w:rFonts w:hint="default" w:ascii="Times New Roman" w:hAnsi="Times New Roman" w:eastAsia="仿宋_GB2312" w:cs="Times New Roman"/>
          <w:b/>
          <w:bCs w:val="0"/>
          <w:sz w:val="32"/>
          <w:szCs w:val="24"/>
        </w:rPr>
        <w:t>1.4价格调整医疗收入结构变化情况</w:t>
      </w:r>
      <w:r>
        <w:rPr>
          <w:rFonts w:hint="eastAsia" w:ascii="Times New Roman" w:hAnsi="Times New Roman" w:cs="Times New Roman"/>
          <w:b/>
          <w:bCs/>
          <w:sz w:val="32"/>
          <w:szCs w:val="24"/>
          <w:lang w:eastAsia="zh-CN"/>
        </w:rPr>
        <w:t>表</w:t>
      </w:r>
    </w:p>
    <w:tbl>
      <w:tblPr>
        <w:tblStyle w:val="3"/>
        <w:tblW w:w="13799"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28"/>
        <w:gridCol w:w="1547"/>
        <w:gridCol w:w="1547"/>
        <w:gridCol w:w="1481"/>
        <w:gridCol w:w="1464"/>
        <w:gridCol w:w="1481"/>
        <w:gridCol w:w="1547"/>
        <w:gridCol w:w="1702"/>
        <w:gridCol w:w="17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80" w:hRule="atLeast"/>
        </w:trPr>
        <w:tc>
          <w:tcPr>
            <w:tcW w:w="132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时段</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医院</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医疗收入增长率（%）</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药品占比（%）</w:t>
            </w:r>
          </w:p>
        </w:tc>
        <w:tc>
          <w:tcPr>
            <w:tcW w:w="146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耗材占比（%）</w:t>
            </w:r>
          </w:p>
        </w:tc>
        <w:tc>
          <w:tcPr>
            <w:tcW w:w="1481"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检查占比（%）</w:t>
            </w:r>
          </w:p>
        </w:tc>
        <w:tc>
          <w:tcPr>
            <w:tcW w:w="154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化验占比（%）</w:t>
            </w:r>
          </w:p>
        </w:tc>
        <w:tc>
          <w:tcPr>
            <w:tcW w:w="170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技术劳务占比（%）</w:t>
            </w:r>
          </w:p>
        </w:tc>
        <w:tc>
          <w:tcPr>
            <w:tcW w:w="1702" w:type="dxa"/>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其他占比（%）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调价后</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调价前后</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差额</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三级医院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二级医院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一级医院</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1328"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小计</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6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5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0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p>
      <w:pPr>
        <w:keepNext w:val="0"/>
        <w:keepLines w:val="0"/>
        <w:pageBreakBefore w:val="0"/>
        <w:widowControl w:val="0"/>
        <w:kinsoku/>
        <w:wordWrap/>
        <w:overflowPunct/>
        <w:topLinePunct w:val="0"/>
        <w:autoSpaceDE/>
        <w:autoSpaceDN/>
        <w:bidi w:val="0"/>
        <w:adjustRightInd w:val="0"/>
        <w:snapToGrid w:val="0"/>
        <w:spacing w:line="240" w:lineRule="exact"/>
        <w:ind w:left="0" w:leftChars="0" w:right="0" w:rightChars="0" w:firstLine="0" w:firstLineChars="0"/>
        <w:jc w:val="left"/>
        <w:textAlignment w:val="auto"/>
        <w:rPr>
          <w:rFonts w:hint="default" w:ascii="方正书宋简体" w:hAnsi="方正书宋简体" w:eastAsia="方正书宋简体" w:cs="方正书宋简体"/>
          <w:b/>
          <w:bCs/>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注：</w:t>
      </w:r>
      <w:r>
        <w:rPr>
          <w:rFonts w:hint="default" w:ascii="方正书宋简体" w:hAnsi="方正书宋简体" w:eastAsia="方正书宋简体" w:cs="方正书宋简体"/>
          <w:b w:val="0"/>
          <w:bCs w:val="0"/>
          <w:sz w:val="20"/>
          <w:szCs w:val="20"/>
        </w:rPr>
        <w:t>1、通过医疗收入增长率、药品收入占比、耗材收入占比、检查收入占比、化验收入占比、技术劳务收入占比等7个指标在价格调整前后的变化情况，分析价格调整效果方向和力度，评估价格调整效果，为下次价格调整提供参考。</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00" w:firstLineChars="200"/>
        <w:jc w:val="left"/>
        <w:textAlignment w:val="auto"/>
        <w:rPr>
          <w:rFonts w:hint="default" w:ascii="Times New Roman" w:hAnsi="Times New Roman" w:eastAsia="仿宋" w:cs="Times New Roman"/>
          <w:b w:val="0"/>
          <w:bCs w:val="0"/>
          <w:sz w:val="32"/>
          <w:szCs w:val="24"/>
        </w:rPr>
      </w:pPr>
      <w:r>
        <w:rPr>
          <w:rFonts w:hint="default" w:ascii="方正书宋简体" w:hAnsi="方正书宋简体" w:eastAsia="方正书宋简体" w:cs="方正书宋简体"/>
          <w:b w:val="0"/>
          <w:bCs w:val="0"/>
          <w:sz w:val="20"/>
          <w:szCs w:val="20"/>
        </w:rPr>
        <w:t>2、一级公立医疗机构包括基层卫生院及社区卫生服务中心。</w:t>
      </w:r>
    </w:p>
    <w:p>
      <w:pPr>
        <w:keepNext w:val="0"/>
        <w:keepLines w:val="0"/>
        <w:pageBreakBefore w:val="0"/>
        <w:widowControl w:val="0"/>
        <w:kinsoku/>
        <w:wordWrap/>
        <w:overflowPunct/>
        <w:topLinePunct w:val="0"/>
        <w:autoSpaceDE/>
        <w:autoSpaceDN/>
        <w:bidi w:val="0"/>
        <w:adjustRightInd/>
        <w:snapToGrid/>
        <w:spacing w:after="95" w:afterLines="20"/>
        <w:jc w:val="left"/>
        <w:textAlignment w:val="auto"/>
        <w:rPr>
          <w:rFonts w:hint="default" w:ascii="Times New Roman" w:hAnsi="Times New Roman" w:eastAsia="仿宋_GB2312" w:cs="Times New Roman"/>
          <w:b/>
          <w:bCs w:val="0"/>
          <w:sz w:val="32"/>
          <w:szCs w:val="24"/>
        </w:rPr>
      </w:pPr>
      <w:r>
        <w:rPr>
          <w:rFonts w:hint="default" w:ascii="Times New Roman" w:hAnsi="Times New Roman" w:eastAsia="仿宋_GB2312" w:cs="Times New Roman"/>
          <w:b/>
          <w:bCs w:val="0"/>
          <w:sz w:val="32"/>
          <w:szCs w:val="24"/>
        </w:rPr>
        <w:br w:type="page"/>
      </w:r>
      <w:r>
        <w:rPr>
          <w:rFonts w:hint="default" w:ascii="Times New Roman" w:hAnsi="Times New Roman" w:eastAsia="仿宋_GB2312" w:cs="Times New Roman"/>
          <w:b/>
          <w:bCs w:val="0"/>
          <w:sz w:val="32"/>
          <w:szCs w:val="24"/>
        </w:rPr>
        <w:t>1.5 价格调整患者医疗费用变化情况</w:t>
      </w:r>
      <w:r>
        <w:rPr>
          <w:rFonts w:hint="eastAsia" w:ascii="Times New Roman" w:hAnsi="Times New Roman" w:cs="Times New Roman"/>
          <w:b/>
          <w:bCs/>
          <w:sz w:val="32"/>
          <w:szCs w:val="24"/>
          <w:lang w:eastAsia="zh-CN"/>
        </w:rPr>
        <w:t>表</w:t>
      </w:r>
    </w:p>
    <w:tbl>
      <w:tblPr>
        <w:tblStyle w:val="3"/>
        <w:tblW w:w="13779" w:type="dxa"/>
        <w:tblInd w:w="11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058"/>
        <w:gridCol w:w="527"/>
        <w:gridCol w:w="703"/>
        <w:gridCol w:w="879"/>
        <w:gridCol w:w="537"/>
        <w:gridCol w:w="586"/>
        <w:gridCol w:w="455"/>
        <w:gridCol w:w="537"/>
        <w:gridCol w:w="552"/>
        <w:gridCol w:w="527"/>
        <w:gridCol w:w="703"/>
        <w:gridCol w:w="879"/>
        <w:gridCol w:w="537"/>
        <w:gridCol w:w="516"/>
        <w:gridCol w:w="537"/>
        <w:gridCol w:w="526"/>
        <w:gridCol w:w="522"/>
        <w:gridCol w:w="704"/>
        <w:gridCol w:w="883"/>
        <w:gridCol w:w="8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时段</w:t>
            </w:r>
          </w:p>
        </w:tc>
        <w:tc>
          <w:tcPr>
            <w:tcW w:w="1058"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医院</w:t>
            </w:r>
          </w:p>
        </w:tc>
        <w:tc>
          <w:tcPr>
            <w:tcW w:w="4776" w:type="dxa"/>
            <w:gridSpan w:val="8"/>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门诊费用情况</w:t>
            </w:r>
          </w:p>
        </w:tc>
        <w:tc>
          <w:tcPr>
            <w:tcW w:w="7183" w:type="dxa"/>
            <w:gridSpan w:val="11"/>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住院费用及负担情况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058"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门诊人次</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门诊总费用（万元）</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人均门诊费用（元）</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药品费</w:t>
            </w:r>
          </w:p>
        </w:tc>
        <w:tc>
          <w:tcPr>
            <w:tcW w:w="58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耗材费</w:t>
            </w:r>
          </w:p>
        </w:tc>
        <w:tc>
          <w:tcPr>
            <w:tcW w:w="455"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检查费</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化验费</w:t>
            </w:r>
          </w:p>
        </w:tc>
        <w:tc>
          <w:tcPr>
            <w:tcW w:w="55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技术劳务费</w:t>
            </w:r>
          </w:p>
        </w:tc>
        <w:tc>
          <w:tcPr>
            <w:tcW w:w="52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住院人次</w:t>
            </w:r>
          </w:p>
        </w:tc>
        <w:tc>
          <w:tcPr>
            <w:tcW w:w="70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住院总费用（万元）</w:t>
            </w:r>
          </w:p>
        </w:tc>
        <w:tc>
          <w:tcPr>
            <w:tcW w:w="87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人均住院费用（元）</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药品费</w:t>
            </w:r>
          </w:p>
        </w:tc>
        <w:tc>
          <w:tcPr>
            <w:tcW w:w="51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耗材费</w:t>
            </w:r>
          </w:p>
        </w:tc>
        <w:tc>
          <w:tcPr>
            <w:tcW w:w="5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检查费</w:t>
            </w:r>
          </w:p>
        </w:tc>
        <w:tc>
          <w:tcPr>
            <w:tcW w:w="52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化验费</w:t>
            </w:r>
          </w:p>
        </w:tc>
        <w:tc>
          <w:tcPr>
            <w:tcW w:w="52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技术劳务费</w:t>
            </w:r>
          </w:p>
        </w:tc>
        <w:tc>
          <w:tcPr>
            <w:tcW w:w="70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医保基金支出（万元）</w:t>
            </w:r>
          </w:p>
        </w:tc>
        <w:tc>
          <w:tcPr>
            <w:tcW w:w="883"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人均医保基金支出（元）</w:t>
            </w:r>
          </w:p>
        </w:tc>
        <w:tc>
          <w:tcPr>
            <w:tcW w:w="849"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次均自</w:t>
            </w:r>
            <w:r>
              <w:rPr>
                <w:rFonts w:hint="eastAsia" w:ascii="方正书宋简体" w:hAnsi="方正书宋简体" w:eastAsia="方正书宋简体" w:cs="方正书宋简体"/>
                <w:b/>
                <w:bCs/>
                <w:sz w:val="20"/>
                <w:szCs w:val="20"/>
                <w:lang w:eastAsia="zh-CN"/>
              </w:rPr>
              <w:t>付</w:t>
            </w:r>
            <w:r>
              <w:rPr>
                <w:rFonts w:hint="default" w:ascii="方正书宋简体" w:hAnsi="方正书宋简体" w:eastAsia="方正书宋简体" w:cs="方正书宋简体"/>
                <w:b/>
                <w:bCs/>
                <w:sz w:val="20"/>
                <w:szCs w:val="20"/>
              </w:rPr>
              <w:t>费用（元）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调价前</w:t>
            </w:r>
          </w:p>
        </w:tc>
        <w:tc>
          <w:tcPr>
            <w:tcW w:w="1058"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52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小计</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调价后</w:t>
            </w: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小计</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调价前后差额</w:t>
            </w: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小计</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调价前后增减幅度</w:t>
            </w: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0" w:hRule="atLeast"/>
        </w:trPr>
        <w:tc>
          <w:tcPr>
            <w:tcW w:w="762"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05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小计</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8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455"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5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7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1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52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70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8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84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p>
      <w:pPr>
        <w:keepNext w:val="0"/>
        <w:keepLines w:val="0"/>
        <w:pageBreakBefore w:val="0"/>
        <w:widowControl w:val="0"/>
        <w:kinsoku/>
        <w:wordWrap/>
        <w:overflowPunct/>
        <w:topLinePunct w:val="0"/>
        <w:autoSpaceDE/>
        <w:autoSpaceDN/>
        <w:bidi w:val="0"/>
        <w:adjustRightInd w:val="0"/>
        <w:snapToGrid w:val="0"/>
        <w:spacing w:line="100" w:lineRule="exact"/>
        <w:ind w:left="0" w:leftChars="0" w:right="0" w:rightChars="0" w:firstLine="0" w:firstLineChars="0"/>
        <w:jc w:val="left"/>
        <w:textAlignment w:val="auto"/>
        <w:rPr>
          <w:rFonts w:hint="default" w:ascii="方正书宋简体" w:hAnsi="方正书宋简体" w:eastAsia="方正书宋简体" w:cs="方正书宋简体"/>
          <w:b/>
          <w:bCs/>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注：</w:t>
      </w:r>
      <w:r>
        <w:rPr>
          <w:rFonts w:hint="default" w:ascii="方正书宋简体" w:hAnsi="方正书宋简体" w:eastAsia="方正书宋简体" w:cs="方正书宋简体"/>
          <w:b w:val="0"/>
          <w:bCs w:val="0"/>
          <w:sz w:val="20"/>
          <w:szCs w:val="20"/>
        </w:rPr>
        <w:t>1、通过人均门诊费用、人均住院费用及其构成等12个指标价格改革前后的变化，对患者医疗费用增减和结构变化情况进行分析，评估价格调整对患者的影响以及价格结构优化的效果。</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00" w:firstLineChars="200"/>
        <w:jc w:val="left"/>
        <w:textAlignment w:val="auto"/>
        <w:rPr>
          <w:rFonts w:hint="default" w:ascii="Times New Roman" w:hAnsi="Times New Roman" w:eastAsia="仿宋_GB2312" w:cs="Times New Roman"/>
          <w:b w:val="0"/>
          <w:bCs w:val="0"/>
          <w:sz w:val="21"/>
          <w:szCs w:val="21"/>
        </w:rPr>
      </w:pPr>
      <w:r>
        <w:rPr>
          <w:rFonts w:hint="default" w:ascii="方正书宋简体" w:hAnsi="方正书宋简体" w:eastAsia="方正书宋简体" w:cs="方正书宋简体"/>
          <w:b w:val="0"/>
          <w:bCs w:val="0"/>
          <w:sz w:val="20"/>
          <w:szCs w:val="20"/>
        </w:rPr>
        <w:t>2、一级公立医疗机构包括基层卫生院及社区卫生服务中心。</w:t>
      </w:r>
    </w:p>
    <w:p>
      <w:pPr>
        <w:keepNext w:val="0"/>
        <w:keepLines w:val="0"/>
        <w:pageBreakBefore w:val="0"/>
        <w:widowControl w:val="0"/>
        <w:kinsoku/>
        <w:wordWrap/>
        <w:overflowPunct/>
        <w:topLinePunct w:val="0"/>
        <w:autoSpaceDE/>
        <w:autoSpaceDN/>
        <w:bidi w:val="0"/>
        <w:adjustRightInd/>
        <w:snapToGrid/>
        <w:spacing w:after="95" w:afterLines="20"/>
        <w:jc w:val="left"/>
        <w:textAlignment w:val="auto"/>
        <w:rPr>
          <w:rFonts w:hint="default" w:ascii="Times New Roman" w:hAnsi="Times New Roman" w:eastAsia="仿宋_GB2312" w:cs="Times New Roman"/>
          <w:b/>
          <w:bCs w:val="0"/>
          <w:sz w:val="32"/>
          <w:szCs w:val="24"/>
        </w:rPr>
      </w:pPr>
      <w:r>
        <w:rPr>
          <w:rFonts w:hint="default" w:ascii="Times New Roman" w:hAnsi="Times New Roman" w:eastAsia="仿宋_GB2312" w:cs="Times New Roman"/>
          <w:b/>
          <w:bCs w:val="0"/>
          <w:sz w:val="32"/>
          <w:szCs w:val="24"/>
        </w:rPr>
        <w:t>1.6 医疗服务价格与定价成本对比情况</w:t>
      </w:r>
      <w:r>
        <w:rPr>
          <w:rFonts w:hint="eastAsia" w:ascii="Times New Roman" w:hAnsi="Times New Roman" w:cs="Times New Roman"/>
          <w:b/>
          <w:bCs/>
          <w:sz w:val="32"/>
          <w:szCs w:val="24"/>
          <w:lang w:eastAsia="zh-CN"/>
        </w:rPr>
        <w:t>表</w:t>
      </w:r>
    </w:p>
    <w:tbl>
      <w:tblPr>
        <w:tblStyle w:val="3"/>
        <w:tblW w:w="137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0"/>
        <w:gridCol w:w="2019"/>
        <w:gridCol w:w="1931"/>
        <w:gridCol w:w="1947"/>
        <w:gridCol w:w="1774"/>
        <w:gridCol w:w="1933"/>
        <w:gridCol w:w="16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项目类别</w:t>
            </w:r>
          </w:p>
        </w:tc>
        <w:tc>
          <w:tcPr>
            <w:tcW w:w="3950"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公立三级医院</w:t>
            </w:r>
          </w:p>
        </w:tc>
        <w:tc>
          <w:tcPr>
            <w:tcW w:w="3721"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公立二级医院</w:t>
            </w:r>
          </w:p>
        </w:tc>
        <w:tc>
          <w:tcPr>
            <w:tcW w:w="3574"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公立一级医院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开展项目数</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差率（%）</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开展项目数</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差率（%）</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开展项目数</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差率（%）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1、诊查类项目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2、护理类项目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3、化验类项目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4、手术类项目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5、大型设备治疗类项目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6、物理及康复治疗类项目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7、中医治疗类项目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8、其他治疗类项目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9、大型设备检查类项目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35" w:hRule="atLeast"/>
        </w:trPr>
        <w:tc>
          <w:tcPr>
            <w:tcW w:w="2540" w:type="dxa"/>
            <w:tcBorders>
              <w:top w:val="nil"/>
              <w:left w:val="single" w:color="auto" w:sz="4" w:space="0"/>
              <w:bottom w:val="nil"/>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10、其他检查类项目</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5" w:hRule="atLeast"/>
        </w:trPr>
        <w:tc>
          <w:tcPr>
            <w:tcW w:w="254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合计</w:t>
            </w:r>
          </w:p>
        </w:tc>
        <w:tc>
          <w:tcPr>
            <w:tcW w:w="2019"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4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7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33"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1"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bl>
    <w:p>
      <w:pPr>
        <w:keepNext w:val="0"/>
        <w:keepLines w:val="0"/>
        <w:pageBreakBefore w:val="0"/>
        <w:widowControl/>
        <w:kinsoku/>
        <w:wordWrap/>
        <w:overflowPunct/>
        <w:topLinePunct w:val="0"/>
        <w:autoSpaceDE/>
        <w:autoSpaceDN/>
        <w:bidi w:val="0"/>
        <w:adjustRightInd/>
        <w:snapToGrid/>
        <w:spacing w:line="10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注：</w:t>
      </w:r>
      <w:r>
        <w:rPr>
          <w:rFonts w:hint="default" w:ascii="方正书宋简体" w:hAnsi="方正书宋简体" w:eastAsia="方正书宋简体" w:cs="方正书宋简体"/>
          <w:b w:val="0"/>
          <w:bCs w:val="0"/>
          <w:sz w:val="20"/>
          <w:szCs w:val="20"/>
        </w:rPr>
        <w:t>1、根据定价成本与价格对比的差率情况遴选需要调价的医疗服务项目和调整幅度，解决医疗服务项目价格是否调和如何调问题。</w:t>
      </w:r>
    </w:p>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400" w:firstLineChars="20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2、一级公立医疗机构包括基层卫生院及社区卫生服务中心。</w:t>
      </w:r>
    </w:p>
    <w:p>
      <w:pPr>
        <w:keepNext w:val="0"/>
        <w:keepLines w:val="0"/>
        <w:pageBreakBefore w:val="0"/>
        <w:widowControl w:val="0"/>
        <w:kinsoku/>
        <w:wordWrap/>
        <w:overflowPunct/>
        <w:topLinePunct w:val="0"/>
        <w:autoSpaceDE/>
        <w:autoSpaceDN/>
        <w:bidi w:val="0"/>
        <w:adjustRightInd/>
        <w:snapToGrid/>
        <w:spacing w:after="95" w:afterLines="20"/>
        <w:jc w:val="left"/>
        <w:textAlignment w:val="auto"/>
        <w:rPr>
          <w:rFonts w:hint="default" w:ascii="Times New Roman" w:hAnsi="Times New Roman" w:eastAsia="仿宋_GB2312" w:cs="Times New Roman"/>
          <w:b/>
          <w:sz w:val="32"/>
          <w:szCs w:val="24"/>
        </w:rPr>
      </w:pPr>
      <w:r>
        <w:rPr>
          <w:rFonts w:hint="default" w:ascii="Times New Roman" w:hAnsi="Times New Roman" w:eastAsia="仿宋_GB2312" w:cs="Times New Roman"/>
          <w:b/>
          <w:sz w:val="32"/>
          <w:szCs w:val="24"/>
        </w:rPr>
        <w:br w:type="page"/>
      </w:r>
      <w:r>
        <w:rPr>
          <w:rFonts w:hint="default" w:ascii="Times New Roman" w:hAnsi="Times New Roman" w:eastAsia="仿宋_GB2312" w:cs="Times New Roman"/>
          <w:b/>
          <w:sz w:val="32"/>
          <w:szCs w:val="24"/>
        </w:rPr>
        <w:t xml:space="preserve">1.7 </w:t>
      </w:r>
      <w:r>
        <w:rPr>
          <w:rFonts w:hint="eastAsia" w:ascii="Times New Roman" w:hAnsi="Times New Roman" w:cs="Times New Roman"/>
          <w:b/>
          <w:sz w:val="32"/>
          <w:szCs w:val="24"/>
          <w:lang w:eastAsia="zh-CN"/>
        </w:rPr>
        <w:t>医疗服务</w:t>
      </w:r>
      <w:r>
        <w:rPr>
          <w:rFonts w:hint="default" w:ascii="Times New Roman" w:hAnsi="Times New Roman" w:eastAsia="仿宋_GB2312" w:cs="Times New Roman"/>
          <w:b/>
          <w:sz w:val="32"/>
          <w:szCs w:val="24"/>
        </w:rPr>
        <w:t>价格调整测算评估表</w:t>
      </w:r>
    </w:p>
    <w:tbl>
      <w:tblPr>
        <w:tblStyle w:val="3"/>
        <w:tblW w:w="13774" w:type="dxa"/>
        <w:tblInd w:w="10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25"/>
        <w:gridCol w:w="1637"/>
        <w:gridCol w:w="1362"/>
        <w:gridCol w:w="1800"/>
        <w:gridCol w:w="1646"/>
        <w:gridCol w:w="1974"/>
        <w:gridCol w:w="1488"/>
        <w:gridCol w:w="13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blHeader/>
        </w:trPr>
        <w:tc>
          <w:tcPr>
            <w:tcW w:w="25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项类</w:t>
            </w:r>
          </w:p>
        </w:tc>
        <w:tc>
          <w:tcPr>
            <w:tcW w:w="1637"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医院</w:t>
            </w:r>
          </w:p>
        </w:tc>
        <w:tc>
          <w:tcPr>
            <w:tcW w:w="3162" w:type="dxa"/>
            <w:gridSpan w:val="2"/>
            <w:tcBorders>
              <w:top w:val="single" w:color="auto" w:sz="4" w:space="0"/>
              <w:left w:val="nil"/>
              <w:bottom w:val="single" w:color="auto" w:sz="4" w:space="0"/>
              <w:right w:val="single" w:color="000000"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项目调价情况</w:t>
            </w:r>
          </w:p>
        </w:tc>
        <w:tc>
          <w:tcPr>
            <w:tcW w:w="1646"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调价前项目收入</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金额（万元）</w:t>
            </w:r>
          </w:p>
        </w:tc>
        <w:tc>
          <w:tcPr>
            <w:tcW w:w="1974" w:type="dxa"/>
            <w:vMerge w:val="restart"/>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调价后项目收入</w:t>
            </w:r>
          </w:p>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金额（万元）</w:t>
            </w:r>
          </w:p>
        </w:tc>
        <w:tc>
          <w:tcPr>
            <w:tcW w:w="2830" w:type="dxa"/>
            <w:gridSpan w:val="2"/>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调价预期完成情况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blHeader/>
        </w:trPr>
        <w:tc>
          <w:tcPr>
            <w:tcW w:w="25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637"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调价项目数</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调价预期（万元）</w:t>
            </w:r>
          </w:p>
        </w:tc>
        <w:tc>
          <w:tcPr>
            <w:tcW w:w="1646"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974" w:type="dxa"/>
            <w:vMerge w:val="continue"/>
            <w:tcBorders>
              <w:top w:val="single" w:color="auto" w:sz="4" w:space="0"/>
              <w:left w:val="single" w:color="auto" w:sz="4" w:space="0"/>
              <w:bottom w:val="single" w:color="000000"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调价前后费用差额（万元）</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调价预期完成情况（%）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1、诊查类项目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2、护理类项目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3、化验类项目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4、手术类项目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5、大型设备治疗类项目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9"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6、物理及康复治疗类项目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7、中医治疗类项目</w:t>
            </w: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single" w:color="auto" w:sz="4" w:space="0"/>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8、其他治疗类项目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bCs/>
                <w:sz w:val="20"/>
                <w:szCs w:val="20"/>
              </w:rPr>
            </w:pPr>
            <w:r>
              <w:rPr>
                <w:rFonts w:hint="default" w:ascii="方正书宋简体" w:hAnsi="方正书宋简体" w:eastAsia="方正书宋简体" w:cs="方正书宋简体"/>
                <w:b/>
                <w:bCs/>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9、大型设备检查类项目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64" w:leftChars="2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10、其他检查类项目</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restart"/>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合计</w:t>
            </w: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三级医院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二级医院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7" w:hRule="atLeast"/>
        </w:trPr>
        <w:tc>
          <w:tcPr>
            <w:tcW w:w="2525" w:type="dxa"/>
            <w:vMerge w:val="continue"/>
            <w:tcBorders>
              <w:top w:val="nil"/>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p>
        </w:tc>
        <w:tc>
          <w:tcPr>
            <w:tcW w:w="1637"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一级医院</w:t>
            </w:r>
          </w:p>
        </w:tc>
        <w:tc>
          <w:tcPr>
            <w:tcW w:w="136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800"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646"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974"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488"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c>
          <w:tcPr>
            <w:tcW w:w="1342" w:type="dxa"/>
            <w:tcBorders>
              <w:top w:val="nil"/>
              <w:left w:val="nil"/>
              <w:bottom w:val="single" w:color="auto" w:sz="4" w:space="0"/>
              <w:right w:val="single" w:color="auto" w:sz="4" w:space="0"/>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leftChars="0" w:right="0" w:rightChars="0" w:firstLine="0" w:firstLineChars="0"/>
              <w:jc w:val="center"/>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val="0"/>
                <w:bCs w:val="0"/>
                <w:sz w:val="20"/>
                <w:szCs w:val="20"/>
              </w:rPr>
              <w:t>　</w:t>
            </w:r>
          </w:p>
        </w:tc>
      </w:tr>
    </w:tbl>
    <w:p>
      <w:pPr>
        <w:keepNext w:val="0"/>
        <w:keepLines w:val="0"/>
        <w:pageBreakBefore w:val="0"/>
        <w:widowControl w:val="0"/>
        <w:kinsoku/>
        <w:wordWrap/>
        <w:overflowPunct w:val="0"/>
        <w:topLinePunct w:val="0"/>
        <w:autoSpaceDE/>
        <w:autoSpaceDN/>
        <w:bidi w:val="0"/>
        <w:adjustRightInd w:val="0"/>
        <w:snapToGrid w:val="0"/>
        <w:spacing w:line="100" w:lineRule="exact"/>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0" w:firstLineChars="0"/>
        <w:jc w:val="left"/>
        <w:textAlignment w:val="auto"/>
        <w:rPr>
          <w:rFonts w:hint="default" w:ascii="方正书宋简体" w:hAnsi="方正书宋简体" w:eastAsia="方正书宋简体" w:cs="方正书宋简体"/>
          <w:b w:val="0"/>
          <w:bCs w:val="0"/>
          <w:sz w:val="20"/>
          <w:szCs w:val="20"/>
        </w:rPr>
      </w:pPr>
      <w:r>
        <w:rPr>
          <w:rFonts w:hint="default" w:ascii="方正书宋简体" w:hAnsi="方正书宋简体" w:eastAsia="方正书宋简体" w:cs="方正书宋简体"/>
          <w:b/>
          <w:bCs/>
          <w:sz w:val="20"/>
          <w:szCs w:val="20"/>
        </w:rPr>
        <w:t>注：</w:t>
      </w:r>
      <w:r>
        <w:rPr>
          <w:rFonts w:hint="default" w:ascii="方正书宋简体" w:hAnsi="方正书宋简体" w:eastAsia="方正书宋简体" w:cs="方正书宋简体"/>
          <w:b w:val="0"/>
          <w:bCs w:val="0"/>
          <w:sz w:val="20"/>
          <w:szCs w:val="20"/>
        </w:rPr>
        <w:t xml:space="preserve">1、通过10类医疗服务价格调整前后的实际变化，对各类价格调整的方向和力度进行评价，检验其是否符合国家降低大型设备检查治疗和检验项目价格，提高体现医生劳务和技术价值类项目价格的方向，实际调整结果是否与价格调整方案相一致，对照其医疗项目定价成本水平评价其价格调整的力度是否合适。   </w:t>
      </w:r>
    </w:p>
    <w:p>
      <w:pPr>
        <w:keepNext w:val="0"/>
        <w:keepLines w:val="0"/>
        <w:pageBreakBefore w:val="0"/>
        <w:widowControl w:val="0"/>
        <w:kinsoku/>
        <w:wordWrap/>
        <w:overflowPunct w:val="0"/>
        <w:topLinePunct w:val="0"/>
        <w:autoSpaceDE/>
        <w:autoSpaceDN/>
        <w:bidi w:val="0"/>
        <w:adjustRightInd w:val="0"/>
        <w:snapToGrid w:val="0"/>
        <w:spacing w:line="240" w:lineRule="auto"/>
        <w:ind w:left="0" w:leftChars="0" w:right="0" w:rightChars="0" w:firstLine="400" w:firstLineChars="200"/>
        <w:jc w:val="left"/>
        <w:textAlignment w:val="auto"/>
      </w:pPr>
      <w:r>
        <w:rPr>
          <w:rFonts w:hint="default" w:ascii="方正书宋简体" w:hAnsi="方正书宋简体" w:eastAsia="方正书宋简体" w:cs="方正书宋简体"/>
          <w:b w:val="0"/>
          <w:bCs w:val="0"/>
          <w:sz w:val="20"/>
          <w:szCs w:val="20"/>
        </w:rPr>
        <w:t>2、一级公立医疗机构包括基层卫生院及社区卫生服务中心。</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0" w:usb1="00000000" w:usb2="00000000" w:usb3="00000000" w:csb0="00000000" w:csb1="00000000"/>
  </w:font>
  <w:font w:name="方正书宋简体">
    <w:altName w:val="宋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7B1073"/>
    <w:rsid w:val="127B107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Office_11.8.2.8721_F1E327BC-269C-435d-A152-05C5408002CA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2021-09-15T08:47:00Z</dcterms:created>
  <dc:creator>官网官微维护员</dc:creator>
  <cp:lastModifiedBy>官网官微维护员</cp:lastModifiedBy>
  <dcterms:modified xsi:type="dcterms:W3CDTF">2021-09-15T08:49:18Z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2052-11.8.2.8721</vt:lpwstr>
  </property>
</Properties>
</file>