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8"/>
          <w:szCs w:val="48"/>
        </w:rPr>
      </w:pPr>
    </w:p>
    <w:p>
      <w:pPr>
        <w:jc w:val="center"/>
        <w:rPr>
          <w:rFonts w:ascii="方正小标宋简体" w:eastAsia="方正小标宋简体"/>
          <w:sz w:val="48"/>
          <w:szCs w:val="48"/>
        </w:rPr>
      </w:pPr>
      <w:r>
        <w:rPr>
          <w:rFonts w:hint="eastAsia" w:ascii="方正小标宋简体" w:eastAsia="方正小标宋简体"/>
          <w:sz w:val="48"/>
          <w:szCs w:val="48"/>
        </w:rPr>
        <w:t>2025</w:t>
      </w:r>
      <w:r>
        <w:rPr>
          <w:rFonts w:ascii="方正小标宋简体" w:eastAsia="方正小标宋简体"/>
          <w:sz w:val="48"/>
          <w:szCs w:val="48"/>
        </w:rPr>
        <w:t>年度益阳市森林公安局整体支出</w:t>
      </w:r>
    </w:p>
    <w:p>
      <w:pPr>
        <w:jc w:val="center"/>
        <w:rPr>
          <w:rFonts w:ascii="方正小标宋简体" w:eastAsia="方正小标宋简体"/>
          <w:sz w:val="48"/>
          <w:szCs w:val="48"/>
        </w:rPr>
      </w:pPr>
      <w:r>
        <w:rPr>
          <w:rFonts w:ascii="方正小标宋简体" w:eastAsia="方正小标宋简体"/>
          <w:sz w:val="48"/>
          <w:szCs w:val="48"/>
        </w:rPr>
        <w:t>绩效自评报告</w:t>
      </w: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jc w:val="center"/>
        <w:rPr>
          <w:rFonts w:eastAsia="黑体"/>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rPr>
          <w:rFonts w:eastAsia="黑体"/>
          <w:sz w:val="36"/>
          <w:szCs w:val="36"/>
        </w:rPr>
      </w:pPr>
    </w:p>
    <w:p>
      <w:pPr>
        <w:ind w:firstLine="720" w:firstLineChars="200"/>
        <w:rPr>
          <w:rFonts w:eastAsia="黑体"/>
          <w:sz w:val="36"/>
          <w:szCs w:val="36"/>
        </w:rPr>
      </w:pPr>
    </w:p>
    <w:p>
      <w:pPr>
        <w:ind w:firstLine="720" w:firstLineChars="200"/>
        <w:rPr>
          <w:rFonts w:eastAsia="黑体"/>
          <w:sz w:val="36"/>
          <w:szCs w:val="36"/>
        </w:rPr>
      </w:pPr>
      <w:r>
        <w:rPr>
          <w:rFonts w:hint="eastAsia" w:eastAsia="黑体"/>
          <w:sz w:val="36"/>
          <w:szCs w:val="36"/>
        </w:rPr>
        <w:t>部门（</w:t>
      </w:r>
      <w:r>
        <w:rPr>
          <w:rFonts w:eastAsia="黑体"/>
          <w:sz w:val="36"/>
          <w:szCs w:val="36"/>
        </w:rPr>
        <w:t>单位</w:t>
      </w:r>
      <w:r>
        <w:rPr>
          <w:rFonts w:hint="eastAsia" w:eastAsia="黑体"/>
          <w:sz w:val="36"/>
          <w:szCs w:val="36"/>
        </w:rPr>
        <w:t>）</w:t>
      </w:r>
      <w:r>
        <w:rPr>
          <w:rFonts w:eastAsia="黑体"/>
          <w:sz w:val="36"/>
          <w:szCs w:val="36"/>
        </w:rPr>
        <w:t>名称：</w:t>
      </w:r>
      <w:r>
        <w:rPr>
          <w:rFonts w:hint="eastAsia" w:eastAsia="黑体"/>
          <w:sz w:val="36"/>
          <w:szCs w:val="36"/>
        </w:rPr>
        <w:t xml:space="preserve"> </w:t>
      </w:r>
      <w:r>
        <w:rPr>
          <w:rFonts w:eastAsia="黑体"/>
          <w:sz w:val="36"/>
          <w:szCs w:val="36"/>
          <w:u w:val="single"/>
        </w:rPr>
        <w:t>益阳市森林公安局（盖章）</w:t>
      </w:r>
      <w:r>
        <w:rPr>
          <w:rFonts w:hint="eastAsia" w:eastAsia="黑体"/>
          <w:sz w:val="36"/>
          <w:szCs w:val="36"/>
          <w:u w:val="single"/>
        </w:rPr>
        <w:t xml:space="preserve">       </w:t>
      </w:r>
    </w:p>
    <w:p>
      <w:pPr>
        <w:jc w:val="center"/>
        <w:rPr>
          <w:rFonts w:eastAsia="黑体"/>
          <w:sz w:val="36"/>
          <w:szCs w:val="36"/>
        </w:rPr>
      </w:pPr>
      <w:r>
        <w:rPr>
          <w:rFonts w:eastAsia="黑体"/>
          <w:sz w:val="36"/>
          <w:szCs w:val="36"/>
        </w:rPr>
        <w:t xml:space="preserve"> 202</w:t>
      </w:r>
      <w:r>
        <w:rPr>
          <w:rFonts w:hint="eastAsia" w:eastAsia="黑体"/>
          <w:sz w:val="36"/>
          <w:szCs w:val="36"/>
        </w:rPr>
        <w:t>6</w:t>
      </w:r>
      <w:r>
        <w:rPr>
          <w:rFonts w:eastAsia="黑体"/>
          <w:sz w:val="36"/>
          <w:szCs w:val="36"/>
        </w:rPr>
        <w:t xml:space="preserve"> </w:t>
      </w:r>
      <w:r>
        <w:rPr>
          <w:rFonts w:hint="eastAsia" w:eastAsia="黑体"/>
          <w:sz w:val="36"/>
          <w:szCs w:val="36"/>
        </w:rPr>
        <w:t>年 4 月 9 日</w:t>
      </w:r>
    </w:p>
    <w:p>
      <w:pPr>
        <w:jc w:val="center"/>
        <w:rPr>
          <w:rFonts w:eastAsia="黑体"/>
          <w:szCs w:val="32"/>
        </w:rPr>
      </w:pPr>
    </w:p>
    <w:p>
      <w:pPr>
        <w:jc w:val="center"/>
        <w:rPr>
          <w:rFonts w:eastAsia="黑体"/>
          <w:szCs w:val="32"/>
        </w:rPr>
      </w:pPr>
    </w:p>
    <w:p>
      <w:pPr>
        <w:jc w:val="center"/>
        <w:rPr>
          <w:rFonts w:eastAsia="黑体"/>
          <w:szCs w:val="32"/>
        </w:rPr>
      </w:pPr>
    </w:p>
    <w:p>
      <w:pPr>
        <w:rPr>
          <w:szCs w:val="32"/>
        </w:rPr>
      </w:pPr>
    </w:p>
    <w:p>
      <w:pPr>
        <w:pStyle w:val="2"/>
      </w:pPr>
    </w:p>
    <w:p>
      <w:pPr>
        <w:spacing w:line="700" w:lineRule="exact"/>
        <w:jc w:val="center"/>
        <w:rPr>
          <w:rFonts w:ascii="方正小标宋简体" w:eastAsia="方正小标宋简体"/>
          <w:sz w:val="44"/>
          <w:szCs w:val="44"/>
        </w:rPr>
      </w:pPr>
      <w:r>
        <w:rPr>
          <w:rFonts w:hint="eastAsia" w:ascii="方正小标宋简体" w:eastAsia="方正小标宋简体"/>
          <w:sz w:val="44"/>
          <w:szCs w:val="44"/>
        </w:rPr>
        <w:t>2025年度</w:t>
      </w:r>
      <w:r>
        <w:rPr>
          <w:rFonts w:ascii="方正小标宋简体" w:eastAsia="方正小标宋简体"/>
          <w:sz w:val="44"/>
          <w:szCs w:val="44"/>
        </w:rPr>
        <w:t>益阳市森林公安局</w:t>
      </w:r>
      <w:r>
        <w:rPr>
          <w:rFonts w:hint="eastAsia" w:ascii="方正小标宋简体" w:eastAsia="方正小标宋简体"/>
          <w:sz w:val="44"/>
          <w:szCs w:val="44"/>
        </w:rPr>
        <w:t>整体支出</w:t>
      </w:r>
    </w:p>
    <w:p>
      <w:pPr>
        <w:spacing w:line="700" w:lineRule="exact"/>
        <w:jc w:val="center"/>
        <w:rPr>
          <w:rFonts w:ascii="方正小标宋简体" w:eastAsia="方正小标宋简体"/>
          <w:sz w:val="44"/>
          <w:szCs w:val="44"/>
        </w:rPr>
      </w:pPr>
      <w:r>
        <w:rPr>
          <w:rFonts w:hint="eastAsia" w:ascii="方正小标宋简体" w:eastAsia="方正小标宋简体"/>
          <w:sz w:val="44"/>
          <w:szCs w:val="44"/>
        </w:rPr>
        <w:t>绩效自评报告</w:t>
      </w:r>
    </w:p>
    <w:p>
      <w:pPr>
        <w:spacing w:line="600" w:lineRule="exact"/>
        <w:ind w:firstLine="640" w:firstLineChars="200"/>
        <w:rPr>
          <w:rFonts w:eastAsia="黑体"/>
          <w:szCs w:val="32"/>
        </w:rPr>
      </w:pPr>
    </w:p>
    <w:p>
      <w:pPr>
        <w:spacing w:line="600" w:lineRule="exact"/>
        <w:ind w:left="640"/>
        <w:rPr>
          <w:rFonts w:ascii="黑体" w:eastAsia="黑体"/>
          <w:szCs w:val="32"/>
        </w:rPr>
      </w:pPr>
      <w:r>
        <w:rPr>
          <w:rFonts w:hint="eastAsia" w:ascii="黑体" w:eastAsia="黑体"/>
          <w:szCs w:val="32"/>
        </w:rPr>
        <w:t>一、部门（单位）基本情况</w:t>
      </w:r>
    </w:p>
    <w:p>
      <w:pPr>
        <w:snapToGrid w:val="0"/>
        <w:spacing w:line="600" w:lineRule="exact"/>
        <w:ind w:firstLine="640" w:firstLineChars="200"/>
        <w:rPr>
          <w:rFonts w:hint="eastAsia" w:ascii="仿宋" w:eastAsia="仿宋"/>
          <w:szCs w:val="32"/>
        </w:rPr>
      </w:pPr>
      <w:r>
        <w:rPr>
          <w:rFonts w:hint="eastAsia" w:ascii="仿宋" w:eastAsia="仿宋"/>
          <w:szCs w:val="32"/>
        </w:rPr>
        <w:t>1．主要职能。承担森林和草原防灭火工作，负责火场警戒、交通疏导、治安维护、火案侦破等，查处森林和草原领域其他违法犯罪行为，协同林草部门开展防火宣传、火灾隐患排查、重点区域巡护、违规用火处罚等工作。承担掌握生态环境、生物安全等领域犯罪动态，拟定预防打击对策，组织开展对生态环境、生物安全等领域犯罪案件侦查。</w:t>
      </w:r>
    </w:p>
    <w:p>
      <w:pPr>
        <w:snapToGrid w:val="0"/>
        <w:spacing w:line="600" w:lineRule="exact"/>
        <w:ind w:firstLine="640" w:firstLineChars="200"/>
        <w:rPr>
          <w:rFonts w:ascii="仿宋" w:eastAsia="仿宋"/>
          <w:szCs w:val="32"/>
        </w:rPr>
      </w:pPr>
      <w:r>
        <w:rPr>
          <w:rFonts w:hint="eastAsia" w:ascii="仿宋" w:eastAsia="仿宋"/>
          <w:szCs w:val="32"/>
        </w:rPr>
        <w:t>2．机构情况</w:t>
      </w:r>
      <w:r>
        <w:rPr>
          <w:rFonts w:hint="eastAsia" w:ascii="仿宋" w:eastAsia="仿宋"/>
          <w:szCs w:val="32"/>
          <w:lang w:eastAsia="zh-CN"/>
        </w:rPr>
        <w:t>：</w:t>
      </w:r>
      <w:r>
        <w:rPr>
          <w:rFonts w:hint="eastAsia" w:ascii="仿宋" w:eastAsia="仿宋"/>
          <w:szCs w:val="32"/>
        </w:rPr>
        <w:t>内设科室</w:t>
      </w:r>
      <w:r>
        <w:rPr>
          <w:rFonts w:hint="eastAsia" w:ascii="仿宋" w:eastAsia="仿宋"/>
          <w:szCs w:val="32"/>
          <w:lang w:val="en-US" w:eastAsia="zh-CN"/>
        </w:rPr>
        <w:t>4个：综合管理大队、环境资源犯罪侦查大队、野生动物资源犯罪侦查大队、森林资源犯罪侦查大队</w:t>
      </w:r>
      <w:r>
        <w:rPr>
          <w:rFonts w:hint="eastAsia" w:ascii="仿宋" w:eastAsia="仿宋"/>
          <w:szCs w:val="32"/>
        </w:rPr>
        <w:t>。</w:t>
      </w:r>
    </w:p>
    <w:p>
      <w:pPr>
        <w:snapToGrid w:val="0"/>
        <w:spacing w:line="600" w:lineRule="exact"/>
        <w:ind w:firstLine="640" w:firstLineChars="200"/>
        <w:rPr>
          <w:rFonts w:ascii="仿宋" w:eastAsia="仿宋"/>
          <w:szCs w:val="32"/>
        </w:rPr>
      </w:pPr>
      <w:r>
        <w:rPr>
          <w:rFonts w:hint="eastAsia" w:ascii="仿宋" w:eastAsia="仿宋"/>
          <w:szCs w:val="32"/>
        </w:rPr>
        <w:t>3．人员情况</w:t>
      </w:r>
      <w:r>
        <w:rPr>
          <w:rFonts w:hint="eastAsia" w:ascii="仿宋" w:eastAsia="仿宋"/>
          <w:szCs w:val="32"/>
          <w:lang w:eastAsia="zh-CN"/>
        </w:rPr>
        <w:t>：</w:t>
      </w:r>
      <w:r>
        <w:rPr>
          <w:rFonts w:hint="eastAsia" w:ascii="仿宋" w:eastAsia="仿宋"/>
          <w:szCs w:val="32"/>
        </w:rPr>
        <w:t>单位编制24人。</w:t>
      </w:r>
    </w:p>
    <w:p>
      <w:pPr>
        <w:pStyle w:val="10"/>
        <w:spacing w:line="600" w:lineRule="exact"/>
        <w:ind w:firstLine="640"/>
        <w:rPr>
          <w:rFonts w:ascii="黑体" w:eastAsia="黑体"/>
          <w:szCs w:val="32"/>
        </w:rPr>
      </w:pPr>
      <w:r>
        <w:rPr>
          <w:rFonts w:hint="eastAsia" w:ascii="黑体" w:eastAsia="黑体"/>
          <w:szCs w:val="32"/>
        </w:rPr>
        <w:t>二、一般公共预算支出情况</w:t>
      </w:r>
    </w:p>
    <w:p>
      <w:pPr>
        <w:snapToGrid w:val="0"/>
        <w:spacing w:line="600" w:lineRule="exact"/>
        <w:ind w:firstLine="640" w:firstLineChars="200"/>
        <w:rPr>
          <w:rFonts w:ascii="仿宋" w:eastAsia="仿宋"/>
          <w:szCs w:val="32"/>
        </w:rPr>
      </w:pPr>
      <w:r>
        <w:rPr>
          <w:rFonts w:hint="eastAsia" w:ascii="仿宋" w:eastAsia="仿宋"/>
          <w:szCs w:val="32"/>
        </w:rPr>
        <w:t>本年度单位一般公共预算资金收入796.15万元，其中基本支出</w:t>
      </w:r>
      <w:r>
        <w:rPr>
          <w:rFonts w:hint="eastAsia" w:ascii="仿宋_GB2312"/>
          <w:szCs w:val="32"/>
        </w:rPr>
        <w:t>640.47</w:t>
      </w:r>
      <w:r>
        <w:rPr>
          <w:rFonts w:hint="eastAsia" w:ascii="仿宋" w:eastAsia="仿宋"/>
          <w:szCs w:val="32"/>
        </w:rPr>
        <w:t>万元，项目支出</w:t>
      </w:r>
      <w:r>
        <w:rPr>
          <w:rFonts w:hint="eastAsia" w:ascii="仿宋_GB2312"/>
          <w:szCs w:val="32"/>
        </w:rPr>
        <w:t>155.68</w:t>
      </w:r>
      <w:r>
        <w:rPr>
          <w:rFonts w:hint="eastAsia" w:ascii="仿宋" w:eastAsia="仿宋"/>
          <w:szCs w:val="32"/>
        </w:rPr>
        <w:t>万元。</w:t>
      </w:r>
    </w:p>
    <w:p>
      <w:pPr>
        <w:snapToGrid w:val="0"/>
        <w:spacing w:line="600" w:lineRule="exact"/>
        <w:ind w:firstLine="640" w:firstLineChars="200"/>
        <w:rPr>
          <w:rFonts w:ascii="仿宋" w:eastAsia="仿宋"/>
          <w:szCs w:val="32"/>
        </w:rPr>
      </w:pPr>
      <w:r>
        <w:rPr>
          <w:rFonts w:ascii="仿宋" w:eastAsia="仿宋"/>
          <w:szCs w:val="32"/>
        </w:rPr>
        <w:t>1、</w:t>
      </w:r>
      <w:r>
        <w:rPr>
          <w:rFonts w:hint="eastAsia" w:ascii="仿宋" w:eastAsia="仿宋"/>
          <w:b/>
          <w:szCs w:val="32"/>
        </w:rPr>
        <w:t>基本支出情况</w:t>
      </w:r>
    </w:p>
    <w:p>
      <w:pPr>
        <w:autoSpaceDE w:val="0"/>
        <w:autoSpaceDN w:val="0"/>
        <w:adjustRightInd w:val="0"/>
        <w:spacing w:line="600" w:lineRule="exact"/>
        <w:ind w:firstLine="640"/>
        <w:rPr>
          <w:rFonts w:ascii="仿宋" w:eastAsia="仿宋" w:cs="仿宋"/>
          <w:szCs w:val="32"/>
        </w:rPr>
      </w:pPr>
      <w:r>
        <w:rPr>
          <w:rFonts w:hint="eastAsia" w:ascii="仿宋" w:eastAsia="仿宋" w:cs="仿宋"/>
          <w:szCs w:val="32"/>
        </w:rPr>
        <w:t>202</w:t>
      </w:r>
      <w:r>
        <w:rPr>
          <w:rFonts w:hint="eastAsia" w:ascii="仿宋" w:eastAsia="仿宋" w:cs="仿宋"/>
          <w:szCs w:val="32"/>
          <w:lang w:val="en-US" w:eastAsia="zh-CN"/>
        </w:rPr>
        <w:t>5</w:t>
      </w:r>
      <w:r>
        <w:rPr>
          <w:rFonts w:hint="eastAsia" w:ascii="仿宋" w:eastAsia="仿宋" w:cs="仿宋"/>
          <w:szCs w:val="32"/>
        </w:rPr>
        <w:t>年，基本支出586.33万元，其中工资福利支出485.8万元，占82.85%；商品服务支出63.54万元，占10.84%；对个人和家庭补助支出36.4万元，占6.2%，资本性支出0.6万元，占0.11%。</w:t>
      </w:r>
    </w:p>
    <w:p>
      <w:pPr>
        <w:autoSpaceDE w:val="0"/>
        <w:autoSpaceDN w:val="0"/>
        <w:adjustRightInd w:val="0"/>
        <w:spacing w:line="600" w:lineRule="exact"/>
        <w:ind w:firstLine="640"/>
        <w:rPr>
          <w:rFonts w:ascii="仿宋" w:eastAsia="仿宋"/>
          <w:szCs w:val="32"/>
          <w:lang w:val="zh-CN"/>
        </w:rPr>
      </w:pPr>
      <w:r>
        <w:rPr>
          <w:rFonts w:hint="eastAsia" w:ascii="仿宋" w:eastAsia="仿宋" w:cs="仿宋"/>
          <w:szCs w:val="32"/>
        </w:rPr>
        <w:t>全年</w:t>
      </w:r>
      <w:r>
        <w:rPr>
          <w:rFonts w:hint="eastAsia" w:ascii="仿宋" w:eastAsia="仿宋"/>
          <w:szCs w:val="32"/>
        </w:rPr>
        <w:t>“</w:t>
      </w:r>
      <w:r>
        <w:rPr>
          <w:rFonts w:hint="eastAsia" w:ascii="仿宋" w:eastAsia="仿宋" w:cs="仿宋"/>
          <w:szCs w:val="32"/>
        </w:rPr>
        <w:t>三公</w:t>
      </w:r>
      <w:r>
        <w:rPr>
          <w:rFonts w:hint="eastAsia" w:ascii="仿宋" w:eastAsia="仿宋"/>
          <w:szCs w:val="32"/>
        </w:rPr>
        <w:t>”</w:t>
      </w:r>
      <w:r>
        <w:rPr>
          <w:rFonts w:hint="eastAsia" w:ascii="仿宋" w:eastAsia="仿宋" w:cs="仿宋"/>
          <w:szCs w:val="32"/>
        </w:rPr>
        <w:t>经费完成5.77万元，比上年减少了14.08万元，减少了71%，变化的主要原因是：严格执行过紧日子要求，大幅压减三公经费</w:t>
      </w:r>
      <w:r>
        <w:rPr>
          <w:rFonts w:hint="eastAsia" w:ascii="仿宋" w:eastAsia="仿宋" w:cs="仿宋"/>
          <w:szCs w:val="32"/>
          <w:lang w:val="zh-CN"/>
        </w:rPr>
        <w:t>。</w:t>
      </w:r>
      <w:r>
        <w:rPr>
          <w:rFonts w:hint="eastAsia" w:ascii="仿宋" w:eastAsia="仿宋" w:cs="仿宋"/>
          <w:bCs/>
          <w:szCs w:val="32"/>
          <w:lang w:val="zh-CN"/>
        </w:rPr>
        <w:t>公务接待费</w:t>
      </w:r>
      <w:r>
        <w:rPr>
          <w:rFonts w:hint="eastAsia" w:ascii="仿宋" w:eastAsia="仿宋" w:cs="仿宋"/>
          <w:szCs w:val="32"/>
        </w:rPr>
        <w:t>完成0.44万元，比上年减少了2.39万元，减少了84.5%，增减变化的主要原因是：本年度按规定压缩了公务接待费</w:t>
      </w:r>
      <w:r>
        <w:rPr>
          <w:rFonts w:hint="eastAsia" w:ascii="仿宋" w:eastAsia="仿宋" w:cs="仿宋"/>
          <w:szCs w:val="32"/>
          <w:lang w:val="zh-CN"/>
        </w:rPr>
        <w:t>；</w:t>
      </w:r>
      <w:r>
        <w:rPr>
          <w:rFonts w:hint="eastAsia" w:ascii="仿宋" w:eastAsia="仿宋" w:cs="仿宋"/>
          <w:bCs/>
          <w:szCs w:val="32"/>
          <w:lang w:val="zh-CN"/>
        </w:rPr>
        <w:t>公务用车购置及运行维护费</w:t>
      </w:r>
      <w:r>
        <w:rPr>
          <w:rFonts w:hint="eastAsia" w:ascii="仿宋" w:eastAsia="仿宋" w:cs="仿宋"/>
          <w:szCs w:val="32"/>
        </w:rPr>
        <w:t>完成5.33万元，比上年减少了11.93万元，减少了71%，变化的主要原因是：一是上年度油卡余额较大。二是公车维修维护费用减少。</w:t>
      </w:r>
    </w:p>
    <w:p>
      <w:pPr>
        <w:pStyle w:val="10"/>
        <w:spacing w:line="600" w:lineRule="exact"/>
        <w:ind w:firstLine="643"/>
        <w:rPr>
          <w:rFonts w:ascii="仿宋" w:eastAsia="仿宋"/>
          <w:b/>
          <w:szCs w:val="32"/>
        </w:rPr>
      </w:pPr>
      <w:r>
        <w:rPr>
          <w:rFonts w:ascii="仿宋" w:eastAsia="仿宋"/>
          <w:b/>
          <w:szCs w:val="32"/>
        </w:rPr>
        <w:t>2、</w:t>
      </w:r>
      <w:r>
        <w:rPr>
          <w:rFonts w:hint="eastAsia" w:ascii="仿宋" w:eastAsia="仿宋"/>
          <w:b/>
          <w:szCs w:val="32"/>
        </w:rPr>
        <w:t>项目支出情况</w:t>
      </w:r>
    </w:p>
    <w:p>
      <w:pPr>
        <w:pStyle w:val="7"/>
        <w:spacing w:line="600" w:lineRule="exact"/>
        <w:ind w:left="0" w:firstLine="640" w:firstLineChars="200"/>
        <w:rPr>
          <w:rFonts w:ascii="仿宋" w:eastAsia="仿宋" w:cs="仿宋"/>
        </w:rPr>
      </w:pPr>
      <w:r>
        <w:rPr>
          <w:rFonts w:hint="eastAsia" w:ascii="仿宋" w:eastAsia="仿宋"/>
        </w:rPr>
        <w:t>2025年，项目支出共155.68万元，其中</w:t>
      </w:r>
      <w:r>
        <w:rPr>
          <w:rFonts w:hint="eastAsia" w:ascii="仿宋" w:eastAsia="仿宋" w:cs="Arial"/>
        </w:rPr>
        <w:t>年初</w:t>
      </w:r>
      <w:r>
        <w:rPr>
          <w:rFonts w:hint="eastAsia" w:ascii="仿宋" w:eastAsia="仿宋" w:cs="仿宋"/>
          <w:szCs w:val="32"/>
        </w:rPr>
        <w:t>-</w:t>
      </w:r>
      <w:r>
        <w:rPr>
          <w:rFonts w:hint="eastAsia" w:ascii="仿宋" w:eastAsia="仿宋" w:cs="Arial"/>
        </w:rPr>
        <w:t>非税成本支出专项9.89万元；中央和省级转移支付资金145.79万元。</w:t>
      </w:r>
    </w:p>
    <w:p>
      <w:pPr>
        <w:pStyle w:val="10"/>
        <w:spacing w:line="600" w:lineRule="exact"/>
        <w:ind w:firstLine="640"/>
        <w:rPr>
          <w:rFonts w:ascii="黑体" w:eastAsia="黑体"/>
          <w:szCs w:val="32"/>
        </w:rPr>
      </w:pPr>
      <w:r>
        <w:rPr>
          <w:rFonts w:hint="eastAsia" w:ascii="黑体" w:eastAsia="黑体"/>
          <w:szCs w:val="32"/>
        </w:rPr>
        <w:t>三、政府性基金预算支出情况</w:t>
      </w:r>
    </w:p>
    <w:p>
      <w:pPr>
        <w:pStyle w:val="7"/>
        <w:spacing w:line="600" w:lineRule="exact"/>
        <w:ind w:left="0" w:firstLine="640" w:firstLineChars="200"/>
        <w:rPr>
          <w:rFonts w:ascii="仿宋" w:eastAsia="仿宋"/>
        </w:rPr>
      </w:pPr>
      <w:r>
        <w:rPr>
          <w:rFonts w:hint="eastAsia" w:ascii="仿宋" w:eastAsia="仿宋"/>
        </w:rPr>
        <w:t>无</w:t>
      </w:r>
    </w:p>
    <w:p>
      <w:pPr>
        <w:pStyle w:val="10"/>
        <w:spacing w:line="600" w:lineRule="exact"/>
        <w:ind w:firstLine="640"/>
        <w:rPr>
          <w:rFonts w:ascii="黑体" w:eastAsia="黑体"/>
          <w:szCs w:val="32"/>
        </w:rPr>
      </w:pPr>
      <w:r>
        <w:rPr>
          <w:rFonts w:hint="eastAsia" w:ascii="黑体" w:eastAsia="黑体"/>
          <w:szCs w:val="32"/>
        </w:rPr>
        <w:t>四、国有资本经营预算支出情况</w:t>
      </w:r>
    </w:p>
    <w:p>
      <w:pPr>
        <w:pStyle w:val="7"/>
        <w:spacing w:line="600" w:lineRule="exact"/>
        <w:ind w:left="0" w:firstLine="640" w:firstLineChars="200"/>
        <w:rPr>
          <w:rFonts w:ascii="仿宋" w:eastAsia="仿宋"/>
        </w:rPr>
      </w:pPr>
      <w:r>
        <w:rPr>
          <w:rFonts w:hint="eastAsia" w:ascii="仿宋" w:eastAsia="仿宋"/>
        </w:rPr>
        <w:t>无</w:t>
      </w:r>
    </w:p>
    <w:p>
      <w:pPr>
        <w:pStyle w:val="10"/>
        <w:spacing w:line="600" w:lineRule="exact"/>
        <w:ind w:firstLine="643"/>
        <w:rPr>
          <w:rFonts w:ascii="黑体" w:eastAsia="黑体"/>
          <w:b/>
          <w:bCs/>
          <w:szCs w:val="32"/>
        </w:rPr>
      </w:pPr>
      <w:r>
        <w:rPr>
          <w:rFonts w:hint="eastAsia" w:ascii="黑体" w:eastAsia="黑体"/>
          <w:b/>
          <w:bCs/>
          <w:szCs w:val="32"/>
        </w:rPr>
        <w:t>五、社会保险基金预算支出情况</w:t>
      </w:r>
    </w:p>
    <w:p>
      <w:pPr>
        <w:pStyle w:val="7"/>
        <w:spacing w:line="600" w:lineRule="exact"/>
        <w:ind w:left="0" w:firstLine="640" w:firstLineChars="200"/>
        <w:rPr>
          <w:rFonts w:ascii="仿宋" w:eastAsia="仿宋"/>
        </w:rPr>
      </w:pPr>
      <w:r>
        <w:rPr>
          <w:rFonts w:hint="eastAsia" w:ascii="仿宋" w:eastAsia="仿宋"/>
        </w:rPr>
        <w:t>无</w:t>
      </w:r>
    </w:p>
    <w:p>
      <w:pPr>
        <w:spacing w:line="600" w:lineRule="exact"/>
        <w:ind w:firstLine="643" w:firstLineChars="200"/>
        <w:rPr>
          <w:rFonts w:ascii="黑体" w:eastAsia="黑体"/>
          <w:b/>
          <w:bCs/>
          <w:szCs w:val="32"/>
        </w:rPr>
      </w:pPr>
      <w:r>
        <w:rPr>
          <w:rFonts w:hint="eastAsia" w:ascii="黑体" w:eastAsia="黑体"/>
          <w:b/>
          <w:bCs/>
          <w:szCs w:val="32"/>
        </w:rPr>
        <w:t>六、部门整体支出绩效情况</w:t>
      </w:r>
    </w:p>
    <w:p>
      <w:pPr>
        <w:spacing w:line="600" w:lineRule="exact"/>
        <w:ind w:firstLine="640" w:firstLineChars="200"/>
        <w:rPr>
          <w:rFonts w:ascii="仿宋" w:hAnsi="仿宋" w:eastAsia="仿宋" w:cs="仿宋_GB2312"/>
          <w:szCs w:val="32"/>
        </w:rPr>
      </w:pPr>
      <w:r>
        <w:rPr>
          <w:rFonts w:hint="eastAsia" w:ascii="仿宋" w:hAnsi="仿宋" w:eastAsia="仿宋" w:cs="仿宋_GB2312"/>
          <w:szCs w:val="32"/>
        </w:rPr>
        <w:t>202</w:t>
      </w:r>
      <w:r>
        <w:rPr>
          <w:rFonts w:hint="eastAsia" w:ascii="仿宋" w:hAnsi="仿宋" w:eastAsia="仿宋" w:cs="仿宋_GB2312"/>
          <w:szCs w:val="32"/>
          <w:lang w:val="en-US" w:eastAsia="zh-CN"/>
        </w:rPr>
        <w:t>5</w:t>
      </w:r>
      <w:r>
        <w:rPr>
          <w:rFonts w:hint="eastAsia" w:ascii="仿宋" w:hAnsi="仿宋" w:eastAsia="仿宋" w:cs="仿宋_GB2312"/>
          <w:szCs w:val="32"/>
        </w:rPr>
        <w:t>年，益阳市森林公安局坚持人民至上和生态优先理念，</w:t>
      </w:r>
      <w:bookmarkStart w:id="0" w:name="_GoBack"/>
      <w:bookmarkEnd w:id="0"/>
      <w:r>
        <w:rPr>
          <w:rFonts w:hint="eastAsia" w:ascii="仿宋" w:hAnsi="仿宋" w:eastAsia="仿宋" w:cs="仿宋_GB2312"/>
          <w:szCs w:val="32"/>
        </w:rPr>
        <w:t>全力以赴推进 “守护银城”专项行动、打击破坏生态环境犯罪“生态三湘202</w:t>
      </w:r>
      <w:r>
        <w:rPr>
          <w:rFonts w:hint="eastAsia" w:ascii="仿宋" w:hAnsi="仿宋" w:eastAsia="仿宋" w:cs="仿宋_GB2312"/>
          <w:szCs w:val="32"/>
          <w:lang w:val="en-US" w:eastAsia="zh-CN"/>
        </w:rPr>
        <w:t>5</w:t>
      </w:r>
      <w:r>
        <w:rPr>
          <w:rFonts w:hint="eastAsia" w:ascii="仿宋" w:hAnsi="仿宋" w:eastAsia="仿宋" w:cs="仿宋_GB2312"/>
          <w:szCs w:val="32"/>
        </w:rPr>
        <w:t>”专项行动、全市公安机关夏季治安打击整治行动，围绕守护益山益水这一目标，紧密结合自身实际，积极锤炼业务能力，取得了较好的工作成绩。</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2025年，益阳市森林公安局深入贯彻落实习近平总书记生态文明思想，全面推进生态警务建设，坚持“严打开路、规范为本”，严厉打击生态环境资源领域违法犯罪行为，持续提升执法质效。深化与农业农村、林业等部门协作，健全信息共享、联合执法等机制，联动清查农贸市场23个，重点餐馆58家、整治资江水域安全隐患9次。多措并举严防森林火灾发生，全市森林火情大幅减少。为</w:t>
      </w:r>
      <w:r>
        <w:rPr>
          <w:rFonts w:hint="eastAsia" w:ascii="仿宋" w:hAnsi="仿宋" w:eastAsia="仿宋" w:cs="仿宋"/>
          <w:sz w:val="32"/>
          <w:szCs w:val="32"/>
        </w:rPr>
        <w:t>开展防火宣传、重点区域巡护、隐患排查、违规用火处罚等“四协同”工作，全市公安机关共</w:t>
      </w:r>
      <w:r>
        <w:rPr>
          <w:rFonts w:hint="eastAsia" w:ascii="仿宋" w:hAnsi="仿宋" w:eastAsia="仿宋"/>
          <w:sz w:val="32"/>
          <w:szCs w:val="32"/>
        </w:rPr>
        <w:t>投入警力1345人次，出动车辆622台次，开展防火宣传932次，排查火灾隐患144处，重点区域巡护422处，制止违规用火47起。其中市森林公安局防火宣传投入警力98人次，排查火灾隐患18处，重点区域巡护56处，下发警示案例宣传资料5500份、发送手机短信50万条。</w:t>
      </w:r>
      <w:r>
        <w:rPr>
          <w:rFonts w:hint="eastAsia" w:ascii="仿宋" w:hAnsi="仿宋" w:eastAsia="仿宋" w:cs="仿宋_GB2312"/>
          <w:sz w:val="32"/>
          <w:szCs w:val="32"/>
        </w:rPr>
        <w:t>同时进一步完善森林火灾案件快速响应机制。圆满完成了年初确定的各项工作任务，有力地守护好了益阳的绿水青山。</w:t>
      </w:r>
    </w:p>
    <w:p>
      <w:pPr>
        <w:snapToGrid w:val="0"/>
        <w:spacing w:line="600" w:lineRule="exact"/>
        <w:ind w:firstLine="640" w:firstLineChars="200"/>
        <w:rPr>
          <w:rFonts w:ascii="仿宋" w:eastAsia="仿宋"/>
          <w:szCs w:val="32"/>
        </w:rPr>
      </w:pPr>
      <w:r>
        <w:rPr>
          <w:rFonts w:hint="eastAsia" w:ascii="仿宋" w:eastAsia="仿宋"/>
          <w:szCs w:val="32"/>
        </w:rPr>
        <w:t>经自评，市森林公安局20</w:t>
      </w:r>
      <w:r>
        <w:rPr>
          <w:rFonts w:ascii="仿宋" w:eastAsia="仿宋"/>
          <w:szCs w:val="32"/>
        </w:rPr>
        <w:t>2</w:t>
      </w:r>
      <w:r>
        <w:rPr>
          <w:rFonts w:hint="eastAsia" w:ascii="仿宋" w:eastAsia="仿宋"/>
          <w:szCs w:val="32"/>
        </w:rPr>
        <w:t>5年整体支出达到了预期绩效，其中整体支出绩效自评得分99.3分；项目支出绩效中</w:t>
      </w:r>
      <w:r>
        <w:rPr>
          <w:rFonts w:hint="eastAsia" w:ascii="仿宋" w:eastAsia="仿宋" w:cs="Arial"/>
        </w:rPr>
        <w:t>年初</w:t>
      </w:r>
      <w:r>
        <w:rPr>
          <w:rFonts w:hint="eastAsia" w:ascii="仿宋" w:eastAsia="仿宋" w:cs="仿宋"/>
          <w:szCs w:val="32"/>
        </w:rPr>
        <w:t>-</w:t>
      </w:r>
      <w:r>
        <w:rPr>
          <w:rFonts w:hint="eastAsia" w:ascii="仿宋" w:eastAsia="仿宋" w:cs="Arial"/>
        </w:rPr>
        <w:t>非税成本支出专项自评得分100分、2025年中央和省级转移支付资金自评得分99.07分。</w:t>
      </w:r>
    </w:p>
    <w:p>
      <w:pPr>
        <w:pStyle w:val="10"/>
        <w:spacing w:line="600" w:lineRule="exact"/>
        <w:ind w:firstLine="643"/>
        <w:rPr>
          <w:rFonts w:ascii="黑体" w:eastAsia="黑体"/>
          <w:b/>
          <w:bCs/>
          <w:szCs w:val="32"/>
        </w:rPr>
      </w:pPr>
      <w:r>
        <w:rPr>
          <w:rFonts w:hint="eastAsia" w:ascii="黑体" w:eastAsia="黑体"/>
          <w:b/>
          <w:bCs/>
          <w:szCs w:val="32"/>
        </w:rPr>
        <w:t>七、存在的问题及原因分析</w:t>
      </w:r>
    </w:p>
    <w:p>
      <w:pPr>
        <w:pStyle w:val="7"/>
        <w:spacing w:line="600" w:lineRule="exact"/>
        <w:ind w:left="0"/>
        <w:rPr>
          <w:rFonts w:ascii="仿宋" w:eastAsia="仿宋"/>
        </w:rPr>
      </w:pPr>
      <w:r>
        <w:rPr>
          <w:rFonts w:hint="eastAsia" w:ascii="仿宋" w:eastAsia="仿宋"/>
        </w:rPr>
        <w:t xml:space="preserve">    一是非税收入解冻率较低，全年预算60万元，解冻非税成本指标24万元，实际非税收入缴入国库27.73万元，执行9.89万元，执行率100%。主要原因是案件移诉后，到法院判决用时较久，致使当年暂扣款项不能当年缴入国库；二是中央和省级转移支付资金尚未执行完毕，2025年下达我局中央和省级转移支付资金30万元，上年结转130.79万元，共计160.79万元，完成执行145.79万元，执行率90.67%。主要原因是业务装备购置滞后。</w:t>
      </w:r>
    </w:p>
    <w:p>
      <w:pPr>
        <w:spacing w:line="600" w:lineRule="exact"/>
        <w:ind w:firstLine="643" w:firstLineChars="200"/>
        <w:rPr>
          <w:rFonts w:ascii="黑体" w:eastAsia="黑体"/>
          <w:b/>
          <w:bCs/>
          <w:szCs w:val="32"/>
        </w:rPr>
      </w:pPr>
      <w:r>
        <w:rPr>
          <w:rFonts w:hint="eastAsia" w:ascii="黑体" w:eastAsia="黑体"/>
          <w:b/>
          <w:bCs/>
          <w:szCs w:val="32"/>
        </w:rPr>
        <w:t>八、下一步改进措施</w:t>
      </w:r>
    </w:p>
    <w:p>
      <w:pPr>
        <w:spacing w:line="600" w:lineRule="exact"/>
        <w:ind w:firstLine="640" w:firstLineChars="200"/>
        <w:rPr>
          <w:rFonts w:ascii="仿宋" w:eastAsia="仿宋"/>
        </w:rPr>
      </w:pPr>
      <w:r>
        <w:rPr>
          <w:rFonts w:hint="eastAsia" w:ascii="仿宋" w:eastAsia="仿宋"/>
        </w:rPr>
        <w:t>一是请求财政按年初预算标准返回非税执收成本。二是加大执法力度，及时移送案件。</w:t>
      </w:r>
    </w:p>
    <w:p>
      <w:pPr>
        <w:spacing w:line="600" w:lineRule="exact"/>
        <w:ind w:firstLine="643" w:firstLineChars="200"/>
        <w:rPr>
          <w:rFonts w:ascii="黑体" w:eastAsia="黑体"/>
          <w:b/>
          <w:bCs/>
          <w:szCs w:val="32"/>
        </w:rPr>
      </w:pPr>
      <w:r>
        <w:rPr>
          <w:rFonts w:hint="eastAsia" w:ascii="黑体" w:eastAsia="黑体"/>
          <w:b/>
          <w:bCs/>
          <w:szCs w:val="32"/>
        </w:rPr>
        <w:t>九、绩效自评结果拟应用和公开情况</w:t>
      </w:r>
    </w:p>
    <w:p>
      <w:pPr>
        <w:topLinePunct/>
        <w:spacing w:line="600" w:lineRule="exact"/>
        <w:ind w:firstLine="629"/>
        <w:rPr>
          <w:rFonts w:ascii="仿宋" w:eastAsia="仿宋" w:cs="仿宋"/>
          <w:szCs w:val="32"/>
        </w:rPr>
      </w:pPr>
      <w:r>
        <w:rPr>
          <w:rFonts w:hint="eastAsia" w:ascii="仿宋" w:eastAsia="仿宋" w:cs="仿宋"/>
          <w:szCs w:val="32"/>
        </w:rPr>
        <w:t>我局将按照《益阳市预算支出绩效评价结果应用管理办法》（益财绩〔2022〕274号）的规定，及时将整体支出绩效自评和项目支出自评报告报送给市公安局，并在</w:t>
      </w:r>
      <w:r>
        <w:rPr>
          <w:rFonts w:ascii="仿宋" w:eastAsia="仿宋" w:cs="仿宋"/>
          <w:szCs w:val="32"/>
        </w:rPr>
        <w:t>市</w:t>
      </w:r>
      <w:r>
        <w:rPr>
          <w:rFonts w:hint="eastAsia" w:ascii="仿宋" w:eastAsia="仿宋" w:cs="仿宋"/>
          <w:szCs w:val="32"/>
        </w:rPr>
        <w:t>公安局门户网站进行公开，主动接受社会监督，逐步形成评价结果反馈、整改和提升的良性循环。</w:t>
      </w:r>
    </w:p>
    <w:p>
      <w:pPr>
        <w:spacing w:line="600" w:lineRule="exact"/>
        <w:ind w:firstLine="640" w:firstLineChars="200"/>
        <w:rPr>
          <w:rFonts w:ascii="仿宋" w:eastAsia="仿宋"/>
          <w:szCs w:val="32"/>
        </w:rPr>
      </w:pPr>
      <w:r>
        <w:rPr>
          <w:rFonts w:hint="eastAsia" w:ascii="仿宋" w:eastAsia="仿宋"/>
          <w:szCs w:val="32"/>
        </w:rPr>
        <w:t>十、其他需要说明的情况</w:t>
      </w:r>
    </w:p>
    <w:p>
      <w:pPr>
        <w:spacing w:line="600" w:lineRule="exact"/>
        <w:ind w:firstLine="640" w:firstLineChars="200"/>
        <w:rPr>
          <w:rFonts w:ascii="仿宋" w:eastAsia="仿宋" w:cs="仿宋"/>
          <w:szCs w:val="32"/>
        </w:rPr>
      </w:pPr>
      <w:r>
        <w:rPr>
          <w:rFonts w:hint="eastAsia" w:ascii="仿宋" w:eastAsia="仿宋" w:cs="仿宋"/>
          <w:szCs w:val="32"/>
        </w:rPr>
        <w:t>无。</w:t>
      </w:r>
    </w:p>
    <w:p>
      <w:pPr>
        <w:spacing w:line="520" w:lineRule="exact"/>
        <w:rPr>
          <w:szCs w:val="32"/>
        </w:rPr>
      </w:pPr>
      <w:r>
        <w:rPr>
          <w:rFonts w:hint="eastAsia"/>
          <w:szCs w:val="32"/>
        </w:rPr>
        <w:t>附件：</w:t>
      </w:r>
    </w:p>
    <w:p>
      <w:pPr>
        <w:spacing w:line="520" w:lineRule="exact"/>
        <w:ind w:firstLine="640" w:firstLineChars="200"/>
        <w:rPr>
          <w:szCs w:val="32"/>
        </w:rPr>
      </w:pPr>
      <w:r>
        <w:rPr>
          <w:szCs w:val="32"/>
        </w:rPr>
        <w:t>1、部门整体支出绩效评价基础数据表</w:t>
      </w:r>
    </w:p>
    <w:p>
      <w:pPr>
        <w:spacing w:line="520" w:lineRule="exact"/>
        <w:ind w:firstLine="640" w:firstLineChars="200"/>
        <w:rPr>
          <w:szCs w:val="32"/>
        </w:rPr>
      </w:pPr>
      <w:r>
        <w:rPr>
          <w:szCs w:val="32"/>
        </w:rPr>
        <w:t>2、部门整体支出绩效自评表</w:t>
      </w:r>
    </w:p>
    <w:p>
      <w:pPr>
        <w:spacing w:line="520" w:lineRule="exact"/>
        <w:ind w:firstLine="640" w:firstLineChars="200"/>
        <w:rPr>
          <w:szCs w:val="32"/>
        </w:rPr>
      </w:pPr>
      <w:r>
        <w:rPr>
          <w:szCs w:val="32"/>
        </w:rPr>
        <w:t>3、项目支出绩效自评表（</w:t>
      </w:r>
      <w:r>
        <w:rPr>
          <w:rFonts w:hint="eastAsia"/>
          <w:szCs w:val="32"/>
        </w:rPr>
        <w:t>2</w:t>
      </w:r>
      <w:r>
        <w:rPr>
          <w:szCs w:val="32"/>
        </w:rPr>
        <w:t>张）</w:t>
      </w:r>
    </w:p>
    <w:p>
      <w:pPr>
        <w:jc w:val="center"/>
        <w:rPr>
          <w:rFonts w:eastAsia="黑体"/>
          <w:szCs w:val="32"/>
        </w:rPr>
      </w:pPr>
    </w:p>
    <w:sectPr>
      <w:pgSz w:w="11907" w:h="16839"/>
      <w:pgMar w:top="1440" w:right="1800" w:bottom="1440" w:left="1800" w:header="851" w:footer="992"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60"/>
  <w:drawingGridVerticalSpacing w:val="217"/>
  <w:displayHorizontalDrawingGridEvery w:val="0"/>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rsids>
    <w:rsidRoot w:val="009072AA"/>
    <w:rsid w:val="00020BB3"/>
    <w:rsid w:val="00052BE6"/>
    <w:rsid w:val="000676C9"/>
    <w:rsid w:val="00153E3F"/>
    <w:rsid w:val="001639DD"/>
    <w:rsid w:val="00237B28"/>
    <w:rsid w:val="00275031"/>
    <w:rsid w:val="00427F51"/>
    <w:rsid w:val="00451DCF"/>
    <w:rsid w:val="004B24A4"/>
    <w:rsid w:val="00546EC8"/>
    <w:rsid w:val="006767EA"/>
    <w:rsid w:val="006F6245"/>
    <w:rsid w:val="009072AA"/>
    <w:rsid w:val="00910C4F"/>
    <w:rsid w:val="00926830"/>
    <w:rsid w:val="0096223F"/>
    <w:rsid w:val="009D6218"/>
    <w:rsid w:val="00C00530"/>
    <w:rsid w:val="00D428BC"/>
    <w:rsid w:val="00EE329B"/>
    <w:rsid w:val="05445D91"/>
    <w:rsid w:val="05B747B5"/>
    <w:rsid w:val="07EA70C4"/>
    <w:rsid w:val="09C65A58"/>
    <w:rsid w:val="0E8532C9"/>
    <w:rsid w:val="0F2722E3"/>
    <w:rsid w:val="1189130B"/>
    <w:rsid w:val="1260712D"/>
    <w:rsid w:val="12DC21B4"/>
    <w:rsid w:val="13B01DD4"/>
    <w:rsid w:val="15786D2F"/>
    <w:rsid w:val="158F570E"/>
    <w:rsid w:val="177710B1"/>
    <w:rsid w:val="18274AF0"/>
    <w:rsid w:val="18A3676F"/>
    <w:rsid w:val="194455A2"/>
    <w:rsid w:val="19D5242D"/>
    <w:rsid w:val="1A143B2C"/>
    <w:rsid w:val="1A481873"/>
    <w:rsid w:val="1CD2422E"/>
    <w:rsid w:val="1DBC6511"/>
    <w:rsid w:val="1F3E4865"/>
    <w:rsid w:val="20EA0C20"/>
    <w:rsid w:val="2288408A"/>
    <w:rsid w:val="245E3AF1"/>
    <w:rsid w:val="24D4299B"/>
    <w:rsid w:val="25C30BCD"/>
    <w:rsid w:val="2897118A"/>
    <w:rsid w:val="289C2F2E"/>
    <w:rsid w:val="2BC558F3"/>
    <w:rsid w:val="2C454152"/>
    <w:rsid w:val="2E092D17"/>
    <w:rsid w:val="2EB303CE"/>
    <w:rsid w:val="304124FC"/>
    <w:rsid w:val="337E2747"/>
    <w:rsid w:val="33820815"/>
    <w:rsid w:val="362845EF"/>
    <w:rsid w:val="38294DDF"/>
    <w:rsid w:val="384864BF"/>
    <w:rsid w:val="39EE5E5A"/>
    <w:rsid w:val="3D3C093B"/>
    <w:rsid w:val="3D4B5E05"/>
    <w:rsid w:val="3F373C95"/>
    <w:rsid w:val="407723DB"/>
    <w:rsid w:val="45486BFC"/>
    <w:rsid w:val="45885803"/>
    <w:rsid w:val="45D64208"/>
    <w:rsid w:val="45E51BBA"/>
    <w:rsid w:val="469255C7"/>
    <w:rsid w:val="4817072E"/>
    <w:rsid w:val="49233066"/>
    <w:rsid w:val="492F3D66"/>
    <w:rsid w:val="4B9518B8"/>
    <w:rsid w:val="4D4A3FC9"/>
    <w:rsid w:val="4EA6323C"/>
    <w:rsid w:val="4ED02BF9"/>
    <w:rsid w:val="4FC67044"/>
    <w:rsid w:val="53D52956"/>
    <w:rsid w:val="545B5041"/>
    <w:rsid w:val="57AF2B0B"/>
    <w:rsid w:val="57CE0BF5"/>
    <w:rsid w:val="58323207"/>
    <w:rsid w:val="5AA2495E"/>
    <w:rsid w:val="5C85683E"/>
    <w:rsid w:val="5EED09B2"/>
    <w:rsid w:val="5F97010C"/>
    <w:rsid w:val="61BE4076"/>
    <w:rsid w:val="626343A0"/>
    <w:rsid w:val="62EF200D"/>
    <w:rsid w:val="65E95FBB"/>
    <w:rsid w:val="6B24578B"/>
    <w:rsid w:val="6B390D20"/>
    <w:rsid w:val="6E3D1D31"/>
    <w:rsid w:val="6E7049E8"/>
    <w:rsid w:val="6F947AC5"/>
    <w:rsid w:val="72A74804"/>
    <w:rsid w:val="73932915"/>
    <w:rsid w:val="742E5F05"/>
    <w:rsid w:val="74994858"/>
    <w:rsid w:val="76AE0C6D"/>
    <w:rsid w:val="76E934EC"/>
    <w:rsid w:val="779A42B5"/>
    <w:rsid w:val="7A4B626B"/>
    <w:rsid w:val="7BC178EA"/>
    <w:rsid w:val="7F2E6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paragraph" w:styleId="4">
    <w:name w:val="heading 1"/>
    <w:basedOn w:val="1"/>
    <w:next w:val="1"/>
    <w:qFormat/>
    <w:uiPriority w:val="0"/>
    <w:pPr>
      <w:keepNext/>
      <w:keepLines/>
      <w:spacing w:before="340" w:after="330" w:line="578" w:lineRule="auto"/>
      <w:outlineLvl w:val="0"/>
    </w:pPr>
    <w:rPr>
      <w:b/>
      <w:kern w:val="44"/>
      <w:sz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b/>
    </w:rPr>
  </w:style>
  <w:style w:type="paragraph" w:styleId="6">
    <w:name w:val="heading 3"/>
    <w:basedOn w:val="1"/>
    <w:next w:val="1"/>
    <w:qFormat/>
    <w:uiPriority w:val="0"/>
    <w:pPr>
      <w:keepNext/>
      <w:keepLines/>
      <w:spacing w:before="260" w:after="260" w:line="415" w:lineRule="auto"/>
      <w:outlineLvl w:val="2"/>
    </w:pPr>
    <w:rPr>
      <w:b/>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toc 6"/>
    <w:basedOn w:val="1"/>
    <w:next w:val="1"/>
    <w:uiPriority w:val="0"/>
    <w:pPr>
      <w:ind w:left="2100"/>
    </w:pPr>
  </w:style>
  <w:style w:type="paragraph" w:customStyle="1" w:styleId="10">
    <w:name w:val="列出段落1"/>
    <w:next w:val="7"/>
    <w:qFormat/>
    <w:uiPriority w:val="0"/>
    <w:pPr>
      <w:widowControl w:val="0"/>
      <w:ind w:firstLine="200" w:firstLineChars="200"/>
      <w:jc w:val="both"/>
    </w:pPr>
    <w:rPr>
      <w:rFonts w:ascii="Calibri" w:hAnsi="Calibri"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322</Words>
  <Characters>1836</Characters>
  <Lines>15</Lines>
  <Paragraphs>4</Paragraphs>
  <TotalTime>43</TotalTime>
  <ScaleCrop>false</ScaleCrop>
  <LinksUpToDate>false</LinksUpToDate>
  <CharactersWithSpaces>2154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2024-04-28T06:23:00Z</dcterms:created>
  <dc:creator>Microsoft</dc:creator>
  <cp:lastModifiedBy>Lenovo</cp:lastModifiedBy>
  <cp:lastPrinted>2026-04-28T03:27:56Z</cp:lastPrinted>
  <dcterms:modified xsi:type="dcterms:W3CDTF">2026-04-28T03:42:07Z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eyJoZGlkIjoiOGMyZTllZTUxN2ZmMGEzNDc4MjJhZTgzMTUwODU4ZmYiLCJ1c2VySWQiOiI4Mjk4ODQ0MDYifQ==</vt:lpwstr>
  </property>
  <property fmtid="{D5CDD505-2E9C-101B-9397-08002B2CF9AE}" pid="3" name="KSOProductBuildVer">
    <vt:lpwstr>2052-11.8.2.11019</vt:lpwstr>
  </property>
  <property fmtid="{D5CDD505-2E9C-101B-9397-08002B2CF9AE}" pid="4" name="ICV">
    <vt:lpwstr>72761D2C129D4981AFBFB7B9971BF2E6_12</vt:lpwstr>
  </property>
</Properties>
</file>