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黑体"/>
          <w:kern w:val="0"/>
          <w:szCs w:val="32"/>
        </w:rPr>
      </w:pPr>
      <w:r>
        <w:rPr>
          <w:rFonts w:eastAsia="黑体"/>
          <w:kern w:val="0"/>
          <w:szCs w:val="32"/>
        </w:rPr>
        <w:t>附件</w:t>
      </w:r>
      <w:r>
        <w:rPr>
          <w:rFonts w:hint="eastAsia" w:eastAsia="黑体"/>
          <w:kern w:val="0"/>
          <w:szCs w:val="32"/>
        </w:rPr>
        <w:t>5</w:t>
      </w:r>
    </w:p>
    <w:p>
      <w:pPr>
        <w:spacing w:line="600" w:lineRule="exact"/>
        <w:rPr>
          <w:rFonts w:eastAsia="黑体"/>
          <w:kern w:val="0"/>
          <w:szCs w:val="32"/>
        </w:rPr>
      </w:pPr>
    </w:p>
    <w:p>
      <w:pPr>
        <w:jc w:val="center"/>
        <w:rPr>
          <w:rFonts w:hint="eastAsia" w:ascii="黑体" w:hAnsi="黑体" w:eastAsia="黑体" w:cs="黑体"/>
          <w:b/>
          <w:bCs/>
          <w:sz w:val="48"/>
          <w:szCs w:val="48"/>
        </w:rPr>
      </w:pPr>
      <w:r>
        <w:rPr>
          <w:rFonts w:hint="eastAsia" w:ascii="黑体" w:hAnsi="黑体" w:eastAsia="黑体" w:cs="黑体"/>
          <w:b/>
          <w:bCs/>
          <w:sz w:val="48"/>
          <w:szCs w:val="48"/>
        </w:rPr>
        <w:t>202</w:t>
      </w:r>
      <w:r>
        <w:rPr>
          <w:rFonts w:hint="eastAsia" w:ascii="黑体" w:hAnsi="黑体" w:eastAsia="黑体" w:cs="黑体"/>
          <w:b/>
          <w:bCs/>
          <w:sz w:val="48"/>
          <w:szCs w:val="48"/>
          <w:lang w:val="en-US" w:eastAsia="zh-CN"/>
        </w:rPr>
        <w:t>5</w:t>
      </w:r>
      <w:r>
        <w:rPr>
          <w:rFonts w:hint="eastAsia" w:ascii="黑体" w:hAnsi="黑体" w:eastAsia="黑体" w:cs="黑体"/>
          <w:b/>
          <w:bCs/>
          <w:sz w:val="48"/>
          <w:szCs w:val="48"/>
        </w:rPr>
        <w:t>年度益阳市公安局</w:t>
      </w:r>
    </w:p>
    <w:p>
      <w:pPr>
        <w:jc w:val="center"/>
        <w:rPr>
          <w:rFonts w:hint="eastAsia" w:ascii="黑体" w:hAnsi="黑体" w:eastAsia="黑体" w:cs="黑体"/>
          <w:b/>
          <w:bCs/>
          <w:sz w:val="48"/>
          <w:szCs w:val="48"/>
        </w:rPr>
      </w:pPr>
      <w:r>
        <w:rPr>
          <w:rFonts w:hint="eastAsia" w:ascii="黑体" w:hAnsi="黑体" w:eastAsia="黑体" w:cs="黑体"/>
          <w:b/>
          <w:bCs/>
          <w:sz w:val="48"/>
          <w:szCs w:val="48"/>
        </w:rPr>
        <w:t>部门整体支出绩效自评报告</w:t>
      </w:r>
    </w:p>
    <w:p>
      <w:pPr>
        <w:jc w:val="center"/>
        <w:rPr>
          <w:rFonts w:eastAsia="黑体"/>
          <w:szCs w:val="32"/>
        </w:rPr>
      </w:pPr>
    </w:p>
    <w:p>
      <w:pPr>
        <w:jc w:val="center"/>
        <w:rPr>
          <w:rFonts w:eastAsia="黑体"/>
          <w:szCs w:val="32"/>
        </w:rPr>
      </w:pPr>
    </w:p>
    <w:p>
      <w:pPr>
        <w:jc w:val="center"/>
        <w:rPr>
          <w:rFonts w:eastAsia="黑体"/>
          <w:szCs w:val="32"/>
        </w:rPr>
      </w:pPr>
    </w:p>
    <w:p>
      <w:pPr>
        <w:jc w:val="center"/>
        <w:rPr>
          <w:rFonts w:eastAsia="黑体"/>
          <w:szCs w:val="32"/>
        </w:rPr>
      </w:pPr>
    </w:p>
    <w:p>
      <w:pPr>
        <w:jc w:val="center"/>
        <w:rPr>
          <w:rFonts w:eastAsia="黑体"/>
          <w:szCs w:val="32"/>
        </w:rPr>
      </w:pPr>
    </w:p>
    <w:p>
      <w:pPr>
        <w:jc w:val="center"/>
        <w:rPr>
          <w:rFonts w:eastAsia="黑体"/>
          <w:szCs w:val="32"/>
        </w:rPr>
      </w:pPr>
    </w:p>
    <w:p>
      <w:pPr>
        <w:jc w:val="center"/>
        <w:rPr>
          <w:rFonts w:eastAsia="黑体"/>
          <w:szCs w:val="32"/>
        </w:rPr>
      </w:pPr>
    </w:p>
    <w:p>
      <w:pPr>
        <w:ind w:firstLine="872" w:firstLineChars="200"/>
        <w:jc w:val="center"/>
        <w:rPr>
          <w:rFonts w:eastAsia="黑体"/>
          <w:sz w:val="44"/>
          <w:szCs w:val="44"/>
        </w:rPr>
      </w:pPr>
    </w:p>
    <w:p>
      <w:pPr>
        <w:ind w:firstLine="872" w:firstLineChars="200"/>
        <w:jc w:val="center"/>
        <w:rPr>
          <w:rFonts w:eastAsia="黑体"/>
          <w:sz w:val="44"/>
          <w:szCs w:val="44"/>
        </w:rPr>
      </w:pPr>
    </w:p>
    <w:p>
      <w:pPr>
        <w:ind w:firstLine="872" w:firstLineChars="200"/>
        <w:jc w:val="center"/>
        <w:rPr>
          <w:rFonts w:eastAsia="黑体"/>
          <w:sz w:val="44"/>
          <w:szCs w:val="44"/>
        </w:rPr>
      </w:pPr>
    </w:p>
    <w:p>
      <w:pPr>
        <w:ind w:firstLine="712" w:firstLineChars="200"/>
        <w:rPr>
          <w:rFonts w:hint="eastAsia" w:eastAsia="黑体"/>
          <w:sz w:val="36"/>
          <w:szCs w:val="36"/>
        </w:rPr>
      </w:pPr>
    </w:p>
    <w:p>
      <w:pPr>
        <w:ind w:firstLine="712" w:firstLineChars="200"/>
        <w:rPr>
          <w:rFonts w:hint="eastAsia" w:eastAsia="黑体"/>
          <w:sz w:val="36"/>
          <w:szCs w:val="36"/>
        </w:rPr>
      </w:pPr>
    </w:p>
    <w:p>
      <w:pPr>
        <w:ind w:firstLine="712" w:firstLineChars="200"/>
        <w:rPr>
          <w:rFonts w:hint="eastAsia" w:eastAsia="黑体"/>
          <w:sz w:val="36"/>
          <w:szCs w:val="36"/>
        </w:rPr>
      </w:pPr>
      <w:r>
        <w:rPr>
          <w:rFonts w:hint="eastAsia" w:eastAsia="黑体"/>
          <w:sz w:val="36"/>
          <w:szCs w:val="36"/>
        </w:rPr>
        <w:t>部门（</w:t>
      </w:r>
      <w:r>
        <w:rPr>
          <w:rFonts w:eastAsia="黑体"/>
          <w:sz w:val="36"/>
          <w:szCs w:val="36"/>
        </w:rPr>
        <w:t>单位</w:t>
      </w:r>
      <w:r>
        <w:rPr>
          <w:rFonts w:hint="eastAsia" w:eastAsia="黑体"/>
          <w:sz w:val="36"/>
          <w:szCs w:val="36"/>
        </w:rPr>
        <w:t>）</w:t>
      </w:r>
      <w:r>
        <w:rPr>
          <w:rFonts w:eastAsia="黑体"/>
          <w:sz w:val="36"/>
          <w:szCs w:val="36"/>
        </w:rPr>
        <w:t>名称：</w:t>
      </w:r>
      <w:r>
        <w:rPr>
          <w:rFonts w:hint="eastAsia" w:eastAsia="黑体"/>
          <w:sz w:val="36"/>
          <w:szCs w:val="36"/>
        </w:rPr>
        <w:t xml:space="preserve"> </w:t>
      </w:r>
      <w:r>
        <w:rPr>
          <w:rFonts w:eastAsia="黑体"/>
          <w:sz w:val="36"/>
          <w:szCs w:val="36"/>
          <w:u w:val="single"/>
        </w:rPr>
        <w:t>（盖章）</w:t>
      </w:r>
      <w:r>
        <w:rPr>
          <w:rFonts w:hint="eastAsia" w:eastAsia="黑体"/>
          <w:sz w:val="36"/>
          <w:szCs w:val="36"/>
          <w:u w:val="single"/>
        </w:rPr>
        <w:t xml:space="preserve">       </w:t>
      </w:r>
    </w:p>
    <w:p>
      <w:pPr>
        <w:ind w:firstLine="2848" w:firstLineChars="800"/>
        <w:rPr>
          <w:rFonts w:eastAsia="黑体"/>
          <w:sz w:val="36"/>
          <w:szCs w:val="36"/>
          <w:u w:val="single"/>
        </w:rPr>
      </w:pPr>
      <w:r>
        <w:rPr>
          <w:rFonts w:hint="eastAsia" w:eastAsia="黑体"/>
          <w:sz w:val="36"/>
          <w:szCs w:val="36"/>
        </w:rPr>
        <w:t>20</w:t>
      </w:r>
      <w:r>
        <w:rPr>
          <w:rFonts w:hint="eastAsia" w:eastAsia="黑体"/>
          <w:sz w:val="36"/>
          <w:szCs w:val="36"/>
          <w:lang w:val="en-US" w:eastAsia="zh-CN"/>
        </w:rPr>
        <w:t xml:space="preserve">26 </w:t>
      </w:r>
      <w:r>
        <w:rPr>
          <w:rFonts w:hint="eastAsia" w:eastAsia="黑体"/>
          <w:sz w:val="36"/>
          <w:szCs w:val="36"/>
        </w:rPr>
        <w:t xml:space="preserve">年  4  月 </w:t>
      </w:r>
      <w:r>
        <w:rPr>
          <w:rFonts w:hint="eastAsia" w:eastAsia="黑体"/>
          <w:sz w:val="36"/>
          <w:szCs w:val="36"/>
          <w:lang w:val="en-US" w:eastAsia="zh-CN"/>
        </w:rPr>
        <w:t>27</w:t>
      </w:r>
      <w:r>
        <w:rPr>
          <w:rFonts w:hint="eastAsia" w:eastAsia="黑体"/>
          <w:sz w:val="36"/>
          <w:szCs w:val="36"/>
        </w:rPr>
        <w:t xml:space="preserve"> 日</w:t>
      </w:r>
    </w:p>
    <w:p>
      <w:pPr>
        <w:jc w:val="center"/>
        <w:rPr>
          <w:rFonts w:eastAsia="黑体"/>
          <w:szCs w:val="32"/>
        </w:rPr>
      </w:pPr>
    </w:p>
    <w:p>
      <w:pPr>
        <w:jc w:val="center"/>
        <w:rPr>
          <w:szCs w:val="32"/>
        </w:rPr>
      </w:pPr>
      <w:r>
        <w:rPr>
          <w:rFonts w:hint="eastAsia"/>
          <w:szCs w:val="32"/>
        </w:rPr>
        <w:t xml:space="preserve">  </w:t>
      </w:r>
      <w:r>
        <w:rPr>
          <w:szCs w:val="32"/>
        </w:rPr>
        <w:t>（此页为封面）</w:t>
      </w:r>
    </w:p>
    <w:p>
      <w:pPr>
        <w:keepNext w:val="0"/>
        <w:keepLines w:val="0"/>
        <w:pageBreakBefore w:val="0"/>
        <w:widowControl w:val="0"/>
        <w:kinsoku/>
        <w:wordWrap/>
        <w:overflowPunct/>
        <w:topLinePunct w:val="0"/>
        <w:autoSpaceDE/>
        <w:autoSpaceDN/>
        <w:bidi w:val="0"/>
        <w:adjustRightInd/>
        <w:snapToGrid/>
        <w:spacing w:line="640" w:lineRule="exact"/>
        <w:ind w:left="0" w:hanging="872" w:hangingChars="200"/>
        <w:jc w:val="center"/>
        <w:textAlignment w:val="auto"/>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202</w:t>
      </w:r>
      <w:r>
        <w:rPr>
          <w:rFonts w:hint="eastAsia" w:ascii="方正小标宋简体" w:hAnsi="方正小标宋简体" w:eastAsia="方正小标宋简体" w:cs="方正小标宋简体"/>
          <w:b/>
          <w:bCs/>
          <w:sz w:val="44"/>
          <w:szCs w:val="44"/>
          <w:lang w:val="en-US" w:eastAsia="zh-CN"/>
        </w:rPr>
        <w:t>5</w:t>
      </w:r>
      <w:r>
        <w:rPr>
          <w:rFonts w:hint="eastAsia" w:ascii="方正小标宋简体" w:hAnsi="方正小标宋简体" w:eastAsia="方正小标宋简体" w:cs="方正小标宋简体"/>
          <w:b/>
          <w:bCs/>
          <w:sz w:val="44"/>
          <w:szCs w:val="44"/>
        </w:rPr>
        <w:t>年度益阳市公安局</w:t>
      </w:r>
    </w:p>
    <w:p>
      <w:pPr>
        <w:keepNext w:val="0"/>
        <w:keepLines w:val="0"/>
        <w:pageBreakBefore w:val="0"/>
        <w:widowControl w:val="0"/>
        <w:kinsoku/>
        <w:wordWrap/>
        <w:overflowPunct/>
        <w:topLinePunct w:val="0"/>
        <w:autoSpaceDE/>
        <w:autoSpaceDN/>
        <w:bidi w:val="0"/>
        <w:adjustRightInd/>
        <w:snapToGrid/>
        <w:spacing w:line="640" w:lineRule="exact"/>
        <w:ind w:left="0" w:hanging="872" w:hangingChars="200"/>
        <w:jc w:val="center"/>
        <w:textAlignment w:val="auto"/>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部门整体支出绩效自评报告</w:t>
      </w:r>
    </w:p>
    <w:p>
      <w:pPr>
        <w:pStyle w:val="2"/>
        <w:rPr>
          <w:rFonts w:hint="eastAsia"/>
        </w:rPr>
      </w:pPr>
    </w:p>
    <w:p>
      <w:pPr>
        <w:keepNext w:val="0"/>
        <w:keepLines w:val="0"/>
        <w:pageBreakBefore w:val="0"/>
        <w:kinsoku/>
        <w:wordWrap/>
        <w:overflowPunct/>
        <w:topLinePunct w:val="0"/>
        <w:autoSpaceDE/>
        <w:autoSpaceDN/>
        <w:bidi w:val="0"/>
        <w:adjustRightInd/>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益阳市财政局：</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进一步规范财政资金管理，牢固树立预算绩效理念，强化支出责任，提高财政资金使用效益，根据《益阳市人民政府关于全面推进预算绩效管理的实施意见》（益政发〔2013〕10号）、《益阳市财政局关于转发〈湖南省预算绩效管理工作规程（试行）〉的通知》（益财绩〔2014〕126号）,我局按照益阳市财政局《关于开展2025年度部门绩效自评工作的通知》的部署，对益阳市公安局2025年度部门整体支出绩效进行了自评，自评分为99.6分。现将我局整体支出绩效评价情况报告如下：</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一、部门（单位）基本情况</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（一）机构设置</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益阳市公安局设有情报指挥中心、政治部、人事训练科、新闻宣传科、警务保障科、督察审计支队、经济犯罪侦查支队、治安管理支队、刑事侦查支队、食品药品犯罪侦查支队、巡特警支队、出入境管理支队、法制支队、禁毒支队、科技信息化支队、大数据实战中心、市人民警察学校等机构及赫山分局、资阳分局2个派出机构。2025年末，市公安局本级干警编制数共计469人，实际在职干警469人，离退休人员248人。</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（二）职能职责</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负责全市公安警务信息文秘档案、110报警服务台相关工作；在局领导指挥下协调各警种开展工作，承办重要文件、会务；牵头负责市公安局“互联网+政务服务”一体化平台建设、管理和使用，负责政务窗口的综合管理，负责进驻政务窗口项目的受理、综合协调督促办理、结果回复。</w:t>
      </w:r>
      <w:r>
        <w:rPr>
          <w:rFonts w:hint="default" w:ascii="仿宋_GB2312" w:hAnsi="仿宋_GB2312" w:eastAsia="仿宋_GB2312" w:cs="仿宋_GB2312"/>
          <w:sz w:val="32"/>
          <w:szCs w:val="32"/>
          <w:lang w:val="en-US" w:eastAsia="zh-CN"/>
        </w:rPr>
        <w:t xml:space="preserve"> </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2.主管全市公安政治工作，负责并指导全市公安政治思想工作和队伍建设。</w:t>
      </w:r>
      <w:r>
        <w:rPr>
          <w:rFonts w:hint="default" w:ascii="仿宋_GB2312" w:hAnsi="仿宋_GB2312" w:eastAsia="仿宋_GB2312" w:cs="仿宋_GB2312"/>
          <w:sz w:val="32"/>
          <w:szCs w:val="32"/>
          <w:lang w:val="en-US" w:eastAsia="zh-CN"/>
        </w:rPr>
        <w:t xml:space="preserve"> </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主管干部人事、社会保障等工作；组织实施公安教育训练工作；指导、监督市人民警察学校的培训工作；承担中心城区公安机关警务辅助人员招录、管理职责，指导全市公安机关警务辅助人员招录、使用、管理和监督。</w:t>
      </w:r>
      <w:r>
        <w:rPr>
          <w:rFonts w:hint="default" w:ascii="仿宋_GB2312" w:hAnsi="仿宋_GB2312" w:eastAsia="仿宋_GB2312" w:cs="仿宋_GB2312"/>
          <w:sz w:val="32"/>
          <w:szCs w:val="32"/>
          <w:lang w:val="en-US" w:eastAsia="zh-CN"/>
        </w:rPr>
        <w:t xml:space="preserve"> </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4.指导、组织实施全市公安机关新闻宣传、公安文化建设和表彰奖励等工作。</w:t>
      </w:r>
      <w:r>
        <w:rPr>
          <w:rFonts w:hint="default" w:ascii="仿宋_GB2312" w:hAnsi="仿宋_GB2312" w:eastAsia="仿宋_GB2312" w:cs="仿宋_GB2312"/>
          <w:sz w:val="32"/>
          <w:szCs w:val="32"/>
          <w:lang w:val="en-US" w:eastAsia="zh-CN"/>
        </w:rPr>
        <w:t xml:space="preserve"> </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5.负责市局各类公安经费、警用装备管理和机关后勤保障、安全保卫等工作。</w:t>
      </w:r>
      <w:r>
        <w:rPr>
          <w:rFonts w:hint="default" w:ascii="仿宋_GB2312" w:hAnsi="仿宋_GB2312" w:eastAsia="仿宋_GB2312" w:cs="仿宋_GB2312"/>
          <w:sz w:val="32"/>
          <w:szCs w:val="32"/>
          <w:lang w:val="en-US" w:eastAsia="zh-CN"/>
        </w:rPr>
        <w:t xml:space="preserve"> </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6.负责对全市公安机关及人民警察依法履行职责、行使职权和遵守纪律情况进行现场监督；承担维护民警正当权益职责。负责接待处理群众来信来访工作；负责公安机关内部审计工作。</w:t>
      </w:r>
      <w:r>
        <w:rPr>
          <w:rFonts w:hint="default" w:ascii="仿宋_GB2312" w:hAnsi="仿宋_GB2312" w:eastAsia="仿宋_GB2312" w:cs="仿宋_GB2312"/>
          <w:sz w:val="32"/>
          <w:szCs w:val="32"/>
          <w:lang w:val="en-US" w:eastAsia="zh-CN"/>
        </w:rPr>
        <w:t xml:space="preserve"> </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7.负责组织、指导和协调经济犯罪案件的侦查等工作。</w:t>
      </w:r>
      <w:r>
        <w:rPr>
          <w:rFonts w:hint="default" w:ascii="仿宋_GB2312" w:hAnsi="仿宋_GB2312" w:eastAsia="仿宋_GB2312" w:cs="仿宋_GB2312"/>
          <w:sz w:val="32"/>
          <w:szCs w:val="32"/>
          <w:lang w:val="en-US" w:eastAsia="zh-CN"/>
        </w:rPr>
        <w:t xml:space="preserve"> </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指导、监督公安机关依法查处危害社会治安秩序的行为，依法指导和管理枪支弹药、危险爆炸、核材料物品、特种行业和公共场所的治安工作；指导派出所建设和水上治安管理工作，依法审批集会游行示威；指导、参与大型活动的治安保卫工作；指导、监督重点地区、重点场所和重点部位的安全保卫工作。负责公民信息管理、人口统计工作；依法进行户籍管理。</w:t>
      </w:r>
      <w:r>
        <w:rPr>
          <w:rFonts w:hint="default" w:ascii="仿宋_GB2312" w:hAnsi="仿宋_GB2312" w:eastAsia="仿宋_GB2312" w:cs="仿宋_GB2312"/>
          <w:sz w:val="32"/>
          <w:szCs w:val="32"/>
          <w:lang w:val="en-US" w:eastAsia="zh-CN"/>
        </w:rPr>
        <w:t xml:space="preserve"> </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9.负责组织、指导和监督全市公安机关打击刑事犯罪的侦查工作；负责警犬训练；指导全市警犬技术工作。</w:t>
      </w:r>
      <w:r>
        <w:rPr>
          <w:rFonts w:hint="default" w:ascii="仿宋_GB2312" w:hAnsi="仿宋_GB2312" w:eastAsia="仿宋_GB2312" w:cs="仿宋_GB2312"/>
          <w:sz w:val="32"/>
          <w:szCs w:val="32"/>
          <w:lang w:val="en-US" w:eastAsia="zh-CN"/>
        </w:rPr>
        <w:t xml:space="preserve"> </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10.统筹指导、组织实施危害食品药品安全、侵犯知识产权、农资、烟草领域和制售伪劣商品犯罪案件的侦查工作。</w:t>
      </w:r>
      <w:r>
        <w:rPr>
          <w:rFonts w:hint="default" w:ascii="仿宋_GB2312" w:hAnsi="仿宋_GB2312" w:eastAsia="仿宋_GB2312" w:cs="仿宋_GB2312"/>
          <w:sz w:val="32"/>
          <w:szCs w:val="32"/>
          <w:lang w:val="en-US" w:eastAsia="zh-CN"/>
        </w:rPr>
        <w:t xml:space="preserve"> </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11.负责重大警(保)卫活动、重大节日的城区巡防，无人机管控等工作。</w:t>
      </w:r>
      <w:r>
        <w:rPr>
          <w:rFonts w:hint="default" w:ascii="仿宋_GB2312" w:hAnsi="仿宋_GB2312" w:eastAsia="仿宋_GB2312" w:cs="仿宋_GB2312"/>
          <w:sz w:val="32"/>
          <w:szCs w:val="32"/>
          <w:lang w:val="en-US" w:eastAsia="zh-CN"/>
        </w:rPr>
        <w:t xml:space="preserve"> </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12.办理因私出国和往来香港、澳门特别行政区和台湾地区的有关事务；管理国籍事务；组织、指导和监督持普通护照的外国人和及港、澳、台居民出入境、居留、旅行等行政管理工作。</w:t>
      </w:r>
      <w:r>
        <w:rPr>
          <w:rFonts w:hint="default" w:ascii="仿宋_GB2312" w:hAnsi="仿宋_GB2312" w:eastAsia="仿宋_GB2312" w:cs="仿宋_GB2312"/>
          <w:sz w:val="32"/>
          <w:szCs w:val="32"/>
          <w:lang w:val="en-US" w:eastAsia="zh-CN"/>
        </w:rPr>
        <w:t xml:space="preserve"> </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负责全市公安法制工作规划、指导、监督工作；承担有关文件合法性审查工作；指导、办理公安机关行政应诉、国家赔偿、刑事复议复核等工作。协调、配合行政执法与刑事司法衔接工作、办理纪委监委互涉案件；承担局机关直接承办案件的审查和移送起诉工作。</w:t>
      </w:r>
      <w:r>
        <w:rPr>
          <w:rFonts w:hint="default" w:ascii="仿宋_GB2312" w:hAnsi="仿宋_GB2312" w:eastAsia="仿宋_GB2312" w:cs="仿宋_GB2312"/>
          <w:sz w:val="32"/>
          <w:szCs w:val="32"/>
          <w:lang w:val="en-US" w:eastAsia="zh-CN"/>
        </w:rPr>
        <w:t xml:space="preserve"> </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负责组织、指导并参与相关毒品犯罪案件的侦查工作；组织、指导、监督禁毒宣传教育、禁吸戒毒、禁种铲毒等工作；依法组织、协调对麻醉药品、精神药品的安全管理和易制毒化学品的管制工作；承担市禁毒委员会日常工作。</w:t>
      </w:r>
      <w:r>
        <w:rPr>
          <w:rFonts w:hint="default" w:ascii="仿宋_GB2312" w:hAnsi="仿宋_GB2312" w:eastAsia="仿宋_GB2312" w:cs="仿宋_GB2312"/>
          <w:sz w:val="32"/>
          <w:szCs w:val="32"/>
          <w:lang w:val="en-US" w:eastAsia="zh-CN"/>
        </w:rPr>
        <w:t xml:space="preserve"> </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15.负责科技强警工作；负责公共安全视频资源建设指导、审批备案、汇聚共享、检查监督工作。</w:t>
      </w:r>
      <w:r>
        <w:rPr>
          <w:rFonts w:hint="default" w:ascii="仿宋_GB2312" w:hAnsi="仿宋_GB2312" w:eastAsia="仿宋_GB2312" w:cs="仿宋_GB2312"/>
          <w:sz w:val="32"/>
          <w:szCs w:val="32"/>
          <w:lang w:val="en-US" w:eastAsia="zh-CN"/>
        </w:rPr>
        <w:t xml:space="preserve"> </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16.牵头组织各县市区公安机关开展电信网络新型犯罪侦查工作，协调各行业部门开展防范、治理电信网络诈骗犯罪工作。</w:t>
      </w:r>
      <w:r>
        <w:rPr>
          <w:rFonts w:hint="default" w:ascii="仿宋_GB2312" w:hAnsi="仿宋_GB2312" w:eastAsia="仿宋_GB2312" w:cs="仿宋_GB2312"/>
          <w:sz w:val="32"/>
          <w:szCs w:val="32"/>
          <w:lang w:val="en-US" w:eastAsia="zh-CN"/>
        </w:rPr>
        <w:t xml:space="preserve"> </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17.负责对全市公安民警的轮训、新民警上岗前培训、警衔晋升培训等培训工作和各警种的短期强化训练等工作。</w:t>
      </w:r>
      <w:r>
        <w:rPr>
          <w:rFonts w:hint="default" w:ascii="仿宋_GB2312" w:hAnsi="仿宋_GB2312" w:eastAsia="仿宋_GB2312" w:cs="仿宋_GB2312"/>
          <w:sz w:val="32"/>
          <w:szCs w:val="32"/>
          <w:lang w:val="en-US" w:eastAsia="zh-CN"/>
        </w:rPr>
        <w:t xml:space="preserve"> </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lang w:val="en-US" w:eastAsia="zh-CN"/>
        </w:rPr>
      </w:pPr>
      <w:r>
        <w:rPr>
          <w:rFonts w:hint="eastAsia" w:ascii="仿宋_GB2312" w:hAnsi="仿宋_GB2312" w:eastAsia="仿宋_GB2312" w:cs="仿宋_GB2312"/>
          <w:sz w:val="32"/>
          <w:szCs w:val="32"/>
          <w:lang w:val="en-US" w:eastAsia="zh-CN"/>
        </w:rPr>
        <w:t>18.承办市委、市人民政府交办的其他事项。</w:t>
      </w:r>
      <w:r>
        <w:rPr>
          <w:rFonts w:hint="default" w:ascii="仿宋_GB2312" w:hAnsi="仿宋_GB2312" w:eastAsia="仿宋_GB2312" w:cs="仿宋_GB2312"/>
          <w:sz w:val="32"/>
          <w:szCs w:val="32"/>
          <w:lang w:val="en-US" w:eastAsia="zh-CN"/>
        </w:rPr>
        <w:t xml:space="preserve"> </w:t>
      </w:r>
    </w:p>
    <w:p>
      <w:pPr>
        <w:pStyle w:val="16"/>
        <w:keepNext w:val="0"/>
        <w:keepLines w:val="0"/>
        <w:pageBreakBefore w:val="0"/>
        <w:kinsoku/>
        <w:wordWrap/>
        <w:overflowPunct/>
        <w:topLinePunct w:val="0"/>
        <w:autoSpaceDE/>
        <w:autoSpaceDN/>
        <w:bidi w:val="0"/>
        <w:adjustRightInd/>
        <w:spacing w:line="560" w:lineRule="exact"/>
        <w:ind w:left="0" w:leftChars="0" w:firstLine="632" w:firstLineChars="200"/>
        <w:rPr>
          <w:rFonts w:ascii="Times New Roman" w:hAnsi="Times New Roman" w:eastAsia="黑体"/>
          <w:sz w:val="32"/>
          <w:szCs w:val="32"/>
        </w:rPr>
      </w:pPr>
      <w:r>
        <w:rPr>
          <w:rFonts w:hint="eastAsia" w:ascii="Times New Roman" w:hAnsi="Times New Roman" w:eastAsia="黑体"/>
          <w:sz w:val="32"/>
          <w:szCs w:val="32"/>
          <w:lang w:eastAsia="zh-CN"/>
        </w:rPr>
        <w:t>二、</w:t>
      </w:r>
      <w:r>
        <w:rPr>
          <w:rFonts w:ascii="Times New Roman" w:hAnsi="Times New Roman" w:eastAsia="黑体"/>
          <w:sz w:val="32"/>
          <w:szCs w:val="32"/>
        </w:rPr>
        <w:t>一般公共预算支出情况</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一般公共预算财政拨款收入25021.1万元，支出25021.1万元，其中：基本支出13559.54万元，项目支出11461.56万元。</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1.基本支出情况</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2025年，一般公共预算基本支出13559.54万元，其中工资福利支出9562.08万元，占比70.52%；公用经费2786.64万元，占比20.55%。</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公经费”情况：为贯彻落实上级有关精神，严格控制“三公经费”支出，市公安局制定了《益阳市公安局公务用车使用管理试行办法》《益阳市公安局公务接待管理实施细则》等。2025年市公安局本级“三公经费”为53.78万元，与2024年同比下降78.06%，其中：2025年公务用车购置和维护经费为49.3万元，同比下降77.41%；2025年公务接待费4.48万元，同比下降49.38%。</w:t>
      </w:r>
    </w:p>
    <w:p>
      <w:pPr>
        <w:keepNext w:val="0"/>
        <w:keepLines w:val="0"/>
        <w:pageBreakBefore w:val="0"/>
        <w:kinsoku/>
        <w:wordWrap/>
        <w:overflowPunct/>
        <w:topLinePunct w:val="0"/>
        <w:autoSpaceDE/>
        <w:autoSpaceDN/>
        <w:bidi w:val="0"/>
        <w:adjustRightInd/>
        <w:spacing w:line="560" w:lineRule="exact"/>
        <w:ind w:left="622" w:leftChars="197" w:firstLine="632" w:firstLineChars="200"/>
        <w:rPr>
          <w:rFonts w:hint="eastAsia" w:ascii="仿宋" w:eastAsia="仿宋" w:cs="仿宋"/>
          <w:sz w:val="32"/>
          <w:szCs w:val="32"/>
        </w:rPr>
      </w:pPr>
      <w:r>
        <w:rPr>
          <w:rFonts w:hint="eastAsia" w:ascii="仿宋" w:eastAsia="仿宋" w:cs="仿宋"/>
          <w:b/>
          <w:sz w:val="32"/>
          <w:szCs w:val="32"/>
        </w:rPr>
        <w:t>202</w:t>
      </w:r>
      <w:r>
        <w:rPr>
          <w:rFonts w:hint="eastAsia" w:ascii="仿宋" w:eastAsia="仿宋" w:cs="仿宋"/>
          <w:b/>
          <w:sz w:val="32"/>
          <w:szCs w:val="32"/>
          <w:lang w:val="en-US" w:eastAsia="zh-CN"/>
        </w:rPr>
        <w:t>5</w:t>
      </w:r>
      <w:r>
        <w:rPr>
          <w:rFonts w:hint="eastAsia" w:ascii="仿宋" w:eastAsia="仿宋" w:cs="仿宋"/>
          <w:b/>
          <w:sz w:val="32"/>
          <w:szCs w:val="32"/>
        </w:rPr>
        <w:t>年度部门 “三公”经费情况（万元）</w:t>
      </w:r>
    </w:p>
    <w:tbl>
      <w:tblPr>
        <w:tblStyle w:val="8"/>
        <w:tblW w:w="9583" w:type="dxa"/>
        <w:tblInd w:w="-435" w:type="dxa"/>
        <w:tblLayout w:type="fixed"/>
        <w:tblCellMar>
          <w:top w:w="0" w:type="dxa"/>
          <w:left w:w="108" w:type="dxa"/>
          <w:bottom w:w="0" w:type="dxa"/>
          <w:right w:w="108" w:type="dxa"/>
        </w:tblCellMar>
      </w:tblPr>
      <w:tblGrid>
        <w:gridCol w:w="2700"/>
        <w:gridCol w:w="1933"/>
        <w:gridCol w:w="2217"/>
        <w:gridCol w:w="2733"/>
      </w:tblGrid>
      <w:tr>
        <w:trPr>
          <w:trHeight w:val="850" w:hRule="atLeast"/>
        </w:trPr>
        <w:tc>
          <w:tcPr>
            <w:tcW w:w="2700"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pacing w:line="560" w:lineRule="exact"/>
              <w:ind w:hanging="552" w:hangingChars="200"/>
              <w:jc w:val="center"/>
              <w:rPr>
                <w:rFonts w:hint="eastAsia" w:ascii="仿宋" w:eastAsia="仿宋" w:cs="仿宋"/>
                <w:color w:val="000000"/>
                <w:kern w:val="0"/>
                <w:sz w:val="28"/>
                <w:szCs w:val="28"/>
              </w:rPr>
            </w:pPr>
            <w:r>
              <w:rPr>
                <w:rFonts w:hint="eastAsia" w:ascii="仿宋" w:eastAsia="仿宋" w:cs="仿宋"/>
                <w:color w:val="000000"/>
                <w:kern w:val="0"/>
                <w:sz w:val="28"/>
                <w:szCs w:val="28"/>
              </w:rPr>
              <w:t>项目</w:t>
            </w:r>
          </w:p>
        </w:tc>
        <w:tc>
          <w:tcPr>
            <w:tcW w:w="1933"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pacing w:line="560" w:lineRule="exact"/>
              <w:ind w:hanging="552" w:hangingChars="200"/>
              <w:jc w:val="both"/>
              <w:rPr>
                <w:rFonts w:hint="eastAsia" w:ascii="仿宋" w:eastAsia="仿宋" w:cs="仿宋"/>
                <w:color w:val="000000"/>
                <w:kern w:val="0"/>
                <w:sz w:val="28"/>
                <w:szCs w:val="28"/>
              </w:rPr>
            </w:pPr>
            <w:r>
              <w:rPr>
                <w:rFonts w:hint="eastAsia" w:ascii="仿宋" w:eastAsia="仿宋" w:cs="仿宋"/>
                <w:color w:val="000000"/>
                <w:kern w:val="0"/>
                <w:sz w:val="28"/>
                <w:szCs w:val="28"/>
              </w:rPr>
              <w:t>202</w:t>
            </w:r>
            <w:r>
              <w:rPr>
                <w:rFonts w:hint="eastAsia" w:ascii="仿宋" w:eastAsia="仿宋" w:cs="仿宋"/>
                <w:color w:val="000000"/>
                <w:kern w:val="0"/>
                <w:sz w:val="28"/>
                <w:szCs w:val="28"/>
                <w:lang w:val="en-US" w:eastAsia="zh-CN"/>
              </w:rPr>
              <w:t>5</w:t>
            </w:r>
            <w:r>
              <w:rPr>
                <w:rFonts w:hint="eastAsia" w:ascii="仿宋" w:eastAsia="仿宋" w:cs="仿宋"/>
                <w:color w:val="000000"/>
                <w:kern w:val="0"/>
                <w:sz w:val="28"/>
                <w:szCs w:val="28"/>
              </w:rPr>
              <w:t>年决算数</w:t>
            </w:r>
          </w:p>
        </w:tc>
        <w:tc>
          <w:tcPr>
            <w:tcW w:w="2217"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pacing w:line="560" w:lineRule="exact"/>
              <w:ind w:hanging="552" w:hangingChars="200"/>
              <w:jc w:val="center"/>
              <w:rPr>
                <w:rFonts w:hint="eastAsia" w:ascii="仿宋" w:eastAsia="仿宋" w:cs="仿宋"/>
                <w:color w:val="000000"/>
                <w:kern w:val="0"/>
                <w:sz w:val="28"/>
                <w:szCs w:val="28"/>
              </w:rPr>
            </w:pPr>
            <w:r>
              <w:rPr>
                <w:rFonts w:hint="eastAsia" w:ascii="仿宋" w:eastAsia="仿宋" w:cs="仿宋"/>
                <w:color w:val="000000"/>
                <w:kern w:val="0"/>
                <w:sz w:val="28"/>
                <w:szCs w:val="28"/>
              </w:rPr>
              <w:t>202</w:t>
            </w:r>
            <w:r>
              <w:rPr>
                <w:rFonts w:hint="eastAsia" w:ascii="仿宋" w:eastAsia="仿宋" w:cs="仿宋"/>
                <w:color w:val="000000"/>
                <w:kern w:val="0"/>
                <w:sz w:val="28"/>
                <w:szCs w:val="28"/>
                <w:lang w:val="en-US" w:eastAsia="zh-CN"/>
              </w:rPr>
              <w:t>5</w:t>
            </w:r>
            <w:r>
              <w:rPr>
                <w:rFonts w:hint="eastAsia" w:ascii="仿宋" w:eastAsia="仿宋" w:cs="仿宋"/>
                <w:color w:val="000000"/>
                <w:kern w:val="0"/>
                <w:sz w:val="28"/>
                <w:szCs w:val="28"/>
              </w:rPr>
              <w:t>年预算数</w:t>
            </w:r>
          </w:p>
        </w:tc>
        <w:tc>
          <w:tcPr>
            <w:tcW w:w="2733"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pacing w:line="560" w:lineRule="exact"/>
              <w:ind w:hanging="552" w:hangingChars="200"/>
              <w:jc w:val="center"/>
              <w:rPr>
                <w:rFonts w:ascii="仿宋" w:eastAsia="仿宋" w:cs="仿宋"/>
                <w:color w:val="000000"/>
                <w:kern w:val="0"/>
                <w:sz w:val="28"/>
                <w:szCs w:val="28"/>
              </w:rPr>
            </w:pPr>
            <w:r>
              <w:rPr>
                <w:rFonts w:hint="eastAsia" w:ascii="仿宋" w:eastAsia="仿宋" w:cs="仿宋"/>
                <w:color w:val="000000"/>
                <w:kern w:val="0"/>
                <w:sz w:val="28"/>
                <w:szCs w:val="28"/>
              </w:rPr>
              <w:t>比预算增减比率（%）</w:t>
            </w:r>
          </w:p>
        </w:tc>
      </w:tr>
      <w:tr>
        <w:trPr>
          <w:trHeight w:val="616" w:hRule="atLeast"/>
        </w:trPr>
        <w:tc>
          <w:tcPr>
            <w:tcW w:w="2700"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pacing w:line="560" w:lineRule="exact"/>
              <w:ind w:hanging="552" w:hangingChars="200"/>
              <w:jc w:val="center"/>
              <w:rPr>
                <w:rFonts w:hint="eastAsia" w:ascii="仿宋" w:eastAsia="仿宋" w:cs="仿宋"/>
                <w:color w:val="000000"/>
                <w:kern w:val="0"/>
                <w:sz w:val="28"/>
                <w:szCs w:val="28"/>
              </w:rPr>
            </w:pPr>
            <w:r>
              <w:rPr>
                <w:rFonts w:hint="eastAsia" w:ascii="仿宋" w:eastAsia="仿宋" w:cs="仿宋"/>
                <w:color w:val="000000"/>
                <w:kern w:val="0"/>
                <w:sz w:val="28"/>
                <w:szCs w:val="28"/>
              </w:rPr>
              <w:t>公务接待费</w:t>
            </w:r>
          </w:p>
        </w:tc>
        <w:tc>
          <w:tcPr>
            <w:tcW w:w="1933"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pacing w:line="560" w:lineRule="exact"/>
              <w:ind w:hanging="552" w:hangingChars="200"/>
              <w:jc w:val="center"/>
              <w:textAlignment w:val="center"/>
              <w:rPr>
                <w:rFonts w:hint="default" w:ascii="仿宋" w:eastAsia="仿宋" w:cs="仿宋"/>
                <w:color w:val="000000"/>
                <w:kern w:val="0"/>
                <w:sz w:val="28"/>
                <w:szCs w:val="28"/>
                <w:lang w:val="en-US" w:eastAsia="zh-CN"/>
              </w:rPr>
            </w:pPr>
            <w:r>
              <w:rPr>
                <w:rFonts w:hint="eastAsia" w:ascii="仿宋" w:eastAsia="仿宋" w:cs="仿宋"/>
                <w:color w:val="000000"/>
                <w:kern w:val="0"/>
                <w:sz w:val="28"/>
                <w:szCs w:val="28"/>
                <w:lang w:val="en-US" w:eastAsia="zh-CN"/>
              </w:rPr>
              <w:t>4.48</w:t>
            </w:r>
          </w:p>
        </w:tc>
        <w:tc>
          <w:tcPr>
            <w:tcW w:w="2217"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pacing w:line="560" w:lineRule="exact"/>
              <w:ind w:hanging="552" w:hangingChars="200"/>
              <w:jc w:val="center"/>
              <w:textAlignment w:val="center"/>
              <w:rPr>
                <w:rFonts w:hint="default" w:ascii="仿宋" w:eastAsia="仿宋" w:cs="仿宋"/>
                <w:color w:val="000000"/>
                <w:kern w:val="0"/>
                <w:sz w:val="28"/>
                <w:szCs w:val="28"/>
                <w:lang w:val="en-US" w:eastAsia="zh-CN"/>
              </w:rPr>
            </w:pPr>
            <w:r>
              <w:rPr>
                <w:rFonts w:hint="eastAsia" w:ascii="仿宋" w:eastAsia="仿宋" w:cs="仿宋"/>
                <w:color w:val="000000"/>
                <w:kern w:val="0"/>
                <w:sz w:val="28"/>
                <w:szCs w:val="28"/>
                <w:lang w:val="en-US" w:eastAsia="zh-CN"/>
              </w:rPr>
              <w:t>11</w:t>
            </w:r>
          </w:p>
        </w:tc>
        <w:tc>
          <w:tcPr>
            <w:tcW w:w="2733"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pacing w:line="560" w:lineRule="exact"/>
              <w:ind w:hanging="552" w:hangingChars="200"/>
              <w:jc w:val="center"/>
              <w:textAlignment w:val="center"/>
              <w:rPr>
                <w:rFonts w:hint="default" w:ascii="仿宋" w:eastAsia="仿宋" w:cs="仿宋"/>
                <w:color w:val="000000"/>
                <w:kern w:val="0"/>
                <w:sz w:val="28"/>
                <w:szCs w:val="28"/>
                <w:lang w:val="en-US" w:eastAsia="zh-CN"/>
              </w:rPr>
            </w:pPr>
            <w:r>
              <w:rPr>
                <w:rFonts w:hint="eastAsia" w:ascii="仿宋" w:eastAsia="仿宋" w:cs="仿宋"/>
                <w:color w:val="000000"/>
                <w:kern w:val="0"/>
                <w:sz w:val="28"/>
                <w:szCs w:val="28"/>
                <w:lang w:val="en-US" w:eastAsia="zh-CN"/>
              </w:rPr>
              <w:t>-59.27</w:t>
            </w:r>
          </w:p>
        </w:tc>
      </w:tr>
      <w:tr>
        <w:trPr>
          <w:trHeight w:val="510" w:hRule="atLeast"/>
        </w:trPr>
        <w:tc>
          <w:tcPr>
            <w:tcW w:w="2700"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pacing w:line="560" w:lineRule="exact"/>
              <w:ind w:hanging="552" w:hangingChars="200"/>
              <w:jc w:val="center"/>
              <w:rPr>
                <w:rFonts w:hint="eastAsia" w:ascii="仿宋" w:eastAsia="仿宋" w:cs="仿宋"/>
                <w:color w:val="000000"/>
                <w:kern w:val="0"/>
                <w:sz w:val="28"/>
                <w:szCs w:val="28"/>
              </w:rPr>
            </w:pPr>
            <w:r>
              <w:rPr>
                <w:rFonts w:hint="eastAsia" w:ascii="仿宋" w:eastAsia="仿宋" w:cs="仿宋"/>
                <w:color w:val="000000"/>
                <w:kern w:val="0"/>
                <w:sz w:val="28"/>
                <w:szCs w:val="28"/>
              </w:rPr>
              <w:t>公务用车运行及购置</w:t>
            </w:r>
          </w:p>
        </w:tc>
        <w:tc>
          <w:tcPr>
            <w:tcW w:w="1933"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pacing w:line="560" w:lineRule="exact"/>
              <w:ind w:hanging="552" w:hangingChars="200"/>
              <w:jc w:val="center"/>
              <w:textAlignment w:val="center"/>
              <w:rPr>
                <w:rFonts w:hint="default" w:ascii="仿宋" w:eastAsia="仿宋" w:cs="仿宋"/>
                <w:color w:val="000000"/>
                <w:kern w:val="0"/>
                <w:sz w:val="28"/>
                <w:szCs w:val="28"/>
                <w:lang w:val="en-US" w:eastAsia="zh-CN"/>
              </w:rPr>
            </w:pPr>
            <w:r>
              <w:rPr>
                <w:rFonts w:hint="eastAsia" w:ascii="仿宋" w:eastAsia="仿宋" w:cs="仿宋"/>
                <w:color w:val="000000"/>
                <w:kern w:val="0"/>
                <w:sz w:val="28"/>
                <w:szCs w:val="28"/>
                <w:lang w:val="en-US" w:eastAsia="zh-CN"/>
              </w:rPr>
              <w:t>49.3</w:t>
            </w:r>
          </w:p>
        </w:tc>
        <w:tc>
          <w:tcPr>
            <w:tcW w:w="2217"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pacing w:line="560" w:lineRule="exact"/>
              <w:ind w:hanging="552" w:hangingChars="200"/>
              <w:jc w:val="center"/>
              <w:textAlignment w:val="center"/>
              <w:rPr>
                <w:rFonts w:hint="default" w:ascii="仿宋" w:eastAsia="仿宋" w:cs="仿宋"/>
                <w:color w:val="000000"/>
                <w:kern w:val="0"/>
                <w:sz w:val="28"/>
                <w:szCs w:val="28"/>
                <w:lang w:val="en-US" w:eastAsia="zh-CN"/>
              </w:rPr>
            </w:pPr>
            <w:r>
              <w:rPr>
                <w:rFonts w:hint="eastAsia" w:ascii="仿宋" w:eastAsia="仿宋" w:cs="仿宋"/>
                <w:color w:val="000000"/>
                <w:kern w:val="0"/>
                <w:sz w:val="28"/>
                <w:szCs w:val="28"/>
                <w:lang w:val="en-US" w:eastAsia="zh-CN"/>
              </w:rPr>
              <w:t>49.5</w:t>
            </w:r>
          </w:p>
        </w:tc>
        <w:tc>
          <w:tcPr>
            <w:tcW w:w="2733"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pacing w:line="560" w:lineRule="exact"/>
              <w:ind w:hanging="552" w:hangingChars="200"/>
              <w:jc w:val="center"/>
              <w:textAlignment w:val="center"/>
              <w:rPr>
                <w:rFonts w:hint="default" w:ascii="仿宋" w:eastAsia="仿宋" w:cs="仿宋"/>
                <w:color w:val="000000"/>
                <w:kern w:val="0"/>
                <w:sz w:val="28"/>
                <w:szCs w:val="28"/>
                <w:lang w:val="en-US" w:eastAsia="zh-CN"/>
              </w:rPr>
            </w:pPr>
            <w:r>
              <w:rPr>
                <w:rFonts w:hint="eastAsia" w:ascii="仿宋" w:eastAsia="仿宋" w:cs="仿宋"/>
                <w:color w:val="000000"/>
                <w:kern w:val="0"/>
                <w:sz w:val="28"/>
                <w:szCs w:val="28"/>
                <w:lang w:val="en-US" w:eastAsia="zh-CN"/>
              </w:rPr>
              <w:t>-0.4</w:t>
            </w:r>
          </w:p>
        </w:tc>
      </w:tr>
      <w:tr>
        <w:tblPrEx>
          <w:tblCellMar>
            <w:top w:w="0" w:type="dxa"/>
            <w:left w:w="108" w:type="dxa"/>
            <w:bottom w:w="0" w:type="dxa"/>
            <w:right w:w="108" w:type="dxa"/>
          </w:tblCellMar>
        </w:tblPrEx>
        <w:trPr>
          <w:trHeight w:val="510" w:hRule="atLeast"/>
        </w:trPr>
        <w:tc>
          <w:tcPr>
            <w:tcW w:w="2700"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pacing w:line="560" w:lineRule="exact"/>
              <w:ind w:hanging="552" w:hangingChars="200"/>
              <w:jc w:val="center"/>
              <w:rPr>
                <w:rFonts w:hint="eastAsia" w:ascii="仿宋" w:eastAsia="仿宋" w:cs="仿宋"/>
                <w:b/>
                <w:bCs/>
                <w:color w:val="000000"/>
                <w:kern w:val="0"/>
                <w:sz w:val="28"/>
                <w:szCs w:val="28"/>
                <w:lang w:eastAsia="zh-CN"/>
              </w:rPr>
            </w:pPr>
            <w:r>
              <w:rPr>
                <w:rFonts w:hint="eastAsia" w:ascii="仿宋" w:eastAsia="仿宋" w:cs="仿宋"/>
                <w:b/>
                <w:bCs/>
                <w:color w:val="000000"/>
                <w:kern w:val="0"/>
                <w:sz w:val="28"/>
                <w:szCs w:val="28"/>
                <w:lang w:eastAsia="zh-CN"/>
              </w:rPr>
              <w:t>合计</w:t>
            </w:r>
          </w:p>
        </w:tc>
        <w:tc>
          <w:tcPr>
            <w:tcW w:w="1933"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tabs>
                <w:tab w:val="center" w:pos="652"/>
                <w:tab w:val="right" w:pos="1186"/>
              </w:tabs>
              <w:kinsoku/>
              <w:wordWrap/>
              <w:overflowPunct/>
              <w:topLinePunct w:val="0"/>
              <w:autoSpaceDE/>
              <w:autoSpaceDN/>
              <w:bidi w:val="0"/>
              <w:adjustRightInd/>
              <w:spacing w:line="560" w:lineRule="exact"/>
              <w:ind w:firstLine="552" w:firstLineChars="200"/>
              <w:jc w:val="both"/>
              <w:textAlignment w:val="center"/>
              <w:rPr>
                <w:rFonts w:hint="default" w:ascii="仿宋" w:eastAsia="仿宋" w:cs="仿宋"/>
                <w:b/>
                <w:bCs/>
                <w:color w:val="000000"/>
                <w:kern w:val="0"/>
                <w:sz w:val="28"/>
                <w:szCs w:val="28"/>
                <w:lang w:val="en-US" w:eastAsia="zh-CN"/>
              </w:rPr>
            </w:pPr>
            <w:r>
              <w:rPr>
                <w:rFonts w:hint="eastAsia" w:ascii="仿宋" w:eastAsia="仿宋" w:cs="仿宋"/>
                <w:b/>
                <w:bCs/>
                <w:color w:val="000000"/>
                <w:kern w:val="0"/>
                <w:sz w:val="28"/>
                <w:szCs w:val="28"/>
                <w:lang w:val="en-US" w:eastAsia="zh-CN"/>
              </w:rPr>
              <w:t>53.78</w:t>
            </w:r>
          </w:p>
        </w:tc>
        <w:tc>
          <w:tcPr>
            <w:tcW w:w="2217"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pacing w:line="560" w:lineRule="exact"/>
              <w:ind w:hanging="552" w:hangingChars="200"/>
              <w:jc w:val="center"/>
              <w:textAlignment w:val="center"/>
              <w:rPr>
                <w:rFonts w:hint="default" w:ascii="仿宋" w:eastAsia="仿宋" w:cs="仿宋"/>
                <w:b/>
                <w:bCs/>
                <w:color w:val="000000"/>
                <w:kern w:val="0"/>
                <w:sz w:val="28"/>
                <w:szCs w:val="28"/>
                <w:lang w:val="en-US" w:eastAsia="zh-CN"/>
              </w:rPr>
            </w:pPr>
            <w:r>
              <w:rPr>
                <w:rFonts w:hint="eastAsia" w:ascii="仿宋" w:eastAsia="仿宋" w:cs="仿宋"/>
                <w:b/>
                <w:bCs/>
                <w:color w:val="000000"/>
                <w:kern w:val="0"/>
                <w:sz w:val="28"/>
                <w:szCs w:val="28"/>
                <w:lang w:val="en-US" w:eastAsia="zh-CN"/>
              </w:rPr>
              <w:t>60.5</w:t>
            </w:r>
          </w:p>
        </w:tc>
        <w:tc>
          <w:tcPr>
            <w:tcW w:w="2733"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pacing w:line="560" w:lineRule="exact"/>
              <w:ind w:hanging="552" w:hangingChars="200"/>
              <w:jc w:val="center"/>
              <w:textAlignment w:val="center"/>
              <w:rPr>
                <w:rFonts w:hint="default" w:ascii="仿宋" w:hAnsi="仿宋" w:eastAsia="仿宋" w:cs="仿宋"/>
                <w:color w:val="FF0000"/>
                <w:sz w:val="28"/>
                <w:szCs w:val="28"/>
                <w:lang w:val="en-US" w:eastAsia="zh-CN"/>
              </w:rPr>
            </w:pPr>
            <w:r>
              <w:rPr>
                <w:rFonts w:hint="eastAsia" w:ascii="仿宋" w:hAnsi="仿宋" w:eastAsia="仿宋" w:cs="仿宋"/>
                <w:b/>
                <w:bCs/>
                <w:color w:val="auto"/>
                <w:sz w:val="28"/>
                <w:szCs w:val="28"/>
                <w:lang w:val="en-US" w:eastAsia="zh-CN"/>
              </w:rPr>
              <w:t>-11.11</w:t>
            </w:r>
          </w:p>
        </w:tc>
      </w:tr>
    </w:tbl>
    <w:p>
      <w:pPr>
        <w:keepNext w:val="0"/>
        <w:keepLines w:val="0"/>
        <w:pageBreakBefore w:val="0"/>
        <w:widowControl/>
        <w:numPr>
          <w:ilvl w:val="0"/>
          <w:numId w:val="0"/>
        </w:numPr>
        <w:kinsoku/>
        <w:wordWrap/>
        <w:overflowPunct/>
        <w:topLinePunct w:val="0"/>
        <w:autoSpaceDE/>
        <w:autoSpaceDN/>
        <w:bidi w:val="0"/>
        <w:adjustRightInd/>
        <w:spacing w:line="560" w:lineRule="exact"/>
        <w:ind w:firstLine="632"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2.</w:t>
      </w:r>
      <w:r>
        <w:rPr>
          <w:rFonts w:hint="eastAsia" w:ascii="楷体_GB2312" w:hAnsi="楷体_GB2312" w:eastAsia="楷体_GB2312" w:cs="楷体_GB2312"/>
          <w:sz w:val="32"/>
          <w:szCs w:val="32"/>
        </w:rPr>
        <w:t>项目支出情况</w:t>
      </w:r>
    </w:p>
    <w:p>
      <w:pPr>
        <w:keepNext w:val="0"/>
        <w:keepLines w:val="0"/>
        <w:pageBreakBefore w:val="0"/>
        <w:widowControl/>
        <w:numPr>
          <w:ilvl w:val="0"/>
          <w:numId w:val="0"/>
        </w:numPr>
        <w:kinsoku/>
        <w:wordWrap/>
        <w:overflowPunct/>
        <w:topLinePunct w:val="0"/>
        <w:autoSpaceDE/>
        <w:autoSpaceDN/>
        <w:bidi w:val="0"/>
        <w:adjustRightInd/>
        <w:spacing w:line="560" w:lineRule="exact"/>
        <w:ind w:firstLine="632"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一般公共预算项目支出11461.56万元，其中留置看护专项及辅警专项经费项目4755.96万元，转移支付办案费及装备费项目1474万元，公安基础设施建设项目3952.48万元，社会化禁毒专项130.96万元，十五届省运会筹备专项550万元，其他项目支出598.16万元。</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从整体情况来看，我局在支出过程中，能遵守各项财务规章制度，严格控制费用开支，项目支出均下达了使用计划，基本按计划组织实施，并加强了监督，达到了节约、高效的支出目标。</w:t>
      </w:r>
    </w:p>
    <w:p>
      <w:pPr>
        <w:pStyle w:val="16"/>
        <w:keepNext w:val="0"/>
        <w:keepLines w:val="0"/>
        <w:pageBreakBefore w:val="0"/>
        <w:kinsoku/>
        <w:wordWrap/>
        <w:overflowPunct/>
        <w:topLinePunct w:val="0"/>
        <w:autoSpaceDE/>
        <w:autoSpaceDN/>
        <w:bidi w:val="0"/>
        <w:adjustRightInd/>
        <w:spacing w:line="560" w:lineRule="exact"/>
        <w:ind w:left="622" w:leftChars="197" w:firstLine="0" w:firstLineChars="0"/>
        <w:rPr>
          <w:rFonts w:ascii="Times New Roman" w:hAnsi="Times New Roman" w:eastAsia="黑体"/>
          <w:sz w:val="32"/>
          <w:szCs w:val="32"/>
        </w:rPr>
      </w:pPr>
      <w:r>
        <w:rPr>
          <w:rFonts w:ascii="Times New Roman" w:hAnsi="Times New Roman" w:eastAsia="黑体"/>
          <w:sz w:val="32"/>
          <w:szCs w:val="32"/>
        </w:rPr>
        <w:t>三、政府性基金预算支出情况</w:t>
      </w:r>
    </w:p>
    <w:p>
      <w:pPr>
        <w:keepNext w:val="0"/>
        <w:keepLines w:val="0"/>
        <w:pageBreakBefore w:val="0"/>
        <w:kinsoku/>
        <w:wordWrap/>
        <w:overflowPunct/>
        <w:topLinePunct w:val="0"/>
        <w:autoSpaceDE/>
        <w:autoSpaceDN/>
        <w:bidi w:val="0"/>
        <w:adjustRightInd/>
        <w:spacing w:line="560" w:lineRule="exact"/>
        <w:ind w:left="622" w:leftChars="197"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本单位无政府性基金预算支出。</w:t>
      </w:r>
    </w:p>
    <w:p>
      <w:pPr>
        <w:pStyle w:val="16"/>
        <w:keepNext w:val="0"/>
        <w:keepLines w:val="0"/>
        <w:pageBreakBefore w:val="0"/>
        <w:kinsoku/>
        <w:wordWrap/>
        <w:overflowPunct/>
        <w:topLinePunct w:val="0"/>
        <w:autoSpaceDE/>
        <w:autoSpaceDN/>
        <w:bidi w:val="0"/>
        <w:adjustRightInd/>
        <w:spacing w:line="560" w:lineRule="exact"/>
        <w:ind w:left="622" w:leftChars="197" w:firstLine="0" w:firstLineChars="0"/>
        <w:rPr>
          <w:rFonts w:ascii="Times New Roman" w:hAnsi="Times New Roman" w:eastAsia="黑体"/>
          <w:sz w:val="32"/>
          <w:szCs w:val="32"/>
        </w:rPr>
      </w:pPr>
      <w:r>
        <w:rPr>
          <w:rFonts w:ascii="Times New Roman" w:hAnsi="Times New Roman" w:eastAsia="黑体"/>
          <w:sz w:val="32"/>
          <w:szCs w:val="32"/>
        </w:rPr>
        <w:t>四、国有资本经营预算支出情况</w:t>
      </w:r>
    </w:p>
    <w:p>
      <w:pPr>
        <w:keepNext w:val="0"/>
        <w:keepLines w:val="0"/>
        <w:pageBreakBefore w:val="0"/>
        <w:kinsoku/>
        <w:wordWrap/>
        <w:overflowPunct/>
        <w:topLinePunct w:val="0"/>
        <w:autoSpaceDE/>
        <w:autoSpaceDN/>
        <w:bidi w:val="0"/>
        <w:adjustRightInd/>
        <w:spacing w:line="560" w:lineRule="exact"/>
        <w:ind w:left="622" w:leftChars="197"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本单位无国有资本经营预算支出。</w:t>
      </w:r>
    </w:p>
    <w:p>
      <w:pPr>
        <w:pStyle w:val="16"/>
        <w:keepNext w:val="0"/>
        <w:keepLines w:val="0"/>
        <w:pageBreakBefore w:val="0"/>
        <w:kinsoku/>
        <w:wordWrap/>
        <w:overflowPunct/>
        <w:topLinePunct w:val="0"/>
        <w:autoSpaceDE/>
        <w:autoSpaceDN/>
        <w:bidi w:val="0"/>
        <w:adjustRightInd/>
        <w:spacing w:line="560" w:lineRule="exact"/>
        <w:ind w:left="622" w:leftChars="197" w:firstLine="0" w:firstLineChars="0"/>
        <w:rPr>
          <w:rFonts w:ascii="Times New Roman" w:hAnsi="Times New Roman" w:eastAsia="黑体"/>
          <w:sz w:val="32"/>
          <w:szCs w:val="32"/>
        </w:rPr>
      </w:pPr>
      <w:r>
        <w:rPr>
          <w:rFonts w:ascii="Times New Roman" w:hAnsi="Times New Roman" w:eastAsia="黑体"/>
          <w:sz w:val="32"/>
          <w:szCs w:val="32"/>
        </w:rPr>
        <w:t>五、社会保险基金预算支出情况</w:t>
      </w:r>
    </w:p>
    <w:p>
      <w:pPr>
        <w:keepNext w:val="0"/>
        <w:keepLines w:val="0"/>
        <w:pageBreakBefore w:val="0"/>
        <w:kinsoku/>
        <w:wordWrap/>
        <w:overflowPunct/>
        <w:topLinePunct w:val="0"/>
        <w:autoSpaceDE/>
        <w:autoSpaceDN/>
        <w:bidi w:val="0"/>
        <w:adjustRightInd/>
        <w:spacing w:line="560" w:lineRule="exact"/>
        <w:ind w:left="622" w:leftChars="197"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本单位无社会保险基金预算支出。</w:t>
      </w:r>
    </w:p>
    <w:p>
      <w:pPr>
        <w:keepNext w:val="0"/>
        <w:keepLines w:val="0"/>
        <w:pageBreakBefore w:val="0"/>
        <w:kinsoku/>
        <w:wordWrap/>
        <w:overflowPunct/>
        <w:topLinePunct w:val="0"/>
        <w:autoSpaceDE/>
        <w:autoSpaceDN/>
        <w:bidi w:val="0"/>
        <w:adjustRightInd/>
        <w:spacing w:line="560" w:lineRule="exact"/>
        <w:ind w:left="622" w:leftChars="197" w:firstLine="0" w:firstLineChars="0"/>
        <w:rPr>
          <w:rFonts w:eastAsia="黑体"/>
          <w:sz w:val="32"/>
          <w:szCs w:val="32"/>
        </w:rPr>
      </w:pPr>
      <w:r>
        <w:rPr>
          <w:rFonts w:hint="eastAsia" w:eastAsia="黑体"/>
          <w:sz w:val="32"/>
          <w:szCs w:val="32"/>
        </w:rPr>
        <w:t>六</w:t>
      </w:r>
      <w:r>
        <w:rPr>
          <w:rFonts w:eastAsia="黑体"/>
          <w:sz w:val="32"/>
          <w:szCs w:val="32"/>
        </w:rPr>
        <w:t>、部门整体支出绩效情况</w:t>
      </w:r>
    </w:p>
    <w:p>
      <w:pPr>
        <w:keepNext w:val="0"/>
        <w:keepLines w:val="0"/>
        <w:pageBreakBefore w:val="0"/>
        <w:kinsoku/>
        <w:wordWrap/>
        <w:overflowPunct/>
        <w:topLinePunct w:val="0"/>
        <w:autoSpaceDE/>
        <w:autoSpaceDN/>
        <w:bidi w:val="0"/>
        <w:adjustRightInd/>
        <w:spacing w:line="560" w:lineRule="exact"/>
        <w:ind w:left="622" w:leftChars="197" w:firstLine="0" w:firstLineChars="0"/>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（一）绩效评价目的</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此次绩效评价的目的是：严格落实《预算法》及省、市绩效管理工作的有关规定，进一步规范财政资金的管理，强化财政支出绩效理念，提升部门责任意识，提高资金使用效益。</w:t>
      </w:r>
    </w:p>
    <w:p>
      <w:pPr>
        <w:keepNext w:val="0"/>
        <w:keepLines w:val="0"/>
        <w:pageBreakBefore w:val="0"/>
        <w:kinsoku/>
        <w:wordWrap/>
        <w:overflowPunct/>
        <w:topLinePunct w:val="0"/>
        <w:autoSpaceDE/>
        <w:autoSpaceDN/>
        <w:bidi w:val="0"/>
        <w:adjustRightInd/>
        <w:spacing w:line="560" w:lineRule="exact"/>
        <w:ind w:left="622" w:leftChars="197" w:firstLine="0" w:firstLineChars="0"/>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（二）绩效评价目标</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 w:hAnsi="仿宋" w:eastAsia="仿宋" w:cs="宋体"/>
          <w:kern w:val="0"/>
          <w:sz w:val="32"/>
          <w:szCs w:val="32"/>
        </w:rPr>
      </w:pPr>
      <w:r>
        <w:rPr>
          <w:rFonts w:hint="eastAsia" w:ascii="仿宋" w:hAnsi="仿宋" w:eastAsia="仿宋"/>
          <w:sz w:val="32"/>
          <w:szCs w:val="32"/>
        </w:rPr>
        <w:t>整体绩效目标：</w:t>
      </w:r>
      <w:r>
        <w:rPr>
          <w:rFonts w:hint="eastAsia" w:ascii="仿宋" w:hAnsi="仿宋" w:eastAsia="仿宋" w:cs="宋体"/>
          <w:kern w:val="0"/>
          <w:sz w:val="32"/>
          <w:szCs w:val="32"/>
        </w:rPr>
        <w:t>坚决守住“</w:t>
      </w:r>
      <w:r>
        <w:rPr>
          <w:rFonts w:hint="eastAsia" w:ascii="仿宋" w:hAnsi="仿宋" w:eastAsia="仿宋" w:cs="宋体"/>
          <w:kern w:val="0"/>
          <w:sz w:val="32"/>
          <w:szCs w:val="32"/>
          <w:lang w:eastAsia="zh-CN"/>
        </w:rPr>
        <w:t>八</w:t>
      </w:r>
      <w:r>
        <w:rPr>
          <w:rFonts w:hint="eastAsia" w:ascii="仿宋" w:hAnsi="仿宋" w:eastAsia="仿宋" w:cs="宋体"/>
          <w:kern w:val="0"/>
          <w:sz w:val="32"/>
          <w:szCs w:val="32"/>
        </w:rPr>
        <w:t>个不发生”，确保社会大局平安稳定，全力维护社会治安秩序，全力维护公共安全，全力维护国家安全，依法管理公共信息网络的安全监察工作，打击信息网络违法犯罪。规范执法流程，加强民警教育培训，确保办案程序合法，执法公平公正。严格按财经纪律，规章制度执行物资采购和后勤保障工作，强化财政支出绩效理念，提高资金使用效益。</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 w:hAnsi="仿宋" w:eastAsia="仿宋"/>
          <w:sz w:val="32"/>
          <w:szCs w:val="32"/>
        </w:rPr>
      </w:pPr>
      <w:r>
        <w:rPr>
          <w:rFonts w:hint="eastAsia" w:ascii="仿宋" w:hAnsi="仿宋" w:eastAsia="仿宋"/>
          <w:sz w:val="32"/>
          <w:szCs w:val="32"/>
        </w:rPr>
        <w:t>预决算公开</w:t>
      </w:r>
      <w:r>
        <w:rPr>
          <w:rFonts w:hint="eastAsia" w:ascii="仿宋" w:hAnsi="仿宋" w:eastAsia="仿宋"/>
          <w:b/>
          <w:sz w:val="32"/>
          <w:szCs w:val="32"/>
        </w:rPr>
        <w:t>：</w:t>
      </w: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年，按照上级的要求，我局在益阳市政府门户网站上进行了预决算公开。</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 w:hAnsi="仿宋" w:eastAsia="仿宋"/>
          <w:sz w:val="32"/>
          <w:szCs w:val="32"/>
        </w:rPr>
      </w:pPr>
      <w:r>
        <w:rPr>
          <w:rFonts w:hint="eastAsia" w:ascii="仿宋" w:hAnsi="仿宋" w:eastAsia="仿宋"/>
          <w:sz w:val="32"/>
          <w:szCs w:val="32"/>
        </w:rPr>
        <w:t>资产管理：为进一步加强资产的管理，我局制定了《益阳市公安局国有资产管理制度》《益阳市公安局警用装备管理制度》等，明确了具体责任人，对资产购置登记、领用、到期报废等手续做了相关规定。</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 w:hAnsi="仿宋" w:eastAsia="仿宋"/>
          <w:sz w:val="32"/>
          <w:szCs w:val="32"/>
        </w:rPr>
      </w:pPr>
      <w:r>
        <w:rPr>
          <w:rFonts w:hint="eastAsia" w:ascii="仿宋" w:hAnsi="仿宋" w:eastAsia="仿宋"/>
          <w:sz w:val="32"/>
          <w:szCs w:val="32"/>
        </w:rPr>
        <w:t>内部管理制度建设情况：近年来，我局相继健全并更新完善了《益阳市公安局机关财务管理规定》《益阳市公安局费用报销会审联签制度》《项目建设专项资金管理规定》《益阳市公安局公车管理办法》《益阳市公安局国有资产管理制度》等一系列内部管理制度。</w:t>
      </w:r>
    </w:p>
    <w:p>
      <w:pPr>
        <w:keepNext w:val="0"/>
        <w:keepLines w:val="0"/>
        <w:pageBreakBefore w:val="0"/>
        <w:widowControl/>
        <w:kinsoku/>
        <w:wordWrap/>
        <w:overflowPunct/>
        <w:topLinePunct w:val="0"/>
        <w:autoSpaceDE/>
        <w:autoSpaceDN/>
        <w:bidi w:val="0"/>
        <w:adjustRightInd/>
        <w:spacing w:line="560" w:lineRule="exact"/>
        <w:ind w:firstLine="632" w:firstLineChars="200"/>
        <w:rPr>
          <w:rFonts w:hint="eastAsia" w:ascii="仿宋" w:hAnsi="仿宋" w:eastAsia="仿宋"/>
          <w:sz w:val="32"/>
          <w:szCs w:val="32"/>
        </w:rPr>
      </w:pPr>
      <w:r>
        <w:rPr>
          <w:rFonts w:hint="eastAsia" w:ascii="仿宋" w:hAnsi="仿宋" w:eastAsia="仿宋"/>
          <w:sz w:val="32"/>
          <w:szCs w:val="32"/>
        </w:rPr>
        <w:t>项目绩效总目标完成情况：202</w:t>
      </w:r>
      <w:r>
        <w:rPr>
          <w:rFonts w:hint="eastAsia" w:ascii="仿宋" w:hAnsi="仿宋" w:eastAsia="仿宋"/>
          <w:sz w:val="32"/>
          <w:szCs w:val="32"/>
          <w:lang w:val="en-US" w:eastAsia="zh-CN"/>
        </w:rPr>
        <w:t>5</w:t>
      </w:r>
      <w:r>
        <w:rPr>
          <w:rFonts w:hint="eastAsia" w:ascii="仿宋" w:hAnsi="仿宋" w:eastAsia="仿宋"/>
          <w:sz w:val="32"/>
          <w:szCs w:val="32"/>
        </w:rPr>
        <w:t>年，我局项目绩效目标完成良好。坚决捍卫了国家安全，维护了全市社会大局平稳，巩固了社会治安秩序持续向好态势，为我市各项建设营造了安全稳定的社会环境。各项项目费用支出严格按规章制度、财经纪律执行，强化财政支出绩效理念，提高资金使用效益。</w:t>
      </w:r>
    </w:p>
    <w:p>
      <w:pPr>
        <w:keepNext w:val="0"/>
        <w:keepLines w:val="0"/>
        <w:pageBreakBefore w:val="0"/>
        <w:kinsoku/>
        <w:wordWrap/>
        <w:overflowPunct/>
        <w:topLinePunct w:val="0"/>
        <w:autoSpaceDE/>
        <w:autoSpaceDN/>
        <w:bidi w:val="0"/>
        <w:adjustRightInd/>
        <w:spacing w:line="560" w:lineRule="exact"/>
        <w:ind w:left="622" w:leftChars="197" w:firstLine="0" w:firstLineChars="0"/>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（三）绩效评价的主要过程</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 w:hAnsi="仿宋" w:eastAsia="仿宋"/>
          <w:sz w:val="32"/>
          <w:szCs w:val="32"/>
        </w:rPr>
      </w:pPr>
      <w:r>
        <w:rPr>
          <w:rFonts w:hint="eastAsia" w:ascii="仿宋" w:hAnsi="仿宋" w:eastAsia="仿宋"/>
          <w:sz w:val="32"/>
          <w:szCs w:val="32"/>
        </w:rPr>
        <w:t>根据绩效评价的要求，我局成立了自评工作领导小组，对照自评方案进行研究和布署，我局领导及相关部门全程参与，按照自评方案的要求，对照各实施项目的内容逐条逐项自评。在自评过程发现问题，查找原因，积极整改，为下一步工作夯实基础。</w:t>
      </w:r>
    </w:p>
    <w:p>
      <w:pPr>
        <w:keepNext w:val="0"/>
        <w:keepLines w:val="0"/>
        <w:pageBreakBefore w:val="0"/>
        <w:kinsoku/>
        <w:wordWrap/>
        <w:overflowPunct/>
        <w:topLinePunct w:val="0"/>
        <w:autoSpaceDE/>
        <w:autoSpaceDN/>
        <w:bidi w:val="0"/>
        <w:adjustRightInd/>
        <w:spacing w:line="560" w:lineRule="exact"/>
        <w:ind w:left="622" w:leftChars="197" w:firstLine="0" w:firstLineChars="0"/>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（四）主要绩效及评价结论</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Times New Roman" w:hAnsi="Times New Roman" w:eastAsia="仿宋_GB2312" w:cs="Times New Roman"/>
          <w:color w:val="auto"/>
          <w:spacing w:val="10"/>
          <w:sz w:val="32"/>
          <w:szCs w:val="32"/>
          <w:shd w:val="clear" w:color="auto" w:fill="FFFFFF"/>
        </w:rPr>
      </w:pPr>
      <w:r>
        <w:rPr>
          <w:rFonts w:hint="eastAsia" w:ascii="仿宋" w:hAnsi="仿宋" w:eastAsia="仿宋"/>
          <w:sz w:val="32"/>
          <w:szCs w:val="32"/>
        </w:rPr>
        <w:t>一年来，全市公安机关在市委市政府和省公安厅的正确领导下，</w:t>
      </w:r>
      <w:r>
        <w:rPr>
          <w:rFonts w:hint="eastAsia" w:ascii="Times New Roman" w:hAnsi="Times New Roman" w:eastAsia="仿宋_GB2312" w:cs="Times New Roman"/>
          <w:spacing w:val="10"/>
          <w:sz w:val="32"/>
          <w:szCs w:val="32"/>
        </w:rPr>
        <w:t>全市公安机关牢牢把握新时代公安工作“五大关系”，聚焦“五大任务”，强化“五大保障”，认真落实“新质战斗力提升年”和“教育整顿深化年”行动部署，</w:t>
      </w:r>
      <w:r>
        <w:rPr>
          <w:rFonts w:hint="eastAsia" w:ascii="Times New Roman" w:hAnsi="Times New Roman" w:eastAsia="仿宋_GB2312" w:cs="Times New Roman"/>
          <w:color w:val="auto"/>
          <w:spacing w:val="10"/>
          <w:sz w:val="32"/>
          <w:szCs w:val="32"/>
          <w:shd w:val="clear" w:color="auto" w:fill="FFFFFF"/>
        </w:rPr>
        <w:t>全力以赴防风险、护稳定、促发展</w:t>
      </w:r>
      <w:r>
        <w:rPr>
          <w:rFonts w:hint="eastAsia" w:ascii="Times New Roman" w:hAnsi="Times New Roman" w:eastAsia="仿宋_GB2312" w:cs="Times New Roman"/>
          <w:color w:val="auto"/>
          <w:spacing w:val="10"/>
          <w:sz w:val="32"/>
          <w:szCs w:val="32"/>
          <w:shd w:val="clear" w:color="auto" w:fill="FFFFFF"/>
          <w:lang w:eastAsia="zh-CN"/>
        </w:rPr>
        <w:t>，</w:t>
      </w:r>
      <w:r>
        <w:rPr>
          <w:rFonts w:hint="eastAsia" w:ascii="Times New Roman" w:hAnsi="Times New Roman" w:eastAsia="仿宋_GB2312" w:cs="Times New Roman"/>
          <w:color w:val="auto"/>
          <w:spacing w:val="10"/>
          <w:sz w:val="32"/>
          <w:szCs w:val="32"/>
          <w:shd w:val="clear" w:color="auto" w:fill="FFFFFF"/>
        </w:rPr>
        <w:t>牢牢守住了“八个不发生”工作底线，有力确保全市社会大局持续稳定。</w:t>
      </w:r>
    </w:p>
    <w:p>
      <w:pPr>
        <w:keepNext w:val="0"/>
        <w:keepLines w:val="0"/>
        <w:pageBreakBefore w:val="0"/>
        <w:kinsoku/>
        <w:wordWrap/>
        <w:overflowPunct/>
        <w:topLinePunct w:val="0"/>
        <w:autoSpaceDE/>
        <w:autoSpaceDN/>
        <w:bidi w:val="0"/>
        <w:adjustRightInd/>
        <w:spacing w:line="560" w:lineRule="exact"/>
        <w:ind w:firstLine="672" w:firstLineChars="200"/>
        <w:rPr>
          <w:rFonts w:hint="eastAsia" w:ascii="Times New Roman" w:hAnsi="Times New Roman" w:eastAsia="仿宋_GB2312" w:cs="Times New Roman"/>
          <w:spacing w:val="10"/>
          <w:sz w:val="32"/>
          <w:szCs w:val="32"/>
        </w:rPr>
      </w:pPr>
      <w:r>
        <w:rPr>
          <w:rFonts w:hint="eastAsia" w:ascii="Times New Roman" w:hAnsi="Times New Roman" w:eastAsia="仿宋_GB2312" w:cs="Times New Roman"/>
          <w:spacing w:val="10"/>
          <w:sz w:val="32"/>
          <w:szCs w:val="32"/>
        </w:rPr>
        <w:t>1.经济性分析</w:t>
      </w:r>
    </w:p>
    <w:p>
      <w:pPr>
        <w:keepNext w:val="0"/>
        <w:keepLines w:val="0"/>
        <w:pageBreakBefore w:val="0"/>
        <w:kinsoku/>
        <w:wordWrap/>
        <w:overflowPunct/>
        <w:topLinePunct w:val="0"/>
        <w:autoSpaceDE/>
        <w:autoSpaceDN/>
        <w:bidi w:val="0"/>
        <w:adjustRightInd/>
        <w:spacing w:line="560" w:lineRule="exact"/>
        <w:ind w:firstLine="672" w:firstLineChars="200"/>
        <w:rPr>
          <w:rFonts w:hint="eastAsia" w:ascii="Times New Roman" w:hAnsi="Times New Roman" w:eastAsia="仿宋_GB2312" w:cs="Times New Roman"/>
          <w:spacing w:val="10"/>
          <w:sz w:val="32"/>
          <w:szCs w:val="32"/>
        </w:rPr>
      </w:pPr>
      <w:r>
        <w:rPr>
          <w:rFonts w:hint="eastAsia" w:ascii="Times New Roman" w:hAnsi="Times New Roman" w:eastAsia="仿宋_GB2312" w:cs="Times New Roman"/>
          <w:spacing w:val="10"/>
          <w:sz w:val="32"/>
          <w:szCs w:val="32"/>
        </w:rPr>
        <w:t>中心城区社会治安管理工作成本控制在预算内，资金分配符合相关管理办法，分配结果公平合理。</w:t>
      </w:r>
    </w:p>
    <w:p>
      <w:pPr>
        <w:keepNext w:val="0"/>
        <w:keepLines w:val="0"/>
        <w:pageBreakBefore w:val="0"/>
        <w:kinsoku/>
        <w:wordWrap/>
        <w:overflowPunct/>
        <w:topLinePunct w:val="0"/>
        <w:autoSpaceDE/>
        <w:autoSpaceDN/>
        <w:bidi w:val="0"/>
        <w:adjustRightInd/>
        <w:spacing w:line="560" w:lineRule="exact"/>
        <w:ind w:firstLine="672" w:firstLineChars="200"/>
        <w:rPr>
          <w:rFonts w:hint="eastAsia" w:ascii="Times New Roman" w:hAnsi="Times New Roman" w:eastAsia="仿宋_GB2312" w:cs="Times New Roman"/>
          <w:spacing w:val="10"/>
          <w:sz w:val="32"/>
          <w:szCs w:val="32"/>
        </w:rPr>
      </w:pPr>
      <w:r>
        <w:rPr>
          <w:rFonts w:hint="eastAsia" w:ascii="Times New Roman" w:hAnsi="Times New Roman" w:eastAsia="仿宋_GB2312" w:cs="Times New Roman"/>
          <w:spacing w:val="10"/>
          <w:sz w:val="32"/>
          <w:szCs w:val="32"/>
        </w:rPr>
        <w:t>2.效率性分析</w:t>
      </w:r>
    </w:p>
    <w:p>
      <w:pPr>
        <w:keepNext w:val="0"/>
        <w:keepLines w:val="0"/>
        <w:pageBreakBefore w:val="0"/>
        <w:kinsoku/>
        <w:wordWrap/>
        <w:overflowPunct/>
        <w:topLinePunct w:val="0"/>
        <w:autoSpaceDE/>
        <w:autoSpaceDN/>
        <w:bidi w:val="0"/>
        <w:adjustRightInd/>
        <w:spacing w:line="560" w:lineRule="exact"/>
        <w:ind w:firstLine="672" w:firstLineChars="200"/>
        <w:rPr>
          <w:rFonts w:hint="eastAsia" w:ascii="Times New Roman" w:hAnsi="Times New Roman" w:eastAsia="仿宋_GB2312" w:cs="Times New Roman"/>
          <w:spacing w:val="10"/>
          <w:sz w:val="32"/>
          <w:szCs w:val="32"/>
        </w:rPr>
      </w:pPr>
      <w:r>
        <w:rPr>
          <w:rFonts w:hint="eastAsia" w:ascii="Times New Roman" w:hAnsi="Times New Roman" w:eastAsia="仿宋_GB2312" w:cs="Times New Roman"/>
          <w:spacing w:val="10"/>
          <w:sz w:val="32"/>
          <w:szCs w:val="32"/>
        </w:rPr>
        <w:t>（1）做强主责主业，违法犯罪打击有力</w:t>
      </w:r>
    </w:p>
    <w:p>
      <w:pPr>
        <w:keepNext w:val="0"/>
        <w:keepLines w:val="0"/>
        <w:pageBreakBefore w:val="0"/>
        <w:kinsoku/>
        <w:wordWrap/>
        <w:overflowPunct/>
        <w:topLinePunct w:val="0"/>
        <w:autoSpaceDE/>
        <w:autoSpaceDN/>
        <w:bidi w:val="0"/>
        <w:adjustRightInd/>
        <w:spacing w:line="560" w:lineRule="exact"/>
        <w:ind w:firstLine="672" w:firstLineChars="200"/>
        <w:rPr>
          <w:b w:val="0"/>
          <w:bCs w:val="0"/>
          <w:sz w:val="32"/>
          <w:szCs w:val="32"/>
        </w:rPr>
      </w:pPr>
      <w:r>
        <w:rPr>
          <w:rFonts w:hint="eastAsia" w:ascii="Times New Roman" w:hAnsi="Times New Roman" w:eastAsia="仿宋_GB2312" w:cs="Times New Roman"/>
          <w:spacing w:val="10"/>
          <w:sz w:val="32"/>
          <w:szCs w:val="32"/>
        </w:rPr>
        <w:t>一是常</w:t>
      </w:r>
      <w:r>
        <w:rPr>
          <w:rFonts w:hint="eastAsia" w:ascii="Times New Roman" w:hAnsi="Times New Roman" w:eastAsia="仿宋_GB2312" w:cs="Times New Roman"/>
          <w:b w:val="0"/>
          <w:bCs w:val="0"/>
          <w:spacing w:val="10"/>
          <w:sz w:val="32"/>
          <w:szCs w:val="32"/>
        </w:rPr>
        <w:t>态化开展扫黑除恶斗争。巩固扫黑除恶专项斗争成果，深入推进重点行业领域整治和“六霸”等突出黑恶犯罪打击行动。发案数同比下降58%，破案率达84.8%，专项斗争成效持续巩固。</w:t>
      </w:r>
      <w:r>
        <w:rPr>
          <w:rFonts w:hint="eastAsia" w:ascii="宋体" w:hAnsi="宋体" w:eastAsia="宋体" w:cs="宋体"/>
          <w:b w:val="0"/>
          <w:bCs w:val="0"/>
          <w:sz w:val="32"/>
          <w:szCs w:val="32"/>
        </w:rPr>
        <w:t>二</w:t>
      </w:r>
      <w:r>
        <w:rPr>
          <w:rFonts w:hint="eastAsia" w:ascii="Times New Roman" w:hAnsi="Times New Roman" w:eastAsia="楷体_GB2312" w:cs="Times New Roman"/>
          <w:b w:val="0"/>
          <w:bCs w:val="0"/>
          <w:spacing w:val="10"/>
          <w:sz w:val="32"/>
          <w:szCs w:val="32"/>
        </w:rPr>
        <w:t>是重拳打击电信网络诈骗犯罪</w:t>
      </w:r>
      <w:r>
        <w:rPr>
          <w:rFonts w:hint="eastAsia" w:ascii="Batang" w:hAnsi="Batang" w:eastAsia="Batang"/>
          <w:b w:val="0"/>
          <w:bCs w:val="0"/>
          <w:sz w:val="32"/>
          <w:szCs w:val="32"/>
        </w:rPr>
        <w:t>。</w:t>
      </w:r>
      <w:r>
        <w:rPr>
          <w:rFonts w:hint="eastAsia" w:ascii="Times New Roman" w:hAnsi="Times New Roman" w:eastAsia="仿宋_GB2312" w:cs="Times New Roman"/>
          <w:b w:val="0"/>
          <w:bCs w:val="0"/>
          <w:spacing w:val="10"/>
          <w:sz w:val="32"/>
          <w:szCs w:val="32"/>
        </w:rPr>
        <w:t>实行</w:t>
      </w:r>
      <w:r>
        <w:rPr>
          <w:rFonts w:hint="eastAsia" w:eastAsia="仿宋_GB2312" w:cs="Times New Roman"/>
          <w:b w:val="0"/>
          <w:bCs w:val="0"/>
          <w:spacing w:val="10"/>
          <w:sz w:val="32"/>
          <w:szCs w:val="32"/>
          <w:lang w:val="en-US" w:eastAsia="zh-CN"/>
        </w:rPr>
        <w:t>盯办调度推进</w:t>
      </w:r>
      <w:r>
        <w:rPr>
          <w:rFonts w:hint="eastAsia" w:ascii="Times New Roman" w:hAnsi="Times New Roman" w:eastAsia="仿宋_GB2312" w:cs="Times New Roman"/>
          <w:b w:val="0"/>
          <w:bCs w:val="0"/>
          <w:spacing w:val="10"/>
          <w:sz w:val="32"/>
          <w:szCs w:val="32"/>
        </w:rPr>
        <w:t>工作机制，对压案降损、侦破打击等重点任务挂图作战。全市电信诈骗案件发案同比下降6.93%；破案同比上升78.96%；保护性止付1.37亿元，追赃挽损1960万元</w:t>
      </w:r>
      <w:r>
        <w:rPr>
          <w:rFonts w:hint="eastAsia" w:ascii="Times New Roman" w:hAnsi="Times New Roman" w:eastAsia="仿宋_GB2312" w:cs="Times New Roman"/>
          <w:b w:val="0"/>
          <w:bCs w:val="0"/>
          <w:spacing w:val="10"/>
          <w:sz w:val="32"/>
          <w:szCs w:val="32"/>
          <w:lang w:eastAsia="zh-CN"/>
        </w:rPr>
        <w:t>，</w:t>
      </w:r>
      <w:r>
        <w:rPr>
          <w:rFonts w:hint="eastAsia" w:ascii="Times New Roman" w:hAnsi="Times New Roman" w:eastAsia="仿宋_GB2312" w:cs="Times New Roman"/>
          <w:b w:val="0"/>
          <w:bCs w:val="0"/>
          <w:spacing w:val="10"/>
          <w:sz w:val="32"/>
          <w:szCs w:val="32"/>
        </w:rPr>
        <w:t>涉诈人员核减劝返率达88.87%。治理成效显著</w:t>
      </w:r>
      <w:r>
        <w:rPr>
          <w:rFonts w:hint="eastAsia" w:ascii="Times New Roman" w:hAnsi="Times New Roman" w:eastAsia="仿宋_GB2312" w:cs="Times New Roman"/>
          <w:b w:val="0"/>
          <w:bCs w:val="0"/>
          <w:spacing w:val="10"/>
          <w:sz w:val="32"/>
          <w:szCs w:val="32"/>
          <w:lang w:eastAsia="zh-CN"/>
        </w:rPr>
        <w:t>。</w:t>
      </w:r>
      <w:r>
        <w:rPr>
          <w:rFonts w:hint="eastAsia" w:ascii="Times New Roman" w:hAnsi="Times New Roman" w:eastAsia="楷体_GB2312" w:cs="Times New Roman"/>
          <w:b w:val="0"/>
          <w:bCs w:val="0"/>
          <w:spacing w:val="10"/>
          <w:sz w:val="32"/>
          <w:szCs w:val="32"/>
        </w:rPr>
        <w:t>三是严惩侵害妇女儿童违法犯罪。</w:t>
      </w:r>
      <w:r>
        <w:rPr>
          <w:rFonts w:hint="eastAsia" w:ascii="Times New Roman" w:hAnsi="Times New Roman" w:eastAsia="仿宋_GB2312" w:cs="Times New Roman"/>
          <w:b w:val="0"/>
          <w:bCs w:val="0"/>
          <w:spacing w:val="10"/>
          <w:sz w:val="32"/>
          <w:szCs w:val="32"/>
        </w:rPr>
        <w:t>深入开展“利剑护蕾”专项行动，坚持对性侵未成年人犯罪“零容忍”。专项行动期间立案同比下降28%，破案率100%；针对未成年人</w:t>
      </w:r>
      <w:r>
        <w:rPr>
          <w:rFonts w:hint="eastAsia" w:ascii="Times New Roman" w:hAnsi="Times New Roman" w:eastAsia="仿宋_GB2312" w:cs="Times New Roman"/>
          <w:b w:val="0"/>
          <w:bCs w:val="0"/>
          <w:spacing w:val="10"/>
          <w:sz w:val="32"/>
          <w:szCs w:val="32"/>
          <w:lang w:eastAsia="zh-CN"/>
        </w:rPr>
        <w:t>违法犯罪</w:t>
      </w:r>
      <w:r>
        <w:rPr>
          <w:rFonts w:hint="eastAsia" w:ascii="Times New Roman" w:hAnsi="Times New Roman" w:eastAsia="仿宋_GB2312" w:cs="Times New Roman"/>
          <w:b w:val="0"/>
          <w:bCs w:val="0"/>
          <w:spacing w:val="10"/>
          <w:sz w:val="32"/>
          <w:szCs w:val="32"/>
        </w:rPr>
        <w:t>行为，开展数据分析，提升预防与打击的精准性</w:t>
      </w:r>
      <w:r>
        <w:rPr>
          <w:rFonts w:hint="eastAsia" w:ascii="Times New Roman" w:hAnsi="Times New Roman" w:eastAsia="仿宋_GB2312" w:cs="Times New Roman"/>
          <w:b w:val="0"/>
          <w:bCs w:val="0"/>
          <w:spacing w:val="10"/>
          <w:sz w:val="32"/>
          <w:szCs w:val="32"/>
          <w:lang w:eastAsia="zh-CN"/>
        </w:rPr>
        <w:t>。</w:t>
      </w:r>
      <w:r>
        <w:rPr>
          <w:rFonts w:hint="eastAsia" w:ascii="Times New Roman" w:hAnsi="Times New Roman" w:eastAsia="楷体_GB2312" w:cs="Times New Roman"/>
          <w:b w:val="0"/>
          <w:bCs w:val="0"/>
          <w:spacing w:val="10"/>
          <w:sz w:val="32"/>
          <w:szCs w:val="32"/>
        </w:rPr>
        <w:t>四是持续攻坚传统“盗抢骗”犯罪。</w:t>
      </w:r>
      <w:r>
        <w:rPr>
          <w:rFonts w:hint="eastAsia" w:ascii="Times New Roman" w:hAnsi="Times New Roman" w:eastAsia="仿宋_GB2312" w:cs="Times New Roman"/>
          <w:b w:val="0"/>
          <w:bCs w:val="0"/>
          <w:spacing w:val="10"/>
          <w:sz w:val="32"/>
          <w:szCs w:val="32"/>
        </w:rPr>
        <w:t>以警情日研判为切入点，创新推行工作机制，形成具有益阳特色的侵财犯罪打防一体化模式。加强社会面治安防控，实施精准布警、动态巡防，“两抢一盗”案件立案数同比下降12.15%，群众安全感持续增强。</w:t>
      </w:r>
      <w:r>
        <w:rPr>
          <w:rFonts w:hint="eastAsia" w:ascii="Times New Roman" w:hAnsi="Times New Roman" w:eastAsia="楷体_GB2312" w:cs="Times New Roman"/>
          <w:b w:val="0"/>
          <w:bCs w:val="0"/>
          <w:spacing w:val="10"/>
          <w:sz w:val="32"/>
          <w:szCs w:val="32"/>
        </w:rPr>
        <w:t>五是打好禁毒人民战争攻坚战。</w:t>
      </w:r>
      <w:r>
        <w:rPr>
          <w:rFonts w:hint="eastAsia" w:ascii="Times New Roman" w:hAnsi="Times New Roman" w:eastAsia="仿宋_GB2312" w:cs="Times New Roman"/>
          <w:b w:val="0"/>
          <w:bCs w:val="0"/>
          <w:spacing w:val="10"/>
          <w:sz w:val="32"/>
          <w:szCs w:val="32"/>
        </w:rPr>
        <w:t>依托平安建设暨扫黑除恶斗争领导小组设立禁毒工作组，推动形成社会共治格局，保持禁毒高压态势。社区戒毒执行率、康复巩固率及高风险人员管控率均达100%。</w:t>
      </w:r>
    </w:p>
    <w:p>
      <w:pPr>
        <w:keepNext w:val="0"/>
        <w:keepLines w:val="0"/>
        <w:pageBreakBefore w:val="0"/>
        <w:widowControl/>
        <w:kinsoku/>
        <w:wordWrap/>
        <w:overflowPunct/>
        <w:topLinePunct w:val="0"/>
        <w:autoSpaceDE/>
        <w:autoSpaceDN/>
        <w:bidi w:val="0"/>
        <w:adjustRightInd/>
        <w:snapToGrid w:val="0"/>
        <w:spacing w:line="560" w:lineRule="exact"/>
        <w:ind w:left="622" w:leftChars="197" w:firstLine="0" w:firstLineChars="0"/>
        <w:rPr>
          <w:rFonts w:hint="eastAsia" w:ascii="仿宋" w:hAnsi="仿宋" w:eastAsia="仿宋"/>
          <w:b w:val="0"/>
          <w:bCs w:val="0"/>
          <w:sz w:val="32"/>
          <w:szCs w:val="32"/>
        </w:rPr>
      </w:pPr>
      <w:r>
        <w:rPr>
          <w:rFonts w:hint="eastAsia" w:ascii="仿宋" w:hAnsi="仿宋" w:eastAsia="仿宋"/>
          <w:b w:val="0"/>
          <w:bCs w:val="0"/>
          <w:sz w:val="32"/>
          <w:szCs w:val="32"/>
        </w:rPr>
        <w:t>（2）</w:t>
      </w:r>
      <w:r>
        <w:rPr>
          <w:rFonts w:hint="eastAsia"/>
          <w:b w:val="0"/>
          <w:bCs w:val="0"/>
          <w:sz w:val="32"/>
          <w:szCs w:val="32"/>
        </w:rPr>
        <w:t>强化风险隐患排查，全力保障公共安全</w:t>
      </w:r>
    </w:p>
    <w:p>
      <w:pPr>
        <w:keepNext w:val="0"/>
        <w:keepLines w:val="0"/>
        <w:pageBreakBefore w:val="0"/>
        <w:kinsoku/>
        <w:wordWrap/>
        <w:overflowPunct/>
        <w:topLinePunct w:val="0"/>
        <w:autoSpaceDE/>
        <w:autoSpaceDN/>
        <w:bidi w:val="0"/>
        <w:adjustRightInd/>
        <w:spacing w:line="560" w:lineRule="exact"/>
        <w:ind w:firstLine="672" w:firstLineChars="200"/>
        <w:rPr>
          <w:rFonts w:ascii="Times New Roman" w:hAnsi="Times New Roman" w:eastAsia="仿宋_GB2312" w:cs="Times New Roman"/>
          <w:b w:val="0"/>
          <w:bCs w:val="0"/>
          <w:spacing w:val="10"/>
          <w:sz w:val="32"/>
          <w:szCs w:val="32"/>
        </w:rPr>
      </w:pPr>
      <w:r>
        <w:rPr>
          <w:rFonts w:hint="eastAsia" w:ascii="Times New Roman" w:hAnsi="Times New Roman" w:eastAsia="楷体_GB2312" w:cs="Times New Roman"/>
          <w:b w:val="0"/>
          <w:bCs w:val="0"/>
          <w:spacing w:val="10"/>
          <w:sz w:val="32"/>
          <w:szCs w:val="32"/>
        </w:rPr>
        <w:t>一是强化道路交通事故防控。</w:t>
      </w:r>
      <w:r>
        <w:rPr>
          <w:rFonts w:hint="eastAsia" w:ascii="Times New Roman" w:hAnsi="Times New Roman" w:eastAsia="仿宋_GB2312" w:cs="Times New Roman"/>
          <w:b w:val="0"/>
          <w:bCs w:val="0"/>
          <w:spacing w:val="10"/>
          <w:sz w:val="32"/>
          <w:szCs w:val="32"/>
        </w:rPr>
        <w:t>推动市县两级成立交通问题顽瘴痼疾整治工作专班，查处各类交通违法</w:t>
      </w:r>
      <w:r>
        <w:rPr>
          <w:rFonts w:ascii="Times New Roman" w:hAnsi="Times New Roman" w:eastAsia="仿宋_GB2312" w:cs="Times New Roman"/>
          <w:b w:val="0"/>
          <w:bCs w:val="0"/>
          <w:spacing w:val="10"/>
          <w:sz w:val="32"/>
          <w:szCs w:val="32"/>
        </w:rPr>
        <w:t>144.5</w:t>
      </w:r>
      <w:r>
        <w:rPr>
          <w:rFonts w:hint="eastAsia" w:ascii="Times New Roman" w:hAnsi="Times New Roman" w:eastAsia="仿宋_GB2312" w:cs="Times New Roman"/>
          <w:b w:val="0"/>
          <w:bCs w:val="0"/>
          <w:spacing w:val="10"/>
          <w:sz w:val="32"/>
          <w:szCs w:val="32"/>
        </w:rPr>
        <w:t>万起，同比上升</w:t>
      </w:r>
      <w:r>
        <w:rPr>
          <w:rFonts w:ascii="Times New Roman" w:hAnsi="Times New Roman" w:eastAsia="仿宋_GB2312" w:cs="Times New Roman"/>
          <w:b w:val="0"/>
          <w:bCs w:val="0"/>
          <w:spacing w:val="10"/>
          <w:sz w:val="32"/>
          <w:szCs w:val="32"/>
        </w:rPr>
        <w:t>7.5</w:t>
      </w:r>
      <w:r>
        <w:rPr>
          <w:rFonts w:hint="eastAsia" w:ascii="Times New Roman" w:hAnsi="Times New Roman" w:eastAsia="仿宋_GB2312" w:cs="Times New Roman"/>
          <w:b w:val="0"/>
          <w:bCs w:val="0"/>
          <w:spacing w:val="10"/>
          <w:sz w:val="32"/>
          <w:szCs w:val="32"/>
        </w:rPr>
        <w:t>%，酒驾醉驾、无证驾驶等重点违法人均查处量居全省第4，头盔佩戴率稳定在90%以上，亡人数降幅居全省第</w:t>
      </w:r>
      <w:r>
        <w:rPr>
          <w:rFonts w:ascii="Times New Roman" w:hAnsi="Times New Roman" w:eastAsia="仿宋_GB2312" w:cs="Times New Roman"/>
          <w:b w:val="0"/>
          <w:bCs w:val="0"/>
          <w:spacing w:val="10"/>
          <w:sz w:val="32"/>
          <w:szCs w:val="32"/>
        </w:rPr>
        <w:t>3</w:t>
      </w:r>
      <w:r>
        <w:rPr>
          <w:rFonts w:hint="eastAsia" w:ascii="Times New Roman" w:hAnsi="Times New Roman" w:eastAsia="仿宋_GB2312" w:cs="Times New Roman"/>
          <w:b w:val="0"/>
          <w:bCs w:val="0"/>
          <w:spacing w:val="10"/>
          <w:sz w:val="32"/>
          <w:szCs w:val="32"/>
        </w:rPr>
        <w:t>，未发生较大以上道路交通事故。</w:t>
      </w:r>
      <w:r>
        <w:rPr>
          <w:rFonts w:hint="eastAsia" w:ascii="Times New Roman" w:hAnsi="Times New Roman" w:eastAsia="楷体_GB2312" w:cs="Times New Roman"/>
          <w:b w:val="0"/>
          <w:bCs w:val="0"/>
          <w:spacing w:val="10"/>
          <w:sz w:val="32"/>
          <w:szCs w:val="32"/>
        </w:rPr>
        <w:t>二是强化重点物品安全管控。</w:t>
      </w:r>
      <w:r>
        <w:rPr>
          <w:rFonts w:hint="eastAsia"/>
          <w:b w:val="0"/>
          <w:bCs w:val="0"/>
          <w:sz w:val="32"/>
          <w:szCs w:val="32"/>
        </w:rPr>
        <w:t>精心组织开展专项行动，深入排查整治枪、爆、管制刀具等安全隐患，组织开展民爆物品储存库清理整顿工作。严管易制毒化学品，确保非法流失“零发生”</w:t>
      </w:r>
      <w:r>
        <w:rPr>
          <w:rFonts w:hint="eastAsia"/>
          <w:b w:val="0"/>
          <w:bCs w:val="0"/>
          <w:sz w:val="32"/>
          <w:szCs w:val="32"/>
          <w:lang w:val="en-US" w:eastAsia="zh-CN"/>
        </w:rPr>
        <w:t>,</w:t>
      </w:r>
      <w:r>
        <w:rPr>
          <w:rFonts w:hint="eastAsia" w:ascii="Times New Roman" w:hAnsi="Times New Roman" w:eastAsia="仿宋_GB2312" w:cs="Times New Roman"/>
          <w:b w:val="0"/>
          <w:bCs w:val="0"/>
          <w:spacing w:val="10"/>
          <w:sz w:val="32"/>
          <w:szCs w:val="32"/>
        </w:rPr>
        <w:t>筑牢公共安全防线。</w:t>
      </w:r>
      <w:r>
        <w:rPr>
          <w:rFonts w:hint="eastAsia" w:ascii="Times New Roman" w:hAnsi="Times New Roman" w:eastAsia="楷体_GB2312" w:cs="Times New Roman"/>
          <w:b w:val="0"/>
          <w:bCs w:val="0"/>
          <w:spacing w:val="10"/>
          <w:sz w:val="32"/>
          <w:szCs w:val="32"/>
        </w:rPr>
        <w:t>三是强化重点场所风险防控。</w:t>
      </w:r>
      <w:r>
        <w:rPr>
          <w:rFonts w:hint="eastAsia" w:ascii="Times New Roman" w:hAnsi="Times New Roman" w:eastAsia="仿宋_GB2312" w:cs="Times New Roman"/>
          <w:b w:val="0"/>
          <w:bCs w:val="0"/>
          <w:spacing w:val="10"/>
          <w:sz w:val="32"/>
          <w:szCs w:val="32"/>
        </w:rPr>
        <w:t>以校园安防建设为契机，开展重点场所隐患清零行动，全市1872个家单位安全隐患清零率达97%，推动安防措施全面到位。</w:t>
      </w:r>
      <w:r>
        <w:rPr>
          <w:rFonts w:hint="eastAsia" w:ascii="Times New Roman" w:hAnsi="Times New Roman" w:eastAsia="楷体_GB2312" w:cs="Times New Roman"/>
          <w:b w:val="0"/>
          <w:bCs w:val="0"/>
          <w:spacing w:val="10"/>
          <w:sz w:val="32"/>
          <w:szCs w:val="32"/>
        </w:rPr>
        <w:t>四是强化大型活动安保。</w:t>
      </w:r>
      <w:r>
        <w:rPr>
          <w:rFonts w:hint="eastAsia" w:ascii="Times New Roman" w:hAnsi="Times New Roman" w:eastAsia="仿宋_GB2312" w:cs="Times New Roman"/>
          <w:b w:val="0"/>
          <w:bCs w:val="0"/>
          <w:spacing w:val="10"/>
          <w:sz w:val="32"/>
          <w:szCs w:val="32"/>
        </w:rPr>
        <w:t>严格执行《大型群众性活动安全管理条例》，强化大型活动前置审批和安保监管，对</w:t>
      </w:r>
      <w:r>
        <w:rPr>
          <w:rFonts w:ascii="Times New Roman" w:hAnsi="Times New Roman" w:eastAsia="仿宋_GB2312" w:cs="Times New Roman"/>
          <w:b w:val="0"/>
          <w:bCs w:val="0"/>
          <w:spacing w:val="10"/>
          <w:sz w:val="32"/>
          <w:szCs w:val="32"/>
        </w:rPr>
        <w:t>45</w:t>
      </w:r>
      <w:r>
        <w:rPr>
          <w:rFonts w:hint="eastAsia" w:ascii="Times New Roman" w:hAnsi="Times New Roman" w:eastAsia="仿宋_GB2312" w:cs="Times New Roman"/>
          <w:b w:val="0"/>
          <w:bCs w:val="0"/>
          <w:spacing w:val="10"/>
          <w:sz w:val="32"/>
          <w:szCs w:val="32"/>
        </w:rPr>
        <w:t>次大型活动开展严格安全审查和风险评估，强化社会面武装巡逻和应急准备，排查整治安全隐患、配齐安保力量。</w:t>
      </w:r>
      <w:r>
        <w:rPr>
          <w:rFonts w:hint="eastAsia" w:ascii="Times New Roman" w:hAnsi="Times New Roman" w:eastAsia="楷体_GB2312" w:cs="Times New Roman"/>
          <w:b w:val="0"/>
          <w:bCs w:val="0"/>
          <w:spacing w:val="10"/>
          <w:sz w:val="32"/>
          <w:szCs w:val="32"/>
        </w:rPr>
        <w:t>五是强化网络安全。</w:t>
      </w:r>
      <w:r>
        <w:rPr>
          <w:rFonts w:hint="eastAsia" w:ascii="Times New Roman" w:hAnsi="Times New Roman" w:eastAsia="仿宋_GB2312" w:cs="Times New Roman"/>
          <w:b w:val="0"/>
          <w:bCs w:val="0"/>
          <w:spacing w:val="10"/>
          <w:sz w:val="32"/>
          <w:szCs w:val="32"/>
        </w:rPr>
        <w:t>开展网络安全风险隐患专项排查，检查</w:t>
      </w:r>
      <w:r>
        <w:rPr>
          <w:rFonts w:ascii="Times New Roman" w:hAnsi="Times New Roman" w:eastAsia="仿宋_GB2312" w:cs="Times New Roman"/>
          <w:b w:val="0"/>
          <w:bCs w:val="0"/>
          <w:spacing w:val="10"/>
          <w:sz w:val="32"/>
          <w:szCs w:val="32"/>
        </w:rPr>
        <w:t>213</w:t>
      </w:r>
      <w:r>
        <w:rPr>
          <w:rFonts w:hint="eastAsia" w:ascii="Times New Roman" w:hAnsi="Times New Roman" w:eastAsia="仿宋_GB2312" w:cs="Times New Roman"/>
          <w:b w:val="0"/>
          <w:bCs w:val="0"/>
          <w:spacing w:val="10"/>
          <w:sz w:val="32"/>
          <w:szCs w:val="32"/>
        </w:rPr>
        <w:t>家网吧、28家电竞酒店快速处置重大网络安全隐患，实现网络隐患动态清零，全市未发生重大网络安全案事件。</w:t>
      </w:r>
    </w:p>
    <w:p>
      <w:pPr>
        <w:keepNext w:val="0"/>
        <w:keepLines w:val="0"/>
        <w:pageBreakBefore w:val="0"/>
        <w:widowControl/>
        <w:kinsoku/>
        <w:wordWrap/>
        <w:overflowPunct/>
        <w:topLinePunct w:val="0"/>
        <w:autoSpaceDE/>
        <w:autoSpaceDN/>
        <w:bidi w:val="0"/>
        <w:adjustRightInd/>
        <w:snapToGrid w:val="0"/>
        <w:spacing w:line="560" w:lineRule="exact"/>
        <w:ind w:left="622" w:leftChars="197" w:firstLine="0" w:firstLineChars="0"/>
        <w:rPr>
          <w:rFonts w:hint="eastAsia" w:ascii="仿宋" w:hAnsi="仿宋" w:eastAsia="仿宋"/>
          <w:b w:val="0"/>
          <w:bCs w:val="0"/>
          <w:sz w:val="32"/>
          <w:szCs w:val="32"/>
        </w:rPr>
      </w:pPr>
      <w:r>
        <w:rPr>
          <w:rFonts w:hint="eastAsia" w:ascii="仿宋" w:hAnsi="仿宋" w:eastAsia="仿宋"/>
          <w:b w:val="0"/>
          <w:bCs w:val="0"/>
          <w:sz w:val="32"/>
          <w:szCs w:val="32"/>
        </w:rPr>
        <w:t>（3）</w:t>
      </w:r>
      <w:r>
        <w:rPr>
          <w:rFonts w:hint="eastAsia"/>
          <w:b w:val="0"/>
          <w:bCs w:val="0"/>
          <w:sz w:val="32"/>
          <w:szCs w:val="32"/>
        </w:rPr>
        <w:t>全面深化警务改革，强力夯实基层基础</w:t>
      </w:r>
    </w:p>
    <w:p>
      <w:pPr>
        <w:keepNext w:val="0"/>
        <w:keepLines w:val="0"/>
        <w:pageBreakBefore w:val="0"/>
        <w:widowControl/>
        <w:kinsoku/>
        <w:wordWrap/>
        <w:overflowPunct/>
        <w:topLinePunct w:val="0"/>
        <w:autoSpaceDE/>
        <w:autoSpaceDN/>
        <w:bidi w:val="0"/>
        <w:adjustRightInd/>
        <w:snapToGrid w:val="0"/>
        <w:spacing w:line="560" w:lineRule="exact"/>
        <w:ind w:firstLine="672" w:firstLineChars="200"/>
        <w:rPr>
          <w:rFonts w:hint="eastAsia" w:ascii="Times New Roman" w:hAnsi="Times New Roman" w:eastAsia="楷体_GB2312" w:cs="Times New Roman"/>
          <w:b w:val="0"/>
          <w:bCs w:val="0"/>
          <w:spacing w:val="10"/>
          <w:sz w:val="32"/>
          <w:szCs w:val="32"/>
          <w:lang w:eastAsia="zh-CN"/>
        </w:rPr>
      </w:pPr>
      <w:r>
        <w:rPr>
          <w:rFonts w:hint="eastAsia" w:ascii="Times New Roman" w:hAnsi="Times New Roman" w:eastAsia="楷体_GB2312" w:cs="Times New Roman"/>
          <w:b w:val="0"/>
          <w:bCs w:val="0"/>
          <w:spacing w:val="10"/>
          <w:sz w:val="32"/>
          <w:szCs w:val="32"/>
        </w:rPr>
        <w:t>一是深化“新警务理念”。</w:t>
      </w:r>
      <w:r>
        <w:rPr>
          <w:rFonts w:hint="eastAsia" w:ascii="Times New Roman" w:hAnsi="Times New Roman" w:eastAsia="仿宋_GB2312" w:cs="Times New Roman"/>
          <w:b w:val="0"/>
          <w:bCs w:val="0"/>
          <w:spacing w:val="10"/>
          <w:sz w:val="32"/>
          <w:szCs w:val="32"/>
        </w:rPr>
        <w:t>推动警务理念由“被动响应”向“主动预防”转变，由“单打独斗”向“整体协同”跃升</w:t>
      </w:r>
      <w:r>
        <w:rPr>
          <w:rFonts w:hint="eastAsia" w:ascii="Times New Roman" w:hAnsi="Times New Roman" w:eastAsia="仿宋_GB2312" w:cs="Times New Roman"/>
          <w:b w:val="0"/>
          <w:bCs w:val="0"/>
          <w:spacing w:val="10"/>
          <w:sz w:val="32"/>
          <w:szCs w:val="32"/>
          <w:lang w:eastAsia="zh-CN"/>
        </w:rPr>
        <w:t>。</w:t>
      </w:r>
      <w:r>
        <w:rPr>
          <w:rFonts w:hint="eastAsia" w:ascii="Times New Roman" w:hAnsi="Times New Roman" w:eastAsia="楷体_GB2312" w:cs="Times New Roman"/>
          <w:b w:val="0"/>
          <w:bCs w:val="0"/>
          <w:spacing w:val="10"/>
          <w:sz w:val="32"/>
          <w:szCs w:val="32"/>
        </w:rPr>
        <w:t>二是推进“新运行模式”。</w:t>
      </w:r>
      <w:r>
        <w:rPr>
          <w:rFonts w:hint="eastAsia" w:ascii="Times New Roman" w:hAnsi="Times New Roman" w:eastAsia="仿宋_GB2312" w:cs="Times New Roman"/>
          <w:b w:val="0"/>
          <w:bCs w:val="0"/>
          <w:spacing w:val="10"/>
          <w:sz w:val="32"/>
          <w:szCs w:val="32"/>
        </w:rPr>
        <w:t>全面深化“情指行”一体化运行机制，建成贯通</w:t>
      </w:r>
      <w:r>
        <w:rPr>
          <w:rFonts w:hint="eastAsia" w:eastAsia="仿宋_GB2312" w:cs="Times New Roman"/>
          <w:b w:val="0"/>
          <w:bCs w:val="0"/>
          <w:spacing w:val="10"/>
          <w:sz w:val="32"/>
          <w:szCs w:val="32"/>
          <w:lang w:eastAsia="zh-CN"/>
        </w:rPr>
        <w:t>上下的</w:t>
      </w:r>
      <w:r>
        <w:rPr>
          <w:rFonts w:hint="eastAsia" w:ascii="Times New Roman" w:hAnsi="Times New Roman" w:eastAsia="仿宋_GB2312" w:cs="Times New Roman"/>
          <w:b w:val="0"/>
          <w:bCs w:val="0"/>
          <w:spacing w:val="10"/>
          <w:sz w:val="32"/>
          <w:szCs w:val="32"/>
        </w:rPr>
        <w:t>实战平台，汇聚数据，完成视频直连，联动应急、网信、交通等部门，实行会商、调度，实现全链条闭环管理</w:t>
      </w:r>
      <w:r>
        <w:rPr>
          <w:rFonts w:hint="eastAsia" w:ascii="Times New Roman" w:hAnsi="Times New Roman" w:eastAsia="仿宋_GB2312" w:cs="Times New Roman"/>
          <w:b w:val="0"/>
          <w:bCs w:val="0"/>
          <w:spacing w:val="10"/>
          <w:sz w:val="32"/>
          <w:szCs w:val="32"/>
          <w:lang w:eastAsia="zh-CN"/>
        </w:rPr>
        <w:t>，</w:t>
      </w:r>
      <w:r>
        <w:rPr>
          <w:rFonts w:hint="eastAsia" w:ascii="Times New Roman" w:hAnsi="Times New Roman" w:eastAsia="仿宋_GB2312" w:cs="Times New Roman"/>
          <w:b w:val="0"/>
          <w:bCs w:val="0"/>
          <w:spacing w:val="10"/>
          <w:sz w:val="32"/>
          <w:szCs w:val="32"/>
        </w:rPr>
        <w:t>推动工作模式由“事后处置”向“事前预警”转变。</w:t>
      </w:r>
      <w:r>
        <w:rPr>
          <w:rFonts w:hint="eastAsia" w:ascii="Times New Roman" w:hAnsi="Times New Roman" w:eastAsia="仿宋_GB2312" w:cs="Times New Roman"/>
          <w:b w:val="0"/>
          <w:bCs w:val="0"/>
          <w:spacing w:val="10"/>
          <w:sz w:val="32"/>
          <w:szCs w:val="32"/>
          <w:lang w:eastAsia="zh-CN"/>
        </w:rPr>
        <w:t>三</w:t>
      </w:r>
      <w:r>
        <w:rPr>
          <w:rFonts w:hint="eastAsia" w:ascii="Times New Roman" w:hAnsi="Times New Roman" w:eastAsia="楷体_GB2312" w:cs="Times New Roman"/>
          <w:b w:val="0"/>
          <w:bCs w:val="0"/>
          <w:spacing w:val="10"/>
          <w:sz w:val="32"/>
          <w:szCs w:val="32"/>
        </w:rPr>
        <w:t>是全面加强公安派出所工作</w:t>
      </w:r>
      <w:r>
        <w:rPr>
          <w:rFonts w:hint="eastAsia" w:ascii="Times New Roman" w:hAnsi="Times New Roman" w:eastAsia="楷体_GB2312" w:cs="Times New Roman"/>
          <w:b w:val="0"/>
          <w:bCs w:val="0"/>
          <w:spacing w:val="10"/>
          <w:sz w:val="32"/>
          <w:szCs w:val="32"/>
          <w:lang w:eastAsia="zh-CN"/>
        </w:rPr>
        <w:t>。</w:t>
      </w:r>
      <w:r>
        <w:rPr>
          <w:rFonts w:hint="eastAsia" w:ascii="Times New Roman" w:hAnsi="Times New Roman" w:eastAsia="仿宋_GB2312" w:cs="Times New Roman"/>
          <w:b w:val="0"/>
          <w:bCs w:val="0"/>
          <w:spacing w:val="10"/>
          <w:sz w:val="32"/>
          <w:szCs w:val="32"/>
        </w:rPr>
        <w:t>成立主防工作专班，制发</w:t>
      </w:r>
      <w:r>
        <w:rPr>
          <w:rFonts w:hint="eastAsia" w:ascii="Times New Roman" w:hAnsi="Times New Roman" w:eastAsia="仿宋_GB2312" w:cs="Times New Roman"/>
          <w:b w:val="0"/>
          <w:bCs w:val="0"/>
          <w:spacing w:val="10"/>
          <w:sz w:val="32"/>
          <w:szCs w:val="32"/>
          <w:lang w:eastAsia="zh-CN"/>
        </w:rPr>
        <w:t>工作文件</w:t>
      </w:r>
      <w:r>
        <w:rPr>
          <w:rFonts w:hint="eastAsia" w:ascii="Times New Roman" w:hAnsi="Times New Roman" w:eastAsia="仿宋_GB2312" w:cs="Times New Roman"/>
          <w:b w:val="0"/>
          <w:bCs w:val="0"/>
          <w:spacing w:val="10"/>
          <w:sz w:val="32"/>
          <w:szCs w:val="32"/>
        </w:rPr>
        <w:t>，做实派出所主防警务，推行“两队一室”模式，依托综治中心、基层调解组织，持续深化拓展派出所、司法所、律师事务所（基层法律服务所）“三所联动”，健全信息共享、风险共处、问题共治机制，推动矛盾纠纷源头化解。</w:t>
      </w:r>
    </w:p>
    <w:p>
      <w:pPr>
        <w:keepNext w:val="0"/>
        <w:keepLines w:val="0"/>
        <w:pageBreakBefore w:val="0"/>
        <w:widowControl/>
        <w:kinsoku/>
        <w:wordWrap/>
        <w:overflowPunct/>
        <w:topLinePunct w:val="0"/>
        <w:autoSpaceDE/>
        <w:autoSpaceDN/>
        <w:bidi w:val="0"/>
        <w:adjustRightInd/>
        <w:snapToGrid w:val="0"/>
        <w:spacing w:line="560" w:lineRule="exact"/>
        <w:ind w:left="622" w:leftChars="197" w:firstLine="0" w:firstLineChars="0"/>
        <w:rPr>
          <w:rFonts w:hint="eastAsia" w:ascii="仿宋" w:hAnsi="仿宋" w:eastAsia="仿宋"/>
          <w:b w:val="0"/>
          <w:bCs w:val="0"/>
          <w:sz w:val="32"/>
          <w:szCs w:val="32"/>
        </w:rPr>
      </w:pPr>
      <w:r>
        <w:rPr>
          <w:rFonts w:hint="eastAsia" w:ascii="仿宋" w:hAnsi="仿宋" w:eastAsia="仿宋"/>
          <w:b w:val="0"/>
          <w:bCs w:val="0"/>
          <w:sz w:val="32"/>
          <w:szCs w:val="32"/>
        </w:rPr>
        <w:t>（4）</w:t>
      </w:r>
      <w:r>
        <w:rPr>
          <w:rFonts w:hint="eastAsia"/>
          <w:b w:val="0"/>
          <w:bCs w:val="0"/>
          <w:sz w:val="32"/>
          <w:szCs w:val="32"/>
        </w:rPr>
        <w:t>不断优化服务保障，竭力护航经济发展</w:t>
      </w:r>
    </w:p>
    <w:p>
      <w:pPr>
        <w:keepNext w:val="0"/>
        <w:keepLines w:val="0"/>
        <w:pageBreakBefore w:val="0"/>
        <w:kinsoku/>
        <w:wordWrap/>
        <w:overflowPunct/>
        <w:topLinePunct w:val="0"/>
        <w:autoSpaceDE/>
        <w:autoSpaceDN/>
        <w:bidi w:val="0"/>
        <w:adjustRightInd/>
        <w:spacing w:line="560" w:lineRule="exact"/>
        <w:ind w:firstLine="672" w:firstLineChars="200"/>
        <w:rPr>
          <w:b w:val="0"/>
          <w:bCs w:val="0"/>
          <w:sz w:val="32"/>
          <w:szCs w:val="32"/>
        </w:rPr>
      </w:pPr>
      <w:r>
        <w:rPr>
          <w:rFonts w:hint="eastAsia" w:ascii="Times New Roman" w:hAnsi="Times New Roman" w:eastAsia="楷体_GB2312" w:cs="Times New Roman"/>
          <w:b w:val="0"/>
          <w:bCs w:val="0"/>
          <w:spacing w:val="10"/>
          <w:sz w:val="32"/>
          <w:szCs w:val="32"/>
        </w:rPr>
        <w:t>一是全面优化法治化营商环境。</w:t>
      </w:r>
      <w:r>
        <w:rPr>
          <w:rFonts w:hint="eastAsia" w:ascii="Times New Roman" w:hAnsi="Times New Roman" w:eastAsia="仿宋_GB2312" w:cs="Times New Roman"/>
          <w:b w:val="0"/>
          <w:bCs w:val="0"/>
          <w:sz w:val="32"/>
          <w:szCs w:val="32"/>
        </w:rPr>
        <w:t>全市公安机关深入推进以案为鉴警示教育，编制《典型案例汇编》，开展涉企执法专项培训</w:t>
      </w:r>
      <w:r>
        <w:rPr>
          <w:rFonts w:ascii="Times New Roman" w:hAnsi="Times New Roman" w:eastAsia="仿宋_GB2312" w:cs="Times New Roman"/>
          <w:b w:val="0"/>
          <w:bCs w:val="0"/>
          <w:sz w:val="32"/>
          <w:szCs w:val="32"/>
        </w:rPr>
        <w:t>6次</w:t>
      </w:r>
      <w:r>
        <w:rPr>
          <w:rFonts w:hint="eastAsia" w:ascii="Times New Roman" w:hAnsi="Times New Roman" w:eastAsia="仿宋_GB2312" w:cs="Times New Roman"/>
          <w:b w:val="0"/>
          <w:bCs w:val="0"/>
          <w:sz w:val="32"/>
          <w:szCs w:val="32"/>
          <w:lang w:eastAsia="zh-CN"/>
        </w:rPr>
        <w:t>，</w:t>
      </w:r>
      <w:r>
        <w:rPr>
          <w:rFonts w:ascii="Times New Roman" w:hAnsi="Times New Roman" w:eastAsia="仿宋_GB2312" w:cs="Times New Roman"/>
          <w:b w:val="0"/>
          <w:bCs w:val="0"/>
          <w:sz w:val="32"/>
          <w:szCs w:val="32"/>
        </w:rPr>
        <w:t>全面落实行政裁量权基准，规范涉企行政检查，完成“双随机</w:t>
      </w:r>
      <w:r>
        <w:rPr>
          <w:rFonts w:ascii="Times New Roman" w:hAnsi="Times New Roman" w:eastAsia="微软雅黑" w:cs="Times New Roman"/>
          <w:b w:val="0"/>
          <w:bCs w:val="0"/>
          <w:spacing w:val="10"/>
          <w:sz w:val="32"/>
          <w:szCs w:val="32"/>
        </w:rPr>
        <w:t>▪</w:t>
      </w:r>
      <w:r>
        <w:rPr>
          <w:rFonts w:ascii="Times New Roman" w:hAnsi="Times New Roman" w:eastAsia="仿宋_GB2312" w:cs="Times New Roman"/>
          <w:b w:val="0"/>
          <w:bCs w:val="0"/>
          <w:sz w:val="32"/>
          <w:szCs w:val="32"/>
        </w:rPr>
        <w:t>一公开”监管抽查检查160次，公示率100%。严格执行异地办案协作机制，</w:t>
      </w:r>
      <w:r>
        <w:rPr>
          <w:rFonts w:hint="eastAsia" w:ascii="Times New Roman" w:hAnsi="Times New Roman" w:eastAsia="仿宋_GB2312" w:cs="Times New Roman"/>
          <w:b w:val="0"/>
          <w:bCs w:val="0"/>
          <w:sz w:val="32"/>
          <w:szCs w:val="32"/>
          <w:lang w:eastAsia="zh-CN"/>
        </w:rPr>
        <w:t>切实保护企业产权和经营者合法权益，坚决维护公平竞争的市场秩序，为各类市场主体发展保驾护航。</w:t>
      </w:r>
      <w:r>
        <w:rPr>
          <w:rFonts w:hint="eastAsia" w:ascii="Times New Roman" w:hAnsi="Times New Roman" w:eastAsia="楷体_GB2312" w:cs="Times New Roman"/>
          <w:b w:val="0"/>
          <w:bCs w:val="0"/>
          <w:spacing w:val="10"/>
          <w:sz w:val="32"/>
          <w:szCs w:val="32"/>
          <w:lang w:eastAsia="zh-CN"/>
        </w:rPr>
        <w:t>二是</w:t>
      </w:r>
      <w:r>
        <w:rPr>
          <w:rFonts w:hint="eastAsia" w:ascii="Times New Roman" w:hAnsi="Times New Roman" w:eastAsia="楷体_GB2312" w:cs="Times New Roman"/>
          <w:b w:val="0"/>
          <w:bCs w:val="0"/>
          <w:spacing w:val="10"/>
          <w:sz w:val="32"/>
          <w:szCs w:val="32"/>
        </w:rPr>
        <w:t>积极推行便利政务服务。</w:t>
      </w:r>
      <w:r>
        <w:rPr>
          <w:rFonts w:hint="eastAsia" w:ascii="Times New Roman" w:hAnsi="Times New Roman" w:eastAsia="仿宋_GB2312" w:cs="Times New Roman"/>
          <w:b w:val="0"/>
          <w:bCs w:val="0"/>
          <w:spacing w:val="10"/>
          <w:sz w:val="32"/>
          <w:szCs w:val="32"/>
        </w:rPr>
        <w:t>深化公安“放管服”改革，户口全流程网办10580笔，跨省通办首办身份证2238条、户口迁移12138笔，加急办理护照、赴港澳商务签注共计30人次。提升易制毒化学品审批效率，延误率控制在1%以内，稳居全省第3。推进轻微交通事故视频远程快处，高效处置事故</w:t>
      </w:r>
      <w:r>
        <w:rPr>
          <w:rFonts w:ascii="Times New Roman" w:hAnsi="Times New Roman" w:eastAsia="仿宋_GB2312" w:cs="Times New Roman"/>
          <w:b w:val="0"/>
          <w:bCs w:val="0"/>
          <w:spacing w:val="10"/>
          <w:sz w:val="32"/>
          <w:szCs w:val="32"/>
        </w:rPr>
        <w:t>2.1</w:t>
      </w:r>
      <w:r>
        <w:rPr>
          <w:rFonts w:hint="eastAsia" w:ascii="Times New Roman" w:hAnsi="Times New Roman" w:eastAsia="仿宋_GB2312" w:cs="Times New Roman"/>
          <w:b w:val="0"/>
          <w:bCs w:val="0"/>
          <w:spacing w:val="10"/>
          <w:sz w:val="32"/>
          <w:szCs w:val="32"/>
        </w:rPr>
        <w:t>万起。优化机动车管理服务，通过“交管12123”平台提前1月对3</w:t>
      </w:r>
      <w:r>
        <w:rPr>
          <w:rFonts w:ascii="Times New Roman" w:hAnsi="Times New Roman" w:eastAsia="仿宋_GB2312" w:cs="Times New Roman"/>
          <w:b w:val="0"/>
          <w:bCs w:val="0"/>
          <w:spacing w:val="10"/>
          <w:sz w:val="32"/>
          <w:szCs w:val="32"/>
        </w:rPr>
        <w:t>3</w:t>
      </w:r>
      <w:r>
        <w:rPr>
          <w:rFonts w:hint="eastAsia" w:ascii="Times New Roman" w:hAnsi="Times New Roman" w:eastAsia="仿宋_GB2312" w:cs="Times New Roman"/>
          <w:b w:val="0"/>
          <w:bCs w:val="0"/>
          <w:spacing w:val="10"/>
          <w:sz w:val="32"/>
          <w:szCs w:val="32"/>
        </w:rPr>
        <w:t>万台年检即将到期机动车进行提醒，未对逾期未检车辆实施处罚；试点设立摩托车登记服务站</w:t>
      </w:r>
      <w:r>
        <w:rPr>
          <w:rFonts w:ascii="Times New Roman" w:hAnsi="Times New Roman" w:eastAsia="仿宋_GB2312" w:cs="Times New Roman"/>
          <w:b w:val="0"/>
          <w:bCs w:val="0"/>
          <w:spacing w:val="10"/>
          <w:sz w:val="32"/>
          <w:szCs w:val="32"/>
        </w:rPr>
        <w:t>9</w:t>
      </w:r>
      <w:r>
        <w:rPr>
          <w:rFonts w:hint="eastAsia" w:ascii="Times New Roman" w:hAnsi="Times New Roman" w:eastAsia="仿宋_GB2312" w:cs="Times New Roman"/>
          <w:b w:val="0"/>
          <w:bCs w:val="0"/>
          <w:spacing w:val="10"/>
          <w:sz w:val="32"/>
          <w:szCs w:val="32"/>
        </w:rPr>
        <w:t>家，开展“送考下乡”</w:t>
      </w:r>
      <w:r>
        <w:rPr>
          <w:rFonts w:ascii="Times New Roman" w:hAnsi="Times New Roman" w:eastAsia="仿宋_GB2312" w:cs="Times New Roman"/>
          <w:b w:val="0"/>
          <w:bCs w:val="0"/>
          <w:spacing w:val="10"/>
          <w:sz w:val="32"/>
          <w:szCs w:val="32"/>
        </w:rPr>
        <w:t>38</w:t>
      </w:r>
      <w:r>
        <w:rPr>
          <w:rFonts w:hint="eastAsia" w:ascii="Times New Roman" w:hAnsi="Times New Roman" w:eastAsia="仿宋_GB2312" w:cs="Times New Roman"/>
          <w:b w:val="0"/>
          <w:bCs w:val="0"/>
          <w:spacing w:val="10"/>
          <w:sz w:val="32"/>
          <w:szCs w:val="32"/>
        </w:rPr>
        <w:t>次，推行夏季驾考错峰服务，有效解决</w:t>
      </w:r>
      <w:r>
        <w:rPr>
          <w:rFonts w:ascii="Times New Roman" w:hAnsi="Times New Roman" w:eastAsia="仿宋_GB2312" w:cs="Times New Roman"/>
          <w:b w:val="0"/>
          <w:bCs w:val="0"/>
          <w:spacing w:val="10"/>
          <w:sz w:val="32"/>
          <w:szCs w:val="32"/>
        </w:rPr>
        <w:t>3</w:t>
      </w:r>
      <w:r>
        <w:rPr>
          <w:rFonts w:hint="eastAsia" w:ascii="Times New Roman" w:hAnsi="Times New Roman" w:eastAsia="仿宋_GB2312" w:cs="Times New Roman"/>
          <w:b w:val="0"/>
          <w:bCs w:val="0"/>
          <w:spacing w:val="10"/>
          <w:sz w:val="32"/>
          <w:szCs w:val="32"/>
        </w:rPr>
        <w:t>万余名群众考试难问题，实现机动车、驾驶证业务“网上办、就近办”，全年累计办理7</w:t>
      </w:r>
      <w:r>
        <w:rPr>
          <w:rFonts w:ascii="Times New Roman" w:hAnsi="Times New Roman" w:eastAsia="仿宋_GB2312" w:cs="Times New Roman"/>
          <w:b w:val="0"/>
          <w:bCs w:val="0"/>
          <w:spacing w:val="10"/>
          <w:sz w:val="32"/>
          <w:szCs w:val="32"/>
        </w:rPr>
        <w:t>6.45</w:t>
      </w:r>
      <w:r>
        <w:rPr>
          <w:rFonts w:hint="eastAsia" w:ascii="Times New Roman" w:hAnsi="Times New Roman" w:eastAsia="仿宋_GB2312" w:cs="Times New Roman"/>
          <w:b w:val="0"/>
          <w:bCs w:val="0"/>
          <w:spacing w:val="10"/>
          <w:sz w:val="32"/>
          <w:szCs w:val="32"/>
        </w:rPr>
        <w:t>万件，群众满意度持续提升。</w:t>
      </w:r>
      <w:r>
        <w:rPr>
          <w:rFonts w:hint="eastAsia" w:ascii="Times New Roman" w:hAnsi="Times New Roman" w:eastAsia="楷体_GB2312" w:cs="Times New Roman"/>
          <w:b w:val="0"/>
          <w:bCs w:val="0"/>
          <w:spacing w:val="10"/>
          <w:sz w:val="32"/>
          <w:szCs w:val="32"/>
        </w:rPr>
        <w:t>三是聚力护航重大战略部署。</w:t>
      </w:r>
      <w:r>
        <w:rPr>
          <w:rFonts w:hint="eastAsia" w:ascii="Times New Roman" w:hAnsi="Times New Roman" w:eastAsia="仿宋_GB2312" w:cs="Times New Roman"/>
          <w:b w:val="0"/>
          <w:bCs w:val="0"/>
          <w:spacing w:val="10"/>
          <w:sz w:val="32"/>
          <w:szCs w:val="32"/>
        </w:rPr>
        <w:t>坚决打赢蓝天保卫战，提前3个月完成2025年老旧非营运柴油货车淘汰任务</w:t>
      </w:r>
      <w:r>
        <w:rPr>
          <w:rFonts w:hint="eastAsia" w:ascii="Times New Roman" w:hAnsi="Times New Roman" w:eastAsia="仿宋_GB2312" w:cs="Times New Roman"/>
          <w:b w:val="0"/>
          <w:bCs w:val="0"/>
          <w:spacing w:val="10"/>
          <w:sz w:val="32"/>
          <w:szCs w:val="32"/>
          <w:lang w:eastAsia="zh-CN"/>
        </w:rPr>
        <w:t>，</w:t>
      </w:r>
      <w:r>
        <w:rPr>
          <w:rFonts w:hint="eastAsia" w:ascii="Times New Roman" w:hAnsi="Times New Roman" w:eastAsia="仿宋_GB2312" w:cs="Times New Roman"/>
          <w:b w:val="0"/>
          <w:bCs w:val="0"/>
          <w:spacing w:val="10"/>
          <w:sz w:val="32"/>
          <w:szCs w:val="32"/>
        </w:rPr>
        <w:t>进度达</w:t>
      </w:r>
      <w:r>
        <w:rPr>
          <w:rFonts w:ascii="Times New Roman" w:hAnsi="Times New Roman" w:eastAsia="仿宋_GB2312" w:cs="Times New Roman"/>
          <w:b w:val="0"/>
          <w:bCs w:val="0"/>
          <w:spacing w:val="10"/>
          <w:sz w:val="32"/>
          <w:szCs w:val="32"/>
        </w:rPr>
        <w:t>131.5</w:t>
      </w:r>
      <w:r>
        <w:rPr>
          <w:rFonts w:hint="eastAsia" w:ascii="Times New Roman" w:hAnsi="Times New Roman" w:eastAsia="仿宋_GB2312" w:cs="Times New Roman"/>
          <w:b w:val="0"/>
          <w:bCs w:val="0"/>
          <w:spacing w:val="10"/>
          <w:sz w:val="32"/>
          <w:szCs w:val="32"/>
        </w:rPr>
        <w:t>%。巩固文明城市创建成果，中心城区常态化开展高峰时段执勤值守，劝导管控各类不文明行为</w:t>
      </w:r>
      <w:r>
        <w:rPr>
          <w:rFonts w:hint="eastAsia" w:ascii="Times New Roman" w:hAnsi="Times New Roman" w:eastAsia="仿宋_GB2312" w:cs="Times New Roman"/>
          <w:b w:val="0"/>
          <w:bCs w:val="0"/>
          <w:spacing w:val="10"/>
          <w:sz w:val="32"/>
          <w:szCs w:val="32"/>
          <w:lang w:eastAsia="zh-CN"/>
        </w:rPr>
        <w:t>。</w:t>
      </w:r>
      <w:r>
        <w:rPr>
          <w:rFonts w:hint="eastAsia" w:ascii="Times New Roman" w:hAnsi="Times New Roman" w:eastAsia="仿宋_GB2312" w:cs="Times New Roman"/>
          <w:b w:val="0"/>
          <w:bCs w:val="0"/>
          <w:spacing w:val="10"/>
          <w:sz w:val="32"/>
          <w:szCs w:val="32"/>
        </w:rPr>
        <w:t>服务人才强市战略，全面放开放宽城市落户限制，完成人才引进落户118人次。</w:t>
      </w:r>
    </w:p>
    <w:p>
      <w:pPr>
        <w:keepNext w:val="0"/>
        <w:keepLines w:val="0"/>
        <w:pageBreakBefore w:val="0"/>
        <w:widowControl/>
        <w:kinsoku/>
        <w:wordWrap/>
        <w:overflowPunct/>
        <w:topLinePunct w:val="0"/>
        <w:autoSpaceDE/>
        <w:autoSpaceDN/>
        <w:bidi w:val="0"/>
        <w:adjustRightInd/>
        <w:snapToGrid w:val="0"/>
        <w:spacing w:line="560" w:lineRule="exact"/>
        <w:ind w:left="622" w:leftChars="197" w:firstLine="0" w:firstLineChars="0"/>
        <w:rPr>
          <w:rFonts w:hint="eastAsia" w:ascii="仿宋" w:hAnsi="仿宋" w:eastAsia="仿宋"/>
          <w:b w:val="0"/>
          <w:bCs w:val="0"/>
          <w:sz w:val="32"/>
          <w:szCs w:val="32"/>
        </w:rPr>
      </w:pPr>
      <w:r>
        <w:rPr>
          <w:rFonts w:hint="eastAsia" w:ascii="仿宋" w:hAnsi="仿宋" w:eastAsia="仿宋"/>
          <w:b w:val="0"/>
          <w:bCs w:val="0"/>
          <w:sz w:val="32"/>
          <w:szCs w:val="32"/>
        </w:rPr>
        <w:t>（5）</w:t>
      </w:r>
      <w:r>
        <w:rPr>
          <w:rFonts w:hint="eastAsia"/>
          <w:b w:val="0"/>
          <w:bCs w:val="0"/>
          <w:sz w:val="32"/>
          <w:szCs w:val="32"/>
        </w:rPr>
        <w:t>全面加强政治建设，倾力锻造公安铁军</w:t>
      </w:r>
    </w:p>
    <w:p>
      <w:pPr>
        <w:keepNext w:val="0"/>
        <w:keepLines w:val="0"/>
        <w:pageBreakBefore w:val="0"/>
        <w:kinsoku/>
        <w:wordWrap/>
        <w:overflowPunct/>
        <w:topLinePunct w:val="0"/>
        <w:autoSpaceDE/>
        <w:autoSpaceDN/>
        <w:bidi w:val="0"/>
        <w:adjustRightInd/>
        <w:spacing w:line="560" w:lineRule="exact"/>
        <w:ind w:firstLine="672" w:firstLineChars="200"/>
        <w:rPr>
          <w:sz w:val="32"/>
          <w:szCs w:val="32"/>
        </w:rPr>
      </w:pPr>
      <w:r>
        <w:rPr>
          <w:rFonts w:hint="eastAsia" w:ascii="Times New Roman" w:hAnsi="Times New Roman" w:eastAsia="楷体_GB2312" w:cs="Times New Roman"/>
          <w:b w:val="0"/>
          <w:bCs w:val="0"/>
          <w:spacing w:val="10"/>
          <w:sz w:val="32"/>
          <w:szCs w:val="32"/>
        </w:rPr>
        <w:t>一是持续深化政治建警。</w:t>
      </w:r>
      <w:r>
        <w:rPr>
          <w:rFonts w:hint="eastAsia" w:ascii="Times New Roman" w:hAnsi="Times New Roman" w:eastAsia="仿宋_GB2312" w:cs="Times New Roman"/>
          <w:b w:val="0"/>
          <w:bCs w:val="0"/>
          <w:spacing w:val="10"/>
          <w:sz w:val="32"/>
          <w:szCs w:val="32"/>
        </w:rPr>
        <w:t>组织全警学习贯彻党的二十届四中全会精神，扎实开展深入贯彻中央八项规定精神学习教育，市局党委理论中心组学习、“第一议题”学习30余次，举办专题读书班1期、政治轮训2期、文化大课堂3期、专题党课33场，推动党的创新理论入脑入心。坚持党建引领，做好乡村振兴等工作，解决民生问题；通过警校培训、升旗仪式、纪念英烈、警察节主题活动等形式，持续开展忠诚教育，创建“忠诚奉献</w:t>
      </w:r>
      <w:r>
        <w:rPr>
          <w:rFonts w:ascii="Times New Roman" w:hAnsi="Times New Roman" w:eastAsia="微软雅黑" w:cs="Times New Roman"/>
          <w:b w:val="0"/>
          <w:bCs w:val="0"/>
          <w:spacing w:val="10"/>
          <w:sz w:val="32"/>
          <w:szCs w:val="32"/>
        </w:rPr>
        <w:t>▪</w:t>
      </w:r>
      <w:r>
        <w:rPr>
          <w:rFonts w:hint="eastAsia" w:ascii="Times New Roman" w:hAnsi="Times New Roman" w:eastAsia="仿宋_GB2312" w:cs="Times New Roman"/>
          <w:b w:val="0"/>
          <w:bCs w:val="0"/>
          <w:spacing w:val="10"/>
          <w:sz w:val="32"/>
          <w:szCs w:val="32"/>
        </w:rPr>
        <w:t>无声守护”“红心领航</w:t>
      </w:r>
      <w:r>
        <w:rPr>
          <w:rFonts w:ascii="Times New Roman" w:hAnsi="Times New Roman" w:eastAsia="微软雅黑" w:cs="Times New Roman"/>
          <w:b w:val="0"/>
          <w:bCs w:val="0"/>
          <w:spacing w:val="10"/>
          <w:sz w:val="32"/>
          <w:szCs w:val="32"/>
        </w:rPr>
        <w:t>▪</w:t>
      </w:r>
      <w:r>
        <w:rPr>
          <w:rFonts w:hint="eastAsia" w:ascii="Times New Roman" w:hAnsi="Times New Roman" w:eastAsia="仿宋_GB2312" w:cs="Times New Roman"/>
          <w:b w:val="0"/>
          <w:bCs w:val="0"/>
          <w:spacing w:val="10"/>
          <w:sz w:val="32"/>
          <w:szCs w:val="32"/>
        </w:rPr>
        <w:t>境悦为民”等党建品牌，推动党建与业务深度融合，持续夯实政治根基，切实把忠诚融入血脉、见诸行动。</w:t>
      </w:r>
      <w:r>
        <w:rPr>
          <w:rFonts w:hint="eastAsia" w:ascii="Times New Roman" w:hAnsi="Times New Roman" w:eastAsia="楷体_GB2312" w:cs="Times New Roman"/>
          <w:b w:val="0"/>
          <w:bCs w:val="0"/>
          <w:spacing w:val="10"/>
          <w:sz w:val="32"/>
          <w:szCs w:val="32"/>
        </w:rPr>
        <w:t>二是全面强化从严治警。</w:t>
      </w:r>
      <w:r>
        <w:rPr>
          <w:rFonts w:hint="eastAsia" w:ascii="Times New Roman" w:hAnsi="Times New Roman" w:eastAsia="仿宋_GB2312" w:cs="Times New Roman"/>
          <w:b w:val="0"/>
          <w:bCs w:val="0"/>
          <w:spacing w:val="10"/>
          <w:sz w:val="32"/>
          <w:szCs w:val="32"/>
        </w:rPr>
        <w:t>坚持严的基调不动摇，实行合署办公、一体推进，形成学习教育、队伍建设、执法业务相互促进、循环提升的工作格局。</w:t>
      </w:r>
      <w:r>
        <w:rPr>
          <w:rFonts w:hint="eastAsia" w:ascii="Times New Roman" w:hAnsi="Times New Roman" w:eastAsia="楷体_GB2312" w:cs="Times New Roman"/>
          <w:b w:val="0"/>
          <w:bCs w:val="0"/>
          <w:spacing w:val="10"/>
          <w:sz w:val="32"/>
          <w:szCs w:val="32"/>
        </w:rPr>
        <w:t>三是常态开展实战练兵。</w:t>
      </w:r>
      <w:r>
        <w:rPr>
          <w:rFonts w:hint="eastAsia" w:ascii="Times New Roman" w:hAnsi="Times New Roman" w:eastAsia="仿宋_GB2312" w:cs="Times New Roman"/>
          <w:b w:val="0"/>
          <w:bCs w:val="0"/>
          <w:spacing w:val="10"/>
          <w:sz w:val="32"/>
          <w:szCs w:val="32"/>
        </w:rPr>
        <w:t>聚焦警务实战需求，科学制定市级培训计划，创新开展“教育整顿深化年·提升新质战斗力”系列测试活动，3000余名民警参与实战化训练</w:t>
      </w:r>
      <w:r>
        <w:rPr>
          <w:rFonts w:hint="eastAsia" w:ascii="Times New Roman" w:hAnsi="Times New Roman" w:eastAsia="仿宋_GB2312" w:cs="Times New Roman"/>
          <w:b w:val="0"/>
          <w:bCs w:val="0"/>
          <w:spacing w:val="10"/>
          <w:sz w:val="32"/>
          <w:szCs w:val="32"/>
          <w:lang w:eastAsia="zh-CN"/>
        </w:rPr>
        <w:t>。</w:t>
      </w:r>
      <w:r>
        <w:rPr>
          <w:rFonts w:hint="eastAsia" w:ascii="Times New Roman" w:hAnsi="Times New Roman" w:eastAsia="楷体_GB2312" w:cs="Times New Roman"/>
          <w:b w:val="0"/>
          <w:bCs w:val="0"/>
          <w:spacing w:val="10"/>
          <w:sz w:val="32"/>
          <w:szCs w:val="32"/>
        </w:rPr>
        <w:t>四是强化公安文化宣传。</w:t>
      </w:r>
      <w:r>
        <w:rPr>
          <w:rFonts w:hint="eastAsia" w:ascii="Times New Roman" w:hAnsi="Times New Roman" w:eastAsia="仿宋_GB2312" w:cs="Times New Roman"/>
          <w:b w:val="0"/>
          <w:bCs w:val="0"/>
          <w:spacing w:val="10"/>
          <w:sz w:val="32"/>
          <w:szCs w:val="32"/>
        </w:rPr>
        <w:t>围绕“平安护航2025”、反诈宣传、“湘超”安保等重点工作，策划推出一批有温度、有深度、有影响的融媒体作品，市级以上主流媒体发稿440篇，“局长说反诈”“所长说反诈”等系列短视频广受好评</w:t>
      </w:r>
      <w:r>
        <w:rPr>
          <w:rFonts w:hint="eastAsia" w:ascii="Times New Roman" w:hAnsi="Times New Roman" w:eastAsia="仿宋_GB2312" w:cs="Times New Roman"/>
          <w:b w:val="0"/>
          <w:bCs w:val="0"/>
          <w:spacing w:val="10"/>
          <w:sz w:val="32"/>
          <w:szCs w:val="32"/>
          <w:lang w:eastAsia="zh-CN"/>
        </w:rPr>
        <w:t>。</w:t>
      </w:r>
      <w:r>
        <w:rPr>
          <w:rFonts w:hint="eastAsia" w:ascii="Times New Roman" w:hAnsi="Times New Roman" w:eastAsia="楷体_GB2312" w:cs="Times New Roman"/>
          <w:b w:val="0"/>
          <w:bCs w:val="0"/>
          <w:spacing w:val="10"/>
          <w:sz w:val="32"/>
          <w:szCs w:val="32"/>
        </w:rPr>
        <w:t>五是用心抓实暖警爱警。</w:t>
      </w:r>
      <w:r>
        <w:rPr>
          <w:rFonts w:hint="eastAsia" w:ascii="Times New Roman" w:hAnsi="Times New Roman" w:eastAsia="仿宋_GB2312" w:cs="Times New Roman"/>
          <w:b w:val="0"/>
          <w:bCs w:val="0"/>
          <w:spacing w:val="10"/>
          <w:sz w:val="32"/>
          <w:szCs w:val="32"/>
        </w:rPr>
        <w:t>全面落实公安英烈、因公牺牲及伤残民警子女教育优待政策，开展“惠警安居·无忧购房”团购活动，继续开展暑假民警子女托管服务，累计惠及</w:t>
      </w:r>
      <w:r>
        <w:rPr>
          <w:rFonts w:ascii="Times New Roman" w:hAnsi="Times New Roman" w:eastAsia="仿宋_GB2312" w:cs="Times New Roman"/>
          <w:b w:val="0"/>
          <w:bCs w:val="0"/>
          <w:spacing w:val="10"/>
          <w:sz w:val="32"/>
          <w:szCs w:val="32"/>
        </w:rPr>
        <w:t>677</w:t>
      </w:r>
      <w:r>
        <w:rPr>
          <w:rFonts w:hint="eastAsia" w:ascii="Times New Roman" w:hAnsi="Times New Roman" w:eastAsia="仿宋_GB2312" w:cs="Times New Roman"/>
          <w:b w:val="0"/>
          <w:bCs w:val="0"/>
          <w:spacing w:val="10"/>
          <w:sz w:val="32"/>
          <w:szCs w:val="32"/>
        </w:rPr>
        <w:t>名民警子女，切实解决民警后顾之忧。严格落实年度体检和轮休制度，为民警购买人身意外伤害团体险，完成全市民辅警心理健康测评，累计为1000余名民辅警提供个体咨询、团体辅导等服务，全面保障民辅警身心健康。扎实开展系列走访慰问，全年覆盖</w:t>
      </w:r>
      <w:r>
        <w:rPr>
          <w:rFonts w:ascii="Times New Roman" w:hAnsi="Times New Roman" w:eastAsia="仿宋_GB2312" w:cs="Times New Roman"/>
          <w:b w:val="0"/>
          <w:bCs w:val="0"/>
          <w:spacing w:val="10"/>
          <w:sz w:val="32"/>
          <w:szCs w:val="32"/>
        </w:rPr>
        <w:t>100</w:t>
      </w:r>
      <w:r>
        <w:rPr>
          <w:rFonts w:ascii="Times New Roman" w:hAnsi="Times New Roman" w:eastAsia="仿宋_GB2312" w:cs="Times New Roman"/>
          <w:spacing w:val="10"/>
          <w:sz w:val="32"/>
          <w:szCs w:val="32"/>
        </w:rPr>
        <w:t>0</w:t>
      </w:r>
      <w:r>
        <w:rPr>
          <w:rFonts w:hint="eastAsia" w:ascii="Times New Roman" w:hAnsi="Times New Roman" w:eastAsia="仿宋_GB2312" w:cs="Times New Roman"/>
          <w:spacing w:val="10"/>
          <w:sz w:val="32"/>
          <w:szCs w:val="32"/>
        </w:rPr>
        <w:t>余人次。对通过法考的民警发放助学奖励，激励队伍职业发展。持续推进“团圆计划”，帮助民警解决两地分居问题，切实把组织关怀落到实处，不断增强队伍的获得感、幸福感和归属感。</w:t>
      </w:r>
    </w:p>
    <w:p>
      <w:pPr>
        <w:keepNext w:val="0"/>
        <w:keepLines w:val="0"/>
        <w:pageBreakBefore w:val="0"/>
        <w:widowControl/>
        <w:kinsoku/>
        <w:wordWrap/>
        <w:overflowPunct/>
        <w:topLinePunct w:val="0"/>
        <w:autoSpaceDE/>
        <w:autoSpaceDN/>
        <w:bidi w:val="0"/>
        <w:adjustRightInd/>
        <w:snapToGrid w:val="0"/>
        <w:spacing w:line="560" w:lineRule="exact"/>
        <w:ind w:left="622" w:leftChars="197" w:firstLine="0" w:firstLineChars="0"/>
        <w:rPr>
          <w:rFonts w:hint="eastAsia" w:ascii="仿宋" w:hAnsi="仿宋" w:eastAsia="仿宋"/>
          <w:sz w:val="32"/>
          <w:szCs w:val="32"/>
        </w:rPr>
      </w:pPr>
      <w:r>
        <w:rPr>
          <w:rFonts w:hint="eastAsia" w:ascii="仿宋" w:hAnsi="仿宋" w:eastAsia="仿宋"/>
          <w:sz w:val="32"/>
          <w:szCs w:val="32"/>
        </w:rPr>
        <w:t>3.效益性分析</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sz w:val="32"/>
          <w:szCs w:val="32"/>
        </w:rPr>
      </w:pPr>
      <w:r>
        <w:rPr>
          <w:rFonts w:hint="eastAsia" w:ascii="仿宋" w:hAnsi="仿宋" w:eastAsia="仿宋"/>
          <w:sz w:val="32"/>
          <w:szCs w:val="32"/>
          <w:lang w:val="zh-CN"/>
        </w:rPr>
        <w:t>（</w:t>
      </w:r>
      <w:r>
        <w:rPr>
          <w:rFonts w:hint="eastAsia" w:ascii="仿宋" w:hAnsi="仿宋" w:eastAsia="仿宋"/>
          <w:sz w:val="32"/>
          <w:szCs w:val="32"/>
        </w:rPr>
        <w:t>1</w:t>
      </w:r>
      <w:r>
        <w:rPr>
          <w:rFonts w:hint="eastAsia" w:ascii="仿宋" w:hAnsi="仿宋" w:eastAsia="仿宋"/>
          <w:sz w:val="32"/>
          <w:szCs w:val="32"/>
          <w:lang w:val="zh-CN"/>
        </w:rPr>
        <w:t>）社会</w:t>
      </w:r>
      <w:r>
        <w:rPr>
          <w:rFonts w:hint="eastAsia" w:ascii="仿宋" w:hAnsi="仿宋" w:eastAsia="仿宋"/>
          <w:sz w:val="32"/>
          <w:szCs w:val="32"/>
        </w:rPr>
        <w:t>治安环境持续好转。</w:t>
      </w:r>
      <w:r>
        <w:rPr>
          <w:rFonts w:hint="eastAsia" w:ascii="仿宋" w:hAnsi="仿宋" w:eastAsia="仿宋"/>
          <w:sz w:val="32"/>
          <w:szCs w:val="32"/>
          <w:lang w:val="en-US" w:eastAsia="zh-CN"/>
        </w:rPr>
        <w:t>2025年</w:t>
      </w:r>
      <w:r>
        <w:rPr>
          <w:rFonts w:hint="eastAsia" w:ascii="仿宋" w:hAnsi="仿宋" w:eastAsia="仿宋"/>
          <w:sz w:val="32"/>
          <w:szCs w:val="32"/>
        </w:rPr>
        <w:t>，</w:t>
      </w:r>
      <w:r>
        <w:rPr>
          <w:rFonts w:hint="eastAsia" w:ascii="仿宋" w:hAnsi="仿宋" w:eastAsia="仿宋"/>
          <w:sz w:val="32"/>
          <w:szCs w:val="32"/>
          <w:lang w:eastAsia="zh-CN"/>
        </w:rPr>
        <w:t>益阳市公安局以“平安护航</w:t>
      </w:r>
      <w:r>
        <w:rPr>
          <w:rFonts w:hint="eastAsia" w:ascii="仿宋" w:hAnsi="仿宋" w:eastAsia="仿宋"/>
          <w:sz w:val="32"/>
          <w:szCs w:val="32"/>
          <w:lang w:val="en-US" w:eastAsia="zh-CN"/>
        </w:rPr>
        <w:t>2025</w:t>
      </w:r>
      <w:r>
        <w:rPr>
          <w:rFonts w:hint="eastAsia" w:ascii="仿宋" w:hAnsi="仿宋" w:eastAsia="仿宋"/>
          <w:sz w:val="32"/>
          <w:szCs w:val="32"/>
          <w:lang w:eastAsia="zh-CN"/>
        </w:rPr>
        <w:t>”行动为总抓手，开展“守护银城”、“夏季治安打击整治行动”等专项行动，打击效能显著提升，违法犯罪有效遏制；深化“情指行”一体化运行机制，打造</w:t>
      </w:r>
      <w:r>
        <w:rPr>
          <w:rFonts w:hint="eastAsia" w:ascii="仿宋" w:hAnsi="仿宋" w:eastAsia="仿宋"/>
          <w:sz w:val="32"/>
          <w:szCs w:val="32"/>
          <w:lang w:val="en-US" w:eastAsia="zh-CN"/>
        </w:rPr>
        <w:t>24小时作战中枢，联动12个部门，支撑案事件处置，提升协同处置效率；推荐社会面巡防常态化，优化警力部署，强化显性用警，提高见警率、管事率、有效压降现行违法犯罪，人民群众的安全感和幸福感进一步提升。</w:t>
      </w:r>
    </w:p>
    <w:p>
      <w:pPr>
        <w:keepNext w:val="0"/>
        <w:keepLines w:val="0"/>
        <w:pageBreakBefore w:val="0"/>
        <w:widowControl/>
        <w:kinsoku/>
        <w:wordWrap/>
        <w:overflowPunct/>
        <w:topLinePunct w:val="0"/>
        <w:autoSpaceDE/>
        <w:autoSpaceDN/>
        <w:bidi w:val="0"/>
        <w:adjustRightInd/>
        <w:snapToGrid w:val="0"/>
        <w:spacing w:line="560" w:lineRule="exact"/>
        <w:ind w:firstLine="632" w:firstLineChars="200"/>
        <w:rPr>
          <w:rFonts w:hint="eastAsia" w:ascii="仿宋" w:hAnsi="仿宋" w:eastAsia="仿宋"/>
          <w:sz w:val="32"/>
          <w:szCs w:val="32"/>
        </w:rPr>
      </w:pPr>
      <w:r>
        <w:rPr>
          <w:rFonts w:hint="eastAsia" w:ascii="仿宋" w:hAnsi="仿宋" w:eastAsia="仿宋"/>
          <w:sz w:val="32"/>
          <w:szCs w:val="32"/>
        </w:rPr>
        <w:t>（2）维护社会安定。制定了相应的规范管理制度，形成了长效机制，长期维护社会治安稳定。</w:t>
      </w:r>
    </w:p>
    <w:p>
      <w:pPr>
        <w:keepNext w:val="0"/>
        <w:keepLines w:val="0"/>
        <w:pageBreakBefore w:val="0"/>
        <w:widowControl/>
        <w:kinsoku/>
        <w:wordWrap/>
        <w:overflowPunct/>
        <w:topLinePunct w:val="0"/>
        <w:autoSpaceDE/>
        <w:autoSpaceDN/>
        <w:bidi w:val="0"/>
        <w:adjustRightInd/>
        <w:snapToGrid w:val="0"/>
        <w:spacing w:line="560" w:lineRule="exact"/>
        <w:ind w:firstLine="632" w:firstLineChars="200"/>
        <w:rPr>
          <w:rFonts w:hint="eastAsia" w:ascii="仿宋" w:hAnsi="仿宋" w:eastAsia="仿宋"/>
          <w:sz w:val="32"/>
          <w:szCs w:val="32"/>
        </w:rPr>
      </w:pPr>
      <w:r>
        <w:rPr>
          <w:rFonts w:hint="eastAsia" w:ascii="仿宋" w:hAnsi="仿宋" w:eastAsia="仿宋"/>
          <w:sz w:val="32"/>
          <w:szCs w:val="32"/>
        </w:rPr>
        <w:t>（3）人民群众满意度不断上升。进一步深化了放管服改革，让数据多跑路，让群众少跑路，营造了良好营商环境，提升了公安政务服务水平，做到了廉洁高效；通过深入推进政治建警，开展纪律作风专项整治，提高了队伍的凝聚力和战斗力；全面推进严格规范公正文明执法，加强警务评议，全面提升了工作效率和整体形象，人民群众的满意度极大提高。</w:t>
      </w:r>
    </w:p>
    <w:p>
      <w:pPr>
        <w:pStyle w:val="16"/>
        <w:keepNext w:val="0"/>
        <w:keepLines w:val="0"/>
        <w:pageBreakBefore w:val="0"/>
        <w:kinsoku/>
        <w:wordWrap/>
        <w:overflowPunct/>
        <w:topLinePunct w:val="0"/>
        <w:autoSpaceDE/>
        <w:autoSpaceDN/>
        <w:bidi w:val="0"/>
        <w:adjustRightInd/>
        <w:spacing w:line="560" w:lineRule="exact"/>
        <w:ind w:left="622" w:leftChars="197" w:firstLine="0" w:firstLineChars="0"/>
        <w:rPr>
          <w:rFonts w:ascii="Times New Roman" w:hAnsi="Times New Roman" w:eastAsia="黑体"/>
          <w:sz w:val="32"/>
          <w:szCs w:val="32"/>
        </w:rPr>
      </w:pPr>
      <w:r>
        <w:rPr>
          <w:rFonts w:hint="eastAsia" w:ascii="Times New Roman" w:hAnsi="Times New Roman" w:eastAsia="黑体"/>
          <w:sz w:val="32"/>
          <w:szCs w:val="32"/>
        </w:rPr>
        <w:t>七</w:t>
      </w:r>
      <w:r>
        <w:rPr>
          <w:rFonts w:ascii="Times New Roman" w:hAnsi="Times New Roman" w:eastAsia="黑体"/>
          <w:sz w:val="32"/>
          <w:szCs w:val="32"/>
        </w:rPr>
        <w:t>、存在的问题及原因分析</w:t>
      </w:r>
    </w:p>
    <w:p>
      <w:pPr>
        <w:keepNext w:val="0"/>
        <w:keepLines w:val="0"/>
        <w:pageBreakBefore w:val="0"/>
        <w:widowControl/>
        <w:kinsoku/>
        <w:wordWrap/>
        <w:overflowPunct/>
        <w:topLinePunct w:val="0"/>
        <w:autoSpaceDE/>
        <w:autoSpaceDN/>
        <w:bidi w:val="0"/>
        <w:adjustRightInd/>
        <w:snapToGrid w:val="0"/>
        <w:spacing w:line="560" w:lineRule="exact"/>
        <w:ind w:firstLine="632" w:firstLineChars="200"/>
        <w:rPr>
          <w:rFonts w:hint="eastAsia" w:ascii="仿宋" w:hAnsi="仿宋" w:eastAsia="仿宋"/>
          <w:sz w:val="32"/>
          <w:szCs w:val="32"/>
        </w:rPr>
      </w:pPr>
      <w:r>
        <w:rPr>
          <w:rFonts w:hint="eastAsia" w:ascii="仿宋" w:hAnsi="仿宋" w:eastAsia="仿宋"/>
          <w:sz w:val="32"/>
          <w:szCs w:val="32"/>
        </w:rPr>
        <w:t>1.基础设施建设推进缓慢。全市公安机关基础设施建设受当地经济发展水平的制约，困扰公安机关发展的基础设施建设滞后的问题仍然存在，建设任务繁重，全市还存在着少数地方派出所是无房所、危房所、面积不足所的情况。</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 w:hAnsi="仿宋" w:eastAsia="仿宋"/>
          <w:bCs/>
          <w:sz w:val="32"/>
          <w:szCs w:val="32"/>
        </w:rPr>
      </w:pPr>
      <w:r>
        <w:rPr>
          <w:rFonts w:hint="eastAsia" w:ascii="仿宋" w:hAnsi="仿宋" w:eastAsia="仿宋"/>
          <w:bCs/>
          <w:sz w:val="32"/>
          <w:szCs w:val="32"/>
        </w:rPr>
        <w:t>2.财力保障难到位。受大环境影响，公安机关财政预算压减紧缩，经费保障总量难以突破，警务辅助人员经费保障尚有较大缺口，公安工作日益增长的保障需求与一些地方公安经费保障不足的矛盾依然突出。</w:t>
      </w:r>
    </w:p>
    <w:p>
      <w:pPr>
        <w:keepNext w:val="0"/>
        <w:keepLines w:val="0"/>
        <w:pageBreakBefore w:val="0"/>
        <w:widowControl/>
        <w:kinsoku/>
        <w:wordWrap/>
        <w:overflowPunct/>
        <w:topLinePunct w:val="0"/>
        <w:autoSpaceDE/>
        <w:autoSpaceDN/>
        <w:bidi w:val="0"/>
        <w:adjustRightInd/>
        <w:snapToGrid w:val="0"/>
        <w:spacing w:line="560" w:lineRule="exact"/>
        <w:ind w:firstLine="632" w:firstLineChars="200"/>
        <w:rPr>
          <w:rFonts w:hint="eastAsia" w:ascii="仿宋" w:hAnsi="仿宋" w:eastAsia="仿宋"/>
          <w:sz w:val="32"/>
          <w:szCs w:val="32"/>
        </w:rPr>
      </w:pPr>
      <w:r>
        <w:rPr>
          <w:rFonts w:hint="eastAsia" w:ascii="仿宋" w:hAnsi="仿宋" w:eastAsia="仿宋"/>
          <w:sz w:val="32"/>
          <w:szCs w:val="32"/>
        </w:rPr>
        <w:t>3.国有资产管理难度较大。国有资产管理不完善，专业管理人才严重缺乏，固定资产管理账实不符的历史遗留问题、部门采购与公用采购不统一等问题，导致国有资产管理难以到位。</w:t>
      </w:r>
    </w:p>
    <w:p>
      <w:pPr>
        <w:pStyle w:val="2"/>
        <w:rPr>
          <w:rFonts w:hint="default" w:eastAsia="仿宋"/>
          <w:lang w:val="en-US" w:eastAsia="zh-CN"/>
        </w:rPr>
      </w:pPr>
      <w:r>
        <w:rPr>
          <w:rFonts w:hint="eastAsia" w:ascii="仿宋" w:hAnsi="仿宋" w:eastAsia="仿宋"/>
          <w:sz w:val="32"/>
          <w:szCs w:val="32"/>
          <w:lang w:val="en-US" w:eastAsia="zh-CN"/>
        </w:rPr>
        <w:t>4.矛盾纠纷调解起数持续减少。经分析，应是矛盾纠纷源头排查前置了，日常走访、提前介入，将矛盾化解在萌芽、化解在居民社区。再加上普法宣传到位，群众法律意识提升，遇事懂法、理性协商，不走吵架报警路子，自发减少矛盾冲突。</w:t>
      </w:r>
    </w:p>
    <w:p>
      <w:pPr>
        <w:keepNext w:val="0"/>
        <w:keepLines w:val="0"/>
        <w:pageBreakBefore w:val="0"/>
        <w:kinsoku/>
        <w:wordWrap/>
        <w:overflowPunct/>
        <w:topLinePunct w:val="0"/>
        <w:autoSpaceDE/>
        <w:autoSpaceDN/>
        <w:bidi w:val="0"/>
        <w:adjustRightInd/>
        <w:spacing w:line="560" w:lineRule="exact"/>
        <w:ind w:left="622" w:leftChars="197" w:firstLine="0" w:firstLineChars="0"/>
        <w:rPr>
          <w:rFonts w:eastAsia="黑体"/>
          <w:sz w:val="32"/>
          <w:szCs w:val="32"/>
        </w:rPr>
      </w:pPr>
      <w:r>
        <w:rPr>
          <w:rFonts w:hint="eastAsia" w:eastAsia="黑体"/>
          <w:sz w:val="32"/>
          <w:szCs w:val="32"/>
        </w:rPr>
        <w:t>八</w:t>
      </w:r>
      <w:r>
        <w:rPr>
          <w:rFonts w:eastAsia="黑体"/>
          <w:sz w:val="32"/>
          <w:szCs w:val="32"/>
        </w:rPr>
        <w:t>、下一步改进措施</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 w:hAnsi="仿宋" w:eastAsia="仿宋"/>
          <w:sz w:val="32"/>
          <w:szCs w:val="32"/>
        </w:rPr>
      </w:pPr>
      <w:r>
        <w:rPr>
          <w:rFonts w:hint="eastAsia" w:ascii="仿宋" w:hAnsi="仿宋" w:eastAsia="仿宋"/>
          <w:sz w:val="32"/>
          <w:szCs w:val="32"/>
        </w:rPr>
        <w:t>1.严格部门预算管理，提高预算资金使用效率。进一步加强本单位的预算资金管理，减少预算资金使用的规范性，对预算的事前管理、事中监控、事后评价进行全过程控制，加大对预算编制与执行的监督管理力度，提高预算资金使用效率。</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 w:hAnsi="仿宋" w:eastAsia="仿宋"/>
          <w:sz w:val="32"/>
          <w:szCs w:val="32"/>
        </w:rPr>
      </w:pPr>
      <w:r>
        <w:rPr>
          <w:rFonts w:hint="eastAsia" w:ascii="仿宋" w:hAnsi="仿宋" w:eastAsia="仿宋"/>
          <w:sz w:val="32"/>
          <w:szCs w:val="32"/>
        </w:rPr>
        <w:t>2.强化预算责任意识，提高预算资金使用效益。提高专项资金责任人员对预算资金使用效益的认识，把预算资金是否发挥使用效益与各岗位是否履职尽责相结合，将预算资金使用的效率和效益作为对各岗位人员工作考核评价的依据。</w:t>
      </w:r>
    </w:p>
    <w:p>
      <w:pPr>
        <w:pStyle w:val="2"/>
        <w:rPr>
          <w:rFonts w:hint="default" w:eastAsia="仿宋"/>
          <w:lang w:val="en-US" w:eastAsia="zh-CN"/>
        </w:rPr>
      </w:pPr>
      <w:r>
        <w:rPr>
          <w:rFonts w:hint="eastAsia" w:eastAsia="仿宋"/>
          <w:lang w:val="en-US" w:eastAsia="zh-CN"/>
        </w:rPr>
        <w:t>3.合理制定绩效目标值，要坚持实事求是、可量化可考核、难易适度原则。可以近三年历史数据为基底，结合上级考核要求，常规指标适度小幅提升，压降类指标稳步递减，杜绝模糊表述和拍脑袋定标，确保目标务实可行，便于考核落地。</w:t>
      </w:r>
    </w:p>
    <w:p>
      <w:pPr>
        <w:keepNext w:val="0"/>
        <w:keepLines w:val="0"/>
        <w:pageBreakBefore w:val="0"/>
        <w:kinsoku/>
        <w:wordWrap/>
        <w:overflowPunct/>
        <w:topLinePunct w:val="0"/>
        <w:autoSpaceDE/>
        <w:autoSpaceDN/>
        <w:bidi w:val="0"/>
        <w:adjustRightInd/>
        <w:spacing w:line="560" w:lineRule="exact"/>
        <w:ind w:left="622" w:leftChars="197" w:firstLine="0" w:firstLineChars="0"/>
        <w:rPr>
          <w:rFonts w:eastAsia="黑体"/>
          <w:sz w:val="32"/>
          <w:szCs w:val="32"/>
        </w:rPr>
      </w:pPr>
      <w:r>
        <w:rPr>
          <w:rFonts w:hint="eastAsia" w:eastAsia="黑体"/>
          <w:sz w:val="32"/>
          <w:szCs w:val="32"/>
        </w:rPr>
        <w:t>九</w:t>
      </w:r>
      <w:r>
        <w:rPr>
          <w:rFonts w:eastAsia="黑体"/>
          <w:sz w:val="32"/>
          <w:szCs w:val="32"/>
        </w:rPr>
        <w:t>、绩效自评结果拟应用和公开情况</w:t>
      </w:r>
    </w:p>
    <w:p>
      <w:pPr>
        <w:keepNext w:val="0"/>
        <w:keepLines w:val="0"/>
        <w:pageBreakBefore w:val="0"/>
        <w:kinsoku/>
        <w:wordWrap/>
        <w:overflowPunct/>
        <w:topLinePunct w:val="0"/>
        <w:autoSpaceDE/>
        <w:autoSpaceDN/>
        <w:bidi w:val="0"/>
        <w:adjustRightInd/>
        <w:spacing w:line="560" w:lineRule="exact"/>
        <w:ind w:firstLine="632" w:firstLineChars="200"/>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年益阳市公安局部门整体支出绩效自评</w:t>
      </w:r>
      <w:r>
        <w:rPr>
          <w:rFonts w:hint="eastAsia" w:ascii="仿宋" w:hAnsi="仿宋" w:eastAsia="仿宋"/>
          <w:sz w:val="32"/>
          <w:szCs w:val="32"/>
          <w:lang w:val="en-US" w:eastAsia="zh-CN"/>
        </w:rPr>
        <w:t>99.07</w:t>
      </w:r>
      <w:r>
        <w:rPr>
          <w:rFonts w:hint="eastAsia" w:ascii="仿宋" w:hAnsi="仿宋" w:eastAsia="仿宋"/>
          <w:sz w:val="32"/>
          <w:szCs w:val="32"/>
        </w:rPr>
        <w:t>分，自评结果为“优秀”。益阳市公安局将按照市财政局的要求在规定时间内将部门整体支出绩效自评报告在官网上公示。</w:t>
      </w:r>
    </w:p>
    <w:p>
      <w:pPr>
        <w:keepNext w:val="0"/>
        <w:keepLines w:val="0"/>
        <w:pageBreakBefore w:val="0"/>
        <w:kinsoku/>
        <w:wordWrap/>
        <w:overflowPunct/>
        <w:topLinePunct w:val="0"/>
        <w:autoSpaceDE/>
        <w:autoSpaceDN/>
        <w:bidi w:val="0"/>
        <w:adjustRightInd/>
        <w:spacing w:line="560" w:lineRule="exact"/>
        <w:ind w:left="622" w:leftChars="197" w:firstLine="0" w:firstLineChars="0"/>
        <w:rPr>
          <w:rFonts w:eastAsia="黑体"/>
          <w:sz w:val="32"/>
          <w:szCs w:val="32"/>
        </w:rPr>
      </w:pPr>
      <w:r>
        <w:rPr>
          <w:rFonts w:hint="eastAsia" w:eastAsia="黑体"/>
          <w:sz w:val="32"/>
          <w:szCs w:val="32"/>
        </w:rPr>
        <w:t>十、</w:t>
      </w:r>
      <w:r>
        <w:rPr>
          <w:rFonts w:eastAsia="黑体"/>
          <w:sz w:val="32"/>
          <w:szCs w:val="32"/>
        </w:rPr>
        <w:t>其他需要说明的情况</w:t>
      </w:r>
    </w:p>
    <w:p>
      <w:pPr>
        <w:keepNext w:val="0"/>
        <w:keepLines w:val="0"/>
        <w:pageBreakBefore w:val="0"/>
        <w:kinsoku/>
        <w:wordWrap/>
        <w:overflowPunct/>
        <w:topLinePunct w:val="0"/>
        <w:autoSpaceDE/>
        <w:autoSpaceDN/>
        <w:bidi w:val="0"/>
        <w:adjustRightInd/>
        <w:spacing w:line="560" w:lineRule="exact"/>
        <w:ind w:left="622" w:leftChars="197" w:firstLine="0" w:firstLineChars="0"/>
        <w:rPr>
          <w:rFonts w:ascii="仿宋" w:hAnsi="仿宋" w:eastAsia="仿宋"/>
          <w:sz w:val="32"/>
          <w:szCs w:val="32"/>
        </w:rPr>
      </w:pPr>
      <w:r>
        <w:rPr>
          <w:rFonts w:hint="eastAsia" w:ascii="仿宋" w:hAnsi="仿宋" w:eastAsia="仿宋"/>
          <w:sz w:val="32"/>
          <w:szCs w:val="32"/>
        </w:rPr>
        <w:t>无其他需要</w:t>
      </w:r>
      <w:r>
        <w:rPr>
          <w:rFonts w:hint="eastAsia" w:ascii="宋体" w:hAnsi="宋体" w:eastAsia="宋体" w:cs="宋体"/>
          <w:sz w:val="32"/>
          <w:szCs w:val="32"/>
        </w:rPr>
        <w:t>说</w:t>
      </w:r>
      <w:r>
        <w:rPr>
          <w:rFonts w:hint="eastAsia" w:ascii="仿宋" w:hAnsi="仿宋" w:eastAsia="仿宋"/>
          <w:sz w:val="32"/>
          <w:szCs w:val="32"/>
        </w:rPr>
        <w:t>明的情况。</w:t>
      </w:r>
    </w:p>
    <w:p>
      <w:pPr>
        <w:keepNext w:val="0"/>
        <w:keepLines w:val="0"/>
        <w:pageBreakBefore w:val="0"/>
        <w:kinsoku/>
        <w:wordWrap/>
        <w:overflowPunct/>
        <w:topLinePunct w:val="0"/>
        <w:autoSpaceDE/>
        <w:autoSpaceDN/>
        <w:bidi w:val="0"/>
        <w:adjustRightInd/>
        <w:spacing w:line="560" w:lineRule="exact"/>
        <w:rPr>
          <w:sz w:val="32"/>
          <w:szCs w:val="32"/>
        </w:rPr>
      </w:pPr>
    </w:p>
    <w:p>
      <w:pPr>
        <w:pStyle w:val="2"/>
        <w:keepNext w:val="0"/>
        <w:keepLines w:val="0"/>
        <w:pageBreakBefore w:val="0"/>
        <w:kinsoku/>
        <w:wordWrap/>
        <w:overflowPunct/>
        <w:topLinePunct w:val="0"/>
        <w:autoSpaceDE/>
        <w:autoSpaceDN/>
        <w:bidi w:val="0"/>
        <w:adjustRightInd/>
        <w:spacing w:line="560" w:lineRule="exact"/>
        <w:ind w:left="0" w:leftChars="0" w:firstLine="0" w:firstLineChars="0"/>
      </w:pPr>
    </w:p>
    <w:p>
      <w:pPr>
        <w:pStyle w:val="2"/>
        <w:rPr>
          <w:rFonts w:hint="eastAsia"/>
        </w:rPr>
      </w:pPr>
      <w:bookmarkStart w:id="0" w:name="_GoBack"/>
      <w:bookmarkEnd w:id="0"/>
    </w:p>
    <w:sectPr>
      <w:footerReference r:id="rId3" w:type="default"/>
      <w:footerReference r:id="rId4" w:type="even"/>
      <w:pgSz w:w="11907" w:h="16840"/>
      <w:pgMar w:top="1701" w:right="1474" w:bottom="1984" w:left="1588" w:header="851" w:footer="992" w:gutter="0"/>
      <w:cols w:space="720" w:num="1"/>
      <w:docGrid w:type="linesAndChars" w:linePitch="587"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97D50B1-1009-4DA3-8B74-B00041CEBFF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FangSong_GB2312">
    <w:altName w:val="仿宋_GB2312"/>
    <w:panose1 w:val="02010609030101010101"/>
    <w:charset w:val="86"/>
    <w:family w:val="modern"/>
    <w:pitch w:val="default"/>
    <w:sig w:usb0="00000000" w:usb1="00000000" w:usb2="00000016" w:usb3="00000000" w:csb0="00040001" w:csb1="00000000"/>
  </w:font>
  <w:font w:name="方正小标宋简体">
    <w:panose1 w:val="03000509000000000000"/>
    <w:charset w:val="86"/>
    <w:family w:val="auto"/>
    <w:pitch w:val="default"/>
    <w:sig w:usb0="00000001" w:usb1="080E0000" w:usb2="00000000" w:usb3="00000000" w:csb0="00040000" w:csb1="00000000"/>
    <w:embedRegular r:id="rId2" w:fontKey="{9A2D87FE-375B-4320-82EF-C1577F544F2B}"/>
  </w:font>
  <w:font w:name="仿宋_GB2312">
    <w:panose1 w:val="02010609030101010101"/>
    <w:charset w:val="86"/>
    <w:family w:val="swiss"/>
    <w:pitch w:val="default"/>
    <w:sig w:usb0="00000001" w:usb1="080E0000" w:usb2="00000000" w:usb3="00000000" w:csb0="00040000" w:csb1="00000000"/>
    <w:embedRegular r:id="rId3" w:fontKey="{747A09A6-56AE-4875-AF2E-F764C177126B}"/>
  </w:font>
  <w:font w:name="楷体_GB2312">
    <w:panose1 w:val="02010609030101010101"/>
    <w:charset w:val="86"/>
    <w:family w:val="modern"/>
    <w:pitch w:val="default"/>
    <w:sig w:usb0="00000001" w:usb1="080E0000" w:usb2="00000000" w:usb3="00000000" w:csb0="00040000" w:csb1="00000000"/>
    <w:embedRegular r:id="rId4" w:fontKey="{B572D175-8090-4857-921A-B3993A67AA2C}"/>
  </w:font>
  <w:font w:name="仿宋">
    <w:panose1 w:val="02010609060101010101"/>
    <w:charset w:val="86"/>
    <w:family w:val="modern"/>
    <w:pitch w:val="default"/>
    <w:sig w:usb0="800002BF" w:usb1="38CF7CFA" w:usb2="00000016" w:usb3="00000000" w:csb0="00040001" w:csb1="00000000"/>
    <w:embedRegular r:id="rId5" w:fontKey="{9FBF3F97-A66F-42A8-A00D-53E504768A2D}"/>
  </w:font>
  <w:font w:name="Batang">
    <w:panose1 w:val="02030600000101010101"/>
    <w:charset w:val="81"/>
    <w:family w:val="roman"/>
    <w:pitch w:val="default"/>
    <w:sig w:usb0="B00002AF" w:usb1="69D77CFB" w:usb2="00000030" w:usb3="00000000" w:csb0="4008009F" w:csb1="DFD70000"/>
    <w:embedRegular r:id="rId6" w:fontKey="{504B7AE6-A188-4786-88CE-6989CE2C4A54}"/>
  </w:font>
  <w:font w:name="微软雅黑">
    <w:panose1 w:val="020B0503020204020204"/>
    <w:charset w:val="86"/>
    <w:family w:val="swiss"/>
    <w:pitch w:val="default"/>
    <w:sig w:usb0="80000287" w:usb1="280F3C52" w:usb2="00000016" w:usb3="00000000" w:csb0="0004001F" w:csb1="00000000"/>
    <w:embedRegular r:id="rId7" w:fontKey="{05E191B9-077B-49EB-AB37-4D67331B28E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ind w:right="335"/>
      <w:rPr>
        <w:rStyle w:val="11"/>
        <w:rFonts w:hint="eastAsia" w:ascii="宋体" w:hAnsi="宋体" w:eastAsia="宋体"/>
        <w:sz w:val="28"/>
      </w:rPr>
    </w:pPr>
    <w:r>
      <w:rPr>
        <w:rStyle w:val="11"/>
        <w:rFonts w:hint="eastAsia" w:ascii="宋体" w:hAnsi="宋体" w:eastAsia="宋体"/>
        <w:sz w:val="28"/>
      </w:rPr>
      <w:t>—</w:t>
    </w:r>
    <w:r>
      <w:rPr>
        <w:rFonts w:ascii="宋体" w:hAnsi="宋体" w:eastAsia="宋体"/>
        <w:sz w:val="28"/>
      </w:rPr>
      <w:fldChar w:fldCharType="begin"/>
    </w:r>
    <w:r>
      <w:rPr>
        <w:rStyle w:val="11"/>
        <w:rFonts w:ascii="宋体" w:hAnsi="宋体" w:eastAsia="宋体"/>
        <w:sz w:val="28"/>
      </w:rPr>
      <w:instrText xml:space="preserve">PAGE  </w:instrText>
    </w:r>
    <w:r>
      <w:rPr>
        <w:rFonts w:ascii="宋体" w:hAnsi="宋体" w:eastAsia="宋体"/>
        <w:sz w:val="28"/>
      </w:rPr>
      <w:fldChar w:fldCharType="separate"/>
    </w:r>
    <w:r>
      <w:rPr>
        <w:rStyle w:val="11"/>
        <w:rFonts w:ascii="宋体" w:hAnsi="宋体" w:eastAsia="宋体"/>
        <w:sz w:val="28"/>
      </w:rPr>
      <w:t>1</w:t>
    </w:r>
    <w:r>
      <w:rPr>
        <w:rFonts w:ascii="宋体" w:hAnsi="宋体" w:eastAsia="宋体"/>
        <w:sz w:val="28"/>
      </w:rPr>
      <w:fldChar w:fldCharType="end"/>
    </w:r>
    <w:r>
      <w:rPr>
        <w:rStyle w:val="11"/>
        <w:rFonts w:hint="eastAsia" w:ascii="宋体" w:hAnsi="宋体" w:eastAsia="宋体"/>
        <w:sz w:val="28"/>
      </w:rPr>
      <w:t>—</w:t>
    </w:r>
  </w:p>
  <w:p>
    <w:pPr>
      <w:pStyle w:val="6"/>
      <w:ind w:right="360" w:firstLine="360"/>
      <w:jc w:val="right"/>
      <w:rPr>
        <w:rFonts w:hint="eastAsia"/>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ind w:left="335"/>
      <w:rPr>
        <w:rStyle w:val="11"/>
        <w:rFonts w:hint="eastAsia" w:ascii="宋体" w:hAnsi="宋体" w:eastAsia="宋体"/>
        <w:sz w:val="28"/>
      </w:rPr>
    </w:pPr>
    <w:r>
      <w:rPr>
        <w:rStyle w:val="11"/>
        <w:rFonts w:hint="eastAsia" w:ascii="宋体" w:hAnsi="宋体" w:eastAsia="宋体"/>
        <w:sz w:val="28"/>
      </w:rPr>
      <w:t>—</w:t>
    </w:r>
    <w:r>
      <w:rPr>
        <w:rFonts w:ascii="宋体" w:hAnsi="宋体" w:eastAsia="宋体"/>
        <w:sz w:val="28"/>
      </w:rPr>
      <w:fldChar w:fldCharType="begin"/>
    </w:r>
    <w:r>
      <w:rPr>
        <w:rStyle w:val="11"/>
        <w:rFonts w:ascii="宋体" w:hAnsi="宋体" w:eastAsia="宋体"/>
        <w:sz w:val="28"/>
      </w:rPr>
      <w:instrText xml:space="preserve">PAGE  </w:instrText>
    </w:r>
    <w:r>
      <w:rPr>
        <w:rFonts w:ascii="宋体" w:hAnsi="宋体" w:eastAsia="宋体"/>
        <w:sz w:val="28"/>
      </w:rPr>
      <w:fldChar w:fldCharType="separate"/>
    </w:r>
    <w:r>
      <w:rPr>
        <w:rStyle w:val="11"/>
        <w:rFonts w:ascii="宋体" w:hAnsi="宋体" w:eastAsia="宋体"/>
        <w:sz w:val="28"/>
      </w:rPr>
      <w:t>2</w:t>
    </w:r>
    <w:r>
      <w:rPr>
        <w:rFonts w:ascii="宋体" w:hAnsi="宋体" w:eastAsia="宋体"/>
        <w:sz w:val="28"/>
      </w:rPr>
      <w:fldChar w:fldCharType="end"/>
    </w:r>
    <w:r>
      <w:rPr>
        <w:rStyle w:val="11"/>
        <w:rFonts w:hint="eastAsia" w:ascii="宋体" w:hAnsi="宋体" w:eastAsia="宋体"/>
        <w:sz w:val="28"/>
      </w:rPr>
      <w:t>—</w:t>
    </w:r>
  </w:p>
  <w:p>
    <w:pPr>
      <w:pStyle w:val="6"/>
      <w:ind w:left="300" w:right="360" w:firstLine="360"/>
      <w:rPr>
        <w:rFonts w:hint="eastAsia"/>
        <w:sz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evenAndOddHeaders w:val="1"/>
  <w:drawingGridHorizontalSpacing w:val="158"/>
  <w:drawingGridVerticalSpacing w:val="587"/>
  <w:displayHorizontalDrawingGridEvery w:val="1"/>
  <w:displayVerticalDrawingGridEvery w:val="1"/>
  <w:noPunctuationKerning w:val="1"/>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lOTUyZTlhNjkxYTFiYzQ1ZDZhZmMyMWQ3MGRiOTUifQ=="/>
  </w:docVars>
  <w:rsids>
    <w:rsidRoot w:val="00F44EA5"/>
    <w:rsid w:val="00002A74"/>
    <w:rsid w:val="00005CD9"/>
    <w:rsid w:val="00016127"/>
    <w:rsid w:val="00026D40"/>
    <w:rsid w:val="000271EC"/>
    <w:rsid w:val="00033818"/>
    <w:rsid w:val="00047133"/>
    <w:rsid w:val="00051998"/>
    <w:rsid w:val="0005315B"/>
    <w:rsid w:val="00061B34"/>
    <w:rsid w:val="00084933"/>
    <w:rsid w:val="000A3272"/>
    <w:rsid w:val="000D0079"/>
    <w:rsid w:val="000D4792"/>
    <w:rsid w:val="000D5045"/>
    <w:rsid w:val="000E1B68"/>
    <w:rsid w:val="000F0DDC"/>
    <w:rsid w:val="000F5E43"/>
    <w:rsid w:val="000F645B"/>
    <w:rsid w:val="00102AF6"/>
    <w:rsid w:val="001030FA"/>
    <w:rsid w:val="00105681"/>
    <w:rsid w:val="00107355"/>
    <w:rsid w:val="001117DB"/>
    <w:rsid w:val="00113CD3"/>
    <w:rsid w:val="001212D6"/>
    <w:rsid w:val="0013625A"/>
    <w:rsid w:val="00137367"/>
    <w:rsid w:val="0013742A"/>
    <w:rsid w:val="00156688"/>
    <w:rsid w:val="00167969"/>
    <w:rsid w:val="00175CB2"/>
    <w:rsid w:val="00183DFF"/>
    <w:rsid w:val="00185A5A"/>
    <w:rsid w:val="001A25BA"/>
    <w:rsid w:val="001A4F31"/>
    <w:rsid w:val="001C2237"/>
    <w:rsid w:val="001D2295"/>
    <w:rsid w:val="001D7B78"/>
    <w:rsid w:val="001D7D03"/>
    <w:rsid w:val="001E1C6A"/>
    <w:rsid w:val="001E3A50"/>
    <w:rsid w:val="001E74CE"/>
    <w:rsid w:val="002021EA"/>
    <w:rsid w:val="00203210"/>
    <w:rsid w:val="00203EBB"/>
    <w:rsid w:val="00204858"/>
    <w:rsid w:val="00220D4F"/>
    <w:rsid w:val="00221332"/>
    <w:rsid w:val="002407FB"/>
    <w:rsid w:val="002442C8"/>
    <w:rsid w:val="002541ED"/>
    <w:rsid w:val="002775B2"/>
    <w:rsid w:val="0029640F"/>
    <w:rsid w:val="002B3B93"/>
    <w:rsid w:val="002C6209"/>
    <w:rsid w:val="002E67DC"/>
    <w:rsid w:val="002F1A6C"/>
    <w:rsid w:val="00301902"/>
    <w:rsid w:val="0030507A"/>
    <w:rsid w:val="00321A4B"/>
    <w:rsid w:val="00341D15"/>
    <w:rsid w:val="00342656"/>
    <w:rsid w:val="00351A19"/>
    <w:rsid w:val="00372D3C"/>
    <w:rsid w:val="00373A63"/>
    <w:rsid w:val="00384C50"/>
    <w:rsid w:val="003903A6"/>
    <w:rsid w:val="003929A5"/>
    <w:rsid w:val="00393949"/>
    <w:rsid w:val="00394081"/>
    <w:rsid w:val="003B1550"/>
    <w:rsid w:val="003B455F"/>
    <w:rsid w:val="003B609C"/>
    <w:rsid w:val="003B7AA0"/>
    <w:rsid w:val="003C44BE"/>
    <w:rsid w:val="003C738B"/>
    <w:rsid w:val="003F15F1"/>
    <w:rsid w:val="003F39CD"/>
    <w:rsid w:val="003F7768"/>
    <w:rsid w:val="00400E56"/>
    <w:rsid w:val="00407BD6"/>
    <w:rsid w:val="004162DB"/>
    <w:rsid w:val="004173AD"/>
    <w:rsid w:val="00424EC9"/>
    <w:rsid w:val="00444D06"/>
    <w:rsid w:val="00447EB7"/>
    <w:rsid w:val="00452080"/>
    <w:rsid w:val="0045322B"/>
    <w:rsid w:val="00463CBD"/>
    <w:rsid w:val="00476404"/>
    <w:rsid w:val="004A1199"/>
    <w:rsid w:val="004A5B55"/>
    <w:rsid w:val="004E1BB3"/>
    <w:rsid w:val="004F1188"/>
    <w:rsid w:val="0050663B"/>
    <w:rsid w:val="00506C37"/>
    <w:rsid w:val="00506CD2"/>
    <w:rsid w:val="005131E9"/>
    <w:rsid w:val="00532B60"/>
    <w:rsid w:val="0053454D"/>
    <w:rsid w:val="005456D8"/>
    <w:rsid w:val="00551163"/>
    <w:rsid w:val="005566A8"/>
    <w:rsid w:val="00557656"/>
    <w:rsid w:val="0059138D"/>
    <w:rsid w:val="00596EAF"/>
    <w:rsid w:val="005A3E99"/>
    <w:rsid w:val="005C1E91"/>
    <w:rsid w:val="005C641A"/>
    <w:rsid w:val="005D1F7C"/>
    <w:rsid w:val="005F2263"/>
    <w:rsid w:val="00611E18"/>
    <w:rsid w:val="006468BC"/>
    <w:rsid w:val="00652329"/>
    <w:rsid w:val="0065262B"/>
    <w:rsid w:val="00663B26"/>
    <w:rsid w:val="0067583F"/>
    <w:rsid w:val="00684F23"/>
    <w:rsid w:val="00696D3F"/>
    <w:rsid w:val="006A61A6"/>
    <w:rsid w:val="006A6EB6"/>
    <w:rsid w:val="006B11BB"/>
    <w:rsid w:val="006D025B"/>
    <w:rsid w:val="006E5A95"/>
    <w:rsid w:val="006F4C0F"/>
    <w:rsid w:val="0070055E"/>
    <w:rsid w:val="0070331B"/>
    <w:rsid w:val="007347E8"/>
    <w:rsid w:val="007529BB"/>
    <w:rsid w:val="00767A70"/>
    <w:rsid w:val="00770B7B"/>
    <w:rsid w:val="00784C58"/>
    <w:rsid w:val="00791487"/>
    <w:rsid w:val="00792407"/>
    <w:rsid w:val="007C5283"/>
    <w:rsid w:val="007D044C"/>
    <w:rsid w:val="007E7BDB"/>
    <w:rsid w:val="00810E64"/>
    <w:rsid w:val="008143ED"/>
    <w:rsid w:val="00814A57"/>
    <w:rsid w:val="008301C4"/>
    <w:rsid w:val="00834827"/>
    <w:rsid w:val="00842480"/>
    <w:rsid w:val="008452A9"/>
    <w:rsid w:val="008607D5"/>
    <w:rsid w:val="008738E6"/>
    <w:rsid w:val="00873B9B"/>
    <w:rsid w:val="00882267"/>
    <w:rsid w:val="00884A52"/>
    <w:rsid w:val="00891D4E"/>
    <w:rsid w:val="00892B57"/>
    <w:rsid w:val="008B2297"/>
    <w:rsid w:val="008C4D61"/>
    <w:rsid w:val="008D4DFD"/>
    <w:rsid w:val="008D4E38"/>
    <w:rsid w:val="009072A2"/>
    <w:rsid w:val="009156B6"/>
    <w:rsid w:val="009307B5"/>
    <w:rsid w:val="00940BFA"/>
    <w:rsid w:val="0094148E"/>
    <w:rsid w:val="009578CA"/>
    <w:rsid w:val="00964D2C"/>
    <w:rsid w:val="00964EA6"/>
    <w:rsid w:val="00967F11"/>
    <w:rsid w:val="00983883"/>
    <w:rsid w:val="00997C0A"/>
    <w:rsid w:val="00997F62"/>
    <w:rsid w:val="009C2E24"/>
    <w:rsid w:val="009C78C2"/>
    <w:rsid w:val="009D21D0"/>
    <w:rsid w:val="009E40E3"/>
    <w:rsid w:val="00A041E9"/>
    <w:rsid w:val="00A20757"/>
    <w:rsid w:val="00A43319"/>
    <w:rsid w:val="00A449C0"/>
    <w:rsid w:val="00A5141F"/>
    <w:rsid w:val="00A574C3"/>
    <w:rsid w:val="00A65659"/>
    <w:rsid w:val="00A7327E"/>
    <w:rsid w:val="00A85A74"/>
    <w:rsid w:val="00A92028"/>
    <w:rsid w:val="00A953D1"/>
    <w:rsid w:val="00AA4A40"/>
    <w:rsid w:val="00AA73F5"/>
    <w:rsid w:val="00AB373E"/>
    <w:rsid w:val="00AB6099"/>
    <w:rsid w:val="00B06113"/>
    <w:rsid w:val="00B1591B"/>
    <w:rsid w:val="00B24FF8"/>
    <w:rsid w:val="00B30086"/>
    <w:rsid w:val="00B33EE3"/>
    <w:rsid w:val="00B367C9"/>
    <w:rsid w:val="00B70394"/>
    <w:rsid w:val="00B71FF9"/>
    <w:rsid w:val="00B77247"/>
    <w:rsid w:val="00B81B8F"/>
    <w:rsid w:val="00B84AFA"/>
    <w:rsid w:val="00B87361"/>
    <w:rsid w:val="00BA1A64"/>
    <w:rsid w:val="00BA3264"/>
    <w:rsid w:val="00BA538A"/>
    <w:rsid w:val="00BD1B59"/>
    <w:rsid w:val="00BD47BE"/>
    <w:rsid w:val="00BF2A6F"/>
    <w:rsid w:val="00BF7471"/>
    <w:rsid w:val="00C528C8"/>
    <w:rsid w:val="00C53004"/>
    <w:rsid w:val="00C77979"/>
    <w:rsid w:val="00C86CCC"/>
    <w:rsid w:val="00CA1328"/>
    <w:rsid w:val="00CA4411"/>
    <w:rsid w:val="00CA50B2"/>
    <w:rsid w:val="00CB7EA3"/>
    <w:rsid w:val="00CD62D0"/>
    <w:rsid w:val="00CD630F"/>
    <w:rsid w:val="00CF69A2"/>
    <w:rsid w:val="00D02E22"/>
    <w:rsid w:val="00D20768"/>
    <w:rsid w:val="00D2441F"/>
    <w:rsid w:val="00D34CA0"/>
    <w:rsid w:val="00D4728C"/>
    <w:rsid w:val="00D535B3"/>
    <w:rsid w:val="00D54319"/>
    <w:rsid w:val="00D708B0"/>
    <w:rsid w:val="00D70A18"/>
    <w:rsid w:val="00D77134"/>
    <w:rsid w:val="00D80C85"/>
    <w:rsid w:val="00D80DC4"/>
    <w:rsid w:val="00D973F5"/>
    <w:rsid w:val="00DB0C0C"/>
    <w:rsid w:val="00DB656B"/>
    <w:rsid w:val="00DB6F9C"/>
    <w:rsid w:val="00DB726D"/>
    <w:rsid w:val="00DC0F6D"/>
    <w:rsid w:val="00DD2D2E"/>
    <w:rsid w:val="00DE0361"/>
    <w:rsid w:val="00DE5C4A"/>
    <w:rsid w:val="00DE7AA6"/>
    <w:rsid w:val="00DF0DF3"/>
    <w:rsid w:val="00DF470E"/>
    <w:rsid w:val="00E13A1B"/>
    <w:rsid w:val="00E219E0"/>
    <w:rsid w:val="00E4362B"/>
    <w:rsid w:val="00E44E53"/>
    <w:rsid w:val="00E60A47"/>
    <w:rsid w:val="00E627D0"/>
    <w:rsid w:val="00E67E03"/>
    <w:rsid w:val="00E7517B"/>
    <w:rsid w:val="00E75F2E"/>
    <w:rsid w:val="00EB1222"/>
    <w:rsid w:val="00EB3D0A"/>
    <w:rsid w:val="00EB53C5"/>
    <w:rsid w:val="00EB5E95"/>
    <w:rsid w:val="00EB7A6F"/>
    <w:rsid w:val="00EC7E77"/>
    <w:rsid w:val="00EE180D"/>
    <w:rsid w:val="00EE3E28"/>
    <w:rsid w:val="00EF01ED"/>
    <w:rsid w:val="00EF77F4"/>
    <w:rsid w:val="00F015E1"/>
    <w:rsid w:val="00F024AB"/>
    <w:rsid w:val="00F1432C"/>
    <w:rsid w:val="00F233D7"/>
    <w:rsid w:val="00F3510B"/>
    <w:rsid w:val="00F40020"/>
    <w:rsid w:val="00F44EA5"/>
    <w:rsid w:val="00F45D1C"/>
    <w:rsid w:val="00F56D8C"/>
    <w:rsid w:val="00F613AB"/>
    <w:rsid w:val="00F807CD"/>
    <w:rsid w:val="00F8179E"/>
    <w:rsid w:val="00FA1AF0"/>
    <w:rsid w:val="00FA6586"/>
    <w:rsid w:val="00FA6B7F"/>
    <w:rsid w:val="00FF505B"/>
    <w:rsid w:val="024A0BB7"/>
    <w:rsid w:val="02991B40"/>
    <w:rsid w:val="03822B2D"/>
    <w:rsid w:val="03981E35"/>
    <w:rsid w:val="03F579ED"/>
    <w:rsid w:val="046346F6"/>
    <w:rsid w:val="04CD5CFB"/>
    <w:rsid w:val="0603226F"/>
    <w:rsid w:val="06360275"/>
    <w:rsid w:val="06AD442A"/>
    <w:rsid w:val="06E465F0"/>
    <w:rsid w:val="070A3E03"/>
    <w:rsid w:val="07303348"/>
    <w:rsid w:val="07F80643"/>
    <w:rsid w:val="086E58C7"/>
    <w:rsid w:val="09272B27"/>
    <w:rsid w:val="098766D7"/>
    <w:rsid w:val="09B55109"/>
    <w:rsid w:val="0A0B10F1"/>
    <w:rsid w:val="0A0B50CF"/>
    <w:rsid w:val="0A1D6B75"/>
    <w:rsid w:val="0ABD0107"/>
    <w:rsid w:val="0C491A79"/>
    <w:rsid w:val="0CF90CAC"/>
    <w:rsid w:val="0D2252DC"/>
    <w:rsid w:val="0DA16476"/>
    <w:rsid w:val="0E223794"/>
    <w:rsid w:val="0E8D1678"/>
    <w:rsid w:val="0EE16F7A"/>
    <w:rsid w:val="0EE4611A"/>
    <w:rsid w:val="0F4C76C5"/>
    <w:rsid w:val="109127D2"/>
    <w:rsid w:val="10B204DB"/>
    <w:rsid w:val="11A7501C"/>
    <w:rsid w:val="128D3528"/>
    <w:rsid w:val="12D36BD6"/>
    <w:rsid w:val="12DA32EF"/>
    <w:rsid w:val="12F814A0"/>
    <w:rsid w:val="130319EB"/>
    <w:rsid w:val="14A25A62"/>
    <w:rsid w:val="154E1EF5"/>
    <w:rsid w:val="1555736B"/>
    <w:rsid w:val="15952692"/>
    <w:rsid w:val="15B742DC"/>
    <w:rsid w:val="15C076B6"/>
    <w:rsid w:val="15C7597F"/>
    <w:rsid w:val="16FD7908"/>
    <w:rsid w:val="171674A5"/>
    <w:rsid w:val="172250F8"/>
    <w:rsid w:val="17283764"/>
    <w:rsid w:val="174468C9"/>
    <w:rsid w:val="17AD415D"/>
    <w:rsid w:val="17B462C0"/>
    <w:rsid w:val="17DD454F"/>
    <w:rsid w:val="180A5720"/>
    <w:rsid w:val="18D11348"/>
    <w:rsid w:val="1BD94FE5"/>
    <w:rsid w:val="1C4D53CD"/>
    <w:rsid w:val="1CA02181"/>
    <w:rsid w:val="1E60194A"/>
    <w:rsid w:val="1EF553F4"/>
    <w:rsid w:val="1F4375EF"/>
    <w:rsid w:val="1F6241D8"/>
    <w:rsid w:val="203226C5"/>
    <w:rsid w:val="20345D19"/>
    <w:rsid w:val="20DE2847"/>
    <w:rsid w:val="20FA66F6"/>
    <w:rsid w:val="216A37B2"/>
    <w:rsid w:val="21A74854"/>
    <w:rsid w:val="21EF33E2"/>
    <w:rsid w:val="22196141"/>
    <w:rsid w:val="22360981"/>
    <w:rsid w:val="23D65E2E"/>
    <w:rsid w:val="23F4684C"/>
    <w:rsid w:val="24536AB9"/>
    <w:rsid w:val="24AA30B5"/>
    <w:rsid w:val="24BB2AB1"/>
    <w:rsid w:val="25B80F4C"/>
    <w:rsid w:val="25D47606"/>
    <w:rsid w:val="26AF3CBE"/>
    <w:rsid w:val="26DE5141"/>
    <w:rsid w:val="27744777"/>
    <w:rsid w:val="27F93D65"/>
    <w:rsid w:val="287B4584"/>
    <w:rsid w:val="28CC21F1"/>
    <w:rsid w:val="29FE7D4C"/>
    <w:rsid w:val="2B135733"/>
    <w:rsid w:val="2B97510E"/>
    <w:rsid w:val="2D2E6BA3"/>
    <w:rsid w:val="2DFF7F17"/>
    <w:rsid w:val="2F0968FB"/>
    <w:rsid w:val="2F2923B8"/>
    <w:rsid w:val="2F9759D3"/>
    <w:rsid w:val="306B671B"/>
    <w:rsid w:val="30C21F00"/>
    <w:rsid w:val="30E169F4"/>
    <w:rsid w:val="30ED351C"/>
    <w:rsid w:val="3166515D"/>
    <w:rsid w:val="31F608B9"/>
    <w:rsid w:val="32057B68"/>
    <w:rsid w:val="3324748B"/>
    <w:rsid w:val="335D55ED"/>
    <w:rsid w:val="339764AD"/>
    <w:rsid w:val="33EC573A"/>
    <w:rsid w:val="347100A1"/>
    <w:rsid w:val="34BB4028"/>
    <w:rsid w:val="34BD1177"/>
    <w:rsid w:val="34BE6880"/>
    <w:rsid w:val="34E4145D"/>
    <w:rsid w:val="34EA2A9B"/>
    <w:rsid w:val="35837883"/>
    <w:rsid w:val="35A73997"/>
    <w:rsid w:val="3605164B"/>
    <w:rsid w:val="36424BC7"/>
    <w:rsid w:val="370C07C2"/>
    <w:rsid w:val="37282A33"/>
    <w:rsid w:val="376F6EAE"/>
    <w:rsid w:val="37A05395"/>
    <w:rsid w:val="38A5783A"/>
    <w:rsid w:val="38E41132"/>
    <w:rsid w:val="39107218"/>
    <w:rsid w:val="392301E0"/>
    <w:rsid w:val="39E54025"/>
    <w:rsid w:val="3A2C6370"/>
    <w:rsid w:val="3A8E0BF6"/>
    <w:rsid w:val="3B884A8E"/>
    <w:rsid w:val="3D7839A1"/>
    <w:rsid w:val="3DF12D68"/>
    <w:rsid w:val="3E8667F4"/>
    <w:rsid w:val="3F2E2E7E"/>
    <w:rsid w:val="3F340E0E"/>
    <w:rsid w:val="40304BF3"/>
    <w:rsid w:val="403A28B2"/>
    <w:rsid w:val="41552E31"/>
    <w:rsid w:val="424B6272"/>
    <w:rsid w:val="425D3215"/>
    <w:rsid w:val="42AC56CD"/>
    <w:rsid w:val="42EA279E"/>
    <w:rsid w:val="43CC72A5"/>
    <w:rsid w:val="43E469A5"/>
    <w:rsid w:val="43F51285"/>
    <w:rsid w:val="440E5CC1"/>
    <w:rsid w:val="4486410D"/>
    <w:rsid w:val="456470F8"/>
    <w:rsid w:val="464038DB"/>
    <w:rsid w:val="469519CD"/>
    <w:rsid w:val="46D35A5D"/>
    <w:rsid w:val="48374D1C"/>
    <w:rsid w:val="4848143D"/>
    <w:rsid w:val="4D2604A0"/>
    <w:rsid w:val="4DCE677A"/>
    <w:rsid w:val="4ECE6DC3"/>
    <w:rsid w:val="4EFC1FAA"/>
    <w:rsid w:val="4F2D08E7"/>
    <w:rsid w:val="4F865E52"/>
    <w:rsid w:val="4F901795"/>
    <w:rsid w:val="500C24FA"/>
    <w:rsid w:val="508C05C5"/>
    <w:rsid w:val="50AC6291"/>
    <w:rsid w:val="51207F04"/>
    <w:rsid w:val="51671414"/>
    <w:rsid w:val="521045FE"/>
    <w:rsid w:val="5218471B"/>
    <w:rsid w:val="52BB0A0D"/>
    <w:rsid w:val="530057B4"/>
    <w:rsid w:val="532D6659"/>
    <w:rsid w:val="53B413A5"/>
    <w:rsid w:val="54712028"/>
    <w:rsid w:val="557207C5"/>
    <w:rsid w:val="56AB45DA"/>
    <w:rsid w:val="56FB54C7"/>
    <w:rsid w:val="57017173"/>
    <w:rsid w:val="5721676A"/>
    <w:rsid w:val="57257AC8"/>
    <w:rsid w:val="58166E42"/>
    <w:rsid w:val="581C180F"/>
    <w:rsid w:val="586301E7"/>
    <w:rsid w:val="58D0627E"/>
    <w:rsid w:val="58EC4455"/>
    <w:rsid w:val="59504133"/>
    <w:rsid w:val="59701D26"/>
    <w:rsid w:val="59E66442"/>
    <w:rsid w:val="5A446F3E"/>
    <w:rsid w:val="5A78384D"/>
    <w:rsid w:val="5A863DA4"/>
    <w:rsid w:val="5A8E30F4"/>
    <w:rsid w:val="5AA2299B"/>
    <w:rsid w:val="5AF76A9C"/>
    <w:rsid w:val="5B344458"/>
    <w:rsid w:val="5B813AC6"/>
    <w:rsid w:val="5B816D58"/>
    <w:rsid w:val="5E3B3A4F"/>
    <w:rsid w:val="5E4E2085"/>
    <w:rsid w:val="5E8C52E5"/>
    <w:rsid w:val="5F1C1375"/>
    <w:rsid w:val="60237F24"/>
    <w:rsid w:val="611B3CC7"/>
    <w:rsid w:val="61A6003A"/>
    <w:rsid w:val="61DB684D"/>
    <w:rsid w:val="61EE2904"/>
    <w:rsid w:val="62304EF5"/>
    <w:rsid w:val="629427BF"/>
    <w:rsid w:val="62B10D29"/>
    <w:rsid w:val="6328712F"/>
    <w:rsid w:val="6414331E"/>
    <w:rsid w:val="646F3406"/>
    <w:rsid w:val="64720968"/>
    <w:rsid w:val="64A56C10"/>
    <w:rsid w:val="64F6176B"/>
    <w:rsid w:val="653F54CE"/>
    <w:rsid w:val="6625376A"/>
    <w:rsid w:val="6662218C"/>
    <w:rsid w:val="666F7CC3"/>
    <w:rsid w:val="66F77C59"/>
    <w:rsid w:val="67747999"/>
    <w:rsid w:val="683A4E8F"/>
    <w:rsid w:val="68470430"/>
    <w:rsid w:val="695D4175"/>
    <w:rsid w:val="697B594C"/>
    <w:rsid w:val="6AF47C9C"/>
    <w:rsid w:val="6B4A6508"/>
    <w:rsid w:val="6B735C32"/>
    <w:rsid w:val="6C471FDE"/>
    <w:rsid w:val="6C554F5B"/>
    <w:rsid w:val="6DD42A72"/>
    <w:rsid w:val="6DE46FD6"/>
    <w:rsid w:val="6E7A79DE"/>
    <w:rsid w:val="6E986467"/>
    <w:rsid w:val="700F461E"/>
    <w:rsid w:val="70750610"/>
    <w:rsid w:val="712D2DE9"/>
    <w:rsid w:val="717F33A0"/>
    <w:rsid w:val="718D01A9"/>
    <w:rsid w:val="721E42E4"/>
    <w:rsid w:val="728F46B1"/>
    <w:rsid w:val="729A7761"/>
    <w:rsid w:val="72DB1F12"/>
    <w:rsid w:val="73A80A10"/>
    <w:rsid w:val="747D2BA4"/>
    <w:rsid w:val="7637596F"/>
    <w:rsid w:val="76BB4A15"/>
    <w:rsid w:val="775345C1"/>
    <w:rsid w:val="777313C3"/>
    <w:rsid w:val="778B73A3"/>
    <w:rsid w:val="77990326"/>
    <w:rsid w:val="77F90F93"/>
    <w:rsid w:val="78106A27"/>
    <w:rsid w:val="782B556E"/>
    <w:rsid w:val="788743CA"/>
    <w:rsid w:val="788F32BA"/>
    <w:rsid w:val="78F90738"/>
    <w:rsid w:val="7914645D"/>
    <w:rsid w:val="79B564ED"/>
    <w:rsid w:val="7AA61D7D"/>
    <w:rsid w:val="7AD80180"/>
    <w:rsid w:val="7AFB4596"/>
    <w:rsid w:val="7B3D7ADD"/>
    <w:rsid w:val="7D0C7F34"/>
    <w:rsid w:val="7D8731CA"/>
    <w:rsid w:val="7E5805CC"/>
    <w:rsid w:val="7F7371A0"/>
    <w:rsid w:val="7FBC3022"/>
    <w:rsid w:val="7FC12CA3"/>
    <w:rsid w:val="FFBFF98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FangSong_GB2312" w:cs="Times New Roman"/>
      <w:kern w:val="2"/>
      <w:sz w:val="32"/>
      <w:lang w:val="en-US" w:eastAsia="zh-CN" w:bidi="ar-SA"/>
    </w:rPr>
  </w:style>
  <w:style w:type="character" w:default="1" w:styleId="10">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qFormat/>
    <w:uiPriority w:val="0"/>
    <w:pPr>
      <w:ind w:firstLine="632" w:firstLineChars="200"/>
    </w:pPr>
  </w:style>
  <w:style w:type="paragraph" w:styleId="4">
    <w:name w:val="toc 4"/>
    <w:basedOn w:val="1"/>
    <w:next w:val="1"/>
    <w:unhideWhenUsed/>
    <w:qFormat/>
    <w:uiPriority w:val="39"/>
    <w:pPr>
      <w:ind w:left="1260" w:leftChars="600"/>
    </w:pPr>
  </w:style>
  <w:style w:type="paragraph" w:styleId="5">
    <w:name w:val="Date"/>
    <w:basedOn w:val="1"/>
    <w:next w:val="1"/>
    <w:qFormat/>
    <w:uiPriority w:val="0"/>
    <w:pPr>
      <w:ind w:left="100" w:leftChars="2500"/>
    </w:p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Hyperlink"/>
    <w:basedOn w:val="10"/>
    <w:qFormat/>
    <w:uiPriority w:val="0"/>
    <w:rPr>
      <w:color w:val="0000FF"/>
      <w:u w:val="single"/>
    </w:rPr>
  </w:style>
  <w:style w:type="paragraph" w:customStyle="1" w:styleId="13">
    <w:name w:val="BodyText1I2"/>
    <w:basedOn w:val="14"/>
    <w:qFormat/>
    <w:uiPriority w:val="0"/>
    <w:pPr>
      <w:ind w:firstLine="420"/>
    </w:pPr>
  </w:style>
  <w:style w:type="paragraph" w:customStyle="1" w:styleId="14">
    <w:name w:val="BodyTextIndent"/>
    <w:basedOn w:val="1"/>
    <w:qFormat/>
    <w:uiPriority w:val="0"/>
    <w:pPr>
      <w:spacing w:after="120"/>
      <w:ind w:left="420" w:leftChars="200" w:firstLine="200" w:firstLineChars="200"/>
      <w:textAlignment w:val="baseline"/>
    </w:pPr>
  </w:style>
  <w:style w:type="paragraph" w:customStyle="1" w:styleId="15">
    <w:name w:val="列出段落1"/>
    <w:basedOn w:val="1"/>
    <w:qFormat/>
    <w:uiPriority w:val="34"/>
    <w:pPr>
      <w:ind w:firstLine="420" w:firstLineChars="200"/>
    </w:pPr>
  </w:style>
  <w:style w:type="paragraph" w:styleId="16">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Microsoft\Templates\&#19968;&#20010;&#21333;&#20301;&#25991;&#20214;&#65288;2016&#65289;.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16</Pages>
  <Words>7676</Words>
  <Characters>8121</Characters>
  <Lines>50</Lines>
  <Paragraphs>14</Paragraphs>
  <TotalTime>112</TotalTime>
  <ScaleCrop>false</ScaleCrop>
  <LinksUpToDate>false</LinksUpToDate>
  <CharactersWithSpaces>8157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2020-03-24T16:40:00Z</dcterms:created>
  <dc:creator>启子</dc:creator>
  <cp:lastModifiedBy>Administrator</cp:lastModifiedBy>
  <cp:lastPrinted>2026-04-27T08:16:00Z</cp:lastPrinted>
  <dcterms:modified xsi:type="dcterms:W3CDTF">2026-05-14T10:45:07Z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1A7EFC5ACC7242AF9EFDA38E551452E4</vt:lpwstr>
  </property>
  <property fmtid="{D5CDD505-2E9C-101B-9397-08002B2CF9AE}" pid="4" name="KSOTemplateDocerSaveRecord">
    <vt:lpwstr>eyJoZGlkIjoiMzc5MTI4OGFhN2Q1M2U3NDFiMGIwNGQ2MmZmOTJjMTAiLCJ1c2VySWQiOiIyNjMzMDU2ODMifQ==</vt:lpwstr>
  </property>
</Properties>
</file>