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4F3A55">
      <w:pPr>
        <w:spacing w:before="156" w:line="218" w:lineRule="auto"/>
        <w:ind w:left="546"/>
        <w:rPr>
          <w:rFonts w:hint="default" w:ascii="Times New Roman" w:hAnsi="Times New Roman" w:eastAsia="宋体" w:cs="Times New Roman"/>
          <w:b/>
          <w:bCs/>
          <w:spacing w:val="1"/>
          <w:sz w:val="48"/>
          <w:szCs w:val="48"/>
        </w:rPr>
      </w:pPr>
    </w:p>
    <w:p w14:paraId="10F82FD2">
      <w:pPr>
        <w:spacing w:before="156" w:line="218" w:lineRule="auto"/>
        <w:jc w:val="center"/>
        <w:rPr>
          <w:rFonts w:hint="default" w:ascii="Times New Roman" w:hAnsi="Times New Roman" w:eastAsia="方正公文小标宋" w:cs="Times New Roman"/>
          <w:b w:val="0"/>
          <w:bCs w:val="0"/>
          <w:spacing w:val="1"/>
          <w:sz w:val="48"/>
          <w:szCs w:val="48"/>
        </w:rPr>
      </w:pPr>
    </w:p>
    <w:p w14:paraId="400C21D4">
      <w:pPr>
        <w:spacing w:before="156" w:line="218" w:lineRule="auto"/>
        <w:jc w:val="center"/>
        <w:rPr>
          <w:rFonts w:hint="eastAsia" w:ascii="Times New Roman" w:hAnsi="Times New Roman" w:eastAsia="方正公文小标宋" w:cs="Times New Roman"/>
          <w:b w:val="0"/>
          <w:bCs w:val="0"/>
          <w:spacing w:val="1"/>
          <w:sz w:val="48"/>
          <w:szCs w:val="48"/>
          <w:lang w:eastAsia="zh-CN"/>
        </w:rPr>
      </w:pPr>
      <w:r>
        <w:rPr>
          <w:rFonts w:hint="default" w:ascii="Times New Roman" w:hAnsi="Times New Roman" w:eastAsia="方正公文小标宋" w:cs="Times New Roman"/>
          <w:b w:val="0"/>
          <w:bCs w:val="0"/>
          <w:spacing w:val="1"/>
          <w:sz w:val="48"/>
          <w:szCs w:val="48"/>
        </w:rPr>
        <w:t>202</w:t>
      </w:r>
      <w:r>
        <w:rPr>
          <w:rFonts w:hint="eastAsia" w:ascii="Times New Roman" w:hAnsi="Times New Roman" w:eastAsia="方正公文小标宋" w:cs="Times New Roman"/>
          <w:b w:val="0"/>
          <w:bCs w:val="0"/>
          <w:spacing w:val="1"/>
          <w:sz w:val="48"/>
          <w:szCs w:val="48"/>
          <w:lang w:val="en-US" w:eastAsia="zh-CN"/>
        </w:rPr>
        <w:t>5</w:t>
      </w:r>
      <w:r>
        <w:rPr>
          <w:rFonts w:hint="default" w:ascii="Times New Roman" w:hAnsi="Times New Roman" w:eastAsia="方正公文小标宋" w:cs="Times New Roman"/>
          <w:b w:val="0"/>
          <w:bCs w:val="0"/>
          <w:spacing w:val="1"/>
          <w:sz w:val="48"/>
          <w:szCs w:val="48"/>
        </w:rPr>
        <w:t>年度</w:t>
      </w:r>
      <w:r>
        <w:rPr>
          <w:rFonts w:hint="eastAsia" w:ascii="Times New Roman" w:hAnsi="Times New Roman" w:eastAsia="方正公文小标宋" w:cs="Times New Roman"/>
          <w:b w:val="0"/>
          <w:bCs w:val="0"/>
          <w:sz w:val="48"/>
          <w:szCs w:val="48"/>
          <w:lang w:eastAsia="zh-CN"/>
        </w:rPr>
        <w:t>“禁毒工作专项”</w:t>
      </w:r>
      <w:r>
        <w:rPr>
          <w:rFonts w:hint="default" w:ascii="Times New Roman" w:hAnsi="Times New Roman" w:eastAsia="方正公文小标宋" w:cs="Times New Roman"/>
          <w:b w:val="0"/>
          <w:bCs w:val="0"/>
          <w:spacing w:val="1"/>
          <w:sz w:val="48"/>
          <w:szCs w:val="48"/>
        </w:rPr>
        <w:t>项目</w:t>
      </w:r>
      <w:r>
        <w:rPr>
          <w:rFonts w:hint="eastAsia" w:ascii="Times New Roman" w:hAnsi="Times New Roman" w:eastAsia="方正公文小标宋" w:cs="Times New Roman"/>
          <w:b w:val="0"/>
          <w:bCs w:val="0"/>
          <w:spacing w:val="1"/>
          <w:sz w:val="48"/>
          <w:szCs w:val="48"/>
          <w:lang w:eastAsia="zh-CN"/>
        </w:rPr>
        <w:t>支出</w:t>
      </w:r>
    </w:p>
    <w:p w14:paraId="51EB88E9">
      <w:pPr>
        <w:spacing w:before="156" w:line="218" w:lineRule="auto"/>
        <w:jc w:val="center"/>
        <w:rPr>
          <w:rFonts w:hint="default" w:ascii="Times New Roman" w:hAnsi="Times New Roman" w:eastAsia="宋体" w:cs="Times New Roman"/>
          <w:sz w:val="48"/>
          <w:szCs w:val="48"/>
        </w:rPr>
      </w:pPr>
      <w:r>
        <w:rPr>
          <w:rFonts w:hint="eastAsia" w:ascii="Times New Roman" w:hAnsi="Times New Roman" w:eastAsia="方正公文小标宋" w:cs="Times New Roman"/>
          <w:b w:val="0"/>
          <w:bCs w:val="0"/>
          <w:spacing w:val="1"/>
          <w:sz w:val="48"/>
          <w:szCs w:val="48"/>
          <w:lang w:eastAsia="zh-CN"/>
        </w:rPr>
        <w:t>绩效</w:t>
      </w:r>
      <w:r>
        <w:rPr>
          <w:rFonts w:hint="default" w:ascii="Times New Roman" w:hAnsi="Times New Roman" w:eastAsia="方正公文小标宋" w:cs="Times New Roman"/>
          <w:b w:val="0"/>
          <w:bCs w:val="0"/>
          <w:spacing w:val="1"/>
          <w:sz w:val="48"/>
          <w:szCs w:val="48"/>
        </w:rPr>
        <w:t>部门评价报告</w:t>
      </w:r>
    </w:p>
    <w:p w14:paraId="3D65E160">
      <w:pPr>
        <w:pStyle w:val="2"/>
        <w:spacing w:line="246" w:lineRule="auto"/>
        <w:rPr>
          <w:rFonts w:hint="default" w:ascii="Times New Roman" w:hAnsi="Times New Roman" w:cs="Times New Roman"/>
        </w:rPr>
      </w:pPr>
    </w:p>
    <w:p w14:paraId="28D4F467">
      <w:pPr>
        <w:pStyle w:val="2"/>
        <w:spacing w:line="246" w:lineRule="auto"/>
        <w:rPr>
          <w:rFonts w:hint="default" w:ascii="Times New Roman" w:hAnsi="Times New Roman" w:cs="Times New Roman"/>
        </w:rPr>
      </w:pPr>
    </w:p>
    <w:p w14:paraId="4600E347">
      <w:pPr>
        <w:pStyle w:val="2"/>
        <w:spacing w:line="246" w:lineRule="auto"/>
        <w:rPr>
          <w:rFonts w:hint="default" w:ascii="Times New Roman" w:hAnsi="Times New Roman" w:cs="Times New Roman"/>
        </w:rPr>
      </w:pPr>
    </w:p>
    <w:p w14:paraId="32C38A70">
      <w:pPr>
        <w:pStyle w:val="2"/>
        <w:spacing w:line="246" w:lineRule="auto"/>
        <w:rPr>
          <w:rFonts w:hint="default" w:ascii="Times New Roman" w:hAnsi="Times New Roman" w:cs="Times New Roman"/>
        </w:rPr>
      </w:pPr>
    </w:p>
    <w:p w14:paraId="0C768627">
      <w:pPr>
        <w:pStyle w:val="2"/>
        <w:spacing w:line="246" w:lineRule="auto"/>
        <w:rPr>
          <w:rFonts w:hint="default" w:ascii="Times New Roman" w:hAnsi="Times New Roman" w:cs="Times New Roman"/>
        </w:rPr>
      </w:pPr>
    </w:p>
    <w:p w14:paraId="5C7977EC">
      <w:pPr>
        <w:pStyle w:val="2"/>
        <w:spacing w:line="246" w:lineRule="auto"/>
        <w:rPr>
          <w:rFonts w:hint="default" w:ascii="Times New Roman" w:hAnsi="Times New Roman" w:cs="Times New Roman"/>
        </w:rPr>
      </w:pPr>
    </w:p>
    <w:p w14:paraId="5C3745B6">
      <w:pPr>
        <w:pStyle w:val="2"/>
        <w:spacing w:line="246" w:lineRule="auto"/>
        <w:rPr>
          <w:rFonts w:hint="default" w:ascii="Times New Roman" w:hAnsi="Times New Roman" w:cs="Times New Roman"/>
        </w:rPr>
      </w:pPr>
    </w:p>
    <w:p w14:paraId="76D58912">
      <w:pPr>
        <w:pStyle w:val="2"/>
        <w:spacing w:line="246" w:lineRule="auto"/>
        <w:rPr>
          <w:rFonts w:hint="default" w:ascii="Times New Roman" w:hAnsi="Times New Roman" w:cs="Times New Roman"/>
        </w:rPr>
      </w:pPr>
    </w:p>
    <w:p w14:paraId="39ED1658">
      <w:pPr>
        <w:pStyle w:val="2"/>
        <w:spacing w:line="246" w:lineRule="auto"/>
        <w:rPr>
          <w:rFonts w:hint="default" w:ascii="Times New Roman" w:hAnsi="Times New Roman" w:cs="Times New Roman"/>
        </w:rPr>
      </w:pPr>
    </w:p>
    <w:p w14:paraId="78455E7B">
      <w:pPr>
        <w:pStyle w:val="2"/>
        <w:spacing w:line="246" w:lineRule="auto"/>
        <w:rPr>
          <w:rFonts w:hint="default" w:ascii="Times New Roman" w:hAnsi="Times New Roman" w:cs="Times New Roman"/>
        </w:rPr>
      </w:pPr>
    </w:p>
    <w:p w14:paraId="5FCDD003">
      <w:pPr>
        <w:pStyle w:val="2"/>
        <w:spacing w:line="246" w:lineRule="auto"/>
        <w:rPr>
          <w:rFonts w:hint="default" w:ascii="Times New Roman" w:hAnsi="Times New Roman" w:cs="Times New Roman"/>
        </w:rPr>
      </w:pPr>
    </w:p>
    <w:p w14:paraId="3A791F0D">
      <w:pPr>
        <w:pStyle w:val="2"/>
        <w:spacing w:line="247" w:lineRule="auto"/>
        <w:rPr>
          <w:rFonts w:hint="default" w:ascii="Times New Roman" w:hAnsi="Times New Roman" w:cs="Times New Roman"/>
        </w:rPr>
      </w:pPr>
    </w:p>
    <w:p w14:paraId="246F4C8D">
      <w:pPr>
        <w:pStyle w:val="2"/>
        <w:spacing w:line="247" w:lineRule="auto"/>
        <w:rPr>
          <w:rFonts w:hint="default" w:ascii="Times New Roman" w:hAnsi="Times New Roman" w:cs="Times New Roman"/>
        </w:rPr>
      </w:pPr>
    </w:p>
    <w:p w14:paraId="0B8CFF8E">
      <w:pPr>
        <w:pStyle w:val="2"/>
        <w:spacing w:line="247" w:lineRule="auto"/>
        <w:rPr>
          <w:rFonts w:hint="default" w:ascii="Times New Roman" w:hAnsi="Times New Roman" w:cs="Times New Roman"/>
        </w:rPr>
      </w:pPr>
    </w:p>
    <w:p w14:paraId="36665B03">
      <w:pPr>
        <w:pStyle w:val="2"/>
        <w:spacing w:line="247" w:lineRule="auto"/>
        <w:rPr>
          <w:rFonts w:hint="default" w:ascii="Times New Roman" w:hAnsi="Times New Roman" w:cs="Times New Roman"/>
        </w:rPr>
      </w:pPr>
    </w:p>
    <w:p w14:paraId="78624276">
      <w:pPr>
        <w:pStyle w:val="2"/>
        <w:spacing w:line="247" w:lineRule="auto"/>
        <w:rPr>
          <w:rFonts w:hint="default" w:ascii="Times New Roman" w:hAnsi="Times New Roman" w:cs="Times New Roman"/>
        </w:rPr>
      </w:pPr>
    </w:p>
    <w:p w14:paraId="3AAE5309">
      <w:pPr>
        <w:pStyle w:val="2"/>
        <w:spacing w:line="247" w:lineRule="auto"/>
        <w:rPr>
          <w:rFonts w:hint="default" w:ascii="Times New Roman" w:hAnsi="Times New Roman" w:cs="Times New Roman"/>
        </w:rPr>
      </w:pPr>
    </w:p>
    <w:p w14:paraId="7E4CDE0C">
      <w:pPr>
        <w:pStyle w:val="2"/>
        <w:spacing w:line="247" w:lineRule="auto"/>
        <w:rPr>
          <w:rFonts w:hint="default" w:ascii="Times New Roman" w:hAnsi="Times New Roman" w:cs="Times New Roman"/>
        </w:rPr>
      </w:pPr>
    </w:p>
    <w:p w14:paraId="7E82755C">
      <w:pPr>
        <w:pStyle w:val="2"/>
        <w:spacing w:line="247" w:lineRule="auto"/>
        <w:rPr>
          <w:rFonts w:hint="default" w:ascii="Times New Roman" w:hAnsi="Times New Roman" w:cs="Times New Roman"/>
        </w:rPr>
      </w:pPr>
    </w:p>
    <w:p w14:paraId="75F1115D">
      <w:pPr>
        <w:spacing w:before="120" w:line="222" w:lineRule="auto"/>
        <w:jc w:val="center"/>
        <w:rPr>
          <w:rFonts w:hint="default" w:ascii="Times New Roman" w:hAnsi="Times New Roman" w:eastAsia="黑体" w:cs="Times New Roman"/>
          <w:sz w:val="36"/>
          <w:szCs w:val="36"/>
        </w:rPr>
      </w:pPr>
      <w:r>
        <w:rPr>
          <w:rFonts w:hint="default" w:ascii="Times New Roman" w:hAnsi="Times New Roman" w:eastAsia="黑体" w:cs="Times New Roman"/>
          <w:b/>
          <w:bCs/>
          <w:spacing w:val="-2"/>
          <w:sz w:val="36"/>
          <w:szCs w:val="36"/>
        </w:rPr>
        <w:t>部门(单位)名称：</w:t>
      </w:r>
      <w:r>
        <w:rPr>
          <w:rFonts w:hint="eastAsia" w:ascii="Times New Roman" w:hAnsi="Times New Roman" w:eastAsia="黑体" w:cs="Times New Roman"/>
          <w:b/>
          <w:bCs/>
          <w:spacing w:val="-2"/>
          <w:sz w:val="36"/>
          <w:szCs w:val="36"/>
          <w:lang w:val="en-US" w:eastAsia="zh-CN"/>
        </w:rPr>
        <w:t>益阳市公安局</w:t>
      </w:r>
      <w:r>
        <w:rPr>
          <w:rFonts w:hint="default" w:ascii="Times New Roman" w:hAnsi="Times New Roman" w:eastAsia="黑体" w:cs="Times New Roman"/>
          <w:b/>
          <w:bCs/>
          <w:spacing w:val="-2"/>
          <w:sz w:val="36"/>
          <w:szCs w:val="36"/>
        </w:rPr>
        <w:t>(盖章)</w:t>
      </w:r>
    </w:p>
    <w:p w14:paraId="3C2B016F">
      <w:pPr>
        <w:pStyle w:val="2"/>
        <w:spacing w:line="254" w:lineRule="auto"/>
        <w:rPr>
          <w:rFonts w:hint="default" w:ascii="Times New Roman" w:hAnsi="Times New Roman" w:cs="Times New Roman"/>
        </w:rPr>
      </w:pPr>
    </w:p>
    <w:p w14:paraId="28CB25C1">
      <w:pPr>
        <w:pStyle w:val="2"/>
        <w:spacing w:line="254" w:lineRule="auto"/>
        <w:rPr>
          <w:rFonts w:hint="default" w:ascii="Times New Roman" w:hAnsi="Times New Roman" w:cs="Times New Roman"/>
        </w:rPr>
      </w:pPr>
    </w:p>
    <w:p w14:paraId="7C009596">
      <w:pPr>
        <w:spacing w:before="101" w:line="223" w:lineRule="auto"/>
        <w:ind w:left="3254"/>
        <w:rPr>
          <w:rFonts w:hint="default" w:ascii="Times New Roman" w:hAnsi="Times New Roman" w:eastAsia="黑体" w:cs="Times New Roman"/>
          <w:sz w:val="32"/>
          <w:szCs w:val="32"/>
        </w:rPr>
      </w:pPr>
      <w:r>
        <w:rPr>
          <w:rFonts w:hint="default" w:ascii="Times New Roman" w:hAnsi="Times New Roman" w:eastAsia="黑体" w:cs="Times New Roman"/>
          <w:b/>
          <w:bCs/>
          <w:spacing w:val="-10"/>
          <w:sz w:val="32"/>
          <w:szCs w:val="32"/>
          <w:lang w:val="en-US" w:eastAsia="zh-CN"/>
        </w:rPr>
        <w:t>202</w:t>
      </w:r>
      <w:r>
        <w:rPr>
          <w:rFonts w:hint="eastAsia" w:ascii="Times New Roman" w:hAnsi="Times New Roman" w:eastAsia="黑体" w:cs="Times New Roman"/>
          <w:b/>
          <w:bCs/>
          <w:spacing w:val="-10"/>
          <w:sz w:val="32"/>
          <w:szCs w:val="32"/>
          <w:lang w:val="en-US" w:eastAsia="zh-CN"/>
        </w:rPr>
        <w:t>6</w:t>
      </w:r>
      <w:r>
        <w:rPr>
          <w:rFonts w:hint="default" w:ascii="Times New Roman" w:hAnsi="Times New Roman" w:eastAsia="黑体" w:cs="Times New Roman"/>
          <w:b/>
          <w:bCs/>
          <w:spacing w:val="-10"/>
          <w:sz w:val="32"/>
          <w:szCs w:val="32"/>
        </w:rPr>
        <w:t>年</w:t>
      </w:r>
      <w:r>
        <w:rPr>
          <w:rFonts w:hint="default" w:ascii="Times New Roman" w:hAnsi="Times New Roman" w:eastAsia="黑体" w:cs="Times New Roman"/>
          <w:spacing w:val="47"/>
          <w:sz w:val="32"/>
          <w:szCs w:val="32"/>
          <w:lang w:val="en-US" w:eastAsia="zh-CN"/>
        </w:rPr>
        <w:t>4</w:t>
      </w:r>
      <w:r>
        <w:rPr>
          <w:rFonts w:hint="default" w:ascii="Times New Roman" w:hAnsi="Times New Roman" w:eastAsia="黑体" w:cs="Times New Roman"/>
          <w:b/>
          <w:bCs/>
          <w:spacing w:val="-10"/>
          <w:sz w:val="32"/>
          <w:szCs w:val="32"/>
        </w:rPr>
        <w:t>月</w:t>
      </w:r>
      <w:r>
        <w:rPr>
          <w:rFonts w:hint="eastAsia" w:ascii="Times New Roman" w:hAnsi="Times New Roman" w:eastAsia="黑体" w:cs="Times New Roman"/>
          <w:spacing w:val="-10"/>
          <w:sz w:val="32"/>
          <w:szCs w:val="32"/>
          <w:lang w:val="en-US" w:eastAsia="zh-CN"/>
        </w:rPr>
        <w:t>8</w:t>
      </w:r>
      <w:r>
        <w:rPr>
          <w:rFonts w:hint="default" w:ascii="Times New Roman" w:hAnsi="Times New Roman" w:eastAsia="黑体" w:cs="Times New Roman"/>
          <w:b/>
          <w:bCs/>
          <w:spacing w:val="-10"/>
          <w:sz w:val="32"/>
          <w:szCs w:val="32"/>
        </w:rPr>
        <w:t>日</w:t>
      </w:r>
    </w:p>
    <w:p w14:paraId="648E8748">
      <w:pPr>
        <w:pStyle w:val="2"/>
        <w:spacing w:line="330" w:lineRule="auto"/>
        <w:rPr>
          <w:rFonts w:hint="default" w:ascii="Times New Roman" w:hAnsi="Times New Roman" w:cs="Times New Roman"/>
        </w:rPr>
      </w:pPr>
    </w:p>
    <w:p w14:paraId="5AC35D86">
      <w:pPr>
        <w:pStyle w:val="2"/>
        <w:spacing w:line="330" w:lineRule="auto"/>
        <w:rPr>
          <w:rFonts w:hint="default" w:ascii="Times New Roman" w:hAnsi="Times New Roman" w:cs="Times New Roman"/>
        </w:rPr>
      </w:pPr>
    </w:p>
    <w:p w14:paraId="10AD2522">
      <w:pPr>
        <w:keepNext w:val="0"/>
        <w:keepLines w:val="0"/>
        <w:pageBreakBefore w:val="0"/>
        <w:widowControl w:val="0"/>
        <w:kinsoku/>
        <w:wordWrap/>
        <w:overflowPunct w:val="0"/>
        <w:topLinePunct w:val="0"/>
        <w:autoSpaceDE/>
        <w:autoSpaceDN/>
        <w:bidi w:val="0"/>
        <w:adjustRightInd/>
        <w:snapToGrid/>
        <w:spacing w:line="600" w:lineRule="exact"/>
        <w:ind w:firstLine="0" w:firstLineChars="0"/>
        <w:jc w:val="both"/>
        <w:textAlignment w:val="baseline"/>
        <w:rPr>
          <w:rFonts w:hint="default" w:ascii="Times New Roman" w:hAnsi="Times New Roman" w:cs="Times New Roman"/>
          <w:sz w:val="44"/>
          <w:szCs w:val="44"/>
          <w:lang w:val="en-US" w:eastAsia="zh-CN"/>
        </w:rPr>
      </w:pPr>
    </w:p>
    <w:p w14:paraId="3EA6F0A4">
      <w:pPr>
        <w:jc w:val="center"/>
        <w:rPr>
          <w:rFonts w:hint="default" w:ascii="Times New Roman" w:hAnsi="Times New Roman" w:eastAsia="方正公文小标宋" w:cs="Times New Roman"/>
          <w:b w:val="0"/>
          <w:bCs w:val="0"/>
          <w:sz w:val="44"/>
          <w:szCs w:val="44"/>
          <w:lang w:val="en-US" w:eastAsia="zh-CN"/>
        </w:rPr>
      </w:pPr>
    </w:p>
    <w:p w14:paraId="6067C0A2">
      <w:pPr>
        <w:jc w:val="center"/>
        <w:rPr>
          <w:rFonts w:hint="default" w:ascii="Times New Roman" w:hAnsi="Times New Roman" w:eastAsia="方正公文小标宋" w:cs="Times New Roman"/>
          <w:b w:val="0"/>
          <w:bCs w:val="0"/>
          <w:sz w:val="44"/>
          <w:szCs w:val="44"/>
          <w:lang w:val="en-US" w:eastAsia="zh-CN"/>
        </w:rPr>
      </w:pPr>
      <w:r>
        <w:rPr>
          <w:rFonts w:hint="default" w:ascii="Times New Roman" w:hAnsi="Times New Roman" w:eastAsia="方正公文小标宋" w:cs="Times New Roman"/>
          <w:b w:val="0"/>
          <w:bCs w:val="0"/>
          <w:sz w:val="44"/>
          <w:szCs w:val="44"/>
          <w:lang w:val="en-US" w:eastAsia="zh-CN"/>
        </w:rPr>
        <w:t>202</w:t>
      </w:r>
      <w:r>
        <w:rPr>
          <w:rFonts w:hint="eastAsia" w:ascii="Times New Roman" w:hAnsi="Times New Roman" w:eastAsia="方正公文小标宋" w:cs="Times New Roman"/>
          <w:b w:val="0"/>
          <w:bCs w:val="0"/>
          <w:sz w:val="44"/>
          <w:szCs w:val="44"/>
          <w:lang w:val="en-US" w:eastAsia="zh-CN"/>
        </w:rPr>
        <w:t>5</w:t>
      </w:r>
      <w:r>
        <w:rPr>
          <w:rFonts w:hint="default" w:ascii="Times New Roman" w:hAnsi="Times New Roman" w:eastAsia="方正公文小标宋" w:cs="Times New Roman"/>
          <w:b w:val="0"/>
          <w:bCs w:val="0"/>
          <w:sz w:val="44"/>
          <w:szCs w:val="44"/>
          <w:lang w:val="en-US" w:eastAsia="zh-CN"/>
        </w:rPr>
        <w:t>年度“禁毒工作</w:t>
      </w:r>
      <w:r>
        <w:rPr>
          <w:rFonts w:hint="eastAsia" w:ascii="Times New Roman" w:hAnsi="Times New Roman" w:eastAsia="方正公文小标宋" w:cs="Times New Roman"/>
          <w:b w:val="0"/>
          <w:bCs w:val="0"/>
          <w:sz w:val="44"/>
          <w:szCs w:val="44"/>
          <w:lang w:val="en-US" w:eastAsia="zh-CN"/>
        </w:rPr>
        <w:t>专项</w:t>
      </w:r>
      <w:r>
        <w:rPr>
          <w:rFonts w:hint="default" w:ascii="Times New Roman" w:hAnsi="Times New Roman" w:eastAsia="方正公文小标宋" w:cs="Times New Roman"/>
          <w:b w:val="0"/>
          <w:bCs w:val="0"/>
          <w:sz w:val="44"/>
          <w:szCs w:val="44"/>
          <w:lang w:val="en-US" w:eastAsia="zh-CN"/>
        </w:rPr>
        <w:t>”项目支出</w:t>
      </w:r>
    </w:p>
    <w:p w14:paraId="71355593">
      <w:pPr>
        <w:jc w:val="center"/>
        <w:rPr>
          <w:rFonts w:hint="default" w:ascii="Times New Roman" w:hAnsi="Times New Roman" w:eastAsia="方正公文小标宋" w:cs="Times New Roman"/>
          <w:b w:val="0"/>
          <w:bCs w:val="0"/>
          <w:sz w:val="44"/>
          <w:szCs w:val="44"/>
          <w:lang w:val="en-US" w:eastAsia="zh-CN"/>
        </w:rPr>
      </w:pPr>
      <w:r>
        <w:rPr>
          <w:rFonts w:hint="default" w:ascii="Times New Roman" w:hAnsi="Times New Roman" w:eastAsia="方正公文小标宋" w:cs="Times New Roman"/>
          <w:b w:val="0"/>
          <w:bCs w:val="0"/>
          <w:sz w:val="44"/>
          <w:szCs w:val="44"/>
          <w:lang w:val="en-US" w:eastAsia="zh-CN"/>
        </w:rPr>
        <w:t>绩效</w:t>
      </w:r>
      <w:r>
        <w:rPr>
          <w:rFonts w:hint="eastAsia" w:ascii="Times New Roman" w:hAnsi="Times New Roman" w:eastAsia="方正公文小标宋" w:cs="Times New Roman"/>
          <w:b w:val="0"/>
          <w:bCs w:val="0"/>
          <w:sz w:val="44"/>
          <w:szCs w:val="44"/>
          <w:lang w:val="en-US" w:eastAsia="zh-CN"/>
        </w:rPr>
        <w:t>部门评价</w:t>
      </w:r>
      <w:r>
        <w:rPr>
          <w:rFonts w:hint="default" w:ascii="Times New Roman" w:hAnsi="Times New Roman" w:eastAsia="方正公文小标宋" w:cs="Times New Roman"/>
          <w:b w:val="0"/>
          <w:bCs w:val="0"/>
          <w:sz w:val="44"/>
          <w:szCs w:val="44"/>
          <w:lang w:val="en-US" w:eastAsia="zh-CN"/>
        </w:rPr>
        <w:t>报告</w:t>
      </w:r>
    </w:p>
    <w:p w14:paraId="4C31FA47">
      <w:pPr>
        <w:rPr>
          <w:rFonts w:hint="default" w:ascii="Times New Roman" w:hAnsi="Times New Roman" w:cs="Times New Roman"/>
          <w:lang w:val="en-US" w:eastAsia="zh-CN"/>
        </w:rPr>
      </w:pPr>
    </w:p>
    <w:p w14:paraId="1277D68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一、项目基本情况</w:t>
      </w:r>
    </w:p>
    <w:p w14:paraId="130CF787">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方正仿宋_GB18030" w:cs="Times New Roman"/>
          <w:sz w:val="32"/>
          <w:szCs w:val="32"/>
          <w:lang w:val="en-US" w:eastAsia="zh-CN"/>
        </w:rPr>
      </w:pPr>
      <w:r>
        <w:rPr>
          <w:rFonts w:hint="default" w:ascii="Times New Roman" w:hAnsi="Times New Roman" w:eastAsia="楷体" w:cs="Times New Roman"/>
          <w:b/>
          <w:bCs/>
          <w:sz w:val="32"/>
          <w:szCs w:val="32"/>
          <w:lang w:val="en-US" w:eastAsia="zh-CN"/>
        </w:rPr>
        <w:t>（一）项目概况</w:t>
      </w:r>
      <w:r>
        <w:rPr>
          <w:rFonts w:hint="default" w:ascii="Times New Roman" w:hAnsi="Times New Roman" w:eastAsia="方正仿宋_GB18030" w:cs="Times New Roman"/>
          <w:sz w:val="32"/>
          <w:szCs w:val="32"/>
          <w:lang w:val="en-US" w:eastAsia="zh-CN"/>
        </w:rPr>
        <w:t xml:space="preserve">   </w:t>
      </w:r>
    </w:p>
    <w:p w14:paraId="0782EFBF">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方正仿宋_GB18030" w:cs="Times New Roman"/>
          <w:b/>
          <w:bCs/>
          <w:sz w:val="32"/>
          <w:szCs w:val="32"/>
          <w:lang w:val="en-US" w:eastAsia="zh-CN"/>
        </w:rPr>
      </w:pPr>
      <w:r>
        <w:rPr>
          <w:rFonts w:hint="default" w:ascii="Times New Roman" w:hAnsi="Times New Roman" w:eastAsia="方正仿宋_GB18030" w:cs="Times New Roman"/>
          <w:b/>
          <w:bCs/>
          <w:sz w:val="32"/>
          <w:szCs w:val="32"/>
          <w:lang w:val="en-US" w:eastAsia="zh-CN"/>
        </w:rPr>
        <w:t>1.项目立项依据</w:t>
      </w:r>
    </w:p>
    <w:p w14:paraId="30BF131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18030" w:cs="Times New Roman"/>
          <w:sz w:val="32"/>
          <w:szCs w:val="32"/>
          <w:lang w:val="en-US" w:eastAsia="zh-CN"/>
        </w:rPr>
      </w:pPr>
      <w:r>
        <w:rPr>
          <w:rFonts w:hint="default" w:ascii="Times New Roman" w:hAnsi="Times New Roman" w:eastAsia="方正仿宋_GB18030" w:cs="Times New Roman"/>
          <w:sz w:val="32"/>
          <w:szCs w:val="32"/>
          <w:lang w:eastAsia="zh-CN"/>
        </w:rPr>
        <w:t>为贯彻落实习近平总书记关于禁毒工作的重要论述和重要指示批示精神，认真落实党中央、国务院和省委、省政府决策部署，切实增强做好禁毒工作的责任感、紧迫感、使命感，坚持“治安先治毒”，深入打好禁毒人民战争，以推进禁毒重点整治、创建全国禁毒示范城市为抓手，最大限度减少毒品社会危害，压实责任，强化措施，为实施“三高四新”战略、推进新现代新益阳建设营造安全稳定的社会环境，根据</w:t>
      </w:r>
      <w:r>
        <w:rPr>
          <w:rFonts w:hint="default" w:ascii="Times New Roman" w:hAnsi="Times New Roman" w:eastAsia="方正仿宋_GB18030" w:cs="Times New Roman"/>
          <w:sz w:val="32"/>
          <w:szCs w:val="32"/>
        </w:rPr>
        <w:t>2019年第31次政府常务会议、2021年第67次政府常务会议、 2021年第21次市委常委会议决定，益阳市</w:t>
      </w:r>
      <w:r>
        <w:rPr>
          <w:rFonts w:hint="default" w:ascii="Times New Roman" w:hAnsi="Times New Roman" w:eastAsia="方正仿宋_GB18030" w:cs="Times New Roman"/>
          <w:sz w:val="32"/>
          <w:szCs w:val="32"/>
          <w:lang w:eastAsia="zh-CN"/>
        </w:rPr>
        <w:t>财政</w:t>
      </w:r>
      <w:r>
        <w:rPr>
          <w:rFonts w:hint="default" w:ascii="Times New Roman" w:hAnsi="Times New Roman" w:eastAsia="方正仿宋_GB18030" w:cs="Times New Roman"/>
          <w:sz w:val="32"/>
          <w:szCs w:val="32"/>
        </w:rPr>
        <w:t>每年预算保障社会化禁</w:t>
      </w:r>
      <w:r>
        <w:rPr>
          <w:rFonts w:hint="eastAsia" w:ascii="Times New Roman" w:hAnsi="Times New Roman" w:eastAsia="方正仿宋_GB18030" w:cs="Times New Roman"/>
          <w:sz w:val="32"/>
          <w:szCs w:val="32"/>
          <w:lang w:eastAsia="zh-CN"/>
        </w:rPr>
        <w:t>毒</w:t>
      </w:r>
      <w:r>
        <w:rPr>
          <w:rFonts w:hint="default" w:ascii="Times New Roman" w:hAnsi="Times New Roman" w:eastAsia="方正仿宋_GB18030" w:cs="Times New Roman"/>
          <w:sz w:val="32"/>
          <w:szCs w:val="32"/>
        </w:rPr>
        <w:t xml:space="preserve">专项经费228.00万元(含市禁毒教育基地运行维护管理费28.00万元 ) </w:t>
      </w:r>
      <w:r>
        <w:rPr>
          <w:rFonts w:hint="default" w:ascii="Times New Roman" w:hAnsi="Times New Roman" w:eastAsia="方正仿宋_GB18030" w:cs="Times New Roman"/>
          <w:sz w:val="32"/>
          <w:szCs w:val="32"/>
          <w:lang w:eastAsia="zh-CN"/>
        </w:rPr>
        <w:t>，</w:t>
      </w:r>
      <w:r>
        <w:rPr>
          <w:rFonts w:hint="default" w:ascii="Times New Roman" w:hAnsi="Times New Roman" w:eastAsia="方正仿宋_GB18030" w:cs="Times New Roman"/>
          <w:sz w:val="32"/>
          <w:szCs w:val="32"/>
          <w:lang w:val="en-US" w:eastAsia="zh-CN"/>
        </w:rPr>
        <w:t>以确保工作有序开展。</w:t>
      </w:r>
    </w:p>
    <w:p w14:paraId="15431ED0">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方正仿宋_GB18030" w:cs="Times New Roman"/>
          <w:b/>
          <w:bCs/>
          <w:sz w:val="32"/>
          <w:szCs w:val="32"/>
          <w:lang w:val="en-US" w:eastAsia="zh-CN"/>
        </w:rPr>
      </w:pPr>
      <w:r>
        <w:rPr>
          <w:rFonts w:hint="default" w:ascii="Times New Roman" w:hAnsi="Times New Roman" w:eastAsia="方正仿宋_GB18030" w:cs="Times New Roman"/>
          <w:b/>
          <w:bCs/>
          <w:sz w:val="32"/>
          <w:szCs w:val="32"/>
          <w:lang w:val="en-US" w:eastAsia="zh-CN"/>
        </w:rPr>
        <w:t>2.项目实施内容</w:t>
      </w:r>
    </w:p>
    <w:p w14:paraId="5EAE34D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18030" w:cs="Times New Roman"/>
          <w:sz w:val="32"/>
          <w:szCs w:val="32"/>
          <w:lang w:eastAsia="zh-CN"/>
        </w:rPr>
      </w:pPr>
      <w:r>
        <w:rPr>
          <w:rFonts w:hint="default" w:ascii="Times New Roman" w:hAnsi="Times New Roman" w:eastAsia="方正仿宋_GB18030" w:cs="Times New Roman"/>
          <w:sz w:val="32"/>
          <w:szCs w:val="32"/>
          <w:lang w:eastAsia="zh-CN"/>
        </w:rPr>
        <w:t>按照</w:t>
      </w:r>
      <w:r>
        <w:rPr>
          <w:rFonts w:hint="default" w:ascii="Times New Roman" w:hAnsi="Times New Roman" w:eastAsia="方正仿宋_GB18030" w:cs="Times New Roman"/>
          <w:sz w:val="32"/>
          <w:szCs w:val="32"/>
        </w:rPr>
        <w:t>《中华人民共和国禁毒法》《湖南省实施&lt;中华人民共和国禁毒法&gt;办法》等法律法规规定，</w:t>
      </w:r>
      <w:r>
        <w:rPr>
          <w:rFonts w:hint="eastAsia" w:ascii="Times New Roman" w:hAnsi="Times New Roman" w:eastAsia="方正仿宋_GB18030" w:cs="Times New Roman"/>
          <w:sz w:val="32"/>
          <w:szCs w:val="32"/>
          <w:lang w:eastAsia="zh-CN"/>
        </w:rPr>
        <w:t>由</w:t>
      </w:r>
      <w:r>
        <w:rPr>
          <w:rFonts w:hint="default" w:ascii="Times New Roman" w:hAnsi="Times New Roman" w:eastAsia="方正仿宋_GB18030" w:cs="Times New Roman"/>
          <w:sz w:val="32"/>
          <w:szCs w:val="32"/>
        </w:rPr>
        <w:t>益阳市</w:t>
      </w:r>
      <w:r>
        <w:rPr>
          <w:rFonts w:hint="eastAsia" w:ascii="Times New Roman" w:hAnsi="Times New Roman" w:eastAsia="方正仿宋_GB18030" w:cs="Times New Roman"/>
          <w:sz w:val="32"/>
          <w:szCs w:val="32"/>
          <w:lang w:eastAsia="zh-CN"/>
        </w:rPr>
        <w:t>公安局禁毒支队社会化禁毒大队</w:t>
      </w:r>
      <w:r>
        <w:rPr>
          <w:rFonts w:hint="default" w:ascii="Times New Roman" w:hAnsi="Times New Roman" w:eastAsia="方正仿宋_GB18030" w:cs="Times New Roman"/>
          <w:sz w:val="32"/>
          <w:szCs w:val="32"/>
        </w:rPr>
        <w:t>负责组织、协调、指导本行政区域的禁毒工作，依法履行下列职责：(一)制定禁毒工作规划、年度计划和工作措施；(二)明确成员单位及其工作职责、制定年度任务清单， 协助解决工作中的重大问题；(三)组织开展毒情监测、评估、预警工作，建立健全药物滥用监测评估和毒情预警通报机制，定期研判和发布毒情形势；(四)对禁毒法律法规实施情况进行监督，督促落实禁毒工作责任并组织督导检查考核，开展禁毒示范创建、禁毒重点整治和专项整治；(五)建立健全全民毒品预防教育工作体系，实现毒品预防教育全履盖。发动社会各方面，采取多种形式，集中开展禁毒集中宣传活动，建设教育基地，开发禁毒文化宣传产品，为公众提供相关宣传教育服务；(六)承担上级禁毒委员会和本级人民政府安排的其他禁毒工作</w:t>
      </w:r>
      <w:r>
        <w:rPr>
          <w:rFonts w:hint="default" w:ascii="Times New Roman" w:hAnsi="Times New Roman" w:eastAsia="方正仿宋_GB18030" w:cs="Times New Roman"/>
          <w:sz w:val="32"/>
          <w:szCs w:val="32"/>
          <w:lang w:eastAsia="zh-CN"/>
        </w:rPr>
        <w:t>。</w:t>
      </w:r>
    </w:p>
    <w:p w14:paraId="507EBA64">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楷体" w:cs="Times New Roman"/>
          <w:b/>
          <w:bCs/>
          <w:sz w:val="32"/>
          <w:szCs w:val="32"/>
          <w:lang w:val="en-US" w:eastAsia="zh-CN"/>
        </w:rPr>
      </w:pPr>
      <w:r>
        <w:rPr>
          <w:rFonts w:hint="default" w:ascii="Times New Roman" w:hAnsi="Times New Roman" w:eastAsia="楷体" w:cs="Times New Roman"/>
          <w:b/>
          <w:bCs/>
          <w:sz w:val="32"/>
          <w:szCs w:val="32"/>
          <w:lang w:val="en-US" w:eastAsia="zh-CN"/>
        </w:rPr>
        <w:t>（二）资金使用管理情况</w:t>
      </w:r>
    </w:p>
    <w:p w14:paraId="576C3BFA">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方正仿宋_GB18030" w:cs="Times New Roman"/>
          <w:b/>
          <w:bCs/>
          <w:sz w:val="32"/>
          <w:szCs w:val="32"/>
          <w:lang w:val="en-US" w:eastAsia="zh-CN"/>
        </w:rPr>
      </w:pPr>
      <w:r>
        <w:rPr>
          <w:rFonts w:hint="default" w:ascii="Times New Roman" w:hAnsi="Times New Roman" w:eastAsia="方正仿宋_GB18030" w:cs="Times New Roman"/>
          <w:b/>
          <w:bCs/>
          <w:sz w:val="32"/>
          <w:szCs w:val="32"/>
          <w:lang w:val="en-US" w:eastAsia="zh-CN"/>
        </w:rPr>
        <w:t>1.项目组织管理机构</w:t>
      </w:r>
    </w:p>
    <w:p w14:paraId="56F5B27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18030" w:cs="Times New Roman"/>
          <w:sz w:val="32"/>
          <w:szCs w:val="32"/>
        </w:rPr>
      </w:pPr>
      <w:r>
        <w:rPr>
          <w:rFonts w:hint="default" w:ascii="Times New Roman" w:hAnsi="Times New Roman" w:eastAsia="方正仿宋_GB18030" w:cs="Times New Roman"/>
          <w:sz w:val="32"/>
          <w:szCs w:val="32"/>
        </w:rPr>
        <w:t>根据《中华人民共和国禁毒法》《湖南省实施&lt;中华人民共和国禁毒法&gt;办法》等法律法规规定，益阳市人民政府设立益阳市禁毒委员会，禁毒委员会由市长任主任，市委常委、市委政法委书记任常务副主任，副市长、市公安局长任副主任。益阳市公安局</w:t>
      </w:r>
      <w:r>
        <w:rPr>
          <w:rFonts w:hint="eastAsia" w:ascii="Times New Roman" w:hAnsi="Times New Roman" w:eastAsia="方正仿宋_GB18030" w:cs="Times New Roman"/>
          <w:sz w:val="32"/>
          <w:szCs w:val="32"/>
          <w:lang w:eastAsia="zh-CN"/>
        </w:rPr>
        <w:t>禁毒支队社会化禁毒大队负责社会化禁毒工作</w:t>
      </w:r>
      <w:r>
        <w:rPr>
          <w:rFonts w:hint="default" w:ascii="Times New Roman" w:hAnsi="Times New Roman" w:eastAsia="方正仿宋_GB18030" w:cs="Times New Roman"/>
          <w:sz w:val="32"/>
          <w:szCs w:val="32"/>
        </w:rPr>
        <w:t>，核定民警 6人，辅警2人，承担</w:t>
      </w:r>
      <w:r>
        <w:rPr>
          <w:rFonts w:hint="eastAsia" w:ascii="Times New Roman" w:hAnsi="Times New Roman" w:eastAsia="方正仿宋_GB18030" w:cs="Times New Roman"/>
          <w:sz w:val="32"/>
          <w:szCs w:val="32"/>
          <w:lang w:eastAsia="zh-CN"/>
        </w:rPr>
        <w:t>市禁毒专项组</w:t>
      </w:r>
      <w:r>
        <w:rPr>
          <w:rFonts w:hint="default" w:ascii="Times New Roman" w:hAnsi="Times New Roman" w:eastAsia="方正仿宋_GB18030" w:cs="Times New Roman"/>
          <w:sz w:val="32"/>
          <w:szCs w:val="32"/>
        </w:rPr>
        <w:t>的</w:t>
      </w:r>
      <w:r>
        <w:rPr>
          <w:rFonts w:hint="eastAsia" w:ascii="Times New Roman" w:hAnsi="Times New Roman" w:eastAsia="方正仿宋_GB18030" w:cs="Times New Roman"/>
          <w:sz w:val="32"/>
          <w:szCs w:val="32"/>
          <w:lang w:eastAsia="zh-CN"/>
        </w:rPr>
        <w:t>日常</w:t>
      </w:r>
      <w:r>
        <w:rPr>
          <w:rFonts w:hint="default" w:ascii="Times New Roman" w:hAnsi="Times New Roman" w:eastAsia="方正仿宋_GB18030" w:cs="Times New Roman"/>
          <w:sz w:val="32"/>
          <w:szCs w:val="32"/>
        </w:rPr>
        <w:t>工作。</w:t>
      </w:r>
    </w:p>
    <w:p w14:paraId="15811E22">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方正仿宋_GB18030" w:cs="Times New Roman"/>
          <w:b/>
          <w:bCs/>
          <w:sz w:val="32"/>
          <w:szCs w:val="32"/>
          <w:lang w:val="en-US" w:eastAsia="zh-CN"/>
        </w:rPr>
      </w:pPr>
      <w:r>
        <w:rPr>
          <w:rFonts w:hint="default" w:ascii="Times New Roman" w:hAnsi="Times New Roman" w:eastAsia="方正仿宋_GB18030" w:cs="Times New Roman"/>
          <w:b/>
          <w:bCs/>
          <w:sz w:val="32"/>
          <w:szCs w:val="32"/>
          <w:lang w:val="en-US" w:eastAsia="zh-CN"/>
        </w:rPr>
        <w:t>2.项目资金到位情况</w:t>
      </w:r>
    </w:p>
    <w:p w14:paraId="668429F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18030" w:cs="Times New Roman"/>
          <w:sz w:val="32"/>
          <w:szCs w:val="32"/>
          <w:lang w:val="en-US" w:eastAsia="zh-CN"/>
        </w:rPr>
      </w:pPr>
      <w:r>
        <w:rPr>
          <w:rFonts w:hint="default" w:ascii="Times New Roman" w:hAnsi="Times New Roman" w:eastAsia="方正仿宋_GB18030" w:cs="Times New Roman"/>
          <w:sz w:val="32"/>
          <w:szCs w:val="32"/>
        </w:rPr>
        <w:t>202</w:t>
      </w:r>
      <w:r>
        <w:rPr>
          <w:rFonts w:hint="eastAsia" w:ascii="Times New Roman" w:hAnsi="Times New Roman" w:eastAsia="方正仿宋_GB18030" w:cs="Times New Roman"/>
          <w:sz w:val="32"/>
          <w:szCs w:val="32"/>
          <w:lang w:val="en-US" w:eastAsia="zh-CN"/>
        </w:rPr>
        <w:t>5</w:t>
      </w:r>
      <w:r>
        <w:rPr>
          <w:rFonts w:hint="default" w:ascii="Times New Roman" w:hAnsi="Times New Roman" w:eastAsia="方正仿宋_GB18030" w:cs="Times New Roman"/>
          <w:sz w:val="32"/>
          <w:szCs w:val="32"/>
        </w:rPr>
        <w:t>年</w:t>
      </w:r>
      <w:r>
        <w:rPr>
          <w:rFonts w:hint="eastAsia" w:ascii="Times New Roman" w:hAnsi="Times New Roman" w:eastAsia="方正仿宋_GB18030" w:cs="Times New Roman"/>
          <w:sz w:val="32"/>
          <w:szCs w:val="32"/>
          <w:lang w:eastAsia="zh-CN"/>
        </w:rPr>
        <w:t>初，项目工作经费预算安排为</w:t>
      </w:r>
      <w:r>
        <w:rPr>
          <w:rFonts w:hint="eastAsia" w:ascii="Times New Roman" w:hAnsi="Times New Roman" w:eastAsia="方正仿宋_GB18030" w:cs="Times New Roman"/>
          <w:sz w:val="32"/>
          <w:szCs w:val="32"/>
          <w:lang w:val="en-US" w:eastAsia="zh-CN"/>
        </w:rPr>
        <w:t>110万元。因年度执行中工作任务增加、原预算经费不足，经按程序申请，后续追加经费85万元，当年累计安排项目资金195万元。受财政结算及拨付流程影响，追加的85万元经费实际于2026年完成财政拨付并到位。</w:t>
      </w:r>
    </w:p>
    <w:p w14:paraId="5B6BE2AF">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方正仿宋_GB18030" w:cs="Times New Roman"/>
          <w:b/>
          <w:bCs/>
          <w:sz w:val="32"/>
          <w:szCs w:val="32"/>
          <w:lang w:val="en-US" w:eastAsia="zh-CN"/>
        </w:rPr>
      </w:pPr>
      <w:r>
        <w:rPr>
          <w:rFonts w:hint="default" w:ascii="Times New Roman" w:hAnsi="Times New Roman" w:eastAsia="方正仿宋_GB18030" w:cs="Times New Roman"/>
          <w:b/>
          <w:bCs/>
          <w:sz w:val="32"/>
          <w:szCs w:val="32"/>
          <w:lang w:val="en-US" w:eastAsia="zh-CN"/>
        </w:rPr>
        <w:t>3.</w:t>
      </w:r>
      <w:r>
        <w:rPr>
          <w:rFonts w:hint="default" w:ascii="Times New Roman" w:hAnsi="Times New Roman" w:eastAsia="方正仿宋_GB18030" w:cs="Times New Roman"/>
          <w:b/>
          <w:bCs/>
          <w:sz w:val="32"/>
          <w:szCs w:val="32"/>
        </w:rPr>
        <w:t>项目资金预算执行情况</w:t>
      </w:r>
    </w:p>
    <w:p w14:paraId="6B96F14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18030" w:cs="Times New Roman"/>
          <w:sz w:val="32"/>
          <w:szCs w:val="32"/>
        </w:rPr>
      </w:pPr>
      <w:r>
        <w:rPr>
          <w:rFonts w:hint="default" w:ascii="Times New Roman" w:hAnsi="Times New Roman" w:eastAsia="方正仿宋_GB18030" w:cs="Times New Roman"/>
          <w:sz w:val="32"/>
          <w:szCs w:val="32"/>
        </w:rPr>
        <w:t>202</w:t>
      </w:r>
      <w:r>
        <w:rPr>
          <w:rFonts w:hint="eastAsia" w:ascii="Times New Roman" w:hAnsi="Times New Roman" w:eastAsia="方正仿宋_GB18030" w:cs="Times New Roman"/>
          <w:sz w:val="32"/>
          <w:szCs w:val="32"/>
          <w:lang w:val="en-US" w:eastAsia="zh-CN"/>
        </w:rPr>
        <w:t>5</w:t>
      </w:r>
      <w:r>
        <w:rPr>
          <w:rFonts w:hint="default" w:ascii="Times New Roman" w:hAnsi="Times New Roman" w:eastAsia="方正仿宋_GB18030" w:cs="Times New Roman"/>
          <w:sz w:val="32"/>
          <w:szCs w:val="32"/>
          <w:lang w:val="en-US" w:eastAsia="zh-CN"/>
        </w:rPr>
        <w:t>年市</w:t>
      </w:r>
      <w:r>
        <w:rPr>
          <w:rFonts w:hint="default" w:ascii="Times New Roman" w:hAnsi="Times New Roman" w:eastAsia="方正仿宋_GB18030" w:cs="Times New Roman"/>
          <w:sz w:val="32"/>
          <w:szCs w:val="32"/>
        </w:rPr>
        <w:t>财政局</w:t>
      </w:r>
      <w:r>
        <w:rPr>
          <w:rFonts w:hint="default" w:ascii="Times New Roman" w:hAnsi="Times New Roman" w:eastAsia="方正仿宋_GB18030" w:cs="Times New Roman"/>
          <w:sz w:val="32"/>
          <w:szCs w:val="32"/>
          <w:lang w:eastAsia="zh-CN"/>
        </w:rPr>
        <w:t>拨付</w:t>
      </w:r>
      <w:r>
        <w:rPr>
          <w:rFonts w:hint="default" w:ascii="Times New Roman" w:hAnsi="Times New Roman" w:eastAsia="方正仿宋_GB18030" w:cs="Times New Roman"/>
          <w:sz w:val="32"/>
          <w:szCs w:val="32"/>
        </w:rPr>
        <w:t>“禁毒</w:t>
      </w:r>
      <w:r>
        <w:rPr>
          <w:rFonts w:hint="default" w:ascii="Times New Roman" w:hAnsi="Times New Roman" w:eastAsia="方正仿宋_GB18030" w:cs="Times New Roman"/>
          <w:sz w:val="32"/>
          <w:szCs w:val="32"/>
          <w:lang w:eastAsia="zh-CN"/>
        </w:rPr>
        <w:t>工作</w:t>
      </w:r>
      <w:r>
        <w:rPr>
          <w:rFonts w:hint="default" w:ascii="Times New Roman" w:hAnsi="Times New Roman" w:eastAsia="方正仿宋_GB18030" w:cs="Times New Roman"/>
          <w:sz w:val="32"/>
          <w:szCs w:val="32"/>
        </w:rPr>
        <w:t>经费”重点项目资金</w:t>
      </w:r>
      <w:r>
        <w:rPr>
          <w:rFonts w:hint="eastAsia" w:ascii="Times New Roman" w:hAnsi="Times New Roman" w:eastAsia="方正仿宋_GB18030" w:cs="Times New Roman"/>
          <w:sz w:val="32"/>
          <w:szCs w:val="32"/>
          <w:lang w:val="en-US" w:eastAsia="zh-CN"/>
        </w:rPr>
        <w:t>195</w:t>
      </w:r>
      <w:r>
        <w:rPr>
          <w:rFonts w:hint="default" w:ascii="Times New Roman" w:hAnsi="Times New Roman" w:eastAsia="方正仿宋_GB18030" w:cs="Times New Roman"/>
          <w:sz w:val="32"/>
          <w:szCs w:val="32"/>
        </w:rPr>
        <w:t>.00万元，</w:t>
      </w:r>
      <w:r>
        <w:rPr>
          <w:rFonts w:hint="default" w:ascii="Times New Roman" w:hAnsi="Times New Roman" w:eastAsia="方正仿宋_GB18030" w:cs="Times New Roman"/>
          <w:sz w:val="32"/>
          <w:szCs w:val="32"/>
          <w:lang w:eastAsia="zh-CN"/>
        </w:rPr>
        <w:t>项目实际</w:t>
      </w:r>
      <w:r>
        <w:rPr>
          <w:rFonts w:hint="default" w:ascii="Times New Roman" w:hAnsi="Times New Roman" w:eastAsia="方正仿宋_GB18030" w:cs="Times New Roman"/>
          <w:sz w:val="32"/>
          <w:szCs w:val="32"/>
          <w:lang w:val="en-US" w:eastAsia="zh-CN"/>
        </w:rPr>
        <w:t>支出</w:t>
      </w:r>
      <w:r>
        <w:rPr>
          <w:rFonts w:hint="eastAsia" w:ascii="Times New Roman" w:hAnsi="Times New Roman" w:eastAsia="方正仿宋_GB18030" w:cs="Times New Roman"/>
          <w:sz w:val="32"/>
          <w:szCs w:val="32"/>
          <w:lang w:val="en-US" w:eastAsia="zh-CN"/>
        </w:rPr>
        <w:t>195</w:t>
      </w:r>
      <w:r>
        <w:rPr>
          <w:rFonts w:hint="default" w:ascii="Times New Roman" w:hAnsi="Times New Roman" w:eastAsia="方正仿宋_GB18030" w:cs="Times New Roman"/>
          <w:sz w:val="32"/>
          <w:szCs w:val="32"/>
          <w:lang w:val="en-US" w:eastAsia="zh-CN"/>
        </w:rPr>
        <w:t>万元，</w:t>
      </w:r>
      <w:r>
        <w:rPr>
          <w:rFonts w:hint="default" w:ascii="Times New Roman" w:hAnsi="Times New Roman" w:eastAsia="方正仿宋_GB18030" w:cs="Times New Roman"/>
          <w:sz w:val="32"/>
          <w:szCs w:val="32"/>
        </w:rPr>
        <w:t>预算资金执行率100%。</w:t>
      </w:r>
    </w:p>
    <w:p w14:paraId="05EEFEC8">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方正仿宋_GB18030" w:cs="Times New Roman"/>
          <w:b/>
          <w:bCs/>
          <w:sz w:val="32"/>
          <w:szCs w:val="32"/>
          <w:lang w:val="en-US" w:eastAsia="zh-CN"/>
        </w:rPr>
      </w:pPr>
      <w:r>
        <w:rPr>
          <w:rFonts w:hint="default" w:ascii="Times New Roman" w:hAnsi="Times New Roman" w:eastAsia="方正仿宋_GB18030" w:cs="Times New Roman"/>
          <w:b/>
          <w:bCs/>
          <w:sz w:val="32"/>
          <w:szCs w:val="32"/>
          <w:lang w:val="en-US" w:eastAsia="zh-CN"/>
        </w:rPr>
        <w:t>4.项目资金管理情况</w:t>
      </w:r>
    </w:p>
    <w:p w14:paraId="4FE52F0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18030" w:cs="Times New Roman"/>
          <w:sz w:val="32"/>
          <w:szCs w:val="32"/>
          <w:lang w:val="en-US" w:eastAsia="zh-CN"/>
        </w:rPr>
      </w:pPr>
      <w:r>
        <w:rPr>
          <w:rFonts w:hint="default" w:ascii="Times New Roman" w:hAnsi="Times New Roman" w:eastAsia="方正仿宋_GB18030" w:cs="Times New Roman"/>
          <w:sz w:val="32"/>
          <w:szCs w:val="32"/>
        </w:rPr>
        <w:t>该项目资金支出严格执行《益阳市公安局财务管理规定》(益 公通[2021]48号)、《益阳市公安局机关政府采购管理内部控制 制度》(益公发[2021]20号),同时按照《益阳市市直机关培训费管理办法》《益阳市市直机关会议费管理办法》等有关规定和标准执行。所有支出坚持市公安局确定的审批原则，所有采购项目均</w:t>
      </w:r>
      <w:r>
        <w:rPr>
          <w:rFonts w:hint="eastAsia" w:ascii="Times New Roman" w:hAnsi="Times New Roman" w:eastAsia="方正仿宋_GB18030" w:cs="Times New Roman"/>
          <w:sz w:val="32"/>
          <w:szCs w:val="32"/>
          <w:lang w:eastAsia="zh-CN"/>
        </w:rPr>
        <w:t>符合审批流程，</w:t>
      </w:r>
      <w:r>
        <w:rPr>
          <w:rFonts w:hint="default" w:ascii="Times New Roman" w:hAnsi="Times New Roman" w:eastAsia="方正仿宋_GB18030" w:cs="Times New Roman"/>
          <w:sz w:val="32"/>
          <w:szCs w:val="32"/>
          <w:lang w:val="en-US" w:eastAsia="zh-CN"/>
        </w:rPr>
        <w:t>严格按照相关会计制度进行会计核算和财务处理，做到财务处理及时、会计核算规范；专项资金纳入国库集中支付管理，项目实施部门严把审批关，杜绝弄虚作假、截留、挤占、挪用专项资金的情况发生。</w:t>
      </w:r>
    </w:p>
    <w:p w14:paraId="65844C35">
      <w:pPr>
        <w:keepNext/>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楷体" w:cs="Times New Roman"/>
          <w:b/>
          <w:bCs/>
          <w:sz w:val="32"/>
          <w:szCs w:val="32"/>
          <w:lang w:val="en-US" w:eastAsia="zh-CN"/>
        </w:rPr>
      </w:pPr>
      <w:r>
        <w:rPr>
          <w:rFonts w:hint="default" w:ascii="Times New Roman" w:hAnsi="Times New Roman" w:eastAsia="楷体" w:cs="Times New Roman"/>
          <w:b/>
          <w:bCs/>
          <w:sz w:val="32"/>
          <w:szCs w:val="32"/>
          <w:lang w:val="en-US" w:eastAsia="zh-CN"/>
        </w:rPr>
        <w:t>（三）绩效目标完成程度</w:t>
      </w:r>
    </w:p>
    <w:p w14:paraId="2EFE99F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18030" w:cs="Times New Roman"/>
          <w:sz w:val="32"/>
          <w:szCs w:val="32"/>
          <w:lang w:val="en-US" w:eastAsia="zh-CN"/>
        </w:rPr>
      </w:pPr>
      <w:r>
        <w:rPr>
          <w:rFonts w:hint="default" w:ascii="Times New Roman" w:hAnsi="Times New Roman" w:eastAsia="方正仿宋_GB18030" w:cs="Times New Roman"/>
          <w:sz w:val="32"/>
          <w:szCs w:val="32"/>
          <w:lang w:val="en-US" w:eastAsia="zh-CN"/>
        </w:rPr>
        <w:t>1.数量方面：截至202</w:t>
      </w:r>
      <w:r>
        <w:rPr>
          <w:rFonts w:hint="eastAsia" w:ascii="Times New Roman" w:hAnsi="Times New Roman" w:eastAsia="方正仿宋_GB18030" w:cs="Times New Roman"/>
          <w:sz w:val="32"/>
          <w:szCs w:val="32"/>
          <w:lang w:val="en-US" w:eastAsia="zh-CN"/>
        </w:rPr>
        <w:t>5</w:t>
      </w:r>
      <w:r>
        <w:rPr>
          <w:rFonts w:hint="default" w:ascii="Times New Roman" w:hAnsi="Times New Roman" w:eastAsia="方正仿宋_GB18030" w:cs="Times New Roman"/>
          <w:sz w:val="32"/>
          <w:szCs w:val="32"/>
          <w:lang w:val="en-US" w:eastAsia="zh-CN"/>
        </w:rPr>
        <w:t>年12月31日，组织大会</w:t>
      </w:r>
      <w:r>
        <w:rPr>
          <w:rFonts w:hint="eastAsia" w:ascii="Times New Roman" w:hAnsi="Times New Roman" w:eastAsia="方正仿宋_GB18030" w:cs="Times New Roman"/>
          <w:sz w:val="32"/>
          <w:szCs w:val="32"/>
          <w:lang w:val="en-US" w:eastAsia="zh-CN"/>
        </w:rPr>
        <w:t>2</w:t>
      </w:r>
      <w:r>
        <w:rPr>
          <w:rFonts w:hint="default" w:ascii="Times New Roman" w:hAnsi="Times New Roman" w:eastAsia="方正仿宋_GB18030" w:cs="Times New Roman"/>
          <w:sz w:val="32"/>
          <w:szCs w:val="32"/>
          <w:lang w:val="en-US" w:eastAsia="zh-CN"/>
        </w:rPr>
        <w:t>次，其他1</w:t>
      </w:r>
      <w:r>
        <w:rPr>
          <w:rFonts w:hint="eastAsia" w:ascii="Times New Roman" w:hAnsi="Times New Roman" w:eastAsia="方正仿宋_GB18030" w:cs="Times New Roman"/>
          <w:sz w:val="32"/>
          <w:szCs w:val="32"/>
          <w:lang w:val="en-US" w:eastAsia="zh-CN"/>
        </w:rPr>
        <w:t>0</w:t>
      </w:r>
      <w:r>
        <w:rPr>
          <w:rFonts w:hint="default" w:ascii="Times New Roman" w:hAnsi="Times New Roman" w:eastAsia="方正仿宋_GB18030" w:cs="Times New Roman"/>
          <w:sz w:val="32"/>
          <w:szCs w:val="32"/>
          <w:lang w:val="en-US" w:eastAsia="zh-CN"/>
        </w:rPr>
        <w:t>次;组织禁毒教育基地参观受教育人数30</w:t>
      </w:r>
      <w:r>
        <w:rPr>
          <w:rFonts w:hint="eastAsia" w:ascii="Times New Roman" w:hAnsi="Times New Roman" w:eastAsia="方正仿宋_GB18030" w:cs="Times New Roman"/>
          <w:sz w:val="32"/>
          <w:szCs w:val="32"/>
          <w:lang w:val="en-US" w:eastAsia="zh-CN"/>
        </w:rPr>
        <w:t>200人</w:t>
      </w:r>
      <w:r>
        <w:rPr>
          <w:rFonts w:hint="default" w:ascii="Times New Roman" w:hAnsi="Times New Roman" w:eastAsia="方正仿宋_GB18030" w:cs="Times New Roman"/>
          <w:sz w:val="32"/>
          <w:szCs w:val="32"/>
          <w:lang w:val="en-US" w:eastAsia="zh-CN"/>
        </w:rPr>
        <w:t>；新媒体宣传矩阵禁毒抖音视频制作发布</w:t>
      </w:r>
      <w:r>
        <w:rPr>
          <w:rFonts w:hint="eastAsia" w:ascii="Times New Roman" w:hAnsi="Times New Roman" w:eastAsia="方正仿宋_GB18030" w:cs="Times New Roman"/>
          <w:sz w:val="32"/>
          <w:szCs w:val="32"/>
          <w:lang w:val="en-US" w:eastAsia="zh-CN"/>
        </w:rPr>
        <w:t>50</w:t>
      </w:r>
      <w:r>
        <w:rPr>
          <w:rFonts w:hint="default" w:ascii="Times New Roman" w:hAnsi="Times New Roman" w:eastAsia="方正仿宋_GB18030" w:cs="Times New Roman"/>
          <w:sz w:val="32"/>
          <w:szCs w:val="32"/>
          <w:lang w:val="en-US" w:eastAsia="zh-CN"/>
        </w:rPr>
        <w:t>期；禁毒宣传“七进”宣</w:t>
      </w:r>
      <w:r>
        <w:rPr>
          <w:rFonts w:hint="eastAsia" w:ascii="Times New Roman" w:hAnsi="Times New Roman" w:eastAsia="方正仿宋_GB18030" w:cs="Times New Roman"/>
          <w:sz w:val="32"/>
          <w:szCs w:val="32"/>
          <w:lang w:val="en-US" w:eastAsia="zh-CN"/>
        </w:rPr>
        <w:t>讲</w:t>
      </w:r>
      <w:r>
        <w:rPr>
          <w:rFonts w:hint="default" w:ascii="Times New Roman" w:hAnsi="Times New Roman" w:eastAsia="方正仿宋_GB18030" w:cs="Times New Roman"/>
          <w:sz w:val="32"/>
          <w:szCs w:val="32"/>
          <w:lang w:val="en-US" w:eastAsia="zh-CN"/>
        </w:rPr>
        <w:t>12次;未发生任何个人极端肇事肇祸案事件；毛发检测吸毒人数</w:t>
      </w:r>
      <w:r>
        <w:rPr>
          <w:rFonts w:hint="eastAsia" w:ascii="Times New Roman" w:hAnsi="Times New Roman" w:eastAsia="方正仿宋_GB18030" w:cs="Times New Roman"/>
          <w:sz w:val="32"/>
          <w:szCs w:val="32"/>
          <w:lang w:val="en-US" w:eastAsia="zh-CN"/>
        </w:rPr>
        <w:t>1854</w:t>
      </w:r>
      <w:r>
        <w:rPr>
          <w:rFonts w:hint="default" w:ascii="Times New Roman" w:hAnsi="Times New Roman" w:eastAsia="方正仿宋_GB18030" w:cs="Times New Roman"/>
          <w:sz w:val="32"/>
          <w:szCs w:val="32"/>
          <w:lang w:val="en-US" w:eastAsia="zh-CN"/>
        </w:rPr>
        <w:t>人，</w:t>
      </w:r>
      <w:r>
        <w:rPr>
          <w:rFonts w:hint="eastAsia" w:ascii="Times New Roman" w:hAnsi="Times New Roman" w:eastAsia="方正仿宋_GB18030" w:cs="Times New Roman"/>
          <w:sz w:val="32"/>
          <w:szCs w:val="32"/>
          <w:lang w:val="en-US" w:eastAsia="zh-CN"/>
        </w:rPr>
        <w:t>基本</w:t>
      </w:r>
      <w:r>
        <w:rPr>
          <w:rFonts w:hint="default" w:ascii="Times New Roman" w:hAnsi="Times New Roman" w:eastAsia="方正仿宋_GB18030" w:cs="Times New Roman"/>
          <w:sz w:val="32"/>
          <w:szCs w:val="32"/>
          <w:lang w:val="en-US" w:eastAsia="zh-CN"/>
        </w:rPr>
        <w:t>完成复吸及预防监测工作；生活污水毒品含量检测</w:t>
      </w:r>
      <w:r>
        <w:rPr>
          <w:rFonts w:hint="eastAsia" w:ascii="Times New Roman" w:hAnsi="Times New Roman" w:eastAsia="方正仿宋_GB18030" w:cs="Times New Roman"/>
          <w:sz w:val="32"/>
          <w:szCs w:val="32"/>
          <w:lang w:val="en-US" w:eastAsia="zh-CN"/>
        </w:rPr>
        <w:t>10</w:t>
      </w:r>
      <w:r>
        <w:rPr>
          <w:rFonts w:hint="default" w:ascii="Times New Roman" w:hAnsi="Times New Roman" w:eastAsia="方正仿宋_GB18030" w:cs="Times New Roman"/>
          <w:sz w:val="32"/>
          <w:szCs w:val="32"/>
          <w:lang w:val="en-US" w:eastAsia="zh-CN"/>
        </w:rPr>
        <w:t>次；“蓝结家园”建设开展戒毒人员创业指导，帮扶人数10</w:t>
      </w:r>
      <w:r>
        <w:rPr>
          <w:rFonts w:hint="eastAsia" w:ascii="Times New Roman" w:hAnsi="Times New Roman" w:eastAsia="方正仿宋_GB18030" w:cs="Times New Roman"/>
          <w:sz w:val="32"/>
          <w:szCs w:val="32"/>
          <w:lang w:val="en-US" w:eastAsia="zh-CN"/>
        </w:rPr>
        <w:t>00</w:t>
      </w:r>
      <w:r>
        <w:rPr>
          <w:rFonts w:hint="default" w:ascii="Times New Roman" w:hAnsi="Times New Roman" w:eastAsia="方正仿宋_GB18030" w:cs="Times New Roman"/>
          <w:sz w:val="32"/>
          <w:szCs w:val="32"/>
          <w:lang w:val="en-US" w:eastAsia="zh-CN"/>
        </w:rPr>
        <w:t>人。</w:t>
      </w:r>
    </w:p>
    <w:p w14:paraId="7186DBD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18030" w:cs="Times New Roman"/>
          <w:sz w:val="32"/>
          <w:szCs w:val="32"/>
          <w:lang w:val="en-US" w:eastAsia="zh-CN"/>
        </w:rPr>
      </w:pPr>
      <w:r>
        <w:rPr>
          <w:rFonts w:hint="default" w:ascii="Times New Roman" w:hAnsi="Times New Roman" w:eastAsia="方正仿宋_GB18030" w:cs="Times New Roman"/>
          <w:sz w:val="32"/>
          <w:szCs w:val="32"/>
          <w:lang w:val="en-US" w:eastAsia="zh-CN"/>
        </w:rPr>
        <w:t>2.质量方面：社区戒毒（康复）执行率达到并保持在100%;全国青少年禁毒知识竞赛学生参与率、及格率、满分率均达到100%；</w:t>
      </w:r>
    </w:p>
    <w:p w14:paraId="1443777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18030" w:cs="Times New Roman"/>
          <w:sz w:val="32"/>
          <w:szCs w:val="32"/>
          <w:lang w:val="en-US" w:eastAsia="zh-CN"/>
        </w:rPr>
      </w:pPr>
      <w:r>
        <w:rPr>
          <w:rFonts w:hint="default" w:ascii="Times New Roman" w:hAnsi="Times New Roman" w:eastAsia="方正仿宋_GB18030" w:cs="Times New Roman"/>
          <w:sz w:val="32"/>
          <w:szCs w:val="32"/>
          <w:lang w:val="en-US" w:eastAsia="zh-CN"/>
        </w:rPr>
        <w:t>3.时效方面：全年按节点有序推进全面推进禁毒工作。</w:t>
      </w:r>
    </w:p>
    <w:p w14:paraId="4F68349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18030" w:cs="Times New Roman"/>
          <w:sz w:val="32"/>
          <w:szCs w:val="32"/>
          <w:lang w:val="en-US" w:eastAsia="zh-CN"/>
        </w:rPr>
      </w:pPr>
      <w:r>
        <w:rPr>
          <w:rFonts w:hint="default" w:ascii="Times New Roman" w:hAnsi="Times New Roman" w:eastAsia="方正仿宋_GB18030" w:cs="Times New Roman"/>
          <w:sz w:val="32"/>
          <w:szCs w:val="32"/>
          <w:lang w:val="en-US" w:eastAsia="zh-CN"/>
        </w:rPr>
        <w:t>4.效益方面：（1）现有吸毒人数比202</w:t>
      </w:r>
      <w:r>
        <w:rPr>
          <w:rFonts w:hint="eastAsia" w:ascii="Times New Roman" w:hAnsi="Times New Roman" w:eastAsia="方正仿宋_GB18030" w:cs="Times New Roman"/>
          <w:sz w:val="32"/>
          <w:szCs w:val="32"/>
          <w:lang w:val="en-US" w:eastAsia="zh-CN"/>
        </w:rPr>
        <w:t>4</w:t>
      </w:r>
      <w:r>
        <w:rPr>
          <w:rFonts w:hint="default" w:ascii="Times New Roman" w:hAnsi="Times New Roman" w:eastAsia="方正仿宋_GB18030" w:cs="Times New Roman"/>
          <w:sz w:val="32"/>
          <w:szCs w:val="32"/>
          <w:lang w:val="en-US" w:eastAsia="zh-CN"/>
        </w:rPr>
        <w:t>年</w:t>
      </w:r>
      <w:r>
        <w:rPr>
          <w:rFonts w:hint="eastAsia" w:ascii="Times New Roman" w:hAnsi="Times New Roman" w:eastAsia="方正仿宋_GB18030" w:cs="Times New Roman"/>
          <w:sz w:val="32"/>
          <w:szCs w:val="32"/>
          <w:lang w:val="en-US" w:eastAsia="zh-CN"/>
        </w:rPr>
        <w:t>明显</w:t>
      </w:r>
      <w:r>
        <w:rPr>
          <w:rFonts w:hint="default" w:ascii="Times New Roman" w:hAnsi="Times New Roman" w:eastAsia="方正仿宋_GB18030" w:cs="Times New Roman"/>
          <w:sz w:val="32"/>
          <w:szCs w:val="32"/>
          <w:lang w:val="en-US" w:eastAsia="zh-CN"/>
        </w:rPr>
        <w:t>减少；（2）毒情形势明显好转，无突出毒品滥用问题，无被国家、省禁毒委挂牌整治情形；（3）群</w:t>
      </w:r>
      <w:r>
        <w:rPr>
          <w:rFonts w:hint="eastAsia" w:ascii="Times New Roman" w:hAnsi="Times New Roman" w:eastAsia="方正仿宋_GB18030" w:cs="Times New Roman"/>
          <w:sz w:val="32"/>
          <w:szCs w:val="32"/>
          <w:lang w:val="en-US" w:eastAsia="zh-CN"/>
        </w:rPr>
        <w:t>众</w:t>
      </w:r>
      <w:r>
        <w:rPr>
          <w:rFonts w:hint="default" w:ascii="Times New Roman" w:hAnsi="Times New Roman" w:eastAsia="方正仿宋_GB18030" w:cs="Times New Roman"/>
          <w:sz w:val="32"/>
          <w:szCs w:val="32"/>
          <w:lang w:val="en-US" w:eastAsia="zh-CN"/>
        </w:rPr>
        <w:t>对禁毒工作满意度提升，达到</w:t>
      </w:r>
      <w:r>
        <w:rPr>
          <w:rFonts w:hint="eastAsia" w:ascii="Times New Roman" w:hAnsi="Times New Roman" w:eastAsia="方正仿宋_GB18030" w:cs="Times New Roman"/>
          <w:sz w:val="32"/>
          <w:szCs w:val="32"/>
          <w:lang w:val="en-US" w:eastAsia="zh-CN"/>
        </w:rPr>
        <w:t>90</w:t>
      </w:r>
      <w:r>
        <w:rPr>
          <w:rFonts w:hint="default" w:ascii="Times New Roman" w:hAnsi="Times New Roman" w:eastAsia="方正仿宋_GB18030" w:cs="Times New Roman"/>
          <w:sz w:val="32"/>
          <w:szCs w:val="32"/>
          <w:lang w:val="en-US" w:eastAsia="zh-CN"/>
        </w:rPr>
        <w:t>%</w:t>
      </w:r>
      <w:r>
        <w:rPr>
          <w:rFonts w:hint="eastAsia" w:ascii="Times New Roman" w:hAnsi="Times New Roman" w:eastAsia="方正仿宋_GB18030" w:cs="Times New Roman"/>
          <w:sz w:val="32"/>
          <w:szCs w:val="32"/>
          <w:lang w:val="en-US" w:eastAsia="zh-CN"/>
        </w:rPr>
        <w:t>以上</w:t>
      </w:r>
      <w:r>
        <w:rPr>
          <w:rFonts w:hint="default" w:ascii="Times New Roman" w:hAnsi="Times New Roman" w:eastAsia="方正仿宋_GB18030" w:cs="Times New Roman"/>
          <w:sz w:val="32"/>
          <w:szCs w:val="32"/>
          <w:lang w:val="en-US" w:eastAsia="zh-CN"/>
        </w:rPr>
        <w:t>。</w:t>
      </w:r>
    </w:p>
    <w:p w14:paraId="0EBA85E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二、部门评价工作开展情况</w:t>
      </w:r>
    </w:p>
    <w:p w14:paraId="6922437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18030" w:cs="Times New Roman"/>
          <w:sz w:val="32"/>
          <w:szCs w:val="32"/>
          <w:lang w:val="en-US" w:eastAsia="zh-CN"/>
        </w:rPr>
      </w:pPr>
      <w:r>
        <w:rPr>
          <w:rFonts w:hint="default" w:ascii="Times New Roman" w:hAnsi="Times New Roman" w:eastAsia="方正仿宋_GB18030" w:cs="Times New Roman"/>
          <w:sz w:val="32"/>
          <w:szCs w:val="32"/>
          <w:lang w:val="en-US" w:eastAsia="zh-CN"/>
        </w:rPr>
        <w:t>根据相关政策规定和益财绩〔202</w:t>
      </w:r>
      <w:r>
        <w:rPr>
          <w:rFonts w:hint="eastAsia" w:ascii="Times New Roman" w:hAnsi="Times New Roman" w:eastAsia="方正仿宋_GB18030" w:cs="Times New Roman"/>
          <w:sz w:val="32"/>
          <w:szCs w:val="32"/>
          <w:lang w:val="en-US" w:eastAsia="zh-CN"/>
        </w:rPr>
        <w:t>6</w:t>
      </w:r>
      <w:r>
        <w:rPr>
          <w:rFonts w:hint="default" w:ascii="Times New Roman" w:hAnsi="Times New Roman" w:eastAsia="方正仿宋_GB18030" w:cs="Times New Roman"/>
          <w:sz w:val="32"/>
          <w:szCs w:val="32"/>
          <w:lang w:val="en-US" w:eastAsia="zh-CN"/>
        </w:rPr>
        <w:t>〕</w:t>
      </w:r>
      <w:r>
        <w:rPr>
          <w:rFonts w:hint="eastAsia" w:ascii="Times New Roman" w:hAnsi="Times New Roman" w:eastAsia="方正仿宋_GB18030" w:cs="Times New Roman"/>
          <w:sz w:val="32"/>
          <w:szCs w:val="32"/>
          <w:lang w:val="en-US" w:eastAsia="zh-CN"/>
        </w:rPr>
        <w:t>83</w:t>
      </w:r>
      <w:r>
        <w:rPr>
          <w:rFonts w:hint="default" w:ascii="Times New Roman" w:hAnsi="Times New Roman" w:eastAsia="方正仿宋_GB18030" w:cs="Times New Roman"/>
          <w:sz w:val="32"/>
          <w:szCs w:val="32"/>
          <w:lang w:val="en-US" w:eastAsia="zh-CN"/>
        </w:rPr>
        <w:t>号文件要求，我</w:t>
      </w:r>
      <w:r>
        <w:rPr>
          <w:rFonts w:hint="eastAsia" w:ascii="Times New Roman" w:hAnsi="Times New Roman" w:eastAsia="方正仿宋_GB18030" w:cs="Times New Roman"/>
          <w:sz w:val="32"/>
          <w:szCs w:val="32"/>
          <w:lang w:val="en-US" w:eastAsia="zh-CN"/>
        </w:rPr>
        <w:t>单位</w:t>
      </w:r>
      <w:r>
        <w:rPr>
          <w:rFonts w:hint="default" w:ascii="Times New Roman" w:hAnsi="Times New Roman" w:eastAsia="方正仿宋_GB18030" w:cs="Times New Roman"/>
          <w:sz w:val="32"/>
          <w:szCs w:val="32"/>
          <w:lang w:val="en-US" w:eastAsia="zh-CN"/>
        </w:rPr>
        <w:t>按下列步骤开展项目绩效评价：</w:t>
      </w:r>
    </w:p>
    <w:p w14:paraId="7D8F267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18030" w:cs="Times New Roman"/>
          <w:sz w:val="32"/>
          <w:szCs w:val="32"/>
          <w:lang w:val="en-US" w:eastAsia="zh-CN"/>
        </w:rPr>
      </w:pPr>
      <w:r>
        <w:rPr>
          <w:rFonts w:hint="default" w:ascii="Times New Roman" w:hAnsi="Times New Roman" w:eastAsia="方正仿宋_GB18030" w:cs="Times New Roman"/>
          <w:sz w:val="32"/>
          <w:szCs w:val="32"/>
          <w:lang w:val="en-US" w:eastAsia="zh-CN"/>
        </w:rPr>
        <w:t>1.前期准备。益阳市公安局抽调专人成立了政策实施绩效评价工作组，明确了工作职责，制定了现场评价方案，设计了相关表格，联系了相关部门和单位，确定了实施时间。</w:t>
      </w:r>
    </w:p>
    <w:p w14:paraId="0D3F163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18030" w:cs="Times New Roman"/>
          <w:sz w:val="32"/>
          <w:szCs w:val="32"/>
          <w:lang w:val="en-US" w:eastAsia="zh-CN"/>
        </w:rPr>
      </w:pPr>
      <w:r>
        <w:rPr>
          <w:rFonts w:hint="default" w:ascii="Times New Roman" w:hAnsi="Times New Roman" w:eastAsia="方正仿宋_GB18030" w:cs="Times New Roman"/>
          <w:sz w:val="32"/>
          <w:szCs w:val="32"/>
          <w:lang w:val="en-US" w:eastAsia="zh-CN"/>
        </w:rPr>
        <w:t>2.实施情况。政策实施绩效评价实施步骤：（1）召开座谈会。组织实施单位召开座谈会，听取该政策实施有关情况介绍。（2）收集核查资料。收集该资金相关政策文件和实施单位相关制度文件、资金拨付明细等资料；核查相关制度是否完善，资金分配、使用是否合理，拨付手续是否齐全，是否存在截留、挪用等情况。（3）现场查看。通过实地查看、调查走访，了解项目实施情况及项目绩效完成情况。（4）形成评价报告。通过对相关资料进行综合分析，按照确定的评价指标和标准，结合现场评价情况，得出评价结论，形成项目自评报告。</w:t>
      </w:r>
    </w:p>
    <w:p w14:paraId="79DD071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三、综合评价结论</w:t>
      </w:r>
    </w:p>
    <w:p w14:paraId="1BA87D2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18030" w:cs="Times New Roman"/>
          <w:sz w:val="32"/>
          <w:szCs w:val="32"/>
          <w:lang w:val="en-US" w:eastAsia="zh-CN"/>
        </w:rPr>
      </w:pPr>
      <w:r>
        <w:rPr>
          <w:rFonts w:hint="default" w:ascii="Times New Roman" w:hAnsi="Times New Roman" w:eastAsia="方正仿宋_GB18030" w:cs="Times New Roman"/>
          <w:sz w:val="32"/>
          <w:szCs w:val="32"/>
          <w:lang w:val="en-US" w:eastAsia="zh-CN"/>
        </w:rPr>
        <w:t>评价小组从项目决策、预算计划、预算执行、项目实施、财务管理、项目绩效等方面进行总体评价，益阳市公安局“禁毒工作”项目资金综合评分</w:t>
      </w:r>
      <w:r>
        <w:rPr>
          <w:rFonts w:hint="eastAsia" w:ascii="Times New Roman" w:hAnsi="Times New Roman" w:eastAsia="方正仿宋_GB18030" w:cs="Times New Roman"/>
          <w:sz w:val="32"/>
          <w:szCs w:val="32"/>
          <w:lang w:val="en-US" w:eastAsia="zh-CN"/>
        </w:rPr>
        <w:t>99</w:t>
      </w:r>
      <w:r>
        <w:rPr>
          <w:rFonts w:hint="default" w:ascii="Times New Roman" w:hAnsi="Times New Roman" w:eastAsia="方正仿宋_GB18030" w:cs="Times New Roman"/>
          <w:sz w:val="32"/>
          <w:szCs w:val="32"/>
          <w:lang w:val="en-US" w:eastAsia="zh-CN"/>
        </w:rPr>
        <w:t>分，评价等级为“优秀”。</w:t>
      </w:r>
    </w:p>
    <w:p w14:paraId="077D540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四、绩效评价指标分析</w:t>
      </w:r>
    </w:p>
    <w:p w14:paraId="44E5C620">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lang w:val="en-US" w:eastAsia="zh-CN"/>
        </w:rPr>
        <w:t>（一）</w:t>
      </w:r>
      <w:r>
        <w:rPr>
          <w:rFonts w:hint="default" w:ascii="Times New Roman" w:hAnsi="Times New Roman" w:eastAsia="楷体" w:cs="Times New Roman"/>
          <w:b/>
          <w:bCs/>
          <w:sz w:val="32"/>
          <w:szCs w:val="32"/>
        </w:rPr>
        <w:t>预算支出决策情况</w:t>
      </w:r>
    </w:p>
    <w:p w14:paraId="70C0F3F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18030" w:cs="Times New Roman"/>
          <w:sz w:val="32"/>
          <w:szCs w:val="32"/>
          <w:lang w:val="en-US" w:eastAsia="zh-CN"/>
        </w:rPr>
      </w:pPr>
      <w:r>
        <w:rPr>
          <w:rFonts w:hint="default" w:ascii="Times New Roman" w:hAnsi="Times New Roman" w:eastAsia="方正仿宋_GB18030" w:cs="Times New Roman"/>
          <w:sz w:val="32"/>
          <w:szCs w:val="32"/>
        </w:rPr>
        <w:t>项目设立依据充分</w:t>
      </w:r>
      <w:r>
        <w:rPr>
          <w:rFonts w:hint="default" w:ascii="Times New Roman" w:hAnsi="Times New Roman" w:eastAsia="方正仿宋_GB18030" w:cs="Times New Roman"/>
          <w:sz w:val="32"/>
          <w:szCs w:val="32"/>
          <w:lang w:eastAsia="zh-CN"/>
        </w:rPr>
        <w:t>，</w:t>
      </w:r>
      <w:r>
        <w:rPr>
          <w:rFonts w:hint="default" w:ascii="Times New Roman" w:hAnsi="Times New Roman" w:eastAsia="方正仿宋_GB18030" w:cs="Times New Roman"/>
          <w:sz w:val="32"/>
          <w:szCs w:val="32"/>
          <w:lang w:val="en-US" w:eastAsia="zh-CN"/>
        </w:rPr>
        <w:t>决策程序规范，符</w:t>
      </w:r>
      <w:r>
        <w:rPr>
          <w:rFonts w:hint="default" w:ascii="Times New Roman" w:hAnsi="Times New Roman" w:eastAsia="方正仿宋_GB18030" w:cs="Times New Roman"/>
          <w:sz w:val="32"/>
          <w:szCs w:val="32"/>
          <w:lang w:eastAsia="zh-CN"/>
        </w:rPr>
        <w:t>合国家相关法律法规、国民经济发展规划和相关政策，符合行业发展规划和政策要求</w:t>
      </w:r>
      <w:r>
        <w:rPr>
          <w:rFonts w:hint="default" w:ascii="Times New Roman" w:hAnsi="Times New Roman" w:eastAsia="方正仿宋_GB18030" w:cs="Times New Roman"/>
          <w:sz w:val="32"/>
          <w:szCs w:val="32"/>
          <w:lang w:val="en-US" w:eastAsia="zh-CN"/>
        </w:rPr>
        <w:t>，与部门职责范围相符，属于部门履职所需，属于公共财政支持范围。项目绩效目标设置合理，指标明确。预算编制科学，资金分配合理。</w:t>
      </w:r>
    </w:p>
    <w:p w14:paraId="3853207C">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楷体" w:cs="Times New Roman"/>
          <w:b/>
          <w:bCs/>
          <w:sz w:val="32"/>
          <w:szCs w:val="32"/>
          <w:lang w:val="en-US" w:eastAsia="zh-CN"/>
        </w:rPr>
      </w:pPr>
      <w:r>
        <w:rPr>
          <w:rFonts w:hint="default" w:ascii="Times New Roman" w:hAnsi="Times New Roman" w:eastAsia="楷体" w:cs="Times New Roman"/>
          <w:b/>
          <w:bCs/>
          <w:sz w:val="32"/>
          <w:szCs w:val="32"/>
          <w:lang w:val="en-US" w:eastAsia="zh-CN"/>
        </w:rPr>
        <w:t>（二）预算执行过程情况</w:t>
      </w:r>
    </w:p>
    <w:p w14:paraId="3652164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18030" w:cs="Times New Roman"/>
          <w:sz w:val="32"/>
          <w:szCs w:val="32"/>
          <w:lang w:val="en-US" w:eastAsia="zh-CN"/>
        </w:rPr>
      </w:pPr>
      <w:r>
        <w:rPr>
          <w:rFonts w:hint="eastAsia" w:ascii="Times New Roman" w:hAnsi="Times New Roman" w:eastAsia="方正仿宋_GB18030" w:cs="Times New Roman"/>
          <w:sz w:val="32"/>
          <w:szCs w:val="32"/>
          <w:lang w:val="en-US" w:eastAsia="zh-CN"/>
        </w:rPr>
        <w:t>2025年初，项目安排工作经费预算110万元。年度执行中，因实际支出需求超出原预算规模，经申请追加经费85万元，该笔经费于2026年初下达，2025年度内未到位。为解决当年资金缺口，通过统筹调剂方式先行支付供应商124.16万元，剩余70.84万元因当年财力不足未能支付，结转至2026年，待追加经费到位后予以清偿。</w:t>
      </w:r>
      <w:r>
        <w:rPr>
          <w:rFonts w:hint="default" w:ascii="Times New Roman" w:hAnsi="Times New Roman" w:eastAsia="方正仿宋_GB18030" w:cs="Times New Roman"/>
          <w:sz w:val="32"/>
          <w:szCs w:val="32"/>
          <w:lang w:val="en-US" w:eastAsia="zh-CN"/>
        </w:rPr>
        <w:t>项目资金使用符合国家财经法规和财务管理制度以及有关专项资金管理办法的规定。资金的拨付有完整的审批程序和手续，无资金截留、挤占、挪用支出等情况。项目制定了相关业务管理制度，对预算支出顺利实施提供了保障。</w:t>
      </w:r>
    </w:p>
    <w:p w14:paraId="6BF07686">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楷体" w:cs="Times New Roman"/>
          <w:b/>
          <w:bCs/>
          <w:sz w:val="32"/>
          <w:szCs w:val="32"/>
          <w:lang w:val="en-US" w:eastAsia="zh-CN"/>
        </w:rPr>
      </w:pPr>
      <w:r>
        <w:rPr>
          <w:rFonts w:hint="default" w:ascii="Times New Roman" w:hAnsi="Times New Roman" w:eastAsia="楷体" w:cs="Times New Roman"/>
          <w:b/>
          <w:bCs/>
          <w:sz w:val="32"/>
          <w:szCs w:val="32"/>
          <w:lang w:val="en-US" w:eastAsia="zh-CN"/>
        </w:rPr>
        <w:t>（三）预算支出产出情况</w:t>
      </w:r>
    </w:p>
    <w:p w14:paraId="4759D02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18030" w:cs="Times New Roman"/>
          <w:sz w:val="32"/>
          <w:szCs w:val="32"/>
          <w:lang w:val="en-US" w:eastAsia="zh-CN"/>
        </w:rPr>
      </w:pPr>
      <w:r>
        <w:rPr>
          <w:rFonts w:hint="eastAsia" w:ascii="Times New Roman" w:hAnsi="Times New Roman" w:eastAsia="方正仿宋_GB18030" w:cs="Times New Roman"/>
          <w:sz w:val="32"/>
          <w:szCs w:val="32"/>
          <w:lang w:val="en-US" w:eastAsia="zh-CN"/>
        </w:rPr>
        <w:t>2025年，在资金保障较往年收紧的情况下，不仅全面完成了年初设定的各项禁毒工作任务指标，更于年内成功获评全国禁毒示范城市，实现了禁毒工作整体效能与品牌荣誉的双重提升，充分展现了预算资金使用的良好产出效益。</w:t>
      </w:r>
    </w:p>
    <w:p w14:paraId="22A38C98">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楷体" w:cs="Times New Roman"/>
          <w:b/>
          <w:bCs/>
          <w:sz w:val="32"/>
          <w:szCs w:val="32"/>
          <w:lang w:val="en-US" w:eastAsia="zh-CN"/>
        </w:rPr>
      </w:pPr>
      <w:r>
        <w:rPr>
          <w:rFonts w:hint="default" w:ascii="Times New Roman" w:hAnsi="Times New Roman" w:eastAsia="楷体" w:cs="Times New Roman"/>
          <w:b/>
          <w:bCs/>
          <w:sz w:val="32"/>
          <w:szCs w:val="32"/>
          <w:lang w:val="en-US" w:eastAsia="zh-CN"/>
        </w:rPr>
        <w:t>（四）预算支出效益情况</w:t>
      </w:r>
    </w:p>
    <w:p w14:paraId="46A2D18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18030" w:cs="Times New Roman"/>
          <w:sz w:val="32"/>
          <w:szCs w:val="32"/>
          <w:lang w:val="en-US" w:eastAsia="zh-CN"/>
        </w:rPr>
      </w:pPr>
      <w:r>
        <w:rPr>
          <w:rFonts w:hint="default" w:ascii="Times New Roman" w:hAnsi="Times New Roman" w:eastAsia="方正仿宋_GB18030" w:cs="Times New Roman"/>
          <w:sz w:val="32"/>
          <w:szCs w:val="32"/>
          <w:lang w:val="en-US" w:eastAsia="zh-CN"/>
        </w:rPr>
        <w:t>项目</w:t>
      </w:r>
      <w:r>
        <w:rPr>
          <w:rFonts w:hint="default" w:ascii="Times New Roman" w:hAnsi="Times New Roman" w:eastAsia="方正仿宋_GB18030" w:cs="Times New Roman"/>
          <w:sz w:val="32"/>
          <w:szCs w:val="32"/>
        </w:rPr>
        <w:t>开展毒品预防宣传教育，提高人民群众识毒防毒拒毒意识，减少吸毒人员新滋生，遏制毒情发展蔓延；加强吸毒人员管控，提高戒毒效果，巩固戒毒成果，防止吸毒人员肇事肇祸，维护社会治安稳定大局；推进突出毒品问题有效治理，打好</w:t>
      </w:r>
      <w:r>
        <w:rPr>
          <w:rFonts w:hint="eastAsia" w:ascii="Times New Roman" w:hAnsi="Times New Roman" w:eastAsia="方正仿宋_GB18030" w:cs="Times New Roman"/>
          <w:sz w:val="32"/>
          <w:szCs w:val="32"/>
          <w:lang w:eastAsia="zh-CN"/>
        </w:rPr>
        <w:t>全市</w:t>
      </w:r>
      <w:r>
        <w:rPr>
          <w:rFonts w:hint="default" w:ascii="Times New Roman" w:hAnsi="Times New Roman" w:eastAsia="方正仿宋_GB18030" w:cs="Times New Roman"/>
          <w:sz w:val="32"/>
          <w:szCs w:val="32"/>
        </w:rPr>
        <w:t>新一轮禁毒人民战争。</w:t>
      </w:r>
    </w:p>
    <w:p w14:paraId="4374C46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五、存在的问题和改进措施</w:t>
      </w:r>
    </w:p>
    <w:p w14:paraId="6EC9AE9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18030" w:cs="Times New Roman"/>
          <w:sz w:val="32"/>
          <w:szCs w:val="32"/>
          <w:lang w:val="en-US" w:eastAsia="zh-CN"/>
        </w:rPr>
      </w:pPr>
      <w:r>
        <w:rPr>
          <w:rFonts w:hint="eastAsia" w:ascii="Times New Roman" w:hAnsi="Times New Roman" w:eastAsia="方正仿宋_GB18030" w:cs="Times New Roman"/>
          <w:sz w:val="32"/>
          <w:szCs w:val="32"/>
          <w:lang w:val="en-US" w:eastAsia="zh-CN"/>
        </w:rPr>
        <w:t>1.年初的目标是100分，实际完成自评得分99分，主要原因是2025年存在专项资金不足的情况。2026年年初根据新的要求，适时调整了相关的绩效指标；</w:t>
      </w:r>
    </w:p>
    <w:p w14:paraId="7BC0576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18030" w:cs="Times New Roman"/>
          <w:sz w:val="32"/>
          <w:szCs w:val="32"/>
          <w:lang w:val="en-US" w:eastAsia="zh-CN"/>
        </w:rPr>
      </w:pPr>
      <w:r>
        <w:rPr>
          <w:rFonts w:hint="eastAsia" w:ascii="Times New Roman" w:hAnsi="Times New Roman" w:eastAsia="方正仿宋_GB18030" w:cs="Times New Roman"/>
          <w:sz w:val="32"/>
          <w:szCs w:val="32"/>
          <w:lang w:val="en-US" w:eastAsia="zh-CN"/>
        </w:rPr>
        <w:t>2.禁毒专项经费保障力度有所减弱。2025年，我市禁毒工作经费由往年的228万元调整至110万元，降幅超过50%。然而，年度实际支出远超年初预算安排。受经费大幅缩减影响，尽管通过调剂等方式维持了工作基本运转，但资金缺口依然突出，部分支出无法在当年及时支付，对禁毒宣传、缉毒执法等工作的持续深入开展造成了一定制约，也影响了年度工作计划的完整实施和成效充分展示。下一步，将严格规范支出管理，杜绝超预算支出，确需追加的，提前履行报批程序。</w:t>
      </w:r>
    </w:p>
    <w:p w14:paraId="35F2A3F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六、部门评价结果拟应用和公开情况</w:t>
      </w:r>
    </w:p>
    <w:p w14:paraId="7866AEF9">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楷体" w:cs="Times New Roman"/>
          <w:b/>
          <w:bCs/>
          <w:sz w:val="32"/>
          <w:szCs w:val="32"/>
          <w:lang w:val="en-US" w:eastAsia="zh-CN"/>
        </w:rPr>
      </w:pPr>
      <w:r>
        <w:rPr>
          <w:rFonts w:hint="default" w:ascii="Times New Roman" w:hAnsi="Times New Roman" w:eastAsia="楷体" w:cs="Times New Roman"/>
          <w:b/>
          <w:bCs/>
          <w:sz w:val="32"/>
          <w:szCs w:val="32"/>
          <w:lang w:val="en-US" w:eastAsia="zh-CN"/>
        </w:rPr>
        <w:t>（一）绩效评估结果概述</w:t>
      </w:r>
    </w:p>
    <w:p w14:paraId="14FAD45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18030" w:cs="Times New Roman"/>
          <w:sz w:val="32"/>
          <w:szCs w:val="32"/>
          <w:lang w:val="en-US" w:eastAsia="zh-CN"/>
        </w:rPr>
      </w:pPr>
      <w:r>
        <w:rPr>
          <w:rFonts w:hint="default" w:ascii="Times New Roman" w:hAnsi="Times New Roman" w:eastAsia="方正仿宋_GB18030" w:cs="Times New Roman"/>
          <w:sz w:val="32"/>
          <w:szCs w:val="32"/>
          <w:lang w:val="en-US" w:eastAsia="zh-CN"/>
        </w:rPr>
        <w:t>根据《益阳市预算绩效管理办法》和《公安机关绩效考评工作规定》，我局已完成202</w:t>
      </w:r>
      <w:r>
        <w:rPr>
          <w:rFonts w:hint="eastAsia" w:ascii="Times New Roman" w:hAnsi="Times New Roman" w:eastAsia="方正仿宋_GB18030" w:cs="Times New Roman"/>
          <w:sz w:val="32"/>
          <w:szCs w:val="32"/>
          <w:lang w:val="en-US" w:eastAsia="zh-CN"/>
        </w:rPr>
        <w:t>5</w:t>
      </w:r>
      <w:r>
        <w:rPr>
          <w:rFonts w:hint="default" w:ascii="Times New Roman" w:hAnsi="Times New Roman" w:eastAsia="方正仿宋_GB18030" w:cs="Times New Roman"/>
          <w:sz w:val="32"/>
          <w:szCs w:val="32"/>
          <w:lang w:val="en-US" w:eastAsia="zh-CN"/>
        </w:rPr>
        <w:t>年度“禁毒工作”项目绩效自评工作。本次评估采用定量与定性相结合的方式，通过数据分析、实地核查、问卷调查等方法，对项目决策、过程、产出和效益进行全面评价，具体评估结果如下：</w:t>
      </w:r>
    </w:p>
    <w:p w14:paraId="2A4440E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18030" w:cs="Times New Roman"/>
          <w:sz w:val="32"/>
          <w:szCs w:val="32"/>
          <w:lang w:val="en-US" w:eastAsia="zh-CN"/>
        </w:rPr>
      </w:pPr>
      <w:r>
        <w:rPr>
          <w:rFonts w:hint="default" w:ascii="Times New Roman" w:hAnsi="Times New Roman" w:eastAsia="方正仿宋_GB18030" w:cs="Times New Roman"/>
          <w:sz w:val="32"/>
          <w:szCs w:val="32"/>
          <w:lang w:val="en-US" w:eastAsia="zh-CN"/>
        </w:rPr>
        <w:t>综合得分：</w:t>
      </w:r>
      <w:r>
        <w:rPr>
          <w:rFonts w:hint="eastAsia" w:ascii="Times New Roman" w:hAnsi="Times New Roman" w:eastAsia="方正仿宋_GB18030" w:cs="Times New Roman"/>
          <w:sz w:val="32"/>
          <w:szCs w:val="32"/>
          <w:lang w:val="en-US" w:eastAsia="zh-CN"/>
        </w:rPr>
        <w:t>99</w:t>
      </w:r>
      <w:r>
        <w:rPr>
          <w:rFonts w:hint="default" w:ascii="Times New Roman" w:hAnsi="Times New Roman" w:eastAsia="方正仿宋_GB18030" w:cs="Times New Roman"/>
          <w:sz w:val="32"/>
          <w:szCs w:val="32"/>
          <w:lang w:val="en-US" w:eastAsia="zh-CN"/>
        </w:rPr>
        <w:t>分（满分100分）</w:t>
      </w:r>
    </w:p>
    <w:p w14:paraId="69CE9DE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18030" w:cs="Times New Roman"/>
          <w:sz w:val="32"/>
          <w:szCs w:val="32"/>
          <w:lang w:val="en-US" w:eastAsia="zh-CN"/>
        </w:rPr>
      </w:pPr>
      <w:r>
        <w:rPr>
          <w:rFonts w:hint="default" w:ascii="Times New Roman" w:hAnsi="Times New Roman" w:eastAsia="方正仿宋_GB18030" w:cs="Times New Roman"/>
          <w:sz w:val="32"/>
          <w:szCs w:val="32"/>
          <w:lang w:val="en-US" w:eastAsia="zh-CN"/>
        </w:rPr>
        <w:t>绩效等级：优秀</w:t>
      </w:r>
    </w:p>
    <w:p w14:paraId="533E7EC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18030" w:cs="Times New Roman"/>
          <w:sz w:val="32"/>
          <w:szCs w:val="32"/>
          <w:lang w:val="en-US" w:eastAsia="zh-CN"/>
        </w:rPr>
      </w:pPr>
      <w:r>
        <w:rPr>
          <w:rFonts w:hint="default" w:ascii="Times New Roman" w:hAnsi="Times New Roman" w:eastAsia="方正仿宋_GB18030" w:cs="Times New Roman"/>
          <w:sz w:val="32"/>
          <w:szCs w:val="32"/>
          <w:lang w:val="en-US" w:eastAsia="zh-CN"/>
        </w:rPr>
        <w:t>主要成效：毒品问题治理能力明显提升，禁毒工作形势整体向好，群众满意度</w:t>
      </w:r>
      <w:r>
        <w:rPr>
          <w:rFonts w:hint="eastAsia" w:ascii="Times New Roman" w:hAnsi="Times New Roman" w:eastAsia="方正仿宋_GB18030" w:cs="Times New Roman"/>
          <w:sz w:val="32"/>
          <w:szCs w:val="32"/>
          <w:lang w:val="en-US" w:eastAsia="zh-CN"/>
        </w:rPr>
        <w:t>不断提升</w:t>
      </w:r>
      <w:r>
        <w:rPr>
          <w:rFonts w:hint="default" w:ascii="Times New Roman" w:hAnsi="Times New Roman" w:eastAsia="方正仿宋_GB18030" w:cs="Times New Roman"/>
          <w:sz w:val="32"/>
          <w:szCs w:val="32"/>
          <w:lang w:val="en-US" w:eastAsia="zh-CN"/>
        </w:rPr>
        <w:t>。</w:t>
      </w:r>
    </w:p>
    <w:p w14:paraId="27ED06FB">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楷体" w:cs="Times New Roman"/>
          <w:b/>
          <w:bCs/>
          <w:sz w:val="32"/>
          <w:szCs w:val="32"/>
          <w:lang w:val="en-US" w:eastAsia="zh-CN"/>
        </w:rPr>
      </w:pPr>
      <w:r>
        <w:rPr>
          <w:rFonts w:hint="default" w:ascii="Times New Roman" w:hAnsi="Times New Roman" w:eastAsia="楷体" w:cs="Times New Roman"/>
          <w:b/>
          <w:bCs/>
          <w:sz w:val="32"/>
          <w:szCs w:val="32"/>
          <w:lang w:val="en-US" w:eastAsia="zh-CN"/>
        </w:rPr>
        <w:t>（二）评估结果拟应用情况</w:t>
      </w:r>
    </w:p>
    <w:p w14:paraId="0E93413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18030" w:cs="Times New Roman"/>
          <w:sz w:val="32"/>
          <w:szCs w:val="32"/>
          <w:lang w:val="en-US" w:eastAsia="zh-CN"/>
        </w:rPr>
      </w:pPr>
      <w:r>
        <w:rPr>
          <w:rFonts w:hint="default" w:ascii="Times New Roman" w:hAnsi="Times New Roman" w:eastAsia="方正仿宋_GB18030" w:cs="Times New Roman"/>
          <w:sz w:val="32"/>
          <w:szCs w:val="32"/>
          <w:lang w:val="en-US" w:eastAsia="zh-CN"/>
        </w:rPr>
        <w:t>优先保障高效项目，项目预算维持不变。</w:t>
      </w:r>
    </w:p>
    <w:p w14:paraId="79506B5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七、其他需要说明的情况</w:t>
      </w:r>
    </w:p>
    <w:p w14:paraId="5F7AFB6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18030" w:cs="Times New Roman"/>
          <w:sz w:val="32"/>
          <w:szCs w:val="32"/>
          <w:lang w:val="en-US" w:eastAsia="zh-CN"/>
        </w:rPr>
      </w:pPr>
      <w:r>
        <w:rPr>
          <w:rFonts w:hint="default" w:ascii="Times New Roman" w:hAnsi="Times New Roman" w:eastAsia="方正仿宋_GB18030" w:cs="Times New Roman"/>
          <w:sz w:val="32"/>
          <w:szCs w:val="32"/>
          <w:lang w:val="en-US" w:eastAsia="zh-CN"/>
        </w:rPr>
        <w:t>无</w:t>
      </w:r>
    </w:p>
    <w:p w14:paraId="5A510D32">
      <w:pPr>
        <w:keepNext w:val="0"/>
        <w:keepLines w:val="0"/>
        <w:pageBreakBefore w:val="0"/>
        <w:widowControl w:val="0"/>
        <w:kinsoku/>
        <w:wordWrap/>
        <w:topLinePunct w:val="0"/>
        <w:autoSpaceDE/>
        <w:autoSpaceDN/>
        <w:bidi w:val="0"/>
        <w:adjustRightInd/>
        <w:snapToGrid/>
        <w:spacing w:line="600" w:lineRule="exact"/>
        <w:rPr>
          <w:rFonts w:hint="default" w:ascii="Times New Roman" w:hAnsi="Times New Roman" w:eastAsia="方正仿宋_GB18030" w:cs="Times New Roman"/>
          <w:sz w:val="32"/>
          <w:szCs w:val="32"/>
          <w:lang w:val="en-US" w:eastAsia="zh-CN"/>
        </w:rPr>
      </w:pPr>
    </w:p>
    <w:p w14:paraId="51E372FB">
      <w:pPr>
        <w:keepNext w:val="0"/>
        <w:keepLines w:val="0"/>
        <w:pageBreakBefore w:val="0"/>
        <w:widowControl w:val="0"/>
        <w:kinsoku/>
        <w:wordWrap/>
        <w:topLinePunct w:val="0"/>
        <w:autoSpaceDE/>
        <w:autoSpaceDN/>
        <w:bidi w:val="0"/>
        <w:adjustRightInd/>
        <w:snapToGrid/>
        <w:spacing w:line="600" w:lineRule="exact"/>
        <w:jc w:val="right"/>
        <w:rPr>
          <w:rFonts w:hint="eastAsia" w:ascii="Times New Roman" w:hAnsi="Times New Roman" w:eastAsia="方正仿宋_GB18030" w:cs="Times New Roman"/>
          <w:sz w:val="32"/>
          <w:szCs w:val="32"/>
          <w:lang w:val="en-US" w:eastAsia="zh-CN"/>
        </w:rPr>
      </w:pPr>
      <w:r>
        <w:rPr>
          <w:rFonts w:hint="eastAsia" w:ascii="Times New Roman" w:hAnsi="Times New Roman" w:eastAsia="方正仿宋_GB18030" w:cs="Times New Roman"/>
          <w:sz w:val="32"/>
          <w:szCs w:val="32"/>
          <w:lang w:val="en-US" w:eastAsia="zh-CN"/>
        </w:rPr>
        <w:t>益阳市公安局禁毒支队</w:t>
      </w:r>
    </w:p>
    <w:p w14:paraId="76D8AE22">
      <w:pPr>
        <w:keepNext w:val="0"/>
        <w:keepLines w:val="0"/>
        <w:pageBreakBefore w:val="0"/>
        <w:widowControl w:val="0"/>
        <w:kinsoku/>
        <w:wordWrap/>
        <w:topLinePunct w:val="0"/>
        <w:autoSpaceDE/>
        <w:autoSpaceDN/>
        <w:bidi w:val="0"/>
        <w:adjustRightInd/>
        <w:snapToGrid/>
        <w:spacing w:line="600" w:lineRule="exact"/>
        <w:jc w:val="right"/>
        <w:rPr>
          <w:rFonts w:hint="default" w:ascii="Times New Roman" w:hAnsi="Times New Roman" w:eastAsia="方正仿宋_GB18030" w:cs="Times New Roman"/>
          <w:sz w:val="32"/>
          <w:szCs w:val="32"/>
          <w:lang w:val="en-US" w:eastAsia="zh-CN"/>
        </w:rPr>
        <w:sectPr>
          <w:footerReference r:id="rId3" w:type="default"/>
          <w:pgSz w:w="11900" w:h="16820"/>
          <w:pgMar w:top="1701" w:right="1361" w:bottom="1361" w:left="1701" w:header="0" w:footer="0" w:gutter="0"/>
          <w:pgNumType w:fmt="decimal"/>
          <w:cols w:space="0" w:num="1"/>
          <w:rtlGutter w:val="0"/>
          <w:docGrid w:linePitch="0" w:charSpace="0"/>
        </w:sectPr>
      </w:pPr>
      <w:r>
        <w:rPr>
          <w:rFonts w:hint="default" w:ascii="Times New Roman" w:hAnsi="Times New Roman" w:eastAsia="方正仿宋_GB18030" w:cs="Times New Roman"/>
          <w:sz w:val="32"/>
          <w:szCs w:val="32"/>
          <w:lang w:val="en-US" w:eastAsia="zh-CN"/>
        </w:rPr>
        <w:t xml:space="preserve">          202</w:t>
      </w:r>
      <w:r>
        <w:rPr>
          <w:rFonts w:hint="eastAsia" w:ascii="Times New Roman" w:hAnsi="Times New Roman" w:eastAsia="方正仿宋_GB18030" w:cs="Times New Roman"/>
          <w:sz w:val="32"/>
          <w:szCs w:val="32"/>
          <w:lang w:val="en-US" w:eastAsia="zh-CN"/>
        </w:rPr>
        <w:t>6</w:t>
      </w:r>
      <w:r>
        <w:rPr>
          <w:rFonts w:hint="default" w:ascii="Times New Roman" w:hAnsi="Times New Roman" w:eastAsia="方正仿宋_GB18030" w:cs="Times New Roman"/>
          <w:sz w:val="32"/>
          <w:szCs w:val="32"/>
          <w:lang w:val="en-US" w:eastAsia="zh-CN"/>
        </w:rPr>
        <w:t>年4月</w:t>
      </w:r>
      <w:r>
        <w:rPr>
          <w:rFonts w:hint="eastAsia" w:ascii="Times New Roman" w:hAnsi="Times New Roman" w:eastAsia="方正仿宋_GB18030" w:cs="Times New Roman"/>
          <w:sz w:val="32"/>
          <w:szCs w:val="32"/>
          <w:lang w:val="en-US" w:eastAsia="zh-CN"/>
        </w:rPr>
        <w:t>8</w:t>
      </w:r>
      <w:r>
        <w:rPr>
          <w:rFonts w:hint="default" w:ascii="Times New Roman" w:hAnsi="Times New Roman" w:eastAsia="方正仿宋_GB18030" w:cs="Times New Roman"/>
          <w:sz w:val="32"/>
          <w:szCs w:val="32"/>
          <w:lang w:val="en-US" w:eastAsia="zh-CN"/>
        </w:rPr>
        <w:t>日</w:t>
      </w:r>
    </w:p>
    <w:p w14:paraId="5F35A069">
      <w:pPr>
        <w:widowControl/>
        <w:spacing w:line="600" w:lineRule="exact"/>
        <w:jc w:val="left"/>
        <w:rPr>
          <w:rFonts w:ascii="Times New Roman" w:hAnsi="Times New Roman" w:eastAsia="黑体"/>
          <w:szCs w:val="32"/>
        </w:rPr>
      </w:pPr>
      <w:r>
        <w:rPr>
          <w:rFonts w:ascii="Times New Roman" w:hAnsi="Times New Roman" w:eastAsia="黑体"/>
          <w:szCs w:val="32"/>
        </w:rPr>
        <w:t>附件</w:t>
      </w:r>
    </w:p>
    <w:p w14:paraId="2F908225">
      <w:pPr>
        <w:jc w:val="center"/>
        <w:rPr>
          <w:rFonts w:ascii="Times New Roman" w:hAnsi="Times New Roman" w:eastAsia="方正小标宋_GBK"/>
          <w:bCs/>
          <w:sz w:val="36"/>
          <w:szCs w:val="36"/>
        </w:rPr>
      </w:pPr>
      <w:r>
        <w:rPr>
          <w:rFonts w:ascii="Times New Roman" w:hAnsi="Times New Roman" w:eastAsia="方正小标宋_GBK"/>
          <w:bCs/>
          <w:sz w:val="36"/>
          <w:szCs w:val="36"/>
        </w:rPr>
        <w:t>2025年度</w:t>
      </w:r>
      <w:r>
        <w:rPr>
          <w:rFonts w:hint="eastAsia" w:ascii="Times New Roman" w:hAnsi="Times New Roman" w:eastAsia="方正小标宋_GBK" w:cs="Times New Roman"/>
          <w:bCs/>
          <w:sz w:val="36"/>
          <w:szCs w:val="36"/>
          <w:lang w:val="en-US" w:eastAsia="zh-CN"/>
        </w:rPr>
        <w:t>益阳市公安局“禁毒工作”</w:t>
      </w:r>
      <w:r>
        <w:rPr>
          <w:rFonts w:ascii="Times New Roman" w:hAnsi="Times New Roman" w:eastAsia="方正小标宋_GBK"/>
          <w:bCs/>
          <w:sz w:val="36"/>
          <w:szCs w:val="36"/>
        </w:rPr>
        <w:t>项目部门</w:t>
      </w:r>
    </w:p>
    <w:p w14:paraId="0C287264">
      <w:pPr>
        <w:jc w:val="center"/>
        <w:rPr>
          <w:rFonts w:ascii="Times New Roman" w:hAnsi="Times New Roman"/>
          <w:bCs/>
          <w:sz w:val="36"/>
          <w:szCs w:val="36"/>
        </w:rPr>
      </w:pPr>
      <w:r>
        <w:rPr>
          <w:rFonts w:ascii="Times New Roman" w:hAnsi="Times New Roman" w:eastAsia="方正小标宋_GBK"/>
          <w:bCs/>
          <w:sz w:val="36"/>
          <w:szCs w:val="36"/>
        </w:rPr>
        <w:t>评价绩效指标评分表</w:t>
      </w:r>
    </w:p>
    <w:tbl>
      <w:tblPr>
        <w:tblStyle w:val="4"/>
        <w:tblW w:w="9640" w:type="dxa"/>
        <w:tblInd w:w="-3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10"/>
        <w:gridCol w:w="850"/>
        <w:gridCol w:w="1276"/>
        <w:gridCol w:w="709"/>
        <w:gridCol w:w="1984"/>
        <w:gridCol w:w="3002"/>
        <w:gridCol w:w="1109"/>
      </w:tblGrid>
      <w:tr w14:paraId="7BE1F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trPr>
        <w:tc>
          <w:tcPr>
            <w:tcW w:w="710" w:type="dxa"/>
            <w:noWrap w:val="0"/>
            <w:tcMar>
              <w:top w:w="10" w:type="dxa"/>
              <w:left w:w="10" w:type="dxa"/>
              <w:bottom w:w="0" w:type="dxa"/>
              <w:right w:w="10" w:type="dxa"/>
            </w:tcMar>
            <w:vAlign w:val="center"/>
          </w:tcPr>
          <w:p w14:paraId="2F565C16">
            <w:pPr>
              <w:jc w:val="center"/>
              <w:rPr>
                <w:rFonts w:ascii="黑体" w:hAnsi="黑体" w:eastAsia="黑体"/>
                <w:bCs/>
                <w:sz w:val="21"/>
                <w:szCs w:val="21"/>
              </w:rPr>
            </w:pPr>
            <w:r>
              <w:rPr>
                <w:rFonts w:ascii="黑体" w:hAnsi="黑体" w:eastAsia="黑体"/>
                <w:bCs/>
                <w:sz w:val="21"/>
                <w:szCs w:val="21"/>
              </w:rPr>
              <w:t>一级</w:t>
            </w:r>
            <w:r>
              <w:rPr>
                <w:rFonts w:ascii="黑体" w:hAnsi="黑体" w:eastAsia="黑体"/>
                <w:bCs/>
                <w:sz w:val="21"/>
                <w:szCs w:val="21"/>
              </w:rPr>
              <w:br w:type="textWrapping"/>
            </w:r>
            <w:r>
              <w:rPr>
                <w:rFonts w:ascii="黑体" w:hAnsi="黑体" w:eastAsia="黑体"/>
                <w:bCs/>
                <w:sz w:val="21"/>
                <w:szCs w:val="21"/>
              </w:rPr>
              <w:t>指标</w:t>
            </w:r>
          </w:p>
        </w:tc>
        <w:tc>
          <w:tcPr>
            <w:tcW w:w="850" w:type="dxa"/>
            <w:noWrap w:val="0"/>
            <w:tcMar>
              <w:top w:w="10" w:type="dxa"/>
              <w:left w:w="10" w:type="dxa"/>
              <w:bottom w:w="0" w:type="dxa"/>
              <w:right w:w="10" w:type="dxa"/>
            </w:tcMar>
            <w:vAlign w:val="center"/>
          </w:tcPr>
          <w:p w14:paraId="2D47AD42">
            <w:pPr>
              <w:jc w:val="center"/>
              <w:rPr>
                <w:rFonts w:ascii="黑体" w:hAnsi="黑体" w:eastAsia="黑体"/>
                <w:bCs/>
                <w:sz w:val="21"/>
                <w:szCs w:val="21"/>
              </w:rPr>
            </w:pPr>
            <w:r>
              <w:rPr>
                <w:rFonts w:ascii="黑体" w:hAnsi="黑体" w:eastAsia="黑体"/>
                <w:bCs/>
                <w:sz w:val="21"/>
                <w:szCs w:val="21"/>
              </w:rPr>
              <w:t>二级</w:t>
            </w:r>
            <w:r>
              <w:rPr>
                <w:rFonts w:ascii="黑体" w:hAnsi="黑体" w:eastAsia="黑体"/>
                <w:bCs/>
                <w:sz w:val="21"/>
                <w:szCs w:val="21"/>
              </w:rPr>
              <w:br w:type="textWrapping"/>
            </w:r>
            <w:r>
              <w:rPr>
                <w:rFonts w:ascii="黑体" w:hAnsi="黑体" w:eastAsia="黑体"/>
                <w:bCs/>
                <w:sz w:val="21"/>
                <w:szCs w:val="21"/>
              </w:rPr>
              <w:t>指标</w:t>
            </w:r>
          </w:p>
        </w:tc>
        <w:tc>
          <w:tcPr>
            <w:tcW w:w="1276" w:type="dxa"/>
            <w:noWrap w:val="0"/>
            <w:tcMar>
              <w:top w:w="10" w:type="dxa"/>
              <w:left w:w="10" w:type="dxa"/>
              <w:bottom w:w="0" w:type="dxa"/>
              <w:right w:w="10" w:type="dxa"/>
            </w:tcMar>
            <w:vAlign w:val="center"/>
          </w:tcPr>
          <w:p w14:paraId="44DC79B4">
            <w:pPr>
              <w:jc w:val="center"/>
              <w:rPr>
                <w:rFonts w:ascii="黑体" w:hAnsi="黑体" w:eastAsia="黑体"/>
                <w:bCs/>
                <w:sz w:val="21"/>
                <w:szCs w:val="21"/>
              </w:rPr>
            </w:pPr>
            <w:r>
              <w:rPr>
                <w:rFonts w:ascii="黑体" w:hAnsi="黑体" w:eastAsia="黑体"/>
                <w:bCs/>
                <w:sz w:val="21"/>
                <w:szCs w:val="21"/>
              </w:rPr>
              <w:t>三级指标</w:t>
            </w:r>
          </w:p>
        </w:tc>
        <w:tc>
          <w:tcPr>
            <w:tcW w:w="709" w:type="dxa"/>
            <w:noWrap w:val="0"/>
            <w:tcMar>
              <w:top w:w="10" w:type="dxa"/>
              <w:left w:w="10" w:type="dxa"/>
              <w:bottom w:w="0" w:type="dxa"/>
              <w:right w:w="10" w:type="dxa"/>
            </w:tcMar>
            <w:vAlign w:val="center"/>
          </w:tcPr>
          <w:p w14:paraId="082D8B4E">
            <w:pPr>
              <w:jc w:val="center"/>
              <w:rPr>
                <w:rFonts w:ascii="黑体" w:hAnsi="黑体" w:eastAsia="黑体"/>
                <w:bCs/>
                <w:sz w:val="21"/>
                <w:szCs w:val="21"/>
              </w:rPr>
            </w:pPr>
            <w:r>
              <w:rPr>
                <w:rFonts w:ascii="黑体" w:hAnsi="黑体" w:eastAsia="黑体"/>
                <w:bCs/>
                <w:sz w:val="21"/>
                <w:szCs w:val="21"/>
              </w:rPr>
              <w:t>分值</w:t>
            </w:r>
          </w:p>
        </w:tc>
        <w:tc>
          <w:tcPr>
            <w:tcW w:w="1984" w:type="dxa"/>
            <w:noWrap w:val="0"/>
            <w:tcMar>
              <w:top w:w="10" w:type="dxa"/>
              <w:left w:w="10" w:type="dxa"/>
              <w:bottom w:w="0" w:type="dxa"/>
              <w:right w:w="10" w:type="dxa"/>
            </w:tcMar>
            <w:vAlign w:val="center"/>
          </w:tcPr>
          <w:p w14:paraId="623B0242">
            <w:pPr>
              <w:jc w:val="center"/>
              <w:rPr>
                <w:rFonts w:ascii="黑体" w:hAnsi="黑体" w:eastAsia="黑体"/>
                <w:bCs/>
                <w:sz w:val="21"/>
                <w:szCs w:val="21"/>
              </w:rPr>
            </w:pPr>
            <w:r>
              <w:rPr>
                <w:rFonts w:ascii="黑体" w:hAnsi="黑体" w:eastAsia="黑体"/>
                <w:bCs/>
                <w:sz w:val="21"/>
                <w:szCs w:val="21"/>
              </w:rPr>
              <w:t>指标解释</w:t>
            </w:r>
          </w:p>
        </w:tc>
        <w:tc>
          <w:tcPr>
            <w:tcW w:w="3002" w:type="dxa"/>
            <w:noWrap w:val="0"/>
            <w:tcMar>
              <w:top w:w="10" w:type="dxa"/>
              <w:left w:w="10" w:type="dxa"/>
              <w:bottom w:w="0" w:type="dxa"/>
              <w:right w:w="10" w:type="dxa"/>
            </w:tcMar>
            <w:vAlign w:val="center"/>
          </w:tcPr>
          <w:p w14:paraId="0393703A">
            <w:pPr>
              <w:jc w:val="center"/>
              <w:rPr>
                <w:rFonts w:ascii="黑体" w:hAnsi="黑体" w:eastAsia="黑体"/>
                <w:bCs/>
                <w:sz w:val="21"/>
                <w:szCs w:val="21"/>
              </w:rPr>
            </w:pPr>
            <w:r>
              <w:rPr>
                <w:rFonts w:ascii="黑体" w:hAnsi="黑体" w:eastAsia="黑体"/>
                <w:bCs/>
                <w:sz w:val="21"/>
                <w:szCs w:val="21"/>
              </w:rPr>
              <w:t>指标说明</w:t>
            </w:r>
          </w:p>
        </w:tc>
        <w:tc>
          <w:tcPr>
            <w:tcW w:w="1109" w:type="dxa"/>
            <w:noWrap w:val="0"/>
            <w:tcMar>
              <w:top w:w="10" w:type="dxa"/>
              <w:left w:w="10" w:type="dxa"/>
              <w:bottom w:w="0" w:type="dxa"/>
              <w:right w:w="10" w:type="dxa"/>
            </w:tcMar>
            <w:vAlign w:val="center"/>
          </w:tcPr>
          <w:p w14:paraId="08596C58">
            <w:pPr>
              <w:jc w:val="center"/>
              <w:rPr>
                <w:rFonts w:ascii="黑体" w:hAnsi="黑体" w:eastAsia="黑体"/>
                <w:bCs/>
                <w:sz w:val="21"/>
                <w:szCs w:val="21"/>
              </w:rPr>
            </w:pPr>
            <w:r>
              <w:rPr>
                <w:rFonts w:ascii="黑体" w:hAnsi="黑体" w:eastAsia="黑体"/>
                <w:bCs/>
                <w:sz w:val="21"/>
                <w:szCs w:val="21"/>
              </w:rPr>
              <w:t>得分</w:t>
            </w:r>
          </w:p>
        </w:tc>
      </w:tr>
      <w:tr w14:paraId="5A242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710" w:type="dxa"/>
            <w:vMerge w:val="restart"/>
            <w:noWrap/>
            <w:tcMar>
              <w:top w:w="10" w:type="dxa"/>
              <w:left w:w="10" w:type="dxa"/>
              <w:bottom w:w="0" w:type="dxa"/>
              <w:right w:w="10" w:type="dxa"/>
            </w:tcMar>
            <w:textDirection w:val="tbRlV"/>
            <w:vAlign w:val="center"/>
          </w:tcPr>
          <w:p w14:paraId="35D05811">
            <w:pPr>
              <w:jc w:val="center"/>
              <w:rPr>
                <w:rFonts w:ascii="Times New Roman" w:hAnsi="Times New Roman"/>
                <w:sz w:val="21"/>
                <w:szCs w:val="21"/>
              </w:rPr>
            </w:pPr>
            <w:r>
              <w:rPr>
                <w:rFonts w:ascii="Times New Roman" w:hAnsi="Times New Roman"/>
                <w:sz w:val="21"/>
                <w:szCs w:val="21"/>
              </w:rPr>
              <w:t>决  策</w:t>
            </w:r>
          </w:p>
        </w:tc>
        <w:tc>
          <w:tcPr>
            <w:tcW w:w="850" w:type="dxa"/>
            <w:vMerge w:val="restart"/>
            <w:noWrap w:val="0"/>
            <w:tcMar>
              <w:top w:w="10" w:type="dxa"/>
              <w:left w:w="10" w:type="dxa"/>
              <w:bottom w:w="0" w:type="dxa"/>
              <w:right w:w="10" w:type="dxa"/>
            </w:tcMar>
            <w:vAlign w:val="center"/>
          </w:tcPr>
          <w:p w14:paraId="67AE5FB6">
            <w:pPr>
              <w:jc w:val="center"/>
              <w:rPr>
                <w:rFonts w:ascii="Times New Roman" w:hAnsi="Times New Roman"/>
                <w:sz w:val="21"/>
                <w:szCs w:val="21"/>
              </w:rPr>
            </w:pPr>
            <w:r>
              <w:rPr>
                <w:rFonts w:ascii="Times New Roman" w:hAnsi="Times New Roman"/>
                <w:sz w:val="21"/>
                <w:szCs w:val="21"/>
              </w:rPr>
              <w:t>预算支出决策</w:t>
            </w:r>
          </w:p>
          <w:p w14:paraId="7F0A4D6C">
            <w:pPr>
              <w:jc w:val="center"/>
              <w:rPr>
                <w:rFonts w:hint="eastAsia" w:ascii="Times New Roman" w:hAnsi="Times New Roman"/>
                <w:sz w:val="21"/>
                <w:szCs w:val="21"/>
              </w:rPr>
            </w:pPr>
            <w:r>
              <w:rPr>
                <w:rFonts w:ascii="Times New Roman" w:hAnsi="Times New Roman"/>
                <w:sz w:val="21"/>
                <w:szCs w:val="21"/>
              </w:rPr>
              <w:t>（项目</w:t>
            </w:r>
          </w:p>
          <w:p w14:paraId="7A6EB32A">
            <w:pPr>
              <w:jc w:val="center"/>
              <w:rPr>
                <w:rFonts w:ascii="Times New Roman" w:hAnsi="Times New Roman"/>
                <w:sz w:val="21"/>
                <w:szCs w:val="21"/>
              </w:rPr>
            </w:pPr>
            <w:r>
              <w:rPr>
                <w:rFonts w:ascii="Times New Roman" w:hAnsi="Times New Roman"/>
                <w:sz w:val="21"/>
                <w:szCs w:val="21"/>
              </w:rPr>
              <w:t>立项）</w:t>
            </w:r>
          </w:p>
        </w:tc>
        <w:tc>
          <w:tcPr>
            <w:tcW w:w="1276" w:type="dxa"/>
            <w:noWrap w:val="0"/>
            <w:tcMar>
              <w:top w:w="10" w:type="dxa"/>
              <w:left w:w="10" w:type="dxa"/>
              <w:bottom w:w="0" w:type="dxa"/>
              <w:right w:w="10" w:type="dxa"/>
            </w:tcMar>
            <w:vAlign w:val="center"/>
          </w:tcPr>
          <w:p w14:paraId="74CC7631">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预算支出决策（项目立项）依据</w:t>
            </w:r>
          </w:p>
          <w:p w14:paraId="15A0EBD7">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充分性</w:t>
            </w:r>
          </w:p>
        </w:tc>
        <w:tc>
          <w:tcPr>
            <w:tcW w:w="709" w:type="dxa"/>
            <w:noWrap w:val="0"/>
            <w:tcMar>
              <w:top w:w="10" w:type="dxa"/>
              <w:left w:w="10" w:type="dxa"/>
              <w:bottom w:w="0" w:type="dxa"/>
              <w:right w:w="10" w:type="dxa"/>
            </w:tcMar>
            <w:vAlign w:val="center"/>
          </w:tcPr>
          <w:p w14:paraId="0D8ACB2A">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2</w:t>
            </w:r>
          </w:p>
        </w:tc>
        <w:tc>
          <w:tcPr>
            <w:tcW w:w="1984" w:type="dxa"/>
            <w:noWrap w:val="0"/>
            <w:tcMar>
              <w:top w:w="10" w:type="dxa"/>
              <w:left w:w="10" w:type="dxa"/>
              <w:bottom w:w="0" w:type="dxa"/>
              <w:right w:w="10" w:type="dxa"/>
            </w:tcMar>
            <w:vAlign w:val="center"/>
          </w:tcPr>
          <w:p w14:paraId="2C27A66A">
            <w:pPr>
              <w:spacing w:line="260" w:lineRule="exact"/>
              <w:ind w:left="105" w:leftChars="50" w:right="105" w:rightChars="50"/>
              <w:rPr>
                <w:rFonts w:ascii="Times New Roman" w:hAnsi="Times New Roman"/>
                <w:sz w:val="21"/>
                <w:szCs w:val="21"/>
              </w:rPr>
            </w:pPr>
            <w:r>
              <w:rPr>
                <w:rFonts w:hint="eastAsia"/>
                <w:sz w:val="21"/>
                <w:szCs w:val="21"/>
              </w:rPr>
              <w:t>根据2019年第31次政府常务会议、2021年第67次政府常务会议、 2021年第21次市委常委会议决定，益阳市财政每年预算保障社会化禁专项经费228.00万元(含市禁毒教育基地运行维护管理费28.00 万 元 ) ，以确保工作有序开展。</w:t>
            </w:r>
          </w:p>
        </w:tc>
        <w:tc>
          <w:tcPr>
            <w:tcW w:w="3002" w:type="dxa"/>
            <w:noWrap w:val="0"/>
            <w:tcMar>
              <w:top w:w="10" w:type="dxa"/>
              <w:left w:w="10" w:type="dxa"/>
              <w:bottom w:w="0" w:type="dxa"/>
              <w:right w:w="10" w:type="dxa"/>
            </w:tcMar>
            <w:vAlign w:val="center"/>
          </w:tcPr>
          <w:p w14:paraId="7D35DA28">
            <w:pPr>
              <w:spacing w:line="260" w:lineRule="exact"/>
              <w:ind w:left="105" w:leftChars="50" w:right="105" w:rightChars="50"/>
              <w:rPr>
                <w:rFonts w:ascii="Times New Roman" w:hAnsi="Times New Roman"/>
                <w:sz w:val="21"/>
                <w:szCs w:val="21"/>
              </w:rPr>
            </w:pPr>
            <w:r>
              <w:rPr>
                <w:rFonts w:ascii="Times New Roman" w:hAnsi="Times New Roman"/>
                <w:sz w:val="21"/>
                <w:szCs w:val="21"/>
              </w:rPr>
              <w:t>评价要点：</w:t>
            </w:r>
            <w:r>
              <w:rPr>
                <w:rFonts w:ascii="Times New Roman" w:hAnsi="Times New Roman"/>
                <w:sz w:val="21"/>
                <w:szCs w:val="21"/>
              </w:rPr>
              <w:br w:type="textWrapping"/>
            </w:r>
            <w:r>
              <w:rPr>
                <w:rFonts w:ascii="Times New Roman" w:hAnsi="Times New Roman"/>
                <w:sz w:val="21"/>
                <w:szCs w:val="21"/>
              </w:rPr>
              <w:t>①决策（立项）是否符合国家相关法律法规、国民经济发展规划和相关政策；</w:t>
            </w:r>
            <w:r>
              <w:rPr>
                <w:rFonts w:ascii="Times New Roman" w:hAnsi="Times New Roman"/>
                <w:sz w:val="21"/>
                <w:szCs w:val="21"/>
              </w:rPr>
              <w:br w:type="textWrapping"/>
            </w:r>
            <w:r>
              <w:rPr>
                <w:rFonts w:ascii="Times New Roman" w:hAnsi="Times New Roman"/>
                <w:sz w:val="21"/>
                <w:szCs w:val="21"/>
              </w:rPr>
              <w:t>②决策（立项）是否符合行业发展规划和政策要求；</w:t>
            </w:r>
            <w:r>
              <w:rPr>
                <w:rFonts w:ascii="Times New Roman" w:hAnsi="Times New Roman"/>
                <w:sz w:val="21"/>
                <w:szCs w:val="21"/>
              </w:rPr>
              <w:br w:type="textWrapping"/>
            </w:r>
            <w:r>
              <w:rPr>
                <w:rFonts w:ascii="Times New Roman" w:hAnsi="Times New Roman"/>
                <w:sz w:val="21"/>
                <w:szCs w:val="21"/>
              </w:rPr>
              <w:t>③决策（立项）是否与部门职责范围相符，属于部门履职所需；</w:t>
            </w:r>
            <w:r>
              <w:rPr>
                <w:rFonts w:ascii="Times New Roman" w:hAnsi="Times New Roman"/>
                <w:sz w:val="21"/>
                <w:szCs w:val="21"/>
              </w:rPr>
              <w:br w:type="textWrapping"/>
            </w:r>
            <w:r>
              <w:rPr>
                <w:rFonts w:ascii="Times New Roman" w:hAnsi="Times New Roman"/>
                <w:sz w:val="21"/>
                <w:szCs w:val="21"/>
              </w:rPr>
              <w:t>④预算支出是否属于公共财政支持范围，是否符合中央、地方事权支出责任划分原则；</w:t>
            </w:r>
          </w:p>
          <w:p w14:paraId="0F9C2E1C">
            <w:pPr>
              <w:spacing w:line="260" w:lineRule="exact"/>
              <w:ind w:left="105" w:leftChars="50" w:right="105" w:rightChars="50"/>
              <w:rPr>
                <w:rFonts w:ascii="Times New Roman" w:hAnsi="Times New Roman"/>
                <w:sz w:val="21"/>
                <w:szCs w:val="21"/>
              </w:rPr>
            </w:pPr>
            <w:r>
              <w:rPr>
                <w:rFonts w:ascii="Times New Roman" w:hAnsi="Times New Roman"/>
                <w:sz w:val="21"/>
                <w:szCs w:val="21"/>
              </w:rPr>
              <w:t>⑤预算支出是否与相关部门同类预算支出或部门内部相关预算支出重复。</w:t>
            </w:r>
          </w:p>
        </w:tc>
        <w:tc>
          <w:tcPr>
            <w:tcW w:w="1109" w:type="dxa"/>
            <w:noWrap w:val="0"/>
            <w:tcMar>
              <w:top w:w="10" w:type="dxa"/>
              <w:left w:w="10" w:type="dxa"/>
              <w:bottom w:w="0" w:type="dxa"/>
              <w:right w:w="10" w:type="dxa"/>
            </w:tcMar>
            <w:vAlign w:val="center"/>
          </w:tcPr>
          <w:p w14:paraId="0C26DAC4">
            <w:pPr>
              <w:spacing w:line="260" w:lineRule="exact"/>
              <w:ind w:left="105" w:leftChars="50" w:right="105" w:rightChars="50"/>
              <w:jc w:val="center"/>
              <w:rPr>
                <w:rFonts w:hint="eastAsia" w:ascii="Times New Roman" w:hAnsi="Times New Roman" w:eastAsia="仿宋_GB2312"/>
                <w:sz w:val="21"/>
                <w:szCs w:val="21"/>
                <w:lang w:val="en-US" w:eastAsia="zh-CN"/>
              </w:rPr>
            </w:pPr>
            <w:r>
              <w:rPr>
                <w:rFonts w:hint="eastAsia" w:ascii="Times New Roman" w:hAnsi="Times New Roman"/>
                <w:sz w:val="21"/>
                <w:szCs w:val="21"/>
                <w:lang w:val="en-US" w:eastAsia="zh-CN"/>
              </w:rPr>
              <w:t>2</w:t>
            </w:r>
          </w:p>
        </w:tc>
      </w:tr>
      <w:tr w14:paraId="7E6C0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710" w:type="dxa"/>
            <w:vMerge w:val="continue"/>
            <w:noWrap/>
            <w:tcMar>
              <w:top w:w="10" w:type="dxa"/>
              <w:left w:w="10" w:type="dxa"/>
              <w:bottom w:w="0" w:type="dxa"/>
              <w:right w:w="10" w:type="dxa"/>
            </w:tcMar>
            <w:textDirection w:val="tbRlV"/>
            <w:vAlign w:val="center"/>
          </w:tcPr>
          <w:p w14:paraId="138882A5">
            <w:pPr>
              <w:jc w:val="center"/>
              <w:rPr>
                <w:rFonts w:ascii="Times New Roman" w:hAnsi="Times New Roman"/>
                <w:sz w:val="21"/>
                <w:szCs w:val="21"/>
              </w:rPr>
            </w:pPr>
          </w:p>
        </w:tc>
        <w:tc>
          <w:tcPr>
            <w:tcW w:w="850" w:type="dxa"/>
            <w:vMerge w:val="continue"/>
            <w:noWrap w:val="0"/>
            <w:tcMar>
              <w:top w:w="10" w:type="dxa"/>
              <w:left w:w="10" w:type="dxa"/>
              <w:bottom w:w="0" w:type="dxa"/>
              <w:right w:w="10" w:type="dxa"/>
            </w:tcMar>
            <w:vAlign w:val="center"/>
          </w:tcPr>
          <w:p w14:paraId="440B5A19">
            <w:pPr>
              <w:jc w:val="center"/>
              <w:rPr>
                <w:rFonts w:ascii="Times New Roman" w:hAnsi="Times New Roman"/>
                <w:sz w:val="21"/>
                <w:szCs w:val="21"/>
              </w:rPr>
            </w:pPr>
          </w:p>
        </w:tc>
        <w:tc>
          <w:tcPr>
            <w:tcW w:w="1276" w:type="dxa"/>
            <w:noWrap w:val="0"/>
            <w:tcMar>
              <w:top w:w="10" w:type="dxa"/>
              <w:left w:w="10" w:type="dxa"/>
              <w:bottom w:w="0" w:type="dxa"/>
              <w:right w:w="10" w:type="dxa"/>
            </w:tcMar>
            <w:vAlign w:val="center"/>
          </w:tcPr>
          <w:p w14:paraId="04927C59">
            <w:pPr>
              <w:spacing w:line="260" w:lineRule="exact"/>
              <w:ind w:left="105" w:leftChars="50" w:right="105" w:rightChars="50"/>
              <w:jc w:val="center"/>
              <w:rPr>
                <w:rFonts w:hint="eastAsia" w:ascii="Times New Roman" w:hAnsi="Times New Roman"/>
                <w:sz w:val="21"/>
                <w:szCs w:val="21"/>
              </w:rPr>
            </w:pPr>
            <w:r>
              <w:rPr>
                <w:rFonts w:ascii="Times New Roman" w:hAnsi="Times New Roman"/>
                <w:sz w:val="21"/>
                <w:szCs w:val="21"/>
              </w:rPr>
              <w:t>决策</w:t>
            </w:r>
          </w:p>
          <w:p w14:paraId="2566C7C1">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（立项）程序规范性</w:t>
            </w:r>
          </w:p>
        </w:tc>
        <w:tc>
          <w:tcPr>
            <w:tcW w:w="709" w:type="dxa"/>
            <w:noWrap w:val="0"/>
            <w:tcMar>
              <w:top w:w="10" w:type="dxa"/>
              <w:left w:w="10" w:type="dxa"/>
              <w:bottom w:w="0" w:type="dxa"/>
              <w:right w:w="10" w:type="dxa"/>
            </w:tcMar>
            <w:vAlign w:val="center"/>
          </w:tcPr>
          <w:p w14:paraId="144C54D2">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2</w:t>
            </w:r>
          </w:p>
        </w:tc>
        <w:tc>
          <w:tcPr>
            <w:tcW w:w="1984" w:type="dxa"/>
            <w:noWrap w:val="0"/>
            <w:tcMar>
              <w:top w:w="10" w:type="dxa"/>
              <w:left w:w="10" w:type="dxa"/>
              <w:bottom w:w="0" w:type="dxa"/>
              <w:right w:w="10" w:type="dxa"/>
            </w:tcMar>
            <w:vAlign w:val="center"/>
          </w:tcPr>
          <w:p w14:paraId="7BE18A62">
            <w:pPr>
              <w:spacing w:line="260" w:lineRule="exact"/>
              <w:ind w:left="105" w:leftChars="50" w:right="105" w:rightChars="50"/>
              <w:rPr>
                <w:rFonts w:ascii="Times New Roman" w:hAnsi="Times New Roman"/>
                <w:sz w:val="21"/>
                <w:szCs w:val="21"/>
              </w:rPr>
            </w:pPr>
            <w:r>
              <w:rPr>
                <w:rFonts w:ascii="Times New Roman" w:hAnsi="Times New Roman"/>
                <w:sz w:val="21"/>
                <w:szCs w:val="21"/>
              </w:rPr>
              <w:t>预算支出申请、设立过程是否符合相关要求，用以反映和考核决策（立项）的规范情况。</w:t>
            </w:r>
          </w:p>
        </w:tc>
        <w:tc>
          <w:tcPr>
            <w:tcW w:w="3002" w:type="dxa"/>
            <w:noWrap w:val="0"/>
            <w:tcMar>
              <w:top w:w="10" w:type="dxa"/>
              <w:left w:w="10" w:type="dxa"/>
              <w:bottom w:w="0" w:type="dxa"/>
              <w:right w:w="10" w:type="dxa"/>
            </w:tcMar>
            <w:vAlign w:val="center"/>
          </w:tcPr>
          <w:p w14:paraId="3F8D919C">
            <w:pPr>
              <w:spacing w:line="260" w:lineRule="exact"/>
              <w:ind w:left="105" w:leftChars="50" w:right="105" w:rightChars="50"/>
              <w:rPr>
                <w:rFonts w:ascii="Times New Roman" w:hAnsi="Times New Roman"/>
                <w:sz w:val="21"/>
                <w:szCs w:val="21"/>
              </w:rPr>
            </w:pPr>
            <w:r>
              <w:rPr>
                <w:rFonts w:ascii="Times New Roman" w:hAnsi="Times New Roman"/>
                <w:sz w:val="21"/>
                <w:szCs w:val="21"/>
              </w:rPr>
              <w:t>评价要点：</w:t>
            </w:r>
          </w:p>
          <w:p w14:paraId="152D08A5">
            <w:pPr>
              <w:spacing w:line="260" w:lineRule="exact"/>
              <w:ind w:left="105" w:leftChars="50"/>
              <w:rPr>
                <w:rFonts w:ascii="Times New Roman" w:hAnsi="Times New Roman"/>
                <w:sz w:val="21"/>
                <w:szCs w:val="21"/>
              </w:rPr>
            </w:pPr>
            <w:r>
              <w:rPr>
                <w:rFonts w:ascii="Times New Roman" w:hAnsi="Times New Roman"/>
                <w:sz w:val="21"/>
                <w:szCs w:val="21"/>
              </w:rPr>
              <w:t>①预算支出是否按照规定的程序申请设立；</w:t>
            </w:r>
          </w:p>
          <w:p w14:paraId="0056976E">
            <w:pPr>
              <w:spacing w:line="260" w:lineRule="exact"/>
              <w:ind w:left="105" w:leftChars="50"/>
              <w:rPr>
                <w:rFonts w:ascii="Times New Roman" w:hAnsi="Times New Roman"/>
                <w:sz w:val="21"/>
                <w:szCs w:val="21"/>
              </w:rPr>
            </w:pPr>
            <w:r>
              <w:rPr>
                <w:rFonts w:ascii="Times New Roman" w:hAnsi="Times New Roman"/>
                <w:sz w:val="21"/>
                <w:szCs w:val="21"/>
              </w:rPr>
              <w:t>②审批文件、材料是否符合相关要求；</w:t>
            </w:r>
          </w:p>
          <w:p w14:paraId="23930EF9">
            <w:pPr>
              <w:spacing w:line="260" w:lineRule="exact"/>
              <w:ind w:left="105" w:leftChars="50"/>
              <w:rPr>
                <w:rFonts w:ascii="Times New Roman" w:hAnsi="Times New Roman"/>
                <w:sz w:val="21"/>
                <w:szCs w:val="21"/>
              </w:rPr>
            </w:pPr>
            <w:r>
              <w:rPr>
                <w:rFonts w:ascii="Times New Roman" w:hAnsi="Times New Roman"/>
                <w:sz w:val="21"/>
                <w:szCs w:val="21"/>
              </w:rPr>
              <w:t>③事前是否已经过必要的可行性研究、专家论证、风险评估、绩效评估、集体决策。</w:t>
            </w:r>
          </w:p>
        </w:tc>
        <w:tc>
          <w:tcPr>
            <w:tcW w:w="1109" w:type="dxa"/>
            <w:noWrap w:val="0"/>
            <w:tcMar>
              <w:top w:w="10" w:type="dxa"/>
              <w:left w:w="10" w:type="dxa"/>
              <w:bottom w:w="0" w:type="dxa"/>
              <w:right w:w="10" w:type="dxa"/>
            </w:tcMar>
            <w:vAlign w:val="center"/>
          </w:tcPr>
          <w:p w14:paraId="04BB541A">
            <w:pPr>
              <w:spacing w:line="260" w:lineRule="exact"/>
              <w:ind w:left="105" w:leftChars="50"/>
              <w:jc w:val="center"/>
              <w:rPr>
                <w:rFonts w:hint="eastAsia" w:ascii="Times New Roman" w:hAnsi="Times New Roman" w:eastAsia="仿宋_GB2312"/>
                <w:sz w:val="21"/>
                <w:szCs w:val="21"/>
                <w:lang w:val="en-US" w:eastAsia="zh-CN"/>
              </w:rPr>
            </w:pPr>
            <w:r>
              <w:rPr>
                <w:rFonts w:hint="eastAsia" w:ascii="Times New Roman" w:hAnsi="Times New Roman"/>
                <w:sz w:val="21"/>
                <w:szCs w:val="21"/>
                <w:lang w:val="en-US" w:eastAsia="zh-CN"/>
              </w:rPr>
              <w:t>2</w:t>
            </w:r>
          </w:p>
        </w:tc>
      </w:tr>
      <w:tr w14:paraId="20332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3" w:hRule="atLeast"/>
        </w:trPr>
        <w:tc>
          <w:tcPr>
            <w:tcW w:w="710" w:type="dxa"/>
            <w:vMerge w:val="continue"/>
            <w:noWrap w:val="0"/>
            <w:vAlign w:val="center"/>
          </w:tcPr>
          <w:p w14:paraId="1504F22F">
            <w:pPr>
              <w:rPr>
                <w:rFonts w:ascii="Times New Roman" w:hAnsi="Times New Roman"/>
                <w:sz w:val="21"/>
                <w:szCs w:val="21"/>
              </w:rPr>
            </w:pPr>
          </w:p>
        </w:tc>
        <w:tc>
          <w:tcPr>
            <w:tcW w:w="850" w:type="dxa"/>
            <w:vMerge w:val="restart"/>
            <w:noWrap w:val="0"/>
            <w:vAlign w:val="center"/>
          </w:tcPr>
          <w:p w14:paraId="6660EBB9">
            <w:pPr>
              <w:jc w:val="center"/>
              <w:rPr>
                <w:rFonts w:ascii="Times New Roman" w:hAnsi="Times New Roman"/>
                <w:sz w:val="21"/>
                <w:szCs w:val="21"/>
              </w:rPr>
            </w:pPr>
            <w:r>
              <w:rPr>
                <w:rFonts w:ascii="Times New Roman" w:hAnsi="Times New Roman"/>
                <w:sz w:val="21"/>
                <w:szCs w:val="21"/>
              </w:rPr>
              <w:t>绩效</w:t>
            </w:r>
          </w:p>
          <w:p w14:paraId="108D632A">
            <w:pPr>
              <w:jc w:val="center"/>
              <w:rPr>
                <w:rFonts w:ascii="Times New Roman" w:hAnsi="Times New Roman"/>
                <w:sz w:val="21"/>
                <w:szCs w:val="21"/>
              </w:rPr>
            </w:pPr>
            <w:r>
              <w:rPr>
                <w:rFonts w:ascii="Times New Roman" w:hAnsi="Times New Roman"/>
                <w:sz w:val="21"/>
                <w:szCs w:val="21"/>
              </w:rPr>
              <w:t>目标</w:t>
            </w:r>
          </w:p>
        </w:tc>
        <w:tc>
          <w:tcPr>
            <w:tcW w:w="1276" w:type="dxa"/>
            <w:noWrap w:val="0"/>
            <w:tcMar>
              <w:top w:w="10" w:type="dxa"/>
              <w:left w:w="10" w:type="dxa"/>
              <w:bottom w:w="0" w:type="dxa"/>
              <w:right w:w="10" w:type="dxa"/>
            </w:tcMar>
            <w:vAlign w:val="center"/>
          </w:tcPr>
          <w:p w14:paraId="3699419A">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绩效目标</w:t>
            </w:r>
          </w:p>
          <w:p w14:paraId="5532A89D">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合理性</w:t>
            </w:r>
          </w:p>
        </w:tc>
        <w:tc>
          <w:tcPr>
            <w:tcW w:w="709" w:type="dxa"/>
            <w:noWrap w:val="0"/>
            <w:tcMar>
              <w:top w:w="10" w:type="dxa"/>
              <w:left w:w="10" w:type="dxa"/>
              <w:bottom w:w="0" w:type="dxa"/>
              <w:right w:w="10" w:type="dxa"/>
            </w:tcMar>
            <w:vAlign w:val="center"/>
          </w:tcPr>
          <w:p w14:paraId="1071EB4C">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2</w:t>
            </w:r>
          </w:p>
        </w:tc>
        <w:tc>
          <w:tcPr>
            <w:tcW w:w="1984" w:type="dxa"/>
            <w:noWrap w:val="0"/>
            <w:tcMar>
              <w:top w:w="10" w:type="dxa"/>
              <w:left w:w="10" w:type="dxa"/>
              <w:bottom w:w="0" w:type="dxa"/>
              <w:right w:w="10" w:type="dxa"/>
            </w:tcMar>
            <w:vAlign w:val="center"/>
          </w:tcPr>
          <w:p w14:paraId="3AC3E8CB">
            <w:pPr>
              <w:spacing w:line="260" w:lineRule="exact"/>
              <w:ind w:left="105" w:leftChars="50" w:right="105" w:rightChars="50"/>
              <w:rPr>
                <w:rFonts w:ascii="Times New Roman" w:hAnsi="Times New Roman"/>
                <w:sz w:val="21"/>
                <w:szCs w:val="21"/>
              </w:rPr>
            </w:pPr>
            <w:r>
              <w:rPr>
                <w:rFonts w:ascii="Times New Roman" w:hAnsi="Times New Roman"/>
                <w:sz w:val="21"/>
                <w:szCs w:val="21"/>
              </w:rPr>
              <w:t>预算支出所设定的绩效目标是否依据充分，是否符合客观实际，用以反映和考核预算支出绩效目标与预算支出实施的相符情况。</w:t>
            </w:r>
          </w:p>
        </w:tc>
        <w:tc>
          <w:tcPr>
            <w:tcW w:w="3002" w:type="dxa"/>
            <w:noWrap w:val="0"/>
            <w:tcMar>
              <w:top w:w="10" w:type="dxa"/>
              <w:left w:w="10" w:type="dxa"/>
              <w:bottom w:w="0" w:type="dxa"/>
              <w:right w:w="10" w:type="dxa"/>
            </w:tcMar>
            <w:vAlign w:val="center"/>
          </w:tcPr>
          <w:p w14:paraId="413375B2">
            <w:pPr>
              <w:spacing w:line="260" w:lineRule="exact"/>
              <w:ind w:left="105" w:leftChars="50" w:right="105" w:rightChars="50"/>
              <w:rPr>
                <w:rFonts w:ascii="Times New Roman" w:hAnsi="Times New Roman"/>
                <w:sz w:val="21"/>
                <w:szCs w:val="21"/>
              </w:rPr>
            </w:pPr>
            <w:r>
              <w:rPr>
                <w:rFonts w:ascii="Times New Roman" w:hAnsi="Times New Roman"/>
                <w:sz w:val="21"/>
                <w:szCs w:val="21"/>
              </w:rPr>
              <w:t>评价要点：</w:t>
            </w:r>
          </w:p>
          <w:p w14:paraId="2EF1E317">
            <w:pPr>
              <w:spacing w:line="260" w:lineRule="exact"/>
              <w:ind w:left="105" w:leftChars="50" w:right="105" w:rightChars="50"/>
              <w:rPr>
                <w:rFonts w:ascii="Times New Roman" w:hAnsi="Times New Roman"/>
                <w:sz w:val="21"/>
                <w:szCs w:val="21"/>
              </w:rPr>
            </w:pPr>
            <w:r>
              <w:rPr>
                <w:rFonts w:ascii="Times New Roman" w:hAnsi="Times New Roman"/>
                <w:sz w:val="21"/>
                <w:szCs w:val="21"/>
              </w:rPr>
              <w:t>（如未设定预算绩效目标，也可考核其他工作任务目标）</w:t>
            </w:r>
          </w:p>
          <w:p w14:paraId="61F6DB65">
            <w:pPr>
              <w:spacing w:line="260" w:lineRule="exact"/>
              <w:ind w:left="105" w:leftChars="50" w:right="105" w:rightChars="50"/>
              <w:rPr>
                <w:rFonts w:ascii="Times New Roman" w:hAnsi="Times New Roman"/>
                <w:sz w:val="21"/>
                <w:szCs w:val="21"/>
              </w:rPr>
            </w:pPr>
            <w:r>
              <w:rPr>
                <w:rFonts w:ascii="Times New Roman" w:hAnsi="Times New Roman"/>
                <w:sz w:val="21"/>
                <w:szCs w:val="21"/>
              </w:rPr>
              <w:t>①预算支出是否有绩效目标；</w:t>
            </w:r>
          </w:p>
          <w:p w14:paraId="07279E9B">
            <w:pPr>
              <w:spacing w:line="260" w:lineRule="exact"/>
              <w:ind w:left="105" w:leftChars="50" w:right="105" w:rightChars="50"/>
              <w:rPr>
                <w:rFonts w:ascii="Times New Roman" w:hAnsi="Times New Roman"/>
                <w:sz w:val="21"/>
                <w:szCs w:val="21"/>
              </w:rPr>
            </w:pPr>
            <w:r>
              <w:rPr>
                <w:rFonts w:ascii="Times New Roman" w:hAnsi="Times New Roman"/>
                <w:sz w:val="21"/>
                <w:szCs w:val="21"/>
              </w:rPr>
              <w:t>②预算支出绩效目标与实际工作内容是否具有相关性；</w:t>
            </w:r>
          </w:p>
          <w:p w14:paraId="304DD35A">
            <w:pPr>
              <w:spacing w:line="260" w:lineRule="exact"/>
              <w:ind w:left="105" w:leftChars="50" w:right="105" w:rightChars="50"/>
              <w:rPr>
                <w:rFonts w:ascii="Times New Roman" w:hAnsi="Times New Roman"/>
                <w:sz w:val="21"/>
                <w:szCs w:val="21"/>
              </w:rPr>
            </w:pPr>
            <w:r>
              <w:rPr>
                <w:rFonts w:ascii="Times New Roman" w:hAnsi="Times New Roman"/>
                <w:sz w:val="21"/>
                <w:szCs w:val="21"/>
              </w:rPr>
              <w:t>③预算支出预期产出效益和效果是否符合正常的业绩水平；是否与预算确定的预算支出投资额或资金量相匹配。</w:t>
            </w:r>
          </w:p>
        </w:tc>
        <w:tc>
          <w:tcPr>
            <w:tcW w:w="1109" w:type="dxa"/>
            <w:noWrap w:val="0"/>
            <w:tcMar>
              <w:top w:w="10" w:type="dxa"/>
              <w:left w:w="10" w:type="dxa"/>
              <w:bottom w:w="0" w:type="dxa"/>
              <w:right w:w="10" w:type="dxa"/>
            </w:tcMar>
            <w:vAlign w:val="center"/>
          </w:tcPr>
          <w:p w14:paraId="3568A312">
            <w:pPr>
              <w:spacing w:line="260" w:lineRule="exact"/>
              <w:ind w:left="105" w:leftChars="50" w:right="105" w:rightChars="50"/>
              <w:jc w:val="center"/>
              <w:rPr>
                <w:rFonts w:hint="eastAsia" w:ascii="Times New Roman" w:hAnsi="Times New Roman" w:eastAsia="仿宋_GB2312"/>
                <w:sz w:val="21"/>
                <w:szCs w:val="21"/>
                <w:lang w:val="en-US" w:eastAsia="zh-CN"/>
              </w:rPr>
            </w:pPr>
            <w:r>
              <w:rPr>
                <w:rFonts w:hint="eastAsia" w:ascii="Times New Roman" w:hAnsi="Times New Roman"/>
                <w:sz w:val="21"/>
                <w:szCs w:val="21"/>
                <w:lang w:val="en-US" w:eastAsia="zh-CN"/>
              </w:rPr>
              <w:t>2</w:t>
            </w:r>
          </w:p>
        </w:tc>
      </w:tr>
      <w:tr w14:paraId="66CDA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710" w:type="dxa"/>
            <w:vMerge w:val="continue"/>
            <w:noWrap w:val="0"/>
            <w:vAlign w:val="center"/>
          </w:tcPr>
          <w:p w14:paraId="3936C7A0">
            <w:pPr>
              <w:rPr>
                <w:rFonts w:ascii="Times New Roman" w:hAnsi="Times New Roman"/>
                <w:sz w:val="21"/>
                <w:szCs w:val="21"/>
              </w:rPr>
            </w:pPr>
          </w:p>
        </w:tc>
        <w:tc>
          <w:tcPr>
            <w:tcW w:w="850" w:type="dxa"/>
            <w:vMerge w:val="continue"/>
            <w:noWrap w:val="0"/>
            <w:vAlign w:val="center"/>
          </w:tcPr>
          <w:p w14:paraId="1B9063CA">
            <w:pPr>
              <w:jc w:val="center"/>
              <w:rPr>
                <w:rFonts w:ascii="Times New Roman" w:hAnsi="Times New Roman"/>
                <w:sz w:val="21"/>
                <w:szCs w:val="21"/>
              </w:rPr>
            </w:pPr>
          </w:p>
        </w:tc>
        <w:tc>
          <w:tcPr>
            <w:tcW w:w="1276" w:type="dxa"/>
            <w:noWrap w:val="0"/>
            <w:tcMar>
              <w:top w:w="10" w:type="dxa"/>
              <w:left w:w="10" w:type="dxa"/>
              <w:bottom w:w="0" w:type="dxa"/>
              <w:right w:w="10" w:type="dxa"/>
            </w:tcMar>
            <w:vAlign w:val="center"/>
          </w:tcPr>
          <w:p w14:paraId="009997D1">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绩效指标</w:t>
            </w:r>
          </w:p>
          <w:p w14:paraId="5F3FFBE3">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明确性</w:t>
            </w:r>
          </w:p>
        </w:tc>
        <w:tc>
          <w:tcPr>
            <w:tcW w:w="709" w:type="dxa"/>
            <w:noWrap w:val="0"/>
            <w:tcMar>
              <w:top w:w="10" w:type="dxa"/>
              <w:left w:w="10" w:type="dxa"/>
              <w:bottom w:w="0" w:type="dxa"/>
              <w:right w:w="10" w:type="dxa"/>
            </w:tcMar>
            <w:vAlign w:val="center"/>
          </w:tcPr>
          <w:p w14:paraId="0EECB2E0">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4</w:t>
            </w:r>
          </w:p>
        </w:tc>
        <w:tc>
          <w:tcPr>
            <w:tcW w:w="1984" w:type="dxa"/>
            <w:noWrap w:val="0"/>
            <w:tcMar>
              <w:top w:w="10" w:type="dxa"/>
              <w:left w:w="10" w:type="dxa"/>
              <w:bottom w:w="0" w:type="dxa"/>
              <w:right w:w="10" w:type="dxa"/>
            </w:tcMar>
            <w:vAlign w:val="center"/>
          </w:tcPr>
          <w:p w14:paraId="5B4AEA26">
            <w:pPr>
              <w:spacing w:line="260" w:lineRule="exact"/>
              <w:ind w:left="105" w:leftChars="50" w:right="105" w:rightChars="50"/>
              <w:rPr>
                <w:rFonts w:ascii="Times New Roman" w:hAnsi="Times New Roman"/>
                <w:sz w:val="21"/>
                <w:szCs w:val="21"/>
              </w:rPr>
            </w:pPr>
            <w:r>
              <w:rPr>
                <w:rFonts w:ascii="Times New Roman" w:hAnsi="Times New Roman"/>
                <w:sz w:val="21"/>
                <w:szCs w:val="21"/>
              </w:rPr>
              <w:t>依据绩效目标设定的绩效指标是否清晰、细化、可衡量等，用以反映和考核预算支出绩效目标的明细化情况。</w:t>
            </w:r>
          </w:p>
        </w:tc>
        <w:tc>
          <w:tcPr>
            <w:tcW w:w="3002" w:type="dxa"/>
            <w:noWrap w:val="0"/>
            <w:tcMar>
              <w:top w:w="10" w:type="dxa"/>
              <w:left w:w="10" w:type="dxa"/>
              <w:bottom w:w="0" w:type="dxa"/>
              <w:right w:w="10" w:type="dxa"/>
            </w:tcMar>
            <w:vAlign w:val="center"/>
          </w:tcPr>
          <w:p w14:paraId="1D31E0F9">
            <w:pPr>
              <w:spacing w:line="260" w:lineRule="exact"/>
              <w:ind w:left="105" w:leftChars="50" w:right="105" w:rightChars="50"/>
              <w:rPr>
                <w:rFonts w:ascii="Times New Roman" w:hAnsi="Times New Roman"/>
                <w:sz w:val="21"/>
                <w:szCs w:val="21"/>
              </w:rPr>
            </w:pPr>
            <w:r>
              <w:rPr>
                <w:rFonts w:ascii="Times New Roman" w:hAnsi="Times New Roman"/>
                <w:sz w:val="21"/>
                <w:szCs w:val="21"/>
              </w:rPr>
              <w:t>评价要点：</w:t>
            </w:r>
            <w:r>
              <w:rPr>
                <w:rFonts w:ascii="Times New Roman" w:hAnsi="Times New Roman"/>
                <w:sz w:val="21"/>
                <w:szCs w:val="21"/>
              </w:rPr>
              <w:br w:type="textWrapping"/>
            </w:r>
            <w:r>
              <w:rPr>
                <w:rFonts w:ascii="Times New Roman" w:hAnsi="Times New Roman"/>
                <w:sz w:val="21"/>
                <w:szCs w:val="21"/>
              </w:rPr>
              <w:t>①是否将预算支出绩效目标细化分解为具体的绩效指标；</w:t>
            </w:r>
            <w:r>
              <w:rPr>
                <w:rFonts w:ascii="Times New Roman" w:hAnsi="Times New Roman"/>
                <w:sz w:val="21"/>
                <w:szCs w:val="21"/>
              </w:rPr>
              <w:br w:type="textWrapping"/>
            </w:r>
            <w:r>
              <w:rPr>
                <w:rFonts w:ascii="Times New Roman" w:hAnsi="Times New Roman"/>
                <w:sz w:val="21"/>
                <w:szCs w:val="21"/>
              </w:rPr>
              <w:t>②是否通过清晰、可衡量的指标值予以体现；</w:t>
            </w:r>
            <w:r>
              <w:rPr>
                <w:rFonts w:ascii="Times New Roman" w:hAnsi="Times New Roman"/>
                <w:sz w:val="21"/>
                <w:szCs w:val="21"/>
              </w:rPr>
              <w:br w:type="textWrapping"/>
            </w:r>
            <w:r>
              <w:rPr>
                <w:rFonts w:ascii="Times New Roman" w:hAnsi="Times New Roman"/>
                <w:sz w:val="21"/>
                <w:szCs w:val="21"/>
              </w:rPr>
              <w:t>③是否与预算支出目标任务数或计划数相对应。</w:t>
            </w:r>
          </w:p>
        </w:tc>
        <w:tc>
          <w:tcPr>
            <w:tcW w:w="1109" w:type="dxa"/>
            <w:noWrap w:val="0"/>
            <w:tcMar>
              <w:top w:w="10" w:type="dxa"/>
              <w:left w:w="10" w:type="dxa"/>
              <w:bottom w:w="0" w:type="dxa"/>
              <w:right w:w="10" w:type="dxa"/>
            </w:tcMar>
            <w:vAlign w:val="center"/>
          </w:tcPr>
          <w:p w14:paraId="20051E47">
            <w:pPr>
              <w:spacing w:line="260" w:lineRule="exact"/>
              <w:ind w:left="105" w:leftChars="50" w:right="105" w:rightChars="50"/>
              <w:jc w:val="center"/>
              <w:rPr>
                <w:rFonts w:hint="eastAsia" w:ascii="Times New Roman" w:hAnsi="Times New Roman" w:eastAsia="仿宋_GB2312"/>
                <w:sz w:val="21"/>
                <w:szCs w:val="21"/>
                <w:lang w:val="en-US" w:eastAsia="zh-CN"/>
              </w:rPr>
            </w:pPr>
            <w:r>
              <w:rPr>
                <w:rFonts w:hint="eastAsia" w:ascii="Times New Roman" w:hAnsi="Times New Roman"/>
                <w:sz w:val="21"/>
                <w:szCs w:val="21"/>
                <w:lang w:val="en-US" w:eastAsia="zh-CN"/>
              </w:rPr>
              <w:t>4</w:t>
            </w:r>
          </w:p>
        </w:tc>
      </w:tr>
      <w:tr w14:paraId="130D4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710" w:type="dxa"/>
            <w:vMerge w:val="restart"/>
            <w:noWrap w:val="0"/>
            <w:vAlign w:val="center"/>
          </w:tcPr>
          <w:p w14:paraId="19D6D3CE">
            <w:pPr>
              <w:spacing w:line="500" w:lineRule="exact"/>
              <w:jc w:val="center"/>
              <w:rPr>
                <w:rFonts w:ascii="Times New Roman" w:hAnsi="Times New Roman"/>
                <w:sz w:val="21"/>
                <w:szCs w:val="21"/>
              </w:rPr>
            </w:pPr>
            <w:r>
              <w:rPr>
                <w:rFonts w:ascii="Times New Roman" w:hAnsi="Times New Roman"/>
                <w:sz w:val="21"/>
                <w:szCs w:val="21"/>
              </w:rPr>
              <w:t>决</w:t>
            </w:r>
          </w:p>
          <w:p w14:paraId="4D77845B">
            <w:pPr>
              <w:spacing w:line="500" w:lineRule="exact"/>
              <w:jc w:val="center"/>
              <w:rPr>
                <w:rFonts w:ascii="Times New Roman" w:hAnsi="Times New Roman"/>
                <w:sz w:val="21"/>
                <w:szCs w:val="21"/>
              </w:rPr>
            </w:pPr>
            <w:r>
              <w:rPr>
                <w:rFonts w:ascii="Times New Roman" w:hAnsi="Times New Roman"/>
                <w:sz w:val="21"/>
                <w:szCs w:val="21"/>
              </w:rPr>
              <w:t>策</w:t>
            </w:r>
          </w:p>
        </w:tc>
        <w:tc>
          <w:tcPr>
            <w:tcW w:w="850" w:type="dxa"/>
            <w:vMerge w:val="restart"/>
            <w:noWrap w:val="0"/>
            <w:vAlign w:val="center"/>
          </w:tcPr>
          <w:p w14:paraId="59A2E7BD">
            <w:pPr>
              <w:jc w:val="center"/>
              <w:rPr>
                <w:rFonts w:ascii="Times New Roman" w:hAnsi="Times New Roman"/>
                <w:sz w:val="21"/>
                <w:szCs w:val="21"/>
              </w:rPr>
            </w:pPr>
            <w:r>
              <w:rPr>
                <w:rFonts w:ascii="Times New Roman" w:hAnsi="Times New Roman"/>
                <w:sz w:val="21"/>
                <w:szCs w:val="21"/>
              </w:rPr>
              <w:t>资金</w:t>
            </w:r>
          </w:p>
          <w:p w14:paraId="53F5A74A">
            <w:pPr>
              <w:jc w:val="center"/>
              <w:rPr>
                <w:rFonts w:ascii="Times New Roman" w:hAnsi="Times New Roman"/>
                <w:sz w:val="21"/>
                <w:szCs w:val="21"/>
              </w:rPr>
            </w:pPr>
            <w:r>
              <w:rPr>
                <w:rFonts w:ascii="Times New Roman" w:hAnsi="Times New Roman"/>
                <w:sz w:val="21"/>
                <w:szCs w:val="21"/>
              </w:rPr>
              <w:t>投入</w:t>
            </w:r>
          </w:p>
        </w:tc>
        <w:tc>
          <w:tcPr>
            <w:tcW w:w="1276" w:type="dxa"/>
            <w:noWrap w:val="0"/>
            <w:tcMar>
              <w:top w:w="10" w:type="dxa"/>
              <w:left w:w="10" w:type="dxa"/>
              <w:bottom w:w="0" w:type="dxa"/>
              <w:right w:w="10" w:type="dxa"/>
            </w:tcMar>
            <w:vAlign w:val="center"/>
          </w:tcPr>
          <w:p w14:paraId="4A310B81">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预算</w:t>
            </w:r>
          </w:p>
          <w:p w14:paraId="6609F628">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编制</w:t>
            </w:r>
          </w:p>
          <w:p w14:paraId="69F83F68">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科学性</w:t>
            </w:r>
          </w:p>
        </w:tc>
        <w:tc>
          <w:tcPr>
            <w:tcW w:w="709" w:type="dxa"/>
            <w:noWrap w:val="0"/>
            <w:tcMar>
              <w:top w:w="10" w:type="dxa"/>
              <w:left w:w="10" w:type="dxa"/>
              <w:bottom w:w="0" w:type="dxa"/>
              <w:right w:w="10" w:type="dxa"/>
            </w:tcMar>
            <w:vAlign w:val="center"/>
          </w:tcPr>
          <w:p w14:paraId="1DB512D0">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3</w:t>
            </w:r>
          </w:p>
        </w:tc>
        <w:tc>
          <w:tcPr>
            <w:tcW w:w="1984" w:type="dxa"/>
            <w:noWrap w:val="0"/>
            <w:tcMar>
              <w:top w:w="10" w:type="dxa"/>
              <w:left w:w="10" w:type="dxa"/>
              <w:bottom w:w="0" w:type="dxa"/>
              <w:right w:w="10" w:type="dxa"/>
            </w:tcMar>
            <w:vAlign w:val="center"/>
          </w:tcPr>
          <w:p w14:paraId="476281A3">
            <w:pPr>
              <w:spacing w:line="260" w:lineRule="exact"/>
              <w:ind w:left="105" w:leftChars="50" w:right="105" w:rightChars="50"/>
              <w:rPr>
                <w:rFonts w:ascii="Times New Roman" w:hAnsi="Times New Roman"/>
                <w:sz w:val="21"/>
                <w:szCs w:val="21"/>
              </w:rPr>
            </w:pPr>
            <w:r>
              <w:rPr>
                <w:rFonts w:ascii="Times New Roman" w:hAnsi="Times New Roman"/>
                <w:sz w:val="21"/>
                <w:szCs w:val="21"/>
              </w:rPr>
              <w:t>预算编制是否经过科学论证、有明确标准，资金额度与年度目标是否相适应，用以反映和考核预算支出预算编制的科学性、合理性情况。</w:t>
            </w:r>
          </w:p>
        </w:tc>
        <w:tc>
          <w:tcPr>
            <w:tcW w:w="3002" w:type="dxa"/>
            <w:noWrap w:val="0"/>
            <w:tcMar>
              <w:top w:w="10" w:type="dxa"/>
              <w:left w:w="10" w:type="dxa"/>
              <w:bottom w:w="0" w:type="dxa"/>
              <w:right w:w="10" w:type="dxa"/>
            </w:tcMar>
            <w:vAlign w:val="center"/>
          </w:tcPr>
          <w:p w14:paraId="4C3C48EC">
            <w:pPr>
              <w:spacing w:line="260" w:lineRule="exact"/>
              <w:ind w:left="105" w:leftChars="50" w:right="105" w:rightChars="50"/>
              <w:rPr>
                <w:rFonts w:ascii="Times New Roman" w:hAnsi="Times New Roman"/>
                <w:sz w:val="21"/>
                <w:szCs w:val="21"/>
              </w:rPr>
            </w:pPr>
            <w:r>
              <w:rPr>
                <w:rFonts w:ascii="Times New Roman" w:hAnsi="Times New Roman"/>
                <w:sz w:val="21"/>
                <w:szCs w:val="21"/>
              </w:rPr>
              <w:t>评价要点：</w:t>
            </w:r>
          </w:p>
          <w:p w14:paraId="0A9A023D">
            <w:pPr>
              <w:spacing w:line="260" w:lineRule="exact"/>
              <w:ind w:left="105" w:leftChars="50" w:right="105" w:rightChars="50"/>
              <w:rPr>
                <w:rFonts w:ascii="Times New Roman" w:hAnsi="Times New Roman"/>
                <w:sz w:val="21"/>
                <w:szCs w:val="21"/>
              </w:rPr>
            </w:pPr>
            <w:r>
              <w:rPr>
                <w:rFonts w:ascii="Times New Roman" w:hAnsi="Times New Roman"/>
                <w:sz w:val="21"/>
                <w:szCs w:val="21"/>
              </w:rPr>
              <w:t>①预算编制是否经过科学论证；</w:t>
            </w:r>
          </w:p>
          <w:p w14:paraId="0B1544C9">
            <w:pPr>
              <w:spacing w:line="260" w:lineRule="exact"/>
              <w:ind w:left="105" w:leftChars="50" w:right="105" w:rightChars="50"/>
              <w:rPr>
                <w:rFonts w:ascii="Times New Roman" w:hAnsi="Times New Roman"/>
                <w:sz w:val="21"/>
                <w:szCs w:val="21"/>
              </w:rPr>
            </w:pPr>
            <w:r>
              <w:rPr>
                <w:rFonts w:ascii="Times New Roman" w:hAnsi="Times New Roman"/>
                <w:sz w:val="21"/>
                <w:szCs w:val="21"/>
              </w:rPr>
              <w:t>②预算内容与支出内容是否匹配；</w:t>
            </w:r>
          </w:p>
          <w:p w14:paraId="1F91AB41">
            <w:pPr>
              <w:spacing w:line="260" w:lineRule="exact"/>
              <w:ind w:left="105" w:leftChars="50" w:right="105" w:rightChars="50"/>
              <w:rPr>
                <w:rFonts w:ascii="Times New Roman" w:hAnsi="Times New Roman"/>
                <w:sz w:val="21"/>
                <w:szCs w:val="21"/>
              </w:rPr>
            </w:pPr>
            <w:r>
              <w:rPr>
                <w:rFonts w:ascii="Times New Roman" w:hAnsi="Times New Roman"/>
                <w:sz w:val="21"/>
                <w:szCs w:val="21"/>
              </w:rPr>
              <w:t>③预算额度测算依据是否充分，是否按照标准编制；</w:t>
            </w:r>
          </w:p>
          <w:p w14:paraId="40F30C0A">
            <w:pPr>
              <w:spacing w:line="260" w:lineRule="exact"/>
              <w:ind w:left="105" w:leftChars="50" w:right="105" w:rightChars="50"/>
              <w:rPr>
                <w:rFonts w:ascii="Times New Roman" w:hAnsi="Times New Roman"/>
                <w:sz w:val="21"/>
                <w:szCs w:val="21"/>
              </w:rPr>
            </w:pPr>
            <w:r>
              <w:rPr>
                <w:rFonts w:ascii="Times New Roman" w:hAnsi="Times New Roman"/>
                <w:sz w:val="21"/>
                <w:szCs w:val="21"/>
              </w:rPr>
              <w:t>④预算确定的预算支出投资额或资金量是否与工作任务相匹配。</w:t>
            </w:r>
          </w:p>
        </w:tc>
        <w:tc>
          <w:tcPr>
            <w:tcW w:w="1109" w:type="dxa"/>
            <w:noWrap w:val="0"/>
            <w:tcMar>
              <w:top w:w="10" w:type="dxa"/>
              <w:left w:w="10" w:type="dxa"/>
              <w:bottom w:w="0" w:type="dxa"/>
              <w:right w:w="10" w:type="dxa"/>
            </w:tcMar>
            <w:vAlign w:val="center"/>
          </w:tcPr>
          <w:p w14:paraId="768B6B08">
            <w:pPr>
              <w:spacing w:line="260" w:lineRule="exact"/>
              <w:ind w:left="105" w:leftChars="50" w:right="105" w:rightChars="50"/>
              <w:jc w:val="center"/>
              <w:rPr>
                <w:rFonts w:hint="eastAsia" w:ascii="Times New Roman" w:hAnsi="Times New Roman" w:eastAsia="仿宋_GB2312"/>
                <w:sz w:val="21"/>
                <w:szCs w:val="21"/>
                <w:lang w:val="en-US" w:eastAsia="zh-CN"/>
              </w:rPr>
            </w:pPr>
            <w:r>
              <w:rPr>
                <w:rFonts w:hint="eastAsia" w:ascii="Times New Roman" w:hAnsi="Times New Roman"/>
                <w:sz w:val="21"/>
                <w:szCs w:val="21"/>
                <w:lang w:val="en-US" w:eastAsia="zh-CN"/>
              </w:rPr>
              <w:t>3</w:t>
            </w:r>
          </w:p>
        </w:tc>
      </w:tr>
      <w:tr w14:paraId="18432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710" w:type="dxa"/>
            <w:vMerge w:val="continue"/>
            <w:noWrap w:val="0"/>
            <w:vAlign w:val="center"/>
          </w:tcPr>
          <w:p w14:paraId="3C7F4289">
            <w:pPr>
              <w:rPr>
                <w:rFonts w:ascii="Times New Roman" w:hAnsi="Times New Roman"/>
                <w:sz w:val="21"/>
                <w:szCs w:val="21"/>
              </w:rPr>
            </w:pPr>
          </w:p>
        </w:tc>
        <w:tc>
          <w:tcPr>
            <w:tcW w:w="850" w:type="dxa"/>
            <w:vMerge w:val="continue"/>
            <w:noWrap w:val="0"/>
            <w:vAlign w:val="center"/>
          </w:tcPr>
          <w:p w14:paraId="1189F3F2">
            <w:pPr>
              <w:jc w:val="center"/>
              <w:rPr>
                <w:rFonts w:ascii="Times New Roman" w:hAnsi="Times New Roman"/>
                <w:sz w:val="21"/>
                <w:szCs w:val="21"/>
              </w:rPr>
            </w:pPr>
          </w:p>
        </w:tc>
        <w:tc>
          <w:tcPr>
            <w:tcW w:w="1276" w:type="dxa"/>
            <w:noWrap w:val="0"/>
            <w:tcMar>
              <w:top w:w="10" w:type="dxa"/>
              <w:left w:w="10" w:type="dxa"/>
              <w:bottom w:w="0" w:type="dxa"/>
              <w:right w:w="10" w:type="dxa"/>
            </w:tcMar>
            <w:vAlign w:val="center"/>
          </w:tcPr>
          <w:p w14:paraId="086EFA15">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资金</w:t>
            </w:r>
          </w:p>
          <w:p w14:paraId="3D5A34CC">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分配</w:t>
            </w:r>
          </w:p>
          <w:p w14:paraId="1D129144">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合理性</w:t>
            </w:r>
          </w:p>
        </w:tc>
        <w:tc>
          <w:tcPr>
            <w:tcW w:w="709" w:type="dxa"/>
            <w:noWrap w:val="0"/>
            <w:tcMar>
              <w:top w:w="10" w:type="dxa"/>
              <w:left w:w="10" w:type="dxa"/>
              <w:bottom w:w="0" w:type="dxa"/>
              <w:right w:w="10" w:type="dxa"/>
            </w:tcMar>
            <w:vAlign w:val="center"/>
          </w:tcPr>
          <w:p w14:paraId="49A1623B">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2</w:t>
            </w:r>
          </w:p>
        </w:tc>
        <w:tc>
          <w:tcPr>
            <w:tcW w:w="1984" w:type="dxa"/>
            <w:noWrap w:val="0"/>
            <w:tcMar>
              <w:top w:w="10" w:type="dxa"/>
              <w:left w:w="10" w:type="dxa"/>
              <w:bottom w:w="0" w:type="dxa"/>
              <w:right w:w="10" w:type="dxa"/>
            </w:tcMar>
            <w:vAlign w:val="center"/>
          </w:tcPr>
          <w:p w14:paraId="2134A4F4">
            <w:pPr>
              <w:spacing w:line="260" w:lineRule="exact"/>
              <w:ind w:left="105" w:leftChars="50" w:right="105" w:rightChars="50"/>
              <w:rPr>
                <w:rFonts w:ascii="Times New Roman" w:hAnsi="Times New Roman"/>
                <w:sz w:val="21"/>
                <w:szCs w:val="21"/>
              </w:rPr>
            </w:pPr>
            <w:r>
              <w:rPr>
                <w:rFonts w:ascii="Times New Roman" w:hAnsi="Times New Roman"/>
                <w:sz w:val="21"/>
                <w:szCs w:val="21"/>
              </w:rPr>
              <w:t>预算资金分配是否有测算依据，与补助单位或地方实际是否相适应，用以反映和考核预算支出预算资金分配的科学性、合理性情况。</w:t>
            </w:r>
          </w:p>
        </w:tc>
        <w:tc>
          <w:tcPr>
            <w:tcW w:w="3002" w:type="dxa"/>
            <w:noWrap w:val="0"/>
            <w:tcMar>
              <w:top w:w="10" w:type="dxa"/>
              <w:left w:w="10" w:type="dxa"/>
              <w:bottom w:w="0" w:type="dxa"/>
              <w:right w:w="10" w:type="dxa"/>
            </w:tcMar>
            <w:vAlign w:val="center"/>
          </w:tcPr>
          <w:p w14:paraId="71EB7C63">
            <w:pPr>
              <w:spacing w:line="260" w:lineRule="exact"/>
              <w:ind w:left="105" w:leftChars="50" w:right="105" w:rightChars="50"/>
              <w:rPr>
                <w:rFonts w:ascii="Times New Roman" w:hAnsi="Times New Roman"/>
                <w:sz w:val="21"/>
                <w:szCs w:val="21"/>
              </w:rPr>
            </w:pPr>
            <w:r>
              <w:rPr>
                <w:rFonts w:ascii="Times New Roman" w:hAnsi="Times New Roman"/>
                <w:sz w:val="21"/>
                <w:szCs w:val="21"/>
              </w:rPr>
              <w:t>评价要点：</w:t>
            </w:r>
          </w:p>
          <w:p w14:paraId="149E06AB">
            <w:pPr>
              <w:spacing w:line="260" w:lineRule="exact"/>
              <w:ind w:right="105" w:rightChars="50" w:firstLine="105" w:firstLineChars="50"/>
              <w:rPr>
                <w:rFonts w:ascii="Times New Roman" w:hAnsi="Times New Roman"/>
                <w:sz w:val="21"/>
                <w:szCs w:val="21"/>
              </w:rPr>
            </w:pPr>
            <w:r>
              <w:rPr>
                <w:rFonts w:ascii="Times New Roman" w:hAnsi="Times New Roman"/>
                <w:sz w:val="21"/>
                <w:szCs w:val="21"/>
              </w:rPr>
              <w:t>①预算资金分配依据是否充</w:t>
            </w:r>
          </w:p>
          <w:p w14:paraId="62D9AE13">
            <w:pPr>
              <w:spacing w:line="260" w:lineRule="exact"/>
              <w:ind w:right="105" w:rightChars="50" w:firstLine="105" w:firstLineChars="50"/>
              <w:rPr>
                <w:rFonts w:ascii="Times New Roman" w:hAnsi="Times New Roman"/>
                <w:sz w:val="21"/>
                <w:szCs w:val="21"/>
              </w:rPr>
            </w:pPr>
            <w:r>
              <w:rPr>
                <w:rFonts w:ascii="Times New Roman" w:hAnsi="Times New Roman"/>
                <w:sz w:val="21"/>
                <w:szCs w:val="21"/>
              </w:rPr>
              <w:t xml:space="preserve"> 分；</w:t>
            </w:r>
          </w:p>
          <w:p w14:paraId="71AA5515">
            <w:pPr>
              <w:spacing w:line="260" w:lineRule="exact"/>
              <w:ind w:left="105" w:leftChars="50" w:right="105" w:rightChars="50"/>
              <w:rPr>
                <w:rFonts w:ascii="Times New Roman" w:hAnsi="Times New Roman"/>
                <w:sz w:val="21"/>
                <w:szCs w:val="21"/>
              </w:rPr>
            </w:pPr>
            <w:r>
              <w:rPr>
                <w:rFonts w:ascii="Times New Roman" w:hAnsi="Times New Roman"/>
                <w:sz w:val="21"/>
                <w:szCs w:val="21"/>
              </w:rPr>
              <w:t>②资金分配额度是否合理，与项目实施单位或地方实际是否相适应。</w:t>
            </w:r>
          </w:p>
        </w:tc>
        <w:tc>
          <w:tcPr>
            <w:tcW w:w="1109" w:type="dxa"/>
            <w:noWrap w:val="0"/>
            <w:tcMar>
              <w:top w:w="10" w:type="dxa"/>
              <w:left w:w="10" w:type="dxa"/>
              <w:bottom w:w="0" w:type="dxa"/>
              <w:right w:w="10" w:type="dxa"/>
            </w:tcMar>
            <w:vAlign w:val="center"/>
          </w:tcPr>
          <w:p w14:paraId="7A84AD80">
            <w:pPr>
              <w:spacing w:line="260" w:lineRule="exact"/>
              <w:ind w:left="105" w:leftChars="50" w:right="105" w:rightChars="50"/>
              <w:jc w:val="center"/>
              <w:rPr>
                <w:rFonts w:hint="eastAsia" w:ascii="Times New Roman" w:hAnsi="Times New Roman" w:eastAsia="仿宋_GB2312"/>
                <w:sz w:val="21"/>
                <w:szCs w:val="21"/>
                <w:lang w:val="en-US" w:eastAsia="zh-CN"/>
              </w:rPr>
            </w:pPr>
            <w:r>
              <w:rPr>
                <w:rFonts w:hint="eastAsia" w:ascii="Times New Roman" w:hAnsi="Times New Roman"/>
                <w:sz w:val="21"/>
                <w:szCs w:val="21"/>
                <w:lang w:val="en-US" w:eastAsia="zh-CN"/>
              </w:rPr>
              <w:t>2</w:t>
            </w:r>
          </w:p>
        </w:tc>
      </w:tr>
      <w:tr w14:paraId="69526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42" w:hRule="atLeast"/>
        </w:trPr>
        <w:tc>
          <w:tcPr>
            <w:tcW w:w="710" w:type="dxa"/>
            <w:vMerge w:val="restart"/>
            <w:noWrap w:val="0"/>
            <w:vAlign w:val="center"/>
          </w:tcPr>
          <w:p w14:paraId="7712FF48">
            <w:pPr>
              <w:spacing w:line="500" w:lineRule="exact"/>
              <w:jc w:val="center"/>
              <w:rPr>
                <w:rFonts w:ascii="Times New Roman" w:hAnsi="Times New Roman"/>
                <w:sz w:val="21"/>
                <w:szCs w:val="21"/>
              </w:rPr>
            </w:pPr>
            <w:r>
              <w:rPr>
                <w:rFonts w:ascii="Times New Roman" w:hAnsi="Times New Roman"/>
                <w:sz w:val="21"/>
                <w:szCs w:val="21"/>
              </w:rPr>
              <w:t>过</w:t>
            </w:r>
          </w:p>
          <w:p w14:paraId="74BEFFFE">
            <w:pPr>
              <w:spacing w:line="500" w:lineRule="exact"/>
              <w:jc w:val="center"/>
              <w:rPr>
                <w:rFonts w:ascii="Times New Roman" w:hAnsi="Times New Roman"/>
                <w:sz w:val="21"/>
                <w:szCs w:val="21"/>
              </w:rPr>
            </w:pPr>
            <w:r>
              <w:rPr>
                <w:rFonts w:ascii="Times New Roman" w:hAnsi="Times New Roman"/>
                <w:sz w:val="21"/>
                <w:szCs w:val="21"/>
              </w:rPr>
              <w:t>程</w:t>
            </w:r>
          </w:p>
        </w:tc>
        <w:tc>
          <w:tcPr>
            <w:tcW w:w="850" w:type="dxa"/>
            <w:vMerge w:val="restart"/>
            <w:noWrap w:val="0"/>
            <w:tcMar>
              <w:top w:w="10" w:type="dxa"/>
              <w:left w:w="10" w:type="dxa"/>
              <w:bottom w:w="0" w:type="dxa"/>
              <w:right w:w="10" w:type="dxa"/>
            </w:tcMar>
            <w:vAlign w:val="center"/>
          </w:tcPr>
          <w:p w14:paraId="4DC34350">
            <w:pPr>
              <w:jc w:val="center"/>
              <w:rPr>
                <w:rFonts w:ascii="Times New Roman" w:hAnsi="Times New Roman"/>
                <w:sz w:val="21"/>
                <w:szCs w:val="21"/>
              </w:rPr>
            </w:pPr>
            <w:r>
              <w:rPr>
                <w:rFonts w:ascii="Times New Roman" w:hAnsi="Times New Roman"/>
                <w:sz w:val="21"/>
                <w:szCs w:val="21"/>
              </w:rPr>
              <w:t>资金</w:t>
            </w:r>
            <w:r>
              <w:rPr>
                <w:rFonts w:ascii="Times New Roman" w:hAnsi="Times New Roman"/>
                <w:sz w:val="21"/>
                <w:szCs w:val="21"/>
              </w:rPr>
              <w:br w:type="textWrapping"/>
            </w:r>
            <w:r>
              <w:rPr>
                <w:rFonts w:ascii="Times New Roman" w:hAnsi="Times New Roman"/>
                <w:sz w:val="21"/>
                <w:szCs w:val="21"/>
              </w:rPr>
              <w:t>管理</w:t>
            </w:r>
          </w:p>
        </w:tc>
        <w:tc>
          <w:tcPr>
            <w:tcW w:w="1276" w:type="dxa"/>
            <w:noWrap w:val="0"/>
            <w:tcMar>
              <w:top w:w="10" w:type="dxa"/>
              <w:left w:w="10" w:type="dxa"/>
              <w:bottom w:w="0" w:type="dxa"/>
              <w:right w:w="10" w:type="dxa"/>
            </w:tcMar>
            <w:vAlign w:val="center"/>
          </w:tcPr>
          <w:p w14:paraId="16E98F97">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资金</w:t>
            </w:r>
          </w:p>
          <w:p w14:paraId="6216065C">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到位率</w:t>
            </w:r>
          </w:p>
        </w:tc>
        <w:tc>
          <w:tcPr>
            <w:tcW w:w="709" w:type="dxa"/>
            <w:noWrap w:val="0"/>
            <w:tcMar>
              <w:top w:w="10" w:type="dxa"/>
              <w:left w:w="10" w:type="dxa"/>
              <w:bottom w:w="0" w:type="dxa"/>
              <w:right w:w="10" w:type="dxa"/>
            </w:tcMar>
            <w:vAlign w:val="center"/>
          </w:tcPr>
          <w:p w14:paraId="073C8C39">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2</w:t>
            </w:r>
          </w:p>
        </w:tc>
        <w:tc>
          <w:tcPr>
            <w:tcW w:w="1984" w:type="dxa"/>
            <w:noWrap w:val="0"/>
            <w:tcMar>
              <w:top w:w="10" w:type="dxa"/>
              <w:left w:w="10" w:type="dxa"/>
              <w:bottom w:w="0" w:type="dxa"/>
              <w:right w:w="10" w:type="dxa"/>
            </w:tcMar>
            <w:vAlign w:val="center"/>
          </w:tcPr>
          <w:p w14:paraId="3B1A93D4">
            <w:pPr>
              <w:rPr>
                <w:rFonts w:ascii="Times New Roman" w:hAnsi="Times New Roman"/>
                <w:sz w:val="21"/>
                <w:szCs w:val="21"/>
              </w:rPr>
            </w:pPr>
            <w:r>
              <w:rPr>
                <w:rFonts w:hint="default" w:ascii="Times New Roman" w:hAnsi="Times New Roman" w:cs="Times New Roman"/>
                <w:sz w:val="21"/>
                <w:szCs w:val="21"/>
                <w:lang w:val="en" w:eastAsia="en-US"/>
              </w:rPr>
              <w:t xml:space="preserve"> 2</w:t>
            </w:r>
            <w:r>
              <w:rPr>
                <w:rFonts w:hint="default" w:ascii="Times New Roman" w:hAnsi="Times New Roman" w:cs="Times New Roman"/>
                <w:sz w:val="21"/>
                <w:szCs w:val="21"/>
                <w:lang w:val="en-US" w:eastAsia="en-US"/>
              </w:rPr>
              <w:t>02</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lang w:val="en-US" w:eastAsia="en-US"/>
              </w:rPr>
              <w:t>年</w:t>
            </w:r>
            <w:r>
              <w:rPr>
                <w:rFonts w:hint="eastAsia" w:ascii="Times New Roman" w:hAnsi="Times New Roman" w:cs="Times New Roman"/>
                <w:sz w:val="21"/>
                <w:szCs w:val="21"/>
                <w:lang w:val="en-US" w:eastAsia="zh-CN"/>
              </w:rPr>
              <w:t>初，项目工作经费预算安排为110万元。因年度执行中工作任务增加、原预算经费不足，经按程序申请，后续追加经费85万元，当年累计安排项目资金195万元。受财政结算及拨付流程影响，追加的85万元经费实际于2026年完成财政拨付并到位。</w:t>
            </w:r>
          </w:p>
        </w:tc>
        <w:tc>
          <w:tcPr>
            <w:tcW w:w="3002" w:type="dxa"/>
            <w:noWrap w:val="0"/>
            <w:tcMar>
              <w:top w:w="10" w:type="dxa"/>
              <w:left w:w="10" w:type="dxa"/>
              <w:bottom w:w="0" w:type="dxa"/>
              <w:right w:w="10" w:type="dxa"/>
            </w:tcMar>
            <w:vAlign w:val="center"/>
          </w:tcPr>
          <w:p w14:paraId="75144521">
            <w:pPr>
              <w:spacing w:line="260" w:lineRule="exact"/>
              <w:ind w:left="105" w:leftChars="50" w:right="105" w:rightChars="50"/>
              <w:rPr>
                <w:rFonts w:ascii="Times New Roman" w:hAnsi="Times New Roman"/>
                <w:sz w:val="21"/>
                <w:szCs w:val="21"/>
              </w:rPr>
            </w:pPr>
            <w:r>
              <w:rPr>
                <w:rFonts w:ascii="Times New Roman" w:hAnsi="Times New Roman"/>
                <w:sz w:val="21"/>
                <w:szCs w:val="21"/>
              </w:rPr>
              <w:t>资金到位率=（实际到位资金/预算资金）×100%。</w:t>
            </w:r>
            <w:r>
              <w:rPr>
                <w:rFonts w:ascii="Times New Roman" w:hAnsi="Times New Roman"/>
                <w:sz w:val="21"/>
                <w:szCs w:val="21"/>
              </w:rPr>
              <w:br w:type="textWrapping"/>
            </w:r>
            <w:r>
              <w:rPr>
                <w:rFonts w:ascii="Times New Roman" w:hAnsi="Times New Roman"/>
                <w:sz w:val="21"/>
                <w:szCs w:val="21"/>
              </w:rPr>
              <w:t>实际到位资金：一定时期（本年度或预算支出期）内落实到具体预算支出的资金。</w:t>
            </w:r>
            <w:r>
              <w:rPr>
                <w:rFonts w:ascii="Times New Roman" w:hAnsi="Times New Roman"/>
                <w:sz w:val="21"/>
                <w:szCs w:val="21"/>
              </w:rPr>
              <w:br w:type="textWrapping"/>
            </w:r>
            <w:r>
              <w:rPr>
                <w:rFonts w:ascii="Times New Roman" w:hAnsi="Times New Roman"/>
                <w:sz w:val="21"/>
                <w:szCs w:val="21"/>
              </w:rPr>
              <w:t>预算资金：一定时期（本年度或预算支出期）内预算安排到具体预算支出的资金。</w:t>
            </w:r>
          </w:p>
        </w:tc>
        <w:tc>
          <w:tcPr>
            <w:tcW w:w="1109" w:type="dxa"/>
            <w:noWrap w:val="0"/>
            <w:tcMar>
              <w:top w:w="10" w:type="dxa"/>
              <w:left w:w="10" w:type="dxa"/>
              <w:bottom w:w="0" w:type="dxa"/>
              <w:right w:w="10" w:type="dxa"/>
            </w:tcMar>
            <w:vAlign w:val="center"/>
          </w:tcPr>
          <w:p w14:paraId="72237ADE">
            <w:pPr>
              <w:spacing w:line="260" w:lineRule="exact"/>
              <w:ind w:left="105" w:leftChars="50" w:right="105" w:rightChars="50"/>
              <w:jc w:val="center"/>
              <w:rPr>
                <w:rFonts w:hint="eastAsia" w:ascii="Times New Roman" w:hAnsi="Times New Roman" w:eastAsia="仿宋_GB2312"/>
                <w:sz w:val="21"/>
                <w:szCs w:val="21"/>
                <w:lang w:val="en-US" w:eastAsia="zh-CN"/>
              </w:rPr>
            </w:pPr>
            <w:r>
              <w:rPr>
                <w:rFonts w:hint="eastAsia" w:ascii="Times New Roman" w:hAnsi="Times New Roman"/>
                <w:sz w:val="21"/>
                <w:szCs w:val="21"/>
                <w:lang w:val="en-US" w:eastAsia="zh-CN"/>
              </w:rPr>
              <w:t>2</w:t>
            </w:r>
          </w:p>
        </w:tc>
      </w:tr>
      <w:tr w14:paraId="71DD1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65" w:hRule="atLeast"/>
        </w:trPr>
        <w:tc>
          <w:tcPr>
            <w:tcW w:w="710" w:type="dxa"/>
            <w:vMerge w:val="continue"/>
            <w:noWrap w:val="0"/>
            <w:vAlign w:val="center"/>
          </w:tcPr>
          <w:p w14:paraId="4A00C432">
            <w:pPr>
              <w:jc w:val="center"/>
              <w:rPr>
                <w:rFonts w:ascii="Times New Roman" w:hAnsi="Times New Roman"/>
                <w:sz w:val="21"/>
                <w:szCs w:val="21"/>
              </w:rPr>
            </w:pPr>
          </w:p>
        </w:tc>
        <w:tc>
          <w:tcPr>
            <w:tcW w:w="850" w:type="dxa"/>
            <w:vMerge w:val="continue"/>
            <w:noWrap w:val="0"/>
            <w:tcMar>
              <w:top w:w="10" w:type="dxa"/>
              <w:left w:w="10" w:type="dxa"/>
              <w:bottom w:w="0" w:type="dxa"/>
              <w:right w:w="10" w:type="dxa"/>
            </w:tcMar>
            <w:vAlign w:val="center"/>
          </w:tcPr>
          <w:p w14:paraId="0DC84524">
            <w:pPr>
              <w:jc w:val="center"/>
              <w:rPr>
                <w:rFonts w:ascii="Times New Roman" w:hAnsi="Times New Roman"/>
                <w:sz w:val="21"/>
                <w:szCs w:val="21"/>
              </w:rPr>
            </w:pPr>
          </w:p>
        </w:tc>
        <w:tc>
          <w:tcPr>
            <w:tcW w:w="1276" w:type="dxa"/>
            <w:noWrap w:val="0"/>
            <w:tcMar>
              <w:top w:w="10" w:type="dxa"/>
              <w:left w:w="10" w:type="dxa"/>
              <w:bottom w:w="0" w:type="dxa"/>
              <w:right w:w="10" w:type="dxa"/>
            </w:tcMar>
            <w:vAlign w:val="center"/>
          </w:tcPr>
          <w:p w14:paraId="6FD21179">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预算</w:t>
            </w:r>
          </w:p>
          <w:p w14:paraId="0C63CFCD">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执行率</w:t>
            </w:r>
          </w:p>
        </w:tc>
        <w:tc>
          <w:tcPr>
            <w:tcW w:w="709" w:type="dxa"/>
            <w:noWrap w:val="0"/>
            <w:tcMar>
              <w:top w:w="10" w:type="dxa"/>
              <w:left w:w="10" w:type="dxa"/>
              <w:bottom w:w="0" w:type="dxa"/>
              <w:right w:w="10" w:type="dxa"/>
            </w:tcMar>
            <w:vAlign w:val="center"/>
          </w:tcPr>
          <w:p w14:paraId="33685F92">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4</w:t>
            </w:r>
          </w:p>
        </w:tc>
        <w:tc>
          <w:tcPr>
            <w:tcW w:w="1984" w:type="dxa"/>
            <w:noWrap w:val="0"/>
            <w:tcMar>
              <w:top w:w="10" w:type="dxa"/>
              <w:left w:w="10" w:type="dxa"/>
              <w:bottom w:w="0" w:type="dxa"/>
              <w:right w:w="10" w:type="dxa"/>
            </w:tcMar>
            <w:vAlign w:val="center"/>
          </w:tcPr>
          <w:p w14:paraId="1A18C432">
            <w:pPr>
              <w:spacing w:line="260" w:lineRule="exact"/>
              <w:ind w:left="105" w:leftChars="50" w:right="105" w:rightChars="50"/>
              <w:rPr>
                <w:rFonts w:ascii="Times New Roman" w:hAnsi="Times New Roman"/>
                <w:sz w:val="21"/>
                <w:szCs w:val="21"/>
              </w:rPr>
            </w:pPr>
            <w:r>
              <w:rPr>
                <w:rFonts w:hint="eastAsia"/>
                <w:sz w:val="21"/>
                <w:szCs w:val="21"/>
              </w:rPr>
              <w:t>202</w:t>
            </w:r>
            <w:r>
              <w:rPr>
                <w:rFonts w:hint="default"/>
                <w:sz w:val="21"/>
                <w:szCs w:val="21"/>
                <w:lang w:val="en"/>
              </w:rPr>
              <w:t>5</w:t>
            </w:r>
            <w:r>
              <w:rPr>
                <w:rFonts w:hint="eastAsia"/>
                <w:sz w:val="21"/>
                <w:szCs w:val="21"/>
              </w:rPr>
              <w:t>年市财政局拨付“禁毒工作经费”重点项目资金</w:t>
            </w:r>
            <w:r>
              <w:rPr>
                <w:rFonts w:hint="default"/>
                <w:sz w:val="21"/>
                <w:szCs w:val="21"/>
                <w:lang w:val="en"/>
              </w:rPr>
              <w:t>195</w:t>
            </w:r>
            <w:r>
              <w:rPr>
                <w:rFonts w:hint="eastAsia"/>
                <w:sz w:val="21"/>
                <w:szCs w:val="21"/>
              </w:rPr>
              <w:t>.00万元，项目实际支出</w:t>
            </w:r>
            <w:r>
              <w:rPr>
                <w:rFonts w:hint="default"/>
                <w:sz w:val="21"/>
                <w:szCs w:val="21"/>
                <w:lang w:val="en"/>
              </w:rPr>
              <w:t>195</w:t>
            </w:r>
            <w:r>
              <w:rPr>
                <w:rFonts w:hint="eastAsia"/>
                <w:sz w:val="21"/>
                <w:szCs w:val="21"/>
              </w:rPr>
              <w:t>万元，预算资金执行率100%。</w:t>
            </w:r>
          </w:p>
        </w:tc>
        <w:tc>
          <w:tcPr>
            <w:tcW w:w="3002" w:type="dxa"/>
            <w:noWrap w:val="0"/>
            <w:tcMar>
              <w:top w:w="10" w:type="dxa"/>
              <w:left w:w="10" w:type="dxa"/>
              <w:bottom w:w="0" w:type="dxa"/>
              <w:right w:w="10" w:type="dxa"/>
            </w:tcMar>
            <w:vAlign w:val="center"/>
          </w:tcPr>
          <w:p w14:paraId="5BC81C41">
            <w:pPr>
              <w:spacing w:line="260" w:lineRule="exact"/>
              <w:ind w:left="105" w:leftChars="50" w:right="105" w:rightChars="50"/>
              <w:rPr>
                <w:rFonts w:ascii="Times New Roman" w:hAnsi="Times New Roman"/>
                <w:sz w:val="21"/>
                <w:szCs w:val="21"/>
              </w:rPr>
            </w:pPr>
            <w:r>
              <w:rPr>
                <w:rFonts w:ascii="Times New Roman" w:hAnsi="Times New Roman"/>
                <w:sz w:val="21"/>
                <w:szCs w:val="21"/>
              </w:rPr>
              <w:t>预算执行率=（实际支出资金/实际到位资金）×100%。</w:t>
            </w:r>
          </w:p>
          <w:p w14:paraId="5CF4F61A">
            <w:pPr>
              <w:spacing w:line="260" w:lineRule="exact"/>
              <w:ind w:left="105" w:leftChars="50" w:right="105" w:rightChars="50"/>
              <w:rPr>
                <w:rFonts w:ascii="Times New Roman" w:hAnsi="Times New Roman"/>
                <w:sz w:val="21"/>
                <w:szCs w:val="21"/>
              </w:rPr>
            </w:pPr>
            <w:r>
              <w:rPr>
                <w:rFonts w:ascii="Times New Roman" w:hAnsi="Times New Roman"/>
                <w:sz w:val="21"/>
                <w:szCs w:val="21"/>
              </w:rPr>
              <w:t>实际支出资金：一定时期（本年度或预算支出期）内预算支出实际拨付的资金。</w:t>
            </w:r>
          </w:p>
        </w:tc>
        <w:tc>
          <w:tcPr>
            <w:tcW w:w="1109" w:type="dxa"/>
            <w:noWrap w:val="0"/>
            <w:tcMar>
              <w:top w:w="10" w:type="dxa"/>
              <w:left w:w="10" w:type="dxa"/>
              <w:bottom w:w="0" w:type="dxa"/>
              <w:right w:w="10" w:type="dxa"/>
            </w:tcMar>
            <w:vAlign w:val="center"/>
          </w:tcPr>
          <w:p w14:paraId="168BDF8E">
            <w:pPr>
              <w:spacing w:line="260" w:lineRule="exact"/>
              <w:ind w:left="105" w:leftChars="50" w:right="105" w:rightChars="50"/>
              <w:jc w:val="center"/>
              <w:rPr>
                <w:rFonts w:hint="eastAsia" w:ascii="Times New Roman" w:hAnsi="Times New Roman" w:eastAsia="仿宋_GB2312"/>
                <w:sz w:val="21"/>
                <w:szCs w:val="21"/>
                <w:lang w:val="en-US" w:eastAsia="zh-CN"/>
              </w:rPr>
            </w:pPr>
            <w:r>
              <w:rPr>
                <w:rFonts w:hint="eastAsia" w:ascii="Times New Roman" w:hAnsi="Times New Roman"/>
                <w:sz w:val="21"/>
                <w:szCs w:val="21"/>
                <w:lang w:val="en-US" w:eastAsia="zh-CN"/>
              </w:rPr>
              <w:t>4</w:t>
            </w:r>
          </w:p>
        </w:tc>
      </w:tr>
      <w:tr w14:paraId="47732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710" w:type="dxa"/>
            <w:vMerge w:val="continue"/>
            <w:noWrap w:val="0"/>
            <w:vAlign w:val="center"/>
          </w:tcPr>
          <w:p w14:paraId="3AC450E7">
            <w:pPr>
              <w:jc w:val="center"/>
              <w:rPr>
                <w:rFonts w:ascii="Times New Roman" w:hAnsi="Times New Roman"/>
                <w:sz w:val="21"/>
                <w:szCs w:val="21"/>
              </w:rPr>
            </w:pPr>
          </w:p>
        </w:tc>
        <w:tc>
          <w:tcPr>
            <w:tcW w:w="850" w:type="dxa"/>
            <w:vMerge w:val="continue"/>
            <w:noWrap w:val="0"/>
            <w:vAlign w:val="center"/>
          </w:tcPr>
          <w:p w14:paraId="2D0BF751">
            <w:pPr>
              <w:rPr>
                <w:rFonts w:ascii="Times New Roman" w:hAnsi="Times New Roman"/>
                <w:sz w:val="21"/>
                <w:szCs w:val="21"/>
              </w:rPr>
            </w:pPr>
          </w:p>
        </w:tc>
        <w:tc>
          <w:tcPr>
            <w:tcW w:w="1276" w:type="dxa"/>
            <w:noWrap w:val="0"/>
            <w:tcMar>
              <w:top w:w="10" w:type="dxa"/>
              <w:left w:w="10" w:type="dxa"/>
              <w:bottom w:w="0" w:type="dxa"/>
              <w:right w:w="10" w:type="dxa"/>
            </w:tcMar>
            <w:vAlign w:val="center"/>
          </w:tcPr>
          <w:p w14:paraId="0870643D">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资金</w:t>
            </w:r>
          </w:p>
          <w:p w14:paraId="67399D69">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使用</w:t>
            </w:r>
          </w:p>
          <w:p w14:paraId="3CF00F9C">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合规性</w:t>
            </w:r>
          </w:p>
        </w:tc>
        <w:tc>
          <w:tcPr>
            <w:tcW w:w="709" w:type="dxa"/>
            <w:noWrap w:val="0"/>
            <w:tcMar>
              <w:top w:w="10" w:type="dxa"/>
              <w:left w:w="10" w:type="dxa"/>
              <w:bottom w:w="0" w:type="dxa"/>
              <w:right w:w="10" w:type="dxa"/>
            </w:tcMar>
            <w:vAlign w:val="center"/>
          </w:tcPr>
          <w:p w14:paraId="06EF569C">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8</w:t>
            </w:r>
          </w:p>
        </w:tc>
        <w:tc>
          <w:tcPr>
            <w:tcW w:w="1984" w:type="dxa"/>
            <w:noWrap w:val="0"/>
            <w:tcMar>
              <w:top w:w="10" w:type="dxa"/>
              <w:left w:w="10" w:type="dxa"/>
              <w:bottom w:w="0" w:type="dxa"/>
              <w:right w:w="10" w:type="dxa"/>
            </w:tcMar>
            <w:vAlign w:val="center"/>
          </w:tcPr>
          <w:p w14:paraId="5B14055F">
            <w:pPr>
              <w:spacing w:line="260" w:lineRule="exact"/>
              <w:ind w:left="105" w:leftChars="50" w:right="105" w:rightChars="50"/>
              <w:rPr>
                <w:rFonts w:ascii="Times New Roman" w:hAnsi="Times New Roman"/>
                <w:sz w:val="21"/>
                <w:szCs w:val="21"/>
              </w:rPr>
            </w:pPr>
            <w:r>
              <w:rPr>
                <w:rFonts w:ascii="Times New Roman" w:hAnsi="Times New Roman"/>
                <w:sz w:val="21"/>
                <w:szCs w:val="21"/>
              </w:rPr>
              <w:t>预算资金使用是否符合相关的财务管理制度规定，用以反映和考核预算资金的规范运行情况。</w:t>
            </w:r>
          </w:p>
        </w:tc>
        <w:tc>
          <w:tcPr>
            <w:tcW w:w="3002" w:type="dxa"/>
            <w:noWrap w:val="0"/>
            <w:tcMar>
              <w:top w:w="10" w:type="dxa"/>
              <w:left w:w="10" w:type="dxa"/>
              <w:bottom w:w="0" w:type="dxa"/>
              <w:right w:w="10" w:type="dxa"/>
            </w:tcMar>
            <w:vAlign w:val="center"/>
          </w:tcPr>
          <w:p w14:paraId="5DFD88D3">
            <w:pPr>
              <w:spacing w:line="260" w:lineRule="exact"/>
              <w:ind w:left="105" w:leftChars="50" w:right="105" w:rightChars="50"/>
              <w:rPr>
                <w:rFonts w:ascii="Times New Roman" w:hAnsi="Times New Roman"/>
                <w:sz w:val="21"/>
                <w:szCs w:val="21"/>
              </w:rPr>
            </w:pPr>
            <w:r>
              <w:rPr>
                <w:rFonts w:ascii="Times New Roman" w:hAnsi="Times New Roman"/>
                <w:sz w:val="21"/>
                <w:szCs w:val="21"/>
              </w:rPr>
              <w:t>评价要点：</w:t>
            </w:r>
          </w:p>
          <w:p w14:paraId="64069D12">
            <w:pPr>
              <w:spacing w:line="260" w:lineRule="exact"/>
              <w:ind w:left="105" w:leftChars="50" w:right="105" w:rightChars="50"/>
              <w:rPr>
                <w:rFonts w:ascii="Times New Roman" w:hAnsi="Times New Roman"/>
                <w:sz w:val="21"/>
                <w:szCs w:val="21"/>
              </w:rPr>
            </w:pPr>
            <w:r>
              <w:rPr>
                <w:rFonts w:ascii="Times New Roman" w:hAnsi="Times New Roman"/>
                <w:sz w:val="21"/>
                <w:szCs w:val="21"/>
              </w:rPr>
              <w:t xml:space="preserve"> ①是否符合国家财经法规和  财务管理制度以及有关专项资金管理办法的规定；</w:t>
            </w:r>
          </w:p>
          <w:p w14:paraId="6486A34B">
            <w:pPr>
              <w:spacing w:line="260" w:lineRule="exact"/>
              <w:ind w:right="105" w:rightChars="50" w:firstLine="105" w:firstLineChars="50"/>
              <w:rPr>
                <w:rFonts w:ascii="Times New Roman" w:hAnsi="Times New Roman"/>
                <w:sz w:val="21"/>
                <w:szCs w:val="21"/>
              </w:rPr>
            </w:pPr>
            <w:r>
              <w:rPr>
                <w:rFonts w:ascii="Times New Roman" w:hAnsi="Times New Roman"/>
                <w:sz w:val="21"/>
                <w:szCs w:val="21"/>
              </w:rPr>
              <w:t xml:space="preserve"> ②资金的拨付是否有完整的</w:t>
            </w:r>
          </w:p>
          <w:p w14:paraId="0A07F75C">
            <w:pPr>
              <w:spacing w:line="260" w:lineRule="exact"/>
              <w:ind w:right="105" w:rightChars="50" w:firstLine="105" w:firstLineChars="50"/>
              <w:rPr>
                <w:rFonts w:ascii="Times New Roman" w:hAnsi="Times New Roman"/>
                <w:sz w:val="21"/>
                <w:szCs w:val="21"/>
              </w:rPr>
            </w:pPr>
            <w:r>
              <w:rPr>
                <w:rFonts w:ascii="Times New Roman" w:hAnsi="Times New Roman"/>
                <w:sz w:val="21"/>
                <w:szCs w:val="21"/>
              </w:rPr>
              <w:t xml:space="preserve"> 审批程序和手续；</w:t>
            </w:r>
          </w:p>
          <w:p w14:paraId="1CFE4B83">
            <w:pPr>
              <w:spacing w:line="260" w:lineRule="exact"/>
              <w:ind w:right="105" w:rightChars="50" w:firstLine="105" w:firstLineChars="50"/>
              <w:rPr>
                <w:rFonts w:ascii="Times New Roman" w:hAnsi="Times New Roman"/>
                <w:sz w:val="21"/>
                <w:szCs w:val="21"/>
              </w:rPr>
            </w:pPr>
            <w:r>
              <w:rPr>
                <w:rFonts w:ascii="Times New Roman" w:hAnsi="Times New Roman"/>
                <w:sz w:val="21"/>
                <w:szCs w:val="21"/>
              </w:rPr>
              <w:t xml:space="preserve"> ③是否符合预算支出预算批</w:t>
            </w:r>
          </w:p>
          <w:p w14:paraId="0EFB4595">
            <w:pPr>
              <w:spacing w:line="260" w:lineRule="exact"/>
              <w:ind w:right="105" w:rightChars="50" w:firstLine="105" w:firstLineChars="50"/>
              <w:rPr>
                <w:rFonts w:ascii="Times New Roman" w:hAnsi="Times New Roman"/>
                <w:sz w:val="21"/>
                <w:szCs w:val="21"/>
              </w:rPr>
            </w:pPr>
            <w:r>
              <w:rPr>
                <w:rFonts w:ascii="Times New Roman" w:hAnsi="Times New Roman"/>
                <w:sz w:val="21"/>
                <w:szCs w:val="21"/>
              </w:rPr>
              <w:t xml:space="preserve"> 复或合同规定的用途；</w:t>
            </w:r>
          </w:p>
          <w:p w14:paraId="4E62888C">
            <w:pPr>
              <w:spacing w:line="260" w:lineRule="exact"/>
              <w:ind w:left="105" w:leftChars="50" w:right="105" w:rightChars="50"/>
              <w:rPr>
                <w:rFonts w:ascii="Times New Roman" w:hAnsi="Times New Roman"/>
                <w:sz w:val="21"/>
                <w:szCs w:val="21"/>
              </w:rPr>
            </w:pPr>
            <w:r>
              <w:rPr>
                <w:rFonts w:ascii="Times New Roman" w:hAnsi="Times New Roman"/>
                <w:sz w:val="21"/>
                <w:szCs w:val="21"/>
              </w:rPr>
              <w:t xml:space="preserve"> ④是否存在截留、挤占、挪 </w:t>
            </w:r>
          </w:p>
          <w:p w14:paraId="105C8A61">
            <w:pPr>
              <w:spacing w:line="260" w:lineRule="exact"/>
              <w:ind w:left="105" w:leftChars="50" w:right="105" w:rightChars="50"/>
              <w:rPr>
                <w:rFonts w:ascii="Times New Roman" w:hAnsi="Times New Roman"/>
                <w:sz w:val="21"/>
                <w:szCs w:val="21"/>
              </w:rPr>
            </w:pPr>
            <w:r>
              <w:rPr>
                <w:rFonts w:ascii="Times New Roman" w:hAnsi="Times New Roman"/>
                <w:sz w:val="21"/>
                <w:szCs w:val="21"/>
              </w:rPr>
              <w:t xml:space="preserve"> 用、</w:t>
            </w:r>
            <w:r>
              <w:rPr>
                <w:rFonts w:hint="eastAsia" w:ascii="Times New Roman" w:hAnsi="Times New Roman"/>
                <w:sz w:val="21"/>
                <w:szCs w:val="21"/>
                <w:lang w:eastAsia="zh-CN"/>
              </w:rPr>
              <w:t>虚</w:t>
            </w:r>
            <w:r>
              <w:rPr>
                <w:rFonts w:ascii="Times New Roman" w:hAnsi="Times New Roman"/>
                <w:sz w:val="21"/>
                <w:szCs w:val="21"/>
              </w:rPr>
              <w:t>列支出等情况。</w:t>
            </w:r>
          </w:p>
        </w:tc>
        <w:tc>
          <w:tcPr>
            <w:tcW w:w="1109" w:type="dxa"/>
            <w:noWrap w:val="0"/>
            <w:tcMar>
              <w:top w:w="10" w:type="dxa"/>
              <w:left w:w="10" w:type="dxa"/>
              <w:bottom w:w="0" w:type="dxa"/>
              <w:right w:w="10" w:type="dxa"/>
            </w:tcMar>
            <w:vAlign w:val="center"/>
          </w:tcPr>
          <w:p w14:paraId="4FE941F5">
            <w:pPr>
              <w:spacing w:line="260" w:lineRule="exact"/>
              <w:ind w:left="105" w:leftChars="50" w:right="105" w:rightChars="50"/>
              <w:jc w:val="center"/>
              <w:rPr>
                <w:rFonts w:hint="eastAsia" w:ascii="Times New Roman" w:hAnsi="Times New Roman" w:eastAsia="仿宋_GB2312"/>
                <w:sz w:val="21"/>
                <w:szCs w:val="21"/>
                <w:lang w:val="en-US" w:eastAsia="zh-CN"/>
              </w:rPr>
            </w:pPr>
            <w:r>
              <w:rPr>
                <w:rFonts w:hint="eastAsia" w:ascii="Times New Roman" w:hAnsi="Times New Roman"/>
                <w:sz w:val="21"/>
                <w:szCs w:val="21"/>
                <w:lang w:val="en-US" w:eastAsia="zh-CN"/>
              </w:rPr>
              <w:t>8</w:t>
            </w:r>
          </w:p>
        </w:tc>
      </w:tr>
      <w:tr w14:paraId="2F818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710" w:type="dxa"/>
            <w:vMerge w:val="continue"/>
            <w:noWrap/>
            <w:tcMar>
              <w:top w:w="10" w:type="dxa"/>
              <w:left w:w="10" w:type="dxa"/>
              <w:bottom w:w="0" w:type="dxa"/>
              <w:right w:w="10" w:type="dxa"/>
            </w:tcMar>
            <w:textDirection w:val="tbRlV"/>
            <w:vAlign w:val="center"/>
          </w:tcPr>
          <w:p w14:paraId="25D74498">
            <w:pPr>
              <w:jc w:val="center"/>
              <w:rPr>
                <w:rFonts w:ascii="Times New Roman" w:hAnsi="Times New Roman"/>
                <w:sz w:val="21"/>
                <w:szCs w:val="21"/>
              </w:rPr>
            </w:pPr>
          </w:p>
        </w:tc>
        <w:tc>
          <w:tcPr>
            <w:tcW w:w="850" w:type="dxa"/>
            <w:vMerge w:val="restart"/>
            <w:noWrap w:val="0"/>
            <w:tcMar>
              <w:top w:w="10" w:type="dxa"/>
              <w:left w:w="10" w:type="dxa"/>
              <w:bottom w:w="0" w:type="dxa"/>
              <w:right w:w="10" w:type="dxa"/>
            </w:tcMar>
            <w:vAlign w:val="center"/>
          </w:tcPr>
          <w:p w14:paraId="3F5FD98C">
            <w:pPr>
              <w:jc w:val="center"/>
              <w:rPr>
                <w:rFonts w:ascii="Times New Roman" w:hAnsi="Times New Roman"/>
                <w:sz w:val="21"/>
                <w:szCs w:val="21"/>
              </w:rPr>
            </w:pPr>
            <w:r>
              <w:rPr>
                <w:rFonts w:ascii="Times New Roman" w:hAnsi="Times New Roman"/>
                <w:sz w:val="21"/>
                <w:szCs w:val="21"/>
              </w:rPr>
              <w:t>组织</w:t>
            </w:r>
          </w:p>
          <w:p w14:paraId="2EF40684">
            <w:pPr>
              <w:jc w:val="center"/>
              <w:rPr>
                <w:rFonts w:ascii="Times New Roman" w:hAnsi="Times New Roman"/>
                <w:sz w:val="21"/>
                <w:szCs w:val="21"/>
              </w:rPr>
            </w:pPr>
            <w:r>
              <w:rPr>
                <w:rFonts w:ascii="Times New Roman" w:hAnsi="Times New Roman"/>
                <w:sz w:val="21"/>
                <w:szCs w:val="21"/>
              </w:rPr>
              <w:t>实施</w:t>
            </w:r>
          </w:p>
        </w:tc>
        <w:tc>
          <w:tcPr>
            <w:tcW w:w="1276" w:type="dxa"/>
            <w:noWrap w:val="0"/>
            <w:tcMar>
              <w:top w:w="10" w:type="dxa"/>
              <w:left w:w="10" w:type="dxa"/>
              <w:bottom w:w="0" w:type="dxa"/>
              <w:right w:w="10" w:type="dxa"/>
            </w:tcMar>
            <w:vAlign w:val="center"/>
          </w:tcPr>
          <w:p w14:paraId="5211D151">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管理</w:t>
            </w:r>
          </w:p>
          <w:p w14:paraId="598A00A2">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制度</w:t>
            </w:r>
          </w:p>
          <w:p w14:paraId="74CD4437">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健全性</w:t>
            </w:r>
          </w:p>
        </w:tc>
        <w:tc>
          <w:tcPr>
            <w:tcW w:w="709" w:type="dxa"/>
            <w:noWrap w:val="0"/>
            <w:tcMar>
              <w:top w:w="10" w:type="dxa"/>
              <w:left w:w="10" w:type="dxa"/>
              <w:bottom w:w="0" w:type="dxa"/>
              <w:right w:w="10" w:type="dxa"/>
            </w:tcMar>
            <w:vAlign w:val="center"/>
          </w:tcPr>
          <w:p w14:paraId="030EE1D7">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4</w:t>
            </w:r>
          </w:p>
        </w:tc>
        <w:tc>
          <w:tcPr>
            <w:tcW w:w="1984" w:type="dxa"/>
            <w:noWrap w:val="0"/>
            <w:tcMar>
              <w:top w:w="10" w:type="dxa"/>
              <w:left w:w="10" w:type="dxa"/>
              <w:bottom w:w="0" w:type="dxa"/>
              <w:right w:w="10" w:type="dxa"/>
            </w:tcMar>
            <w:vAlign w:val="center"/>
          </w:tcPr>
          <w:p w14:paraId="4CFA1B0E">
            <w:pPr>
              <w:spacing w:line="260" w:lineRule="exact"/>
              <w:ind w:left="105" w:leftChars="50" w:right="105" w:rightChars="50"/>
              <w:rPr>
                <w:rFonts w:ascii="Times New Roman" w:hAnsi="Times New Roman"/>
                <w:sz w:val="21"/>
                <w:szCs w:val="21"/>
              </w:rPr>
            </w:pPr>
            <w:r>
              <w:rPr>
                <w:rFonts w:ascii="Times New Roman" w:hAnsi="Times New Roman"/>
                <w:sz w:val="21"/>
                <w:szCs w:val="21"/>
              </w:rPr>
              <w:t>预算支出实施单位的财务和业务管理制度是否健全，用以反映和考核财务和业务管理制度对预算支出顺利实施的保障情况。</w:t>
            </w:r>
          </w:p>
        </w:tc>
        <w:tc>
          <w:tcPr>
            <w:tcW w:w="3002" w:type="dxa"/>
            <w:noWrap w:val="0"/>
            <w:tcMar>
              <w:top w:w="10" w:type="dxa"/>
              <w:left w:w="10" w:type="dxa"/>
              <w:bottom w:w="0" w:type="dxa"/>
              <w:right w:w="10" w:type="dxa"/>
            </w:tcMar>
            <w:vAlign w:val="center"/>
          </w:tcPr>
          <w:p w14:paraId="02B6D15B">
            <w:pPr>
              <w:spacing w:line="260" w:lineRule="exact"/>
              <w:ind w:left="105" w:leftChars="50" w:right="105" w:rightChars="50"/>
              <w:rPr>
                <w:rFonts w:ascii="Times New Roman" w:hAnsi="Times New Roman"/>
                <w:sz w:val="21"/>
                <w:szCs w:val="21"/>
              </w:rPr>
            </w:pPr>
            <w:r>
              <w:rPr>
                <w:rFonts w:ascii="Times New Roman" w:hAnsi="Times New Roman"/>
                <w:sz w:val="21"/>
                <w:szCs w:val="21"/>
              </w:rPr>
              <w:t>评价要点：</w:t>
            </w:r>
            <w:r>
              <w:rPr>
                <w:rFonts w:ascii="Times New Roman" w:hAnsi="Times New Roman"/>
                <w:sz w:val="21"/>
                <w:szCs w:val="21"/>
              </w:rPr>
              <w:br w:type="textWrapping"/>
            </w:r>
            <w:r>
              <w:rPr>
                <w:rFonts w:ascii="Times New Roman" w:hAnsi="Times New Roman"/>
                <w:sz w:val="21"/>
                <w:szCs w:val="21"/>
              </w:rPr>
              <w:t>①是否已制定或具有相应的业务管理制度；</w:t>
            </w:r>
            <w:r>
              <w:rPr>
                <w:rFonts w:ascii="Times New Roman" w:hAnsi="Times New Roman"/>
                <w:sz w:val="21"/>
                <w:szCs w:val="21"/>
              </w:rPr>
              <w:br w:type="textWrapping"/>
            </w:r>
            <w:r>
              <w:rPr>
                <w:rFonts w:ascii="Times New Roman" w:hAnsi="Times New Roman"/>
                <w:sz w:val="21"/>
                <w:szCs w:val="21"/>
              </w:rPr>
              <w:t>②财务和业务管理制度是否合法、合规、完整。</w:t>
            </w:r>
          </w:p>
        </w:tc>
        <w:tc>
          <w:tcPr>
            <w:tcW w:w="1109" w:type="dxa"/>
            <w:noWrap w:val="0"/>
            <w:tcMar>
              <w:top w:w="10" w:type="dxa"/>
              <w:left w:w="10" w:type="dxa"/>
              <w:bottom w:w="0" w:type="dxa"/>
              <w:right w:w="10" w:type="dxa"/>
            </w:tcMar>
            <w:vAlign w:val="center"/>
          </w:tcPr>
          <w:p w14:paraId="3393A3B9">
            <w:pPr>
              <w:spacing w:line="260" w:lineRule="exact"/>
              <w:ind w:left="105" w:leftChars="50" w:right="105" w:rightChars="50"/>
              <w:jc w:val="center"/>
              <w:rPr>
                <w:rFonts w:hint="eastAsia" w:ascii="Times New Roman" w:hAnsi="Times New Roman" w:eastAsia="仿宋_GB2312"/>
                <w:sz w:val="21"/>
                <w:szCs w:val="21"/>
                <w:lang w:val="en-US" w:eastAsia="zh-CN"/>
              </w:rPr>
            </w:pPr>
            <w:r>
              <w:rPr>
                <w:rFonts w:hint="eastAsia" w:ascii="Times New Roman" w:hAnsi="Times New Roman"/>
                <w:sz w:val="21"/>
                <w:szCs w:val="21"/>
                <w:lang w:val="en-US" w:eastAsia="zh-CN"/>
              </w:rPr>
              <w:t>4</w:t>
            </w:r>
          </w:p>
        </w:tc>
      </w:tr>
      <w:tr w14:paraId="345D3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23" w:hRule="atLeast"/>
        </w:trPr>
        <w:tc>
          <w:tcPr>
            <w:tcW w:w="710" w:type="dxa"/>
            <w:noWrap w:val="0"/>
            <w:vAlign w:val="center"/>
          </w:tcPr>
          <w:p w14:paraId="105869A2">
            <w:pPr>
              <w:spacing w:line="500" w:lineRule="exact"/>
              <w:jc w:val="center"/>
              <w:rPr>
                <w:rFonts w:ascii="Times New Roman" w:hAnsi="Times New Roman"/>
                <w:sz w:val="21"/>
                <w:szCs w:val="21"/>
              </w:rPr>
            </w:pPr>
            <w:r>
              <w:rPr>
                <w:rFonts w:ascii="Times New Roman" w:hAnsi="Times New Roman"/>
                <w:sz w:val="21"/>
                <w:szCs w:val="21"/>
              </w:rPr>
              <w:t>过</w:t>
            </w:r>
          </w:p>
          <w:p w14:paraId="6137FF53">
            <w:pPr>
              <w:spacing w:line="500" w:lineRule="exact"/>
              <w:jc w:val="center"/>
              <w:rPr>
                <w:rFonts w:ascii="Times New Roman" w:hAnsi="Times New Roman"/>
                <w:sz w:val="21"/>
                <w:szCs w:val="21"/>
              </w:rPr>
            </w:pPr>
            <w:r>
              <w:rPr>
                <w:rFonts w:ascii="Times New Roman" w:hAnsi="Times New Roman"/>
                <w:sz w:val="21"/>
                <w:szCs w:val="21"/>
              </w:rPr>
              <w:t>程</w:t>
            </w:r>
          </w:p>
        </w:tc>
        <w:tc>
          <w:tcPr>
            <w:tcW w:w="850" w:type="dxa"/>
            <w:vMerge w:val="continue"/>
            <w:noWrap w:val="0"/>
            <w:vAlign w:val="center"/>
          </w:tcPr>
          <w:p w14:paraId="53F871A1">
            <w:pPr>
              <w:rPr>
                <w:rFonts w:ascii="Times New Roman" w:hAnsi="Times New Roman"/>
                <w:sz w:val="21"/>
                <w:szCs w:val="21"/>
              </w:rPr>
            </w:pPr>
          </w:p>
        </w:tc>
        <w:tc>
          <w:tcPr>
            <w:tcW w:w="1276" w:type="dxa"/>
            <w:noWrap w:val="0"/>
            <w:tcMar>
              <w:top w:w="10" w:type="dxa"/>
              <w:left w:w="10" w:type="dxa"/>
              <w:bottom w:w="0" w:type="dxa"/>
              <w:right w:w="10" w:type="dxa"/>
            </w:tcMar>
            <w:vAlign w:val="center"/>
          </w:tcPr>
          <w:p w14:paraId="126A9622">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制度</w:t>
            </w:r>
          </w:p>
          <w:p w14:paraId="36AE77B6">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执行</w:t>
            </w:r>
          </w:p>
          <w:p w14:paraId="77AC307A">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有效性</w:t>
            </w:r>
          </w:p>
        </w:tc>
        <w:tc>
          <w:tcPr>
            <w:tcW w:w="709" w:type="dxa"/>
            <w:noWrap w:val="0"/>
            <w:tcMar>
              <w:top w:w="10" w:type="dxa"/>
              <w:left w:w="10" w:type="dxa"/>
              <w:bottom w:w="0" w:type="dxa"/>
              <w:right w:w="10" w:type="dxa"/>
            </w:tcMar>
            <w:vAlign w:val="center"/>
          </w:tcPr>
          <w:p w14:paraId="0A2F9136">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7</w:t>
            </w:r>
          </w:p>
        </w:tc>
        <w:tc>
          <w:tcPr>
            <w:tcW w:w="1984" w:type="dxa"/>
            <w:noWrap w:val="0"/>
            <w:tcMar>
              <w:top w:w="10" w:type="dxa"/>
              <w:left w:w="10" w:type="dxa"/>
              <w:bottom w:w="0" w:type="dxa"/>
              <w:right w:w="10" w:type="dxa"/>
            </w:tcMar>
            <w:vAlign w:val="center"/>
          </w:tcPr>
          <w:p w14:paraId="3F29039C">
            <w:pPr>
              <w:spacing w:line="260" w:lineRule="exact"/>
              <w:ind w:left="105" w:leftChars="50" w:right="105" w:rightChars="50"/>
              <w:rPr>
                <w:rFonts w:ascii="Times New Roman" w:hAnsi="Times New Roman"/>
                <w:sz w:val="21"/>
                <w:szCs w:val="21"/>
              </w:rPr>
            </w:pPr>
            <w:r>
              <w:rPr>
                <w:rFonts w:ascii="Times New Roman" w:hAnsi="Times New Roman"/>
                <w:sz w:val="21"/>
                <w:szCs w:val="21"/>
              </w:rPr>
              <w:t>预算支出实施是否符合相关业务管理规定，用以反映和考核业务管理制度的有效执行情况。</w:t>
            </w:r>
          </w:p>
        </w:tc>
        <w:tc>
          <w:tcPr>
            <w:tcW w:w="3002" w:type="dxa"/>
            <w:noWrap w:val="0"/>
            <w:tcMar>
              <w:top w:w="10" w:type="dxa"/>
              <w:left w:w="10" w:type="dxa"/>
              <w:bottom w:w="0" w:type="dxa"/>
              <w:right w:w="10" w:type="dxa"/>
            </w:tcMar>
            <w:vAlign w:val="center"/>
          </w:tcPr>
          <w:p w14:paraId="6148C0D9">
            <w:pPr>
              <w:spacing w:line="260" w:lineRule="exact"/>
              <w:ind w:left="105" w:leftChars="50" w:right="105" w:rightChars="50"/>
              <w:rPr>
                <w:rFonts w:ascii="Times New Roman" w:hAnsi="Times New Roman"/>
                <w:sz w:val="21"/>
                <w:szCs w:val="21"/>
              </w:rPr>
            </w:pPr>
            <w:r>
              <w:rPr>
                <w:rFonts w:ascii="Times New Roman" w:hAnsi="Times New Roman"/>
                <w:sz w:val="21"/>
                <w:szCs w:val="21"/>
              </w:rPr>
              <w:t>评价要点：</w:t>
            </w:r>
            <w:r>
              <w:rPr>
                <w:rFonts w:ascii="Times New Roman" w:hAnsi="Times New Roman"/>
                <w:sz w:val="21"/>
                <w:szCs w:val="21"/>
              </w:rPr>
              <w:br w:type="textWrapping"/>
            </w:r>
            <w:r>
              <w:rPr>
                <w:rFonts w:ascii="Times New Roman" w:hAnsi="Times New Roman"/>
                <w:sz w:val="21"/>
                <w:szCs w:val="21"/>
              </w:rPr>
              <w:t>①是否遵守相关法律法规和相关管理规定；</w:t>
            </w:r>
            <w:r>
              <w:rPr>
                <w:rFonts w:ascii="Times New Roman" w:hAnsi="Times New Roman"/>
                <w:sz w:val="21"/>
                <w:szCs w:val="21"/>
              </w:rPr>
              <w:br w:type="textWrapping"/>
            </w:r>
            <w:r>
              <w:rPr>
                <w:rFonts w:ascii="Times New Roman" w:hAnsi="Times New Roman"/>
                <w:sz w:val="21"/>
                <w:szCs w:val="21"/>
              </w:rPr>
              <w:t>②预算支出调整及支出调整手续是否完备；</w:t>
            </w:r>
            <w:r>
              <w:rPr>
                <w:rFonts w:ascii="Times New Roman" w:hAnsi="Times New Roman"/>
                <w:sz w:val="21"/>
                <w:szCs w:val="21"/>
              </w:rPr>
              <w:br w:type="textWrapping"/>
            </w:r>
            <w:r>
              <w:rPr>
                <w:rFonts w:ascii="Times New Roman" w:hAnsi="Times New Roman"/>
                <w:sz w:val="21"/>
                <w:szCs w:val="21"/>
              </w:rPr>
              <w:t>③预算支出合同书、验收报告、技术鉴定等资料是否齐全并及时归档；</w:t>
            </w:r>
            <w:r>
              <w:rPr>
                <w:rFonts w:ascii="Times New Roman" w:hAnsi="Times New Roman"/>
                <w:sz w:val="21"/>
                <w:szCs w:val="21"/>
              </w:rPr>
              <w:br w:type="textWrapping"/>
            </w:r>
            <w:r>
              <w:rPr>
                <w:rFonts w:ascii="Times New Roman" w:hAnsi="Times New Roman"/>
                <w:sz w:val="21"/>
                <w:szCs w:val="21"/>
              </w:rPr>
              <w:t>④预算支出实施的人员条件、场地设备、信息支撑等是否落实到位。</w:t>
            </w:r>
          </w:p>
        </w:tc>
        <w:tc>
          <w:tcPr>
            <w:tcW w:w="1109" w:type="dxa"/>
            <w:noWrap w:val="0"/>
            <w:tcMar>
              <w:top w:w="10" w:type="dxa"/>
              <w:left w:w="10" w:type="dxa"/>
              <w:bottom w:w="0" w:type="dxa"/>
              <w:right w:w="10" w:type="dxa"/>
            </w:tcMar>
            <w:vAlign w:val="center"/>
          </w:tcPr>
          <w:p w14:paraId="6723CEEA">
            <w:pPr>
              <w:spacing w:line="260" w:lineRule="exact"/>
              <w:ind w:left="105" w:leftChars="50" w:right="105" w:rightChars="50"/>
              <w:jc w:val="center"/>
              <w:rPr>
                <w:rFonts w:hint="eastAsia" w:ascii="Times New Roman" w:hAnsi="Times New Roman" w:eastAsia="仿宋_GB2312"/>
                <w:sz w:val="21"/>
                <w:szCs w:val="21"/>
                <w:lang w:val="en-US" w:eastAsia="zh-CN"/>
              </w:rPr>
            </w:pPr>
            <w:r>
              <w:rPr>
                <w:rFonts w:hint="eastAsia" w:ascii="Times New Roman" w:hAnsi="Times New Roman"/>
                <w:sz w:val="21"/>
                <w:szCs w:val="21"/>
                <w:lang w:val="en-US" w:eastAsia="zh-CN"/>
              </w:rPr>
              <w:t>7</w:t>
            </w:r>
          </w:p>
        </w:tc>
      </w:tr>
      <w:tr w14:paraId="777EC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11" w:hRule="atLeast"/>
        </w:trPr>
        <w:tc>
          <w:tcPr>
            <w:tcW w:w="710" w:type="dxa"/>
            <w:vMerge w:val="restart"/>
            <w:noWrap/>
            <w:tcMar>
              <w:top w:w="10" w:type="dxa"/>
              <w:left w:w="10" w:type="dxa"/>
              <w:bottom w:w="0" w:type="dxa"/>
              <w:right w:w="10" w:type="dxa"/>
            </w:tcMar>
            <w:textDirection w:val="tbRlV"/>
            <w:vAlign w:val="center"/>
          </w:tcPr>
          <w:p w14:paraId="23D0F134">
            <w:pPr>
              <w:jc w:val="center"/>
              <w:rPr>
                <w:rFonts w:ascii="Times New Roman" w:hAnsi="Times New Roman"/>
                <w:sz w:val="21"/>
                <w:szCs w:val="21"/>
              </w:rPr>
            </w:pPr>
            <w:r>
              <w:rPr>
                <w:rFonts w:ascii="Times New Roman" w:hAnsi="Times New Roman"/>
                <w:sz w:val="21"/>
                <w:szCs w:val="21"/>
              </w:rPr>
              <w:t>产   出</w:t>
            </w:r>
          </w:p>
        </w:tc>
        <w:tc>
          <w:tcPr>
            <w:tcW w:w="850" w:type="dxa"/>
            <w:noWrap w:val="0"/>
            <w:tcMar>
              <w:top w:w="10" w:type="dxa"/>
              <w:left w:w="10" w:type="dxa"/>
              <w:bottom w:w="0" w:type="dxa"/>
              <w:right w:w="10" w:type="dxa"/>
            </w:tcMar>
            <w:vAlign w:val="center"/>
          </w:tcPr>
          <w:p w14:paraId="5F58AE23">
            <w:pPr>
              <w:jc w:val="center"/>
              <w:rPr>
                <w:rFonts w:ascii="Times New Roman" w:hAnsi="Times New Roman"/>
                <w:sz w:val="21"/>
                <w:szCs w:val="21"/>
              </w:rPr>
            </w:pPr>
            <w:r>
              <w:rPr>
                <w:rFonts w:ascii="Times New Roman" w:hAnsi="Times New Roman"/>
                <w:sz w:val="21"/>
                <w:szCs w:val="21"/>
              </w:rPr>
              <w:t>产出</w:t>
            </w:r>
          </w:p>
          <w:p w14:paraId="3E0F64ED">
            <w:pPr>
              <w:jc w:val="center"/>
              <w:rPr>
                <w:rFonts w:ascii="Times New Roman" w:hAnsi="Times New Roman"/>
                <w:sz w:val="21"/>
                <w:szCs w:val="21"/>
              </w:rPr>
            </w:pPr>
            <w:r>
              <w:rPr>
                <w:rFonts w:ascii="Times New Roman" w:hAnsi="Times New Roman"/>
                <w:sz w:val="21"/>
                <w:szCs w:val="21"/>
              </w:rPr>
              <w:t>数量</w:t>
            </w:r>
          </w:p>
        </w:tc>
        <w:tc>
          <w:tcPr>
            <w:tcW w:w="1276" w:type="dxa"/>
            <w:noWrap w:val="0"/>
            <w:tcMar>
              <w:top w:w="10" w:type="dxa"/>
              <w:left w:w="10" w:type="dxa"/>
              <w:bottom w:w="0" w:type="dxa"/>
              <w:right w:w="10" w:type="dxa"/>
            </w:tcMar>
            <w:vAlign w:val="center"/>
          </w:tcPr>
          <w:p w14:paraId="5DE00667">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实际</w:t>
            </w:r>
          </w:p>
          <w:p w14:paraId="5B700634">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完成率</w:t>
            </w:r>
          </w:p>
        </w:tc>
        <w:tc>
          <w:tcPr>
            <w:tcW w:w="709" w:type="dxa"/>
            <w:noWrap w:val="0"/>
            <w:tcMar>
              <w:top w:w="10" w:type="dxa"/>
              <w:left w:w="10" w:type="dxa"/>
              <w:bottom w:w="0" w:type="dxa"/>
              <w:right w:w="10" w:type="dxa"/>
            </w:tcMar>
            <w:vAlign w:val="center"/>
          </w:tcPr>
          <w:p w14:paraId="59A286F1">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13</w:t>
            </w:r>
          </w:p>
        </w:tc>
        <w:tc>
          <w:tcPr>
            <w:tcW w:w="1984" w:type="dxa"/>
            <w:noWrap w:val="0"/>
            <w:tcMar>
              <w:top w:w="10" w:type="dxa"/>
              <w:left w:w="10" w:type="dxa"/>
              <w:bottom w:w="0" w:type="dxa"/>
              <w:right w:w="10" w:type="dxa"/>
            </w:tcMar>
            <w:vAlign w:val="center"/>
          </w:tcPr>
          <w:p w14:paraId="2E1FBD2E">
            <w:pPr>
              <w:spacing w:line="260" w:lineRule="exact"/>
              <w:ind w:left="105" w:leftChars="50" w:right="105" w:rightChars="50"/>
              <w:rPr>
                <w:rFonts w:ascii="Times New Roman" w:hAnsi="Times New Roman"/>
                <w:sz w:val="21"/>
                <w:szCs w:val="21"/>
              </w:rPr>
            </w:pPr>
            <w:r>
              <w:rPr>
                <w:rFonts w:ascii="Times New Roman" w:hAnsi="Times New Roman"/>
                <w:sz w:val="21"/>
                <w:szCs w:val="21"/>
              </w:rPr>
              <w:t>预算支出实施的实际产出数与计划产出数的比率，用以反映和考核预算支出产出数量目标的实现程度。</w:t>
            </w:r>
          </w:p>
        </w:tc>
        <w:tc>
          <w:tcPr>
            <w:tcW w:w="3002" w:type="dxa"/>
            <w:noWrap w:val="0"/>
            <w:tcMar>
              <w:top w:w="10" w:type="dxa"/>
              <w:left w:w="10" w:type="dxa"/>
              <w:bottom w:w="0" w:type="dxa"/>
              <w:right w:w="10" w:type="dxa"/>
            </w:tcMar>
            <w:vAlign w:val="center"/>
          </w:tcPr>
          <w:p w14:paraId="3E1B88E9">
            <w:pPr>
              <w:spacing w:line="260" w:lineRule="exact"/>
              <w:ind w:left="105" w:leftChars="50" w:right="105" w:rightChars="50"/>
              <w:rPr>
                <w:rFonts w:ascii="Times New Roman" w:hAnsi="Times New Roman"/>
                <w:sz w:val="21"/>
                <w:szCs w:val="21"/>
              </w:rPr>
            </w:pPr>
            <w:r>
              <w:rPr>
                <w:rFonts w:ascii="Times New Roman" w:hAnsi="Times New Roman"/>
                <w:sz w:val="21"/>
                <w:szCs w:val="21"/>
              </w:rPr>
              <w:t>实际完成率=（实际产出数/计划产出数）×100%。</w:t>
            </w:r>
            <w:r>
              <w:rPr>
                <w:rFonts w:ascii="Times New Roman" w:hAnsi="Times New Roman"/>
                <w:sz w:val="21"/>
                <w:szCs w:val="21"/>
              </w:rPr>
              <w:br w:type="textWrapping"/>
            </w:r>
            <w:r>
              <w:rPr>
                <w:rFonts w:ascii="Times New Roman" w:hAnsi="Times New Roman"/>
                <w:sz w:val="21"/>
                <w:szCs w:val="21"/>
              </w:rPr>
              <w:t>实际产出数：一定时期（本年度或预算支出期）内预算支出实际产出的产品或提供的服务数量。</w:t>
            </w:r>
            <w:r>
              <w:rPr>
                <w:rFonts w:ascii="Times New Roman" w:hAnsi="Times New Roman"/>
                <w:sz w:val="21"/>
                <w:szCs w:val="21"/>
              </w:rPr>
              <w:br w:type="textWrapping"/>
            </w:r>
            <w:r>
              <w:rPr>
                <w:rFonts w:ascii="Times New Roman" w:hAnsi="Times New Roman"/>
                <w:sz w:val="21"/>
                <w:szCs w:val="21"/>
              </w:rPr>
              <w:t>计划产出数：预算支出绩效目标确定的在一定时期（本年度或预算支出期）内计划产出的产品或提供的服务数量。</w:t>
            </w:r>
          </w:p>
        </w:tc>
        <w:tc>
          <w:tcPr>
            <w:tcW w:w="1109" w:type="dxa"/>
            <w:noWrap w:val="0"/>
            <w:tcMar>
              <w:top w:w="10" w:type="dxa"/>
              <w:left w:w="10" w:type="dxa"/>
              <w:bottom w:w="0" w:type="dxa"/>
              <w:right w:w="10" w:type="dxa"/>
            </w:tcMar>
            <w:vAlign w:val="center"/>
          </w:tcPr>
          <w:p w14:paraId="041A9A61">
            <w:pPr>
              <w:spacing w:line="260" w:lineRule="exact"/>
              <w:ind w:left="105" w:leftChars="50" w:right="105" w:rightChars="50"/>
              <w:jc w:val="center"/>
              <w:rPr>
                <w:rFonts w:hint="default" w:ascii="Times New Roman" w:hAnsi="Times New Roman" w:eastAsia="仿宋_GB2312"/>
                <w:sz w:val="21"/>
                <w:szCs w:val="21"/>
                <w:lang w:val="en-US" w:eastAsia="zh-CN"/>
              </w:rPr>
            </w:pPr>
            <w:r>
              <w:rPr>
                <w:rFonts w:hint="eastAsia" w:ascii="Times New Roman" w:hAnsi="Times New Roman"/>
                <w:sz w:val="21"/>
                <w:szCs w:val="21"/>
                <w:lang w:val="en-US" w:eastAsia="zh-CN"/>
              </w:rPr>
              <w:t>13</w:t>
            </w:r>
          </w:p>
        </w:tc>
      </w:tr>
      <w:tr w14:paraId="1ABD4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67" w:hRule="atLeast"/>
        </w:trPr>
        <w:tc>
          <w:tcPr>
            <w:tcW w:w="710" w:type="dxa"/>
            <w:vMerge w:val="continue"/>
            <w:noWrap/>
            <w:tcMar>
              <w:top w:w="10" w:type="dxa"/>
              <w:left w:w="10" w:type="dxa"/>
              <w:bottom w:w="0" w:type="dxa"/>
              <w:right w:w="10" w:type="dxa"/>
            </w:tcMar>
            <w:textDirection w:val="tbRlV"/>
            <w:vAlign w:val="center"/>
          </w:tcPr>
          <w:p w14:paraId="770DEA74">
            <w:pPr>
              <w:jc w:val="center"/>
              <w:rPr>
                <w:rFonts w:ascii="Times New Roman" w:hAnsi="Times New Roman"/>
                <w:sz w:val="21"/>
                <w:szCs w:val="21"/>
              </w:rPr>
            </w:pPr>
          </w:p>
        </w:tc>
        <w:tc>
          <w:tcPr>
            <w:tcW w:w="850" w:type="dxa"/>
            <w:noWrap w:val="0"/>
            <w:tcMar>
              <w:top w:w="10" w:type="dxa"/>
              <w:left w:w="10" w:type="dxa"/>
              <w:bottom w:w="0" w:type="dxa"/>
              <w:right w:w="10" w:type="dxa"/>
            </w:tcMar>
            <w:vAlign w:val="center"/>
          </w:tcPr>
          <w:p w14:paraId="1C4B80F0">
            <w:pPr>
              <w:jc w:val="center"/>
              <w:rPr>
                <w:rFonts w:ascii="Times New Roman" w:hAnsi="Times New Roman"/>
                <w:sz w:val="21"/>
                <w:szCs w:val="21"/>
              </w:rPr>
            </w:pPr>
            <w:r>
              <w:rPr>
                <w:rFonts w:ascii="Times New Roman" w:hAnsi="Times New Roman"/>
                <w:sz w:val="21"/>
                <w:szCs w:val="21"/>
              </w:rPr>
              <w:t>产出</w:t>
            </w:r>
          </w:p>
          <w:p w14:paraId="698466A2">
            <w:pPr>
              <w:jc w:val="center"/>
              <w:rPr>
                <w:rFonts w:ascii="Times New Roman" w:hAnsi="Times New Roman"/>
                <w:sz w:val="21"/>
                <w:szCs w:val="21"/>
              </w:rPr>
            </w:pPr>
            <w:r>
              <w:rPr>
                <w:rFonts w:ascii="Times New Roman" w:hAnsi="Times New Roman"/>
                <w:sz w:val="21"/>
                <w:szCs w:val="21"/>
              </w:rPr>
              <w:t>质量</w:t>
            </w:r>
          </w:p>
        </w:tc>
        <w:tc>
          <w:tcPr>
            <w:tcW w:w="1276" w:type="dxa"/>
            <w:noWrap w:val="0"/>
            <w:tcMar>
              <w:top w:w="10" w:type="dxa"/>
              <w:left w:w="10" w:type="dxa"/>
              <w:bottom w:w="0" w:type="dxa"/>
              <w:right w:w="10" w:type="dxa"/>
            </w:tcMar>
            <w:vAlign w:val="center"/>
          </w:tcPr>
          <w:p w14:paraId="55008257">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质量</w:t>
            </w:r>
          </w:p>
          <w:p w14:paraId="7CE634E9">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达标率</w:t>
            </w:r>
          </w:p>
        </w:tc>
        <w:tc>
          <w:tcPr>
            <w:tcW w:w="709" w:type="dxa"/>
            <w:noWrap w:val="0"/>
            <w:tcMar>
              <w:top w:w="10" w:type="dxa"/>
              <w:left w:w="10" w:type="dxa"/>
              <w:bottom w:w="0" w:type="dxa"/>
              <w:right w:w="10" w:type="dxa"/>
            </w:tcMar>
            <w:vAlign w:val="center"/>
          </w:tcPr>
          <w:p w14:paraId="3446ED1C">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12</w:t>
            </w:r>
          </w:p>
        </w:tc>
        <w:tc>
          <w:tcPr>
            <w:tcW w:w="1984" w:type="dxa"/>
            <w:noWrap w:val="0"/>
            <w:tcMar>
              <w:top w:w="10" w:type="dxa"/>
              <w:left w:w="10" w:type="dxa"/>
              <w:bottom w:w="0" w:type="dxa"/>
              <w:right w:w="10" w:type="dxa"/>
            </w:tcMar>
            <w:vAlign w:val="center"/>
          </w:tcPr>
          <w:p w14:paraId="453B4006">
            <w:pPr>
              <w:pStyle w:val="6"/>
              <w:spacing w:before="68" w:line="228" w:lineRule="auto"/>
              <w:ind w:right="109"/>
              <w:jc w:val="both"/>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1"/>
                <w:szCs w:val="21"/>
                <w:lang w:val="en-US" w:eastAsia="zh-CN" w:bidi="ar-SA"/>
              </w:rPr>
              <w:t>社会戒毒（康复）执行率、全国青少年禁毒知识竞赛学生参与率、及格率达到100%。</w:t>
            </w:r>
          </w:p>
          <w:p w14:paraId="1FCCFEC0">
            <w:pPr>
              <w:spacing w:line="260" w:lineRule="exact"/>
              <w:ind w:right="105" w:rightChars="50"/>
              <w:rPr>
                <w:rFonts w:ascii="Times New Roman" w:hAnsi="Times New Roman"/>
                <w:sz w:val="21"/>
                <w:szCs w:val="21"/>
              </w:rPr>
            </w:pPr>
            <w:r>
              <w:rPr>
                <w:rFonts w:ascii="Times New Roman" w:hAnsi="Times New Roman" w:eastAsia="仿宋_GB2312" w:cs="Times New Roman"/>
                <w:kern w:val="2"/>
                <w:sz w:val="21"/>
                <w:szCs w:val="21"/>
                <w:lang w:val="en-US" w:eastAsia="zh-CN" w:bidi="ar-SA"/>
              </w:rPr>
              <w:t>预算支出完成的质量达标产出数与实际产出数的比率，用以反映和考核预算支出产出质量目 标的实现程度。</w:t>
            </w:r>
          </w:p>
        </w:tc>
        <w:tc>
          <w:tcPr>
            <w:tcW w:w="3002" w:type="dxa"/>
            <w:noWrap w:val="0"/>
            <w:tcMar>
              <w:top w:w="10" w:type="dxa"/>
              <w:left w:w="10" w:type="dxa"/>
              <w:bottom w:w="0" w:type="dxa"/>
              <w:right w:w="10" w:type="dxa"/>
            </w:tcMar>
            <w:vAlign w:val="center"/>
          </w:tcPr>
          <w:p w14:paraId="1C80BFF1">
            <w:pPr>
              <w:spacing w:line="260" w:lineRule="exact"/>
              <w:ind w:left="105" w:leftChars="50" w:right="105" w:rightChars="50"/>
              <w:rPr>
                <w:rFonts w:ascii="Times New Roman" w:hAnsi="Times New Roman"/>
                <w:sz w:val="21"/>
                <w:szCs w:val="21"/>
              </w:rPr>
            </w:pPr>
            <w:r>
              <w:rPr>
                <w:rFonts w:ascii="Times New Roman" w:hAnsi="Times New Roman"/>
                <w:sz w:val="21"/>
                <w:szCs w:val="21"/>
              </w:rPr>
              <w:t>质量达标率=（质量达标产出数/实际产出数）×100%。</w:t>
            </w:r>
            <w:r>
              <w:rPr>
                <w:rFonts w:ascii="Times New Roman" w:hAnsi="Times New Roman"/>
                <w:sz w:val="21"/>
                <w:szCs w:val="21"/>
              </w:rPr>
              <w:br w:type="textWrapping"/>
            </w:r>
            <w:r>
              <w:rPr>
                <w:rFonts w:ascii="Times New Roman" w:hAnsi="Times New Roman"/>
                <w:sz w:val="21"/>
                <w:szCs w:val="21"/>
              </w:rPr>
              <w:t>质量达标产出数：一定时期（本年度或预算支出期）内实际达到既定质量标准的产品或服务数量。既定质量标准是指预算支出实施单位设立绩效目标时依据计划标准、行业标准、历史标准或其他标准而设定的绩效指标值。</w:t>
            </w:r>
          </w:p>
        </w:tc>
        <w:tc>
          <w:tcPr>
            <w:tcW w:w="1109" w:type="dxa"/>
            <w:noWrap w:val="0"/>
            <w:tcMar>
              <w:top w:w="10" w:type="dxa"/>
              <w:left w:w="10" w:type="dxa"/>
              <w:bottom w:w="0" w:type="dxa"/>
              <w:right w:w="10" w:type="dxa"/>
            </w:tcMar>
            <w:vAlign w:val="center"/>
          </w:tcPr>
          <w:p w14:paraId="35053BFB">
            <w:pPr>
              <w:spacing w:line="260" w:lineRule="exact"/>
              <w:ind w:left="105" w:leftChars="50" w:right="105" w:rightChars="50"/>
              <w:jc w:val="center"/>
              <w:rPr>
                <w:rFonts w:hint="default" w:ascii="Times New Roman" w:hAnsi="Times New Roman" w:eastAsia="仿宋_GB2312"/>
                <w:sz w:val="21"/>
                <w:szCs w:val="21"/>
                <w:lang w:val="en-US" w:eastAsia="zh-CN"/>
              </w:rPr>
            </w:pPr>
            <w:r>
              <w:rPr>
                <w:rFonts w:hint="eastAsia" w:ascii="Times New Roman" w:hAnsi="Times New Roman"/>
                <w:sz w:val="21"/>
                <w:szCs w:val="21"/>
                <w:lang w:val="en-US" w:eastAsia="zh-CN"/>
              </w:rPr>
              <w:t>12</w:t>
            </w:r>
          </w:p>
        </w:tc>
      </w:tr>
      <w:tr w14:paraId="084C0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84" w:hRule="atLeast"/>
        </w:trPr>
        <w:tc>
          <w:tcPr>
            <w:tcW w:w="710" w:type="dxa"/>
            <w:vMerge w:val="continue"/>
            <w:noWrap w:val="0"/>
            <w:vAlign w:val="center"/>
          </w:tcPr>
          <w:p w14:paraId="1C025435">
            <w:pPr>
              <w:rPr>
                <w:rFonts w:ascii="Times New Roman" w:hAnsi="Times New Roman"/>
                <w:sz w:val="21"/>
                <w:szCs w:val="21"/>
              </w:rPr>
            </w:pPr>
          </w:p>
        </w:tc>
        <w:tc>
          <w:tcPr>
            <w:tcW w:w="850" w:type="dxa"/>
            <w:noWrap w:val="0"/>
            <w:vAlign w:val="center"/>
          </w:tcPr>
          <w:p w14:paraId="0B2F0603">
            <w:pPr>
              <w:jc w:val="center"/>
              <w:rPr>
                <w:rFonts w:ascii="Times New Roman" w:hAnsi="Times New Roman"/>
                <w:sz w:val="21"/>
                <w:szCs w:val="21"/>
              </w:rPr>
            </w:pPr>
            <w:r>
              <w:rPr>
                <w:rFonts w:ascii="Times New Roman" w:hAnsi="Times New Roman"/>
                <w:sz w:val="21"/>
                <w:szCs w:val="21"/>
              </w:rPr>
              <w:t>产出</w:t>
            </w:r>
          </w:p>
          <w:p w14:paraId="79D4BDEE">
            <w:pPr>
              <w:jc w:val="center"/>
              <w:rPr>
                <w:rFonts w:ascii="Times New Roman" w:hAnsi="Times New Roman"/>
                <w:sz w:val="21"/>
                <w:szCs w:val="21"/>
              </w:rPr>
            </w:pPr>
            <w:r>
              <w:rPr>
                <w:rFonts w:ascii="Times New Roman" w:hAnsi="Times New Roman"/>
                <w:sz w:val="21"/>
                <w:szCs w:val="21"/>
              </w:rPr>
              <w:t>时效</w:t>
            </w:r>
          </w:p>
        </w:tc>
        <w:tc>
          <w:tcPr>
            <w:tcW w:w="1276" w:type="dxa"/>
            <w:noWrap w:val="0"/>
            <w:tcMar>
              <w:top w:w="10" w:type="dxa"/>
              <w:left w:w="10" w:type="dxa"/>
              <w:bottom w:w="0" w:type="dxa"/>
              <w:right w:w="10" w:type="dxa"/>
            </w:tcMar>
            <w:vAlign w:val="center"/>
          </w:tcPr>
          <w:p w14:paraId="7AF8F348">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完成</w:t>
            </w:r>
          </w:p>
          <w:p w14:paraId="4DCB1FF5">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及时性</w:t>
            </w:r>
          </w:p>
        </w:tc>
        <w:tc>
          <w:tcPr>
            <w:tcW w:w="709" w:type="dxa"/>
            <w:noWrap w:val="0"/>
            <w:tcMar>
              <w:top w:w="10" w:type="dxa"/>
              <w:left w:w="10" w:type="dxa"/>
              <w:bottom w:w="0" w:type="dxa"/>
              <w:right w:w="10" w:type="dxa"/>
            </w:tcMar>
            <w:vAlign w:val="center"/>
          </w:tcPr>
          <w:p w14:paraId="2EB63701">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5</w:t>
            </w:r>
          </w:p>
        </w:tc>
        <w:tc>
          <w:tcPr>
            <w:tcW w:w="1984" w:type="dxa"/>
            <w:noWrap w:val="0"/>
            <w:tcMar>
              <w:top w:w="10" w:type="dxa"/>
              <w:left w:w="10" w:type="dxa"/>
              <w:bottom w:w="0" w:type="dxa"/>
              <w:right w:w="10" w:type="dxa"/>
            </w:tcMar>
            <w:vAlign w:val="center"/>
          </w:tcPr>
          <w:p w14:paraId="0E92B133">
            <w:pPr>
              <w:spacing w:line="260" w:lineRule="exact"/>
              <w:ind w:left="105" w:leftChars="50" w:right="105" w:rightChars="50"/>
              <w:rPr>
                <w:rFonts w:ascii="Times New Roman" w:hAnsi="Times New Roman"/>
                <w:sz w:val="21"/>
                <w:szCs w:val="21"/>
              </w:rPr>
            </w:pPr>
            <w:r>
              <w:rPr>
                <w:rFonts w:hint="eastAsia"/>
                <w:spacing w:val="-2"/>
                <w:sz w:val="21"/>
                <w:szCs w:val="21"/>
                <w:lang w:eastAsia="zh-CN"/>
              </w:rPr>
              <w:t>全年按节点全面推进禁毒工作。</w:t>
            </w:r>
            <w:r>
              <w:rPr>
                <w:rFonts w:ascii="Times New Roman" w:hAnsi="Times New Roman"/>
                <w:sz w:val="21"/>
                <w:szCs w:val="21"/>
              </w:rPr>
              <w:t>预算支出实际完成时间与计划完成时间的比较，用以反映和考核预算支出产出时效目标的实现程度。</w:t>
            </w:r>
          </w:p>
        </w:tc>
        <w:tc>
          <w:tcPr>
            <w:tcW w:w="3002" w:type="dxa"/>
            <w:noWrap w:val="0"/>
            <w:tcMar>
              <w:top w:w="10" w:type="dxa"/>
              <w:left w:w="10" w:type="dxa"/>
              <w:bottom w:w="0" w:type="dxa"/>
              <w:right w:w="10" w:type="dxa"/>
            </w:tcMar>
            <w:vAlign w:val="center"/>
          </w:tcPr>
          <w:p w14:paraId="322EF658">
            <w:pPr>
              <w:spacing w:line="260" w:lineRule="exact"/>
              <w:ind w:left="105" w:leftChars="50" w:right="105" w:rightChars="50"/>
              <w:rPr>
                <w:rFonts w:ascii="Times New Roman" w:hAnsi="Times New Roman"/>
                <w:sz w:val="21"/>
                <w:szCs w:val="21"/>
              </w:rPr>
            </w:pPr>
            <w:r>
              <w:rPr>
                <w:rFonts w:ascii="Times New Roman" w:hAnsi="Times New Roman"/>
                <w:sz w:val="21"/>
                <w:szCs w:val="21"/>
              </w:rPr>
              <w:t>实际完成时间：预算支出实施单位完成该预算支出实际所耗用的时间。</w:t>
            </w:r>
            <w:r>
              <w:rPr>
                <w:rFonts w:ascii="Times New Roman" w:hAnsi="Times New Roman"/>
                <w:sz w:val="21"/>
                <w:szCs w:val="21"/>
              </w:rPr>
              <w:br w:type="textWrapping"/>
            </w:r>
            <w:r>
              <w:rPr>
                <w:rFonts w:ascii="Times New Roman" w:hAnsi="Times New Roman"/>
                <w:sz w:val="21"/>
                <w:szCs w:val="21"/>
              </w:rPr>
              <w:t>计划完成时间：按照预算支出实施计划或相关规定完成该预算支出所需的时间。</w:t>
            </w:r>
          </w:p>
        </w:tc>
        <w:tc>
          <w:tcPr>
            <w:tcW w:w="1109" w:type="dxa"/>
            <w:noWrap w:val="0"/>
            <w:tcMar>
              <w:top w:w="10" w:type="dxa"/>
              <w:left w:w="10" w:type="dxa"/>
              <w:bottom w:w="0" w:type="dxa"/>
              <w:right w:w="10" w:type="dxa"/>
            </w:tcMar>
            <w:vAlign w:val="center"/>
          </w:tcPr>
          <w:p w14:paraId="16407A3D">
            <w:pPr>
              <w:spacing w:line="260" w:lineRule="exact"/>
              <w:ind w:left="105" w:leftChars="50" w:right="105" w:rightChars="50"/>
              <w:jc w:val="center"/>
              <w:rPr>
                <w:rFonts w:hint="eastAsia" w:ascii="Times New Roman" w:hAnsi="Times New Roman" w:eastAsia="仿宋_GB2312"/>
                <w:sz w:val="21"/>
                <w:szCs w:val="21"/>
                <w:lang w:val="en-US" w:eastAsia="zh-CN"/>
              </w:rPr>
            </w:pPr>
            <w:r>
              <w:rPr>
                <w:rFonts w:hint="eastAsia" w:ascii="Times New Roman" w:hAnsi="Times New Roman"/>
                <w:sz w:val="21"/>
                <w:szCs w:val="21"/>
                <w:lang w:val="en-US" w:eastAsia="zh-CN"/>
              </w:rPr>
              <w:t>5</w:t>
            </w:r>
          </w:p>
        </w:tc>
      </w:tr>
      <w:tr w14:paraId="5A94C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710" w:type="dxa"/>
            <w:vMerge w:val="continue"/>
            <w:noWrap w:val="0"/>
            <w:vAlign w:val="center"/>
          </w:tcPr>
          <w:p w14:paraId="031BEA0E">
            <w:pPr>
              <w:spacing w:line="500" w:lineRule="exact"/>
              <w:ind w:left="113"/>
              <w:jc w:val="center"/>
              <w:rPr>
                <w:rFonts w:ascii="Times New Roman" w:hAnsi="Times New Roman"/>
                <w:sz w:val="21"/>
                <w:szCs w:val="21"/>
              </w:rPr>
            </w:pPr>
          </w:p>
        </w:tc>
        <w:tc>
          <w:tcPr>
            <w:tcW w:w="850" w:type="dxa"/>
            <w:noWrap w:val="0"/>
            <w:vAlign w:val="center"/>
          </w:tcPr>
          <w:p w14:paraId="72BE87FA">
            <w:pPr>
              <w:jc w:val="center"/>
              <w:rPr>
                <w:rFonts w:ascii="Times New Roman" w:hAnsi="Times New Roman"/>
                <w:sz w:val="21"/>
                <w:szCs w:val="21"/>
              </w:rPr>
            </w:pPr>
            <w:r>
              <w:rPr>
                <w:rFonts w:ascii="Times New Roman" w:hAnsi="Times New Roman"/>
                <w:sz w:val="21"/>
                <w:szCs w:val="21"/>
              </w:rPr>
              <w:t>产出</w:t>
            </w:r>
          </w:p>
          <w:p w14:paraId="59CFBF03">
            <w:pPr>
              <w:jc w:val="center"/>
              <w:rPr>
                <w:rFonts w:ascii="Times New Roman" w:hAnsi="Times New Roman"/>
                <w:sz w:val="21"/>
                <w:szCs w:val="21"/>
              </w:rPr>
            </w:pPr>
            <w:r>
              <w:rPr>
                <w:rFonts w:ascii="Times New Roman" w:hAnsi="Times New Roman"/>
                <w:sz w:val="21"/>
                <w:szCs w:val="21"/>
              </w:rPr>
              <w:t>成本</w:t>
            </w:r>
          </w:p>
        </w:tc>
        <w:tc>
          <w:tcPr>
            <w:tcW w:w="1276" w:type="dxa"/>
            <w:noWrap w:val="0"/>
            <w:tcMar>
              <w:top w:w="10" w:type="dxa"/>
              <w:left w:w="10" w:type="dxa"/>
              <w:bottom w:w="0" w:type="dxa"/>
              <w:right w:w="10" w:type="dxa"/>
            </w:tcMar>
            <w:vAlign w:val="center"/>
          </w:tcPr>
          <w:p w14:paraId="6E652845">
            <w:pPr>
              <w:spacing w:line="260" w:lineRule="exact"/>
              <w:ind w:left="105" w:leftChars="50" w:right="105" w:rightChars="50"/>
              <w:jc w:val="center"/>
              <w:rPr>
                <w:rFonts w:ascii="Times New Roman" w:hAnsi="Times New Roman"/>
                <w:sz w:val="21"/>
                <w:szCs w:val="21"/>
              </w:rPr>
            </w:pPr>
            <w:r>
              <w:rPr>
                <w:rFonts w:hint="eastAsia" w:ascii="Times New Roman" w:hAnsi="Times New Roman"/>
                <w:sz w:val="21"/>
                <w:szCs w:val="21"/>
                <w:lang w:eastAsia="zh-CN"/>
              </w:rPr>
              <w:t>专款专用</w:t>
            </w:r>
            <w:r>
              <w:rPr>
                <w:rFonts w:ascii="Times New Roman" w:hAnsi="Times New Roman"/>
                <w:sz w:val="21"/>
                <w:szCs w:val="21"/>
              </w:rPr>
              <w:t>率</w:t>
            </w:r>
          </w:p>
        </w:tc>
        <w:tc>
          <w:tcPr>
            <w:tcW w:w="709" w:type="dxa"/>
            <w:noWrap w:val="0"/>
            <w:tcMar>
              <w:top w:w="10" w:type="dxa"/>
              <w:left w:w="10" w:type="dxa"/>
              <w:bottom w:w="0" w:type="dxa"/>
              <w:right w:w="10" w:type="dxa"/>
            </w:tcMar>
            <w:vAlign w:val="center"/>
          </w:tcPr>
          <w:p w14:paraId="15204D62">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5</w:t>
            </w:r>
          </w:p>
        </w:tc>
        <w:tc>
          <w:tcPr>
            <w:tcW w:w="1984" w:type="dxa"/>
            <w:noWrap w:val="0"/>
            <w:tcMar>
              <w:top w:w="10" w:type="dxa"/>
              <w:left w:w="10" w:type="dxa"/>
              <w:bottom w:w="0" w:type="dxa"/>
              <w:right w:w="10" w:type="dxa"/>
            </w:tcMar>
            <w:vAlign w:val="center"/>
          </w:tcPr>
          <w:p w14:paraId="267153CA">
            <w:pPr>
              <w:pStyle w:val="6"/>
              <w:spacing w:before="68" w:line="227" w:lineRule="auto"/>
              <w:ind w:left="134" w:right="137" w:firstLine="19"/>
              <w:jc w:val="both"/>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1"/>
                <w:szCs w:val="21"/>
                <w:lang w:val="en-US" w:eastAsia="zh-CN" w:bidi="ar-SA"/>
              </w:rPr>
              <w:t>项目预算安排</w:t>
            </w:r>
            <w:r>
              <w:rPr>
                <w:rFonts w:hint="default" w:ascii="Times New Roman" w:hAnsi="Times New Roman" w:eastAsia="仿宋_GB2312" w:cs="Times New Roman"/>
                <w:kern w:val="2"/>
                <w:sz w:val="21"/>
                <w:szCs w:val="21"/>
                <w:lang w:val="en" w:eastAsia="zh-CN" w:bidi="ar-SA"/>
              </w:rPr>
              <w:t>195</w:t>
            </w:r>
            <w:r>
              <w:rPr>
                <w:rFonts w:hint="eastAsia" w:ascii="Times New Roman" w:hAnsi="Times New Roman" w:eastAsia="仿宋_GB2312" w:cs="Times New Roman"/>
                <w:kern w:val="2"/>
                <w:sz w:val="21"/>
                <w:szCs w:val="21"/>
                <w:lang w:val="en-US" w:eastAsia="zh-CN" w:bidi="ar-SA"/>
              </w:rPr>
              <w:t>万元，项目支出</w:t>
            </w:r>
            <w:r>
              <w:rPr>
                <w:rFonts w:hint="default" w:ascii="Times New Roman" w:hAnsi="Times New Roman" w:eastAsia="仿宋_GB2312" w:cs="Times New Roman"/>
                <w:kern w:val="2"/>
                <w:sz w:val="21"/>
                <w:szCs w:val="21"/>
                <w:lang w:val="en" w:eastAsia="zh-CN" w:bidi="ar-SA"/>
              </w:rPr>
              <w:t>195</w:t>
            </w:r>
            <w:r>
              <w:rPr>
                <w:rFonts w:hint="eastAsia" w:ascii="Times New Roman" w:hAnsi="Times New Roman" w:eastAsia="仿宋_GB2312" w:cs="Times New Roman"/>
                <w:kern w:val="2"/>
                <w:sz w:val="21"/>
                <w:szCs w:val="21"/>
                <w:lang w:val="en-US" w:eastAsia="zh-CN" w:bidi="ar-SA"/>
              </w:rPr>
              <w:t>万元。没有超出预算安排资金范围。</w:t>
            </w:r>
          </w:p>
          <w:p w14:paraId="73419848">
            <w:pPr>
              <w:spacing w:line="260" w:lineRule="exact"/>
              <w:ind w:left="105" w:leftChars="50" w:right="105" w:rightChars="50"/>
              <w:rPr>
                <w:rFonts w:ascii="Times New Roman" w:hAnsi="Times New Roman"/>
                <w:sz w:val="21"/>
                <w:szCs w:val="21"/>
              </w:rPr>
            </w:pPr>
          </w:p>
        </w:tc>
        <w:tc>
          <w:tcPr>
            <w:tcW w:w="3002" w:type="dxa"/>
            <w:noWrap w:val="0"/>
            <w:tcMar>
              <w:top w:w="10" w:type="dxa"/>
              <w:left w:w="10" w:type="dxa"/>
              <w:bottom w:w="0" w:type="dxa"/>
              <w:right w:w="10" w:type="dxa"/>
            </w:tcMar>
            <w:vAlign w:val="center"/>
          </w:tcPr>
          <w:p w14:paraId="69A102EC">
            <w:pPr>
              <w:spacing w:line="260" w:lineRule="exact"/>
              <w:ind w:left="105" w:leftChars="50" w:right="105" w:rightChars="50"/>
              <w:rPr>
                <w:rFonts w:hint="default" w:ascii="Times New Roman" w:hAnsi="Times New Roman" w:eastAsia="仿宋_GB2312"/>
                <w:sz w:val="21"/>
                <w:szCs w:val="21"/>
                <w:lang w:val="en-US" w:eastAsia="zh-CN"/>
              </w:rPr>
            </w:pPr>
            <w:r>
              <w:rPr>
                <w:rFonts w:hint="eastAsia" w:ascii="Times New Roman" w:hAnsi="Times New Roman"/>
                <w:sz w:val="21"/>
                <w:szCs w:val="21"/>
                <w:lang w:eastAsia="zh-CN"/>
              </w:rPr>
              <w:t>反映项目资金使用的合规性与成本控制的有效性。专款专用率</w:t>
            </w:r>
            <w:r>
              <w:rPr>
                <w:rFonts w:hint="eastAsia" w:ascii="Times New Roman" w:hAnsi="Times New Roman"/>
                <w:sz w:val="21"/>
                <w:szCs w:val="21"/>
                <w:lang w:val="en-US" w:eastAsia="zh-CN"/>
              </w:rPr>
              <w:t>=（实际用于规定用途的专项资金额/项目实际支出的资金总额）*100%。该指标衡量项目支出是否严格按照预算批复及财务管理制度规定的范围和标准执行，杜绝挤占、挪用、截留或调剂使用，确保每一笔成本性支出均服务于项目既定产出。</w:t>
            </w:r>
          </w:p>
        </w:tc>
        <w:tc>
          <w:tcPr>
            <w:tcW w:w="1109" w:type="dxa"/>
            <w:noWrap w:val="0"/>
            <w:tcMar>
              <w:top w:w="10" w:type="dxa"/>
              <w:left w:w="10" w:type="dxa"/>
              <w:bottom w:w="0" w:type="dxa"/>
              <w:right w:w="10" w:type="dxa"/>
            </w:tcMar>
            <w:vAlign w:val="center"/>
          </w:tcPr>
          <w:p w14:paraId="27C7C7BC">
            <w:pPr>
              <w:spacing w:line="260" w:lineRule="exact"/>
              <w:ind w:left="105" w:leftChars="50" w:right="105" w:rightChars="50"/>
              <w:jc w:val="center"/>
              <w:rPr>
                <w:rFonts w:hint="eastAsia" w:ascii="Times New Roman" w:hAnsi="Times New Roman" w:eastAsia="仿宋_GB2312"/>
                <w:sz w:val="21"/>
                <w:szCs w:val="21"/>
                <w:lang w:val="en-US" w:eastAsia="zh-CN"/>
              </w:rPr>
            </w:pPr>
            <w:r>
              <w:rPr>
                <w:rFonts w:hint="eastAsia" w:ascii="Times New Roman" w:hAnsi="Times New Roman"/>
                <w:sz w:val="21"/>
                <w:szCs w:val="21"/>
                <w:lang w:val="en-US" w:eastAsia="zh-CN"/>
              </w:rPr>
              <w:t>5</w:t>
            </w:r>
          </w:p>
        </w:tc>
      </w:tr>
      <w:tr w14:paraId="1C910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48" w:hRule="atLeast"/>
        </w:trPr>
        <w:tc>
          <w:tcPr>
            <w:tcW w:w="710" w:type="dxa"/>
            <w:vMerge w:val="restart"/>
            <w:noWrap/>
            <w:tcMar>
              <w:top w:w="10" w:type="dxa"/>
              <w:left w:w="10" w:type="dxa"/>
              <w:bottom w:w="0" w:type="dxa"/>
              <w:right w:w="10" w:type="dxa"/>
            </w:tcMar>
            <w:textDirection w:val="tbRlV"/>
            <w:vAlign w:val="center"/>
          </w:tcPr>
          <w:p w14:paraId="006051D0">
            <w:pPr>
              <w:jc w:val="center"/>
              <w:rPr>
                <w:rFonts w:ascii="Times New Roman" w:hAnsi="Times New Roman"/>
                <w:sz w:val="21"/>
                <w:szCs w:val="21"/>
              </w:rPr>
            </w:pPr>
            <w:r>
              <w:rPr>
                <w:rFonts w:ascii="Times New Roman" w:hAnsi="Times New Roman"/>
                <w:sz w:val="21"/>
                <w:szCs w:val="21"/>
              </w:rPr>
              <w:t>效   益</w:t>
            </w:r>
          </w:p>
        </w:tc>
        <w:tc>
          <w:tcPr>
            <w:tcW w:w="850" w:type="dxa"/>
            <w:vMerge w:val="restart"/>
            <w:noWrap w:val="0"/>
            <w:tcMar>
              <w:top w:w="10" w:type="dxa"/>
              <w:left w:w="10" w:type="dxa"/>
              <w:bottom w:w="0" w:type="dxa"/>
              <w:right w:w="10" w:type="dxa"/>
            </w:tcMar>
            <w:vAlign w:val="center"/>
          </w:tcPr>
          <w:p w14:paraId="51D039C7">
            <w:pPr>
              <w:jc w:val="center"/>
              <w:rPr>
                <w:rFonts w:ascii="Times New Roman" w:hAnsi="Times New Roman"/>
                <w:sz w:val="21"/>
                <w:szCs w:val="21"/>
              </w:rPr>
            </w:pPr>
            <w:r>
              <w:rPr>
                <w:rFonts w:ascii="Times New Roman" w:hAnsi="Times New Roman"/>
                <w:sz w:val="21"/>
                <w:szCs w:val="21"/>
              </w:rPr>
              <w:t>预算</w:t>
            </w:r>
          </w:p>
          <w:p w14:paraId="5047CB74">
            <w:pPr>
              <w:jc w:val="center"/>
              <w:rPr>
                <w:rFonts w:ascii="Times New Roman" w:hAnsi="Times New Roman"/>
                <w:sz w:val="21"/>
                <w:szCs w:val="21"/>
              </w:rPr>
            </w:pPr>
            <w:r>
              <w:rPr>
                <w:rFonts w:ascii="Times New Roman" w:hAnsi="Times New Roman"/>
                <w:sz w:val="21"/>
                <w:szCs w:val="21"/>
              </w:rPr>
              <w:t>支出</w:t>
            </w:r>
            <w:r>
              <w:rPr>
                <w:rFonts w:ascii="Times New Roman" w:hAnsi="Times New Roman"/>
                <w:sz w:val="21"/>
                <w:szCs w:val="21"/>
              </w:rPr>
              <w:br w:type="textWrapping"/>
            </w:r>
            <w:r>
              <w:rPr>
                <w:rFonts w:ascii="Times New Roman" w:hAnsi="Times New Roman"/>
                <w:sz w:val="21"/>
                <w:szCs w:val="21"/>
              </w:rPr>
              <w:t>效益</w:t>
            </w:r>
          </w:p>
        </w:tc>
        <w:tc>
          <w:tcPr>
            <w:tcW w:w="1276" w:type="dxa"/>
            <w:noWrap w:val="0"/>
            <w:tcMar>
              <w:top w:w="10" w:type="dxa"/>
              <w:left w:w="10" w:type="dxa"/>
              <w:bottom w:w="0" w:type="dxa"/>
              <w:right w:w="10" w:type="dxa"/>
            </w:tcMar>
            <w:vAlign w:val="center"/>
          </w:tcPr>
          <w:p w14:paraId="43093DA6">
            <w:pPr>
              <w:spacing w:line="260" w:lineRule="exact"/>
              <w:ind w:left="105" w:leftChars="50" w:right="105" w:rightChars="50"/>
              <w:jc w:val="center"/>
              <w:rPr>
                <w:rFonts w:hint="eastAsia" w:ascii="Times New Roman" w:hAnsi="Times New Roman" w:eastAsia="仿宋_GB2312"/>
                <w:sz w:val="21"/>
                <w:szCs w:val="21"/>
                <w:lang w:eastAsia="zh-CN"/>
              </w:rPr>
            </w:pPr>
            <w:r>
              <w:rPr>
                <w:rFonts w:hint="eastAsia" w:ascii="Times New Roman" w:hAnsi="Times New Roman"/>
                <w:sz w:val="21"/>
                <w:szCs w:val="21"/>
                <w:lang w:eastAsia="zh-CN"/>
              </w:rPr>
              <w:t>可持续影响指标</w:t>
            </w:r>
          </w:p>
        </w:tc>
        <w:tc>
          <w:tcPr>
            <w:tcW w:w="709" w:type="dxa"/>
            <w:noWrap w:val="0"/>
            <w:tcMar>
              <w:top w:w="10" w:type="dxa"/>
              <w:left w:w="10" w:type="dxa"/>
              <w:bottom w:w="0" w:type="dxa"/>
              <w:right w:w="10" w:type="dxa"/>
            </w:tcMar>
            <w:vAlign w:val="center"/>
          </w:tcPr>
          <w:p w14:paraId="79DA2EF4">
            <w:pPr>
              <w:spacing w:line="260" w:lineRule="exact"/>
              <w:ind w:left="105" w:leftChars="50" w:right="105" w:rightChars="50"/>
              <w:jc w:val="center"/>
              <w:rPr>
                <w:rFonts w:hint="default" w:ascii="Times New Roman" w:hAnsi="Times New Roman" w:eastAsia="仿宋_GB2312"/>
                <w:sz w:val="21"/>
                <w:szCs w:val="21"/>
                <w:lang w:val="en-US" w:eastAsia="zh-CN"/>
              </w:rPr>
            </w:pPr>
            <w:r>
              <w:rPr>
                <w:rFonts w:hint="eastAsia" w:ascii="Times New Roman" w:hAnsi="Times New Roman"/>
                <w:sz w:val="21"/>
                <w:szCs w:val="21"/>
                <w:lang w:val="en-US" w:eastAsia="zh-CN"/>
              </w:rPr>
              <w:t>10</w:t>
            </w:r>
          </w:p>
        </w:tc>
        <w:tc>
          <w:tcPr>
            <w:tcW w:w="1984" w:type="dxa"/>
            <w:noWrap w:val="0"/>
            <w:tcMar>
              <w:top w:w="10" w:type="dxa"/>
              <w:left w:w="10" w:type="dxa"/>
              <w:bottom w:w="0" w:type="dxa"/>
              <w:right w:w="10" w:type="dxa"/>
            </w:tcMar>
            <w:vAlign w:val="center"/>
          </w:tcPr>
          <w:p w14:paraId="5058BCD9">
            <w:pPr>
              <w:spacing w:line="260" w:lineRule="exact"/>
              <w:ind w:left="105" w:leftChars="50" w:right="105" w:rightChars="50"/>
              <w:rPr>
                <w:rFonts w:hint="eastAsia" w:ascii="Times New Roman" w:hAnsi="Times New Roman" w:eastAsia="仿宋_GB2312"/>
                <w:sz w:val="21"/>
                <w:szCs w:val="21"/>
                <w:lang w:eastAsia="zh-CN"/>
              </w:rPr>
            </w:pPr>
            <w:r>
              <w:rPr>
                <w:rFonts w:hint="eastAsia" w:ascii="Times New Roman" w:hAnsi="Times New Roman"/>
                <w:sz w:val="21"/>
                <w:szCs w:val="21"/>
                <w:lang w:eastAsia="zh-CN"/>
              </w:rPr>
              <w:t>毒情形势明显好转</w:t>
            </w:r>
          </w:p>
        </w:tc>
        <w:tc>
          <w:tcPr>
            <w:tcW w:w="3002" w:type="dxa"/>
            <w:noWrap w:val="0"/>
            <w:tcMar>
              <w:top w:w="10" w:type="dxa"/>
              <w:left w:w="10" w:type="dxa"/>
              <w:bottom w:w="0" w:type="dxa"/>
              <w:right w:w="10" w:type="dxa"/>
            </w:tcMar>
            <w:vAlign w:val="center"/>
          </w:tcPr>
          <w:p w14:paraId="6323BA43">
            <w:pPr>
              <w:spacing w:line="260" w:lineRule="exact"/>
              <w:ind w:left="105" w:leftChars="50" w:right="105" w:rightChars="50"/>
              <w:rPr>
                <w:rFonts w:hint="default" w:ascii="Times New Roman" w:hAnsi="Times New Roman"/>
                <w:sz w:val="21"/>
                <w:szCs w:val="21"/>
                <w:lang w:val="en-US"/>
              </w:rPr>
            </w:pPr>
            <w:r>
              <w:rPr>
                <w:rFonts w:hint="eastAsia" w:ascii="Times New Roman" w:hAnsi="Times New Roman" w:cs="Times New Roman"/>
                <w:sz w:val="21"/>
                <w:szCs w:val="21"/>
                <w:lang w:eastAsia="zh-CN"/>
              </w:rPr>
              <w:t>反应项目实施后</w:t>
            </w:r>
            <w:r>
              <w:rPr>
                <w:rFonts w:hint="default" w:ascii="Times New Roman" w:hAnsi="Times New Roman" w:cs="Times New Roman"/>
                <w:sz w:val="21"/>
                <w:szCs w:val="21"/>
                <w:lang w:eastAsia="zh-CN"/>
              </w:rPr>
              <w:t>无突出毒品滥用问题，无被国家、省禁毒委挂牌整治清形</w:t>
            </w:r>
            <w:r>
              <w:rPr>
                <w:rFonts w:hint="eastAsia" w:ascii="Times New Roman" w:hAnsi="Times New Roman" w:cs="Times New Roman"/>
                <w:sz w:val="21"/>
                <w:szCs w:val="21"/>
                <w:lang w:eastAsia="zh-CN"/>
              </w:rPr>
              <w:t>。</w:t>
            </w:r>
          </w:p>
        </w:tc>
        <w:tc>
          <w:tcPr>
            <w:tcW w:w="1109" w:type="dxa"/>
            <w:noWrap w:val="0"/>
            <w:tcMar>
              <w:top w:w="10" w:type="dxa"/>
              <w:left w:w="10" w:type="dxa"/>
              <w:bottom w:w="0" w:type="dxa"/>
              <w:right w:w="10" w:type="dxa"/>
            </w:tcMar>
            <w:vAlign w:val="center"/>
          </w:tcPr>
          <w:p w14:paraId="280E77EE">
            <w:pPr>
              <w:spacing w:line="260" w:lineRule="exact"/>
              <w:ind w:left="105" w:leftChars="50" w:right="105" w:rightChars="50"/>
              <w:jc w:val="center"/>
              <w:rPr>
                <w:rFonts w:hint="default" w:ascii="Times New Roman" w:hAnsi="Times New Roman" w:eastAsia="仿宋_GB2312"/>
                <w:sz w:val="21"/>
                <w:szCs w:val="21"/>
                <w:lang w:val="en-US" w:eastAsia="zh-CN"/>
              </w:rPr>
            </w:pPr>
            <w:r>
              <w:rPr>
                <w:rFonts w:hint="eastAsia" w:ascii="Times New Roman" w:hAnsi="Times New Roman"/>
                <w:sz w:val="21"/>
                <w:szCs w:val="21"/>
                <w:lang w:val="en-US" w:eastAsia="zh-CN"/>
              </w:rPr>
              <w:t>10</w:t>
            </w:r>
          </w:p>
        </w:tc>
      </w:tr>
      <w:tr w14:paraId="1C917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48" w:hRule="atLeast"/>
        </w:trPr>
        <w:tc>
          <w:tcPr>
            <w:tcW w:w="710" w:type="dxa"/>
            <w:vMerge w:val="continue"/>
            <w:noWrap/>
            <w:tcMar>
              <w:top w:w="10" w:type="dxa"/>
              <w:left w:w="10" w:type="dxa"/>
              <w:bottom w:w="0" w:type="dxa"/>
              <w:right w:w="10" w:type="dxa"/>
            </w:tcMar>
            <w:textDirection w:val="tbRlV"/>
            <w:vAlign w:val="center"/>
          </w:tcPr>
          <w:p w14:paraId="4992C0A6">
            <w:pPr>
              <w:jc w:val="center"/>
              <w:rPr>
                <w:rFonts w:ascii="Times New Roman" w:hAnsi="Times New Roman"/>
                <w:sz w:val="21"/>
                <w:szCs w:val="21"/>
              </w:rPr>
            </w:pPr>
          </w:p>
        </w:tc>
        <w:tc>
          <w:tcPr>
            <w:tcW w:w="850" w:type="dxa"/>
            <w:vMerge w:val="continue"/>
            <w:noWrap w:val="0"/>
            <w:tcMar>
              <w:top w:w="10" w:type="dxa"/>
              <w:left w:w="10" w:type="dxa"/>
              <w:bottom w:w="0" w:type="dxa"/>
              <w:right w:w="10" w:type="dxa"/>
            </w:tcMar>
            <w:vAlign w:val="center"/>
          </w:tcPr>
          <w:p w14:paraId="41C414E7">
            <w:pPr>
              <w:jc w:val="center"/>
              <w:rPr>
                <w:rFonts w:ascii="Times New Roman" w:hAnsi="Times New Roman"/>
                <w:sz w:val="21"/>
                <w:szCs w:val="21"/>
              </w:rPr>
            </w:pPr>
          </w:p>
        </w:tc>
        <w:tc>
          <w:tcPr>
            <w:tcW w:w="1276" w:type="dxa"/>
            <w:noWrap w:val="0"/>
            <w:tcMar>
              <w:top w:w="10" w:type="dxa"/>
              <w:left w:w="10" w:type="dxa"/>
              <w:bottom w:w="0" w:type="dxa"/>
              <w:right w:w="10" w:type="dxa"/>
            </w:tcMar>
            <w:vAlign w:val="center"/>
          </w:tcPr>
          <w:p w14:paraId="7EE73617">
            <w:pPr>
              <w:spacing w:line="260" w:lineRule="exact"/>
              <w:ind w:left="105" w:leftChars="50" w:right="105" w:rightChars="50"/>
              <w:jc w:val="center"/>
              <w:rPr>
                <w:rFonts w:hint="eastAsia" w:ascii="Times New Roman" w:hAnsi="Times New Roman" w:eastAsia="仿宋_GB2312"/>
                <w:sz w:val="21"/>
                <w:szCs w:val="21"/>
                <w:lang w:eastAsia="zh-CN"/>
              </w:rPr>
            </w:pPr>
            <w:r>
              <w:rPr>
                <w:rFonts w:hint="eastAsia" w:ascii="Times New Roman" w:hAnsi="Times New Roman"/>
                <w:sz w:val="21"/>
                <w:szCs w:val="21"/>
                <w:lang w:eastAsia="zh-CN"/>
              </w:rPr>
              <w:t>社会效益指标</w:t>
            </w:r>
          </w:p>
        </w:tc>
        <w:tc>
          <w:tcPr>
            <w:tcW w:w="709" w:type="dxa"/>
            <w:noWrap w:val="0"/>
            <w:tcMar>
              <w:top w:w="10" w:type="dxa"/>
              <w:left w:w="10" w:type="dxa"/>
              <w:bottom w:w="0" w:type="dxa"/>
              <w:right w:w="10" w:type="dxa"/>
            </w:tcMar>
            <w:vAlign w:val="center"/>
          </w:tcPr>
          <w:p w14:paraId="4AF4DCAD">
            <w:pPr>
              <w:spacing w:line="260" w:lineRule="exact"/>
              <w:ind w:left="105" w:leftChars="50" w:right="105" w:rightChars="50"/>
              <w:jc w:val="center"/>
              <w:rPr>
                <w:rFonts w:hint="default" w:ascii="Times New Roman" w:hAnsi="Times New Roman" w:eastAsia="仿宋_GB2312"/>
                <w:sz w:val="21"/>
                <w:szCs w:val="21"/>
                <w:lang w:val="en-US" w:eastAsia="zh-CN"/>
              </w:rPr>
            </w:pPr>
            <w:r>
              <w:rPr>
                <w:rFonts w:hint="eastAsia" w:ascii="Times New Roman" w:hAnsi="Times New Roman"/>
                <w:sz w:val="21"/>
                <w:szCs w:val="21"/>
                <w:lang w:val="en-US" w:eastAsia="zh-CN"/>
              </w:rPr>
              <w:t>5</w:t>
            </w:r>
          </w:p>
        </w:tc>
        <w:tc>
          <w:tcPr>
            <w:tcW w:w="1984" w:type="dxa"/>
            <w:noWrap w:val="0"/>
            <w:tcMar>
              <w:top w:w="10" w:type="dxa"/>
              <w:left w:w="10" w:type="dxa"/>
              <w:bottom w:w="0" w:type="dxa"/>
              <w:right w:w="10" w:type="dxa"/>
            </w:tcMar>
            <w:vAlign w:val="center"/>
          </w:tcPr>
          <w:p w14:paraId="06E96163">
            <w:pPr>
              <w:spacing w:line="260" w:lineRule="exact"/>
              <w:ind w:left="105" w:leftChars="50" w:right="105" w:rightChars="50"/>
              <w:rPr>
                <w:rFonts w:hint="eastAsia" w:ascii="Times New Roman" w:hAnsi="Times New Roman" w:eastAsia="仿宋_GB2312"/>
                <w:sz w:val="21"/>
                <w:szCs w:val="21"/>
                <w:lang w:eastAsia="zh-CN"/>
              </w:rPr>
            </w:pPr>
            <w:r>
              <w:rPr>
                <w:rFonts w:hint="eastAsia" w:ascii="Times New Roman" w:hAnsi="Times New Roman"/>
                <w:sz w:val="21"/>
                <w:szCs w:val="21"/>
                <w:lang w:eastAsia="zh-CN"/>
              </w:rPr>
              <w:t>现有吸毒人数减少</w:t>
            </w:r>
          </w:p>
        </w:tc>
        <w:tc>
          <w:tcPr>
            <w:tcW w:w="3002" w:type="dxa"/>
            <w:noWrap w:val="0"/>
            <w:tcMar>
              <w:top w:w="10" w:type="dxa"/>
              <w:left w:w="10" w:type="dxa"/>
              <w:bottom w:w="0" w:type="dxa"/>
              <w:right w:w="10" w:type="dxa"/>
            </w:tcMar>
            <w:vAlign w:val="center"/>
          </w:tcPr>
          <w:p w14:paraId="3962E5D9">
            <w:pPr>
              <w:spacing w:line="260" w:lineRule="exact"/>
              <w:ind w:left="105" w:leftChars="50" w:right="105" w:rightChars="50"/>
              <w:rPr>
                <w:rFonts w:hint="eastAsia" w:ascii="Times New Roman" w:hAnsi="Times New Roman" w:eastAsia="仿宋_GB2312"/>
                <w:sz w:val="21"/>
                <w:szCs w:val="21"/>
                <w:lang w:eastAsia="zh-CN"/>
              </w:rPr>
            </w:pPr>
            <w:r>
              <w:rPr>
                <w:rFonts w:hint="eastAsia" w:ascii="Times New Roman" w:hAnsi="Times New Roman" w:cs="Times New Roman"/>
                <w:sz w:val="21"/>
                <w:szCs w:val="21"/>
                <w:lang w:eastAsia="zh-CN"/>
              </w:rPr>
              <w:t>反映项目实施后对遏制毒情、降低社会危害的成效。通过对比项目年度期末与期初辖区内“现有吸毒人员”数量变化情况，衡量资金投入在推动禁毒工作、巩固戒治成效、减少复吸及新增吸毒人员等方面的实际社会效益。数据以公安部门禁综系统数据为准。</w:t>
            </w:r>
          </w:p>
        </w:tc>
        <w:tc>
          <w:tcPr>
            <w:tcW w:w="1109" w:type="dxa"/>
            <w:noWrap w:val="0"/>
            <w:tcMar>
              <w:top w:w="10" w:type="dxa"/>
              <w:left w:w="10" w:type="dxa"/>
              <w:bottom w:w="0" w:type="dxa"/>
              <w:right w:w="10" w:type="dxa"/>
            </w:tcMar>
            <w:vAlign w:val="center"/>
          </w:tcPr>
          <w:p w14:paraId="44FD7230">
            <w:pPr>
              <w:spacing w:line="260" w:lineRule="exact"/>
              <w:ind w:left="105" w:leftChars="50" w:right="105" w:rightChars="50"/>
              <w:jc w:val="center"/>
              <w:rPr>
                <w:rFonts w:hint="eastAsia" w:ascii="Times New Roman" w:hAnsi="Times New Roman" w:eastAsia="仿宋_GB2312"/>
                <w:sz w:val="21"/>
                <w:szCs w:val="21"/>
                <w:lang w:val="en-US" w:eastAsia="zh-CN"/>
              </w:rPr>
            </w:pPr>
            <w:r>
              <w:rPr>
                <w:rFonts w:hint="eastAsia" w:ascii="Times New Roman" w:hAnsi="Times New Roman"/>
                <w:sz w:val="21"/>
                <w:szCs w:val="21"/>
                <w:lang w:val="en-US" w:eastAsia="zh-CN"/>
              </w:rPr>
              <w:t>5</w:t>
            </w:r>
          </w:p>
        </w:tc>
      </w:tr>
      <w:tr w14:paraId="69C2C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710" w:type="dxa"/>
            <w:vMerge w:val="continue"/>
            <w:noWrap w:val="0"/>
            <w:vAlign w:val="center"/>
          </w:tcPr>
          <w:p w14:paraId="597CAB11">
            <w:pPr>
              <w:rPr>
                <w:rFonts w:ascii="Times New Roman" w:hAnsi="Times New Roman"/>
                <w:sz w:val="21"/>
                <w:szCs w:val="21"/>
              </w:rPr>
            </w:pPr>
          </w:p>
        </w:tc>
        <w:tc>
          <w:tcPr>
            <w:tcW w:w="850" w:type="dxa"/>
            <w:vMerge w:val="continue"/>
            <w:noWrap w:val="0"/>
            <w:vAlign w:val="center"/>
          </w:tcPr>
          <w:p w14:paraId="078FDE03">
            <w:pPr>
              <w:rPr>
                <w:rFonts w:ascii="Times New Roman" w:hAnsi="Times New Roman"/>
                <w:sz w:val="21"/>
                <w:szCs w:val="21"/>
              </w:rPr>
            </w:pPr>
          </w:p>
        </w:tc>
        <w:tc>
          <w:tcPr>
            <w:tcW w:w="1276" w:type="dxa"/>
            <w:noWrap w:val="0"/>
            <w:tcMar>
              <w:top w:w="10" w:type="dxa"/>
              <w:left w:w="10" w:type="dxa"/>
              <w:bottom w:w="0" w:type="dxa"/>
              <w:right w:w="10" w:type="dxa"/>
            </w:tcMar>
            <w:vAlign w:val="center"/>
          </w:tcPr>
          <w:p w14:paraId="7A0B4E8A">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社会</w:t>
            </w:r>
          </w:p>
          <w:p w14:paraId="5AE194D1">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公众</w:t>
            </w:r>
          </w:p>
          <w:p w14:paraId="4D61C938">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或服</w:t>
            </w:r>
          </w:p>
          <w:p w14:paraId="05ABAEB0">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务对</w:t>
            </w:r>
          </w:p>
          <w:p w14:paraId="10C72F77">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象满</w:t>
            </w:r>
          </w:p>
          <w:p w14:paraId="731C76DC">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意度</w:t>
            </w:r>
          </w:p>
        </w:tc>
        <w:tc>
          <w:tcPr>
            <w:tcW w:w="709" w:type="dxa"/>
            <w:noWrap w:val="0"/>
            <w:tcMar>
              <w:top w:w="10" w:type="dxa"/>
              <w:left w:w="10" w:type="dxa"/>
              <w:bottom w:w="0" w:type="dxa"/>
              <w:right w:w="10" w:type="dxa"/>
            </w:tcMar>
            <w:vAlign w:val="center"/>
          </w:tcPr>
          <w:p w14:paraId="32D55C21">
            <w:pPr>
              <w:spacing w:line="260" w:lineRule="exact"/>
              <w:ind w:left="105" w:leftChars="50" w:right="105" w:rightChars="50"/>
              <w:jc w:val="center"/>
              <w:rPr>
                <w:rFonts w:ascii="Times New Roman" w:hAnsi="Times New Roman"/>
                <w:sz w:val="21"/>
                <w:szCs w:val="21"/>
              </w:rPr>
            </w:pPr>
            <w:r>
              <w:rPr>
                <w:rFonts w:ascii="Times New Roman" w:hAnsi="Times New Roman"/>
                <w:sz w:val="21"/>
                <w:szCs w:val="21"/>
              </w:rPr>
              <w:t>10</w:t>
            </w:r>
          </w:p>
        </w:tc>
        <w:tc>
          <w:tcPr>
            <w:tcW w:w="1984" w:type="dxa"/>
            <w:noWrap w:val="0"/>
            <w:tcMar>
              <w:top w:w="10" w:type="dxa"/>
              <w:left w:w="10" w:type="dxa"/>
              <w:bottom w:w="0" w:type="dxa"/>
              <w:right w:w="10" w:type="dxa"/>
            </w:tcMar>
            <w:vAlign w:val="center"/>
          </w:tcPr>
          <w:p w14:paraId="41D50E2D">
            <w:pPr>
              <w:spacing w:line="260" w:lineRule="exact"/>
              <w:ind w:left="105" w:leftChars="50" w:right="105" w:rightChars="50"/>
              <w:rPr>
                <w:rFonts w:ascii="Times New Roman" w:hAnsi="Times New Roman"/>
                <w:sz w:val="21"/>
                <w:szCs w:val="21"/>
              </w:rPr>
            </w:pPr>
            <w:r>
              <w:rPr>
                <w:rFonts w:ascii="Times New Roman" w:hAnsi="Times New Roman"/>
                <w:sz w:val="21"/>
                <w:szCs w:val="21"/>
              </w:rPr>
              <w:t>社会公众或服务对象对预算支出实施效果的满意程度。</w:t>
            </w:r>
          </w:p>
        </w:tc>
        <w:tc>
          <w:tcPr>
            <w:tcW w:w="3002" w:type="dxa"/>
            <w:noWrap w:val="0"/>
            <w:tcMar>
              <w:top w:w="10" w:type="dxa"/>
              <w:left w:w="10" w:type="dxa"/>
              <w:bottom w:w="0" w:type="dxa"/>
              <w:right w:w="10" w:type="dxa"/>
            </w:tcMar>
            <w:vAlign w:val="center"/>
          </w:tcPr>
          <w:p w14:paraId="767C69F2">
            <w:pPr>
              <w:spacing w:line="260" w:lineRule="exact"/>
              <w:ind w:left="105" w:leftChars="50" w:right="105" w:rightChars="50"/>
              <w:rPr>
                <w:rFonts w:ascii="Times New Roman" w:hAnsi="Times New Roman"/>
                <w:sz w:val="21"/>
                <w:szCs w:val="21"/>
              </w:rPr>
            </w:pPr>
            <w:r>
              <w:rPr>
                <w:rFonts w:ascii="Times New Roman" w:hAnsi="Times New Roman"/>
                <w:sz w:val="21"/>
                <w:szCs w:val="21"/>
              </w:rPr>
              <w:t>社会公众或服务对象是指因该预算支出实施而受到影响的部门、群体或个人。一般采取社会调查的方式。</w:t>
            </w:r>
          </w:p>
        </w:tc>
        <w:tc>
          <w:tcPr>
            <w:tcW w:w="1109" w:type="dxa"/>
            <w:noWrap w:val="0"/>
            <w:tcMar>
              <w:top w:w="10" w:type="dxa"/>
              <w:left w:w="10" w:type="dxa"/>
              <w:bottom w:w="0" w:type="dxa"/>
              <w:right w:w="10" w:type="dxa"/>
            </w:tcMar>
            <w:vAlign w:val="center"/>
          </w:tcPr>
          <w:p w14:paraId="52603A52">
            <w:pPr>
              <w:spacing w:line="260" w:lineRule="exact"/>
              <w:ind w:left="105" w:leftChars="50" w:right="105" w:rightChars="50"/>
              <w:jc w:val="center"/>
              <w:rPr>
                <w:rFonts w:hint="default" w:ascii="Times New Roman" w:hAnsi="Times New Roman" w:eastAsia="仿宋_GB2312"/>
                <w:sz w:val="21"/>
                <w:szCs w:val="21"/>
                <w:lang w:val="en-US" w:eastAsia="zh-CN"/>
              </w:rPr>
            </w:pPr>
            <w:r>
              <w:rPr>
                <w:rFonts w:hint="eastAsia" w:ascii="Times New Roman" w:hAnsi="Times New Roman"/>
                <w:sz w:val="21"/>
                <w:szCs w:val="21"/>
                <w:lang w:val="en-US" w:eastAsia="zh-CN"/>
              </w:rPr>
              <w:t>10</w:t>
            </w:r>
          </w:p>
        </w:tc>
      </w:tr>
      <w:tr w14:paraId="7E391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2836" w:type="dxa"/>
            <w:gridSpan w:val="3"/>
            <w:noWrap w:val="0"/>
            <w:vAlign w:val="center"/>
          </w:tcPr>
          <w:p w14:paraId="38A07355">
            <w:pPr>
              <w:spacing w:line="260" w:lineRule="exact"/>
              <w:ind w:left="105" w:leftChars="50" w:right="105" w:rightChars="50"/>
              <w:jc w:val="center"/>
              <w:rPr>
                <w:rFonts w:ascii="Times New Roman" w:hAnsi="Times New Roman"/>
                <w:b/>
                <w:sz w:val="21"/>
                <w:szCs w:val="21"/>
              </w:rPr>
            </w:pPr>
            <w:r>
              <w:rPr>
                <w:rFonts w:ascii="Times New Roman" w:hAnsi="Times New Roman"/>
                <w:b/>
                <w:sz w:val="21"/>
                <w:szCs w:val="21"/>
              </w:rPr>
              <w:t>总分</w:t>
            </w:r>
          </w:p>
        </w:tc>
        <w:tc>
          <w:tcPr>
            <w:tcW w:w="709" w:type="dxa"/>
            <w:noWrap w:val="0"/>
            <w:tcMar>
              <w:top w:w="10" w:type="dxa"/>
              <w:left w:w="10" w:type="dxa"/>
              <w:bottom w:w="0" w:type="dxa"/>
              <w:right w:w="10" w:type="dxa"/>
            </w:tcMar>
            <w:vAlign w:val="center"/>
          </w:tcPr>
          <w:p w14:paraId="5BBBB3C8">
            <w:pPr>
              <w:spacing w:line="260" w:lineRule="exact"/>
              <w:ind w:left="105" w:leftChars="50" w:right="105" w:rightChars="50"/>
              <w:rPr>
                <w:rFonts w:ascii="Times New Roman" w:hAnsi="Times New Roman"/>
                <w:b/>
                <w:sz w:val="21"/>
                <w:szCs w:val="21"/>
              </w:rPr>
            </w:pPr>
            <w:r>
              <w:rPr>
                <w:rFonts w:ascii="Times New Roman" w:hAnsi="Times New Roman"/>
                <w:b/>
                <w:sz w:val="21"/>
                <w:szCs w:val="21"/>
              </w:rPr>
              <w:t>100</w:t>
            </w:r>
          </w:p>
        </w:tc>
        <w:tc>
          <w:tcPr>
            <w:tcW w:w="1984" w:type="dxa"/>
            <w:noWrap w:val="0"/>
            <w:tcMar>
              <w:top w:w="10" w:type="dxa"/>
              <w:left w:w="10" w:type="dxa"/>
              <w:bottom w:w="0" w:type="dxa"/>
              <w:right w:w="10" w:type="dxa"/>
            </w:tcMar>
            <w:vAlign w:val="center"/>
          </w:tcPr>
          <w:p w14:paraId="38687F8B">
            <w:pPr>
              <w:spacing w:line="260" w:lineRule="exact"/>
              <w:ind w:left="105" w:leftChars="50" w:right="105" w:rightChars="50"/>
              <w:rPr>
                <w:rFonts w:ascii="Times New Roman" w:hAnsi="Times New Roman"/>
                <w:b/>
                <w:sz w:val="21"/>
                <w:szCs w:val="21"/>
              </w:rPr>
            </w:pPr>
          </w:p>
        </w:tc>
        <w:tc>
          <w:tcPr>
            <w:tcW w:w="3002" w:type="dxa"/>
            <w:noWrap w:val="0"/>
            <w:tcMar>
              <w:top w:w="10" w:type="dxa"/>
              <w:left w:w="10" w:type="dxa"/>
              <w:bottom w:w="0" w:type="dxa"/>
              <w:right w:w="10" w:type="dxa"/>
            </w:tcMar>
            <w:vAlign w:val="center"/>
          </w:tcPr>
          <w:p w14:paraId="21871389">
            <w:pPr>
              <w:spacing w:line="260" w:lineRule="exact"/>
              <w:ind w:left="105" w:leftChars="50" w:right="105" w:rightChars="50"/>
              <w:rPr>
                <w:rFonts w:ascii="Times New Roman" w:hAnsi="Times New Roman"/>
                <w:sz w:val="21"/>
                <w:szCs w:val="21"/>
              </w:rPr>
            </w:pPr>
          </w:p>
        </w:tc>
        <w:tc>
          <w:tcPr>
            <w:tcW w:w="1109" w:type="dxa"/>
            <w:noWrap w:val="0"/>
            <w:tcMar>
              <w:top w:w="10" w:type="dxa"/>
              <w:left w:w="10" w:type="dxa"/>
              <w:bottom w:w="0" w:type="dxa"/>
              <w:right w:w="10" w:type="dxa"/>
            </w:tcMar>
            <w:vAlign w:val="center"/>
          </w:tcPr>
          <w:p w14:paraId="5D7E7924">
            <w:pPr>
              <w:spacing w:line="260" w:lineRule="exact"/>
              <w:ind w:left="105" w:leftChars="50" w:right="105" w:rightChars="50"/>
              <w:jc w:val="center"/>
              <w:rPr>
                <w:rFonts w:hint="default" w:ascii="Times New Roman" w:hAnsi="Times New Roman" w:eastAsia="仿宋_GB2312"/>
                <w:sz w:val="21"/>
                <w:szCs w:val="21"/>
                <w:lang w:val="en-US" w:eastAsia="zh-CN"/>
              </w:rPr>
            </w:pPr>
            <w:r>
              <w:rPr>
                <w:rFonts w:hint="eastAsia" w:ascii="Times New Roman" w:hAnsi="Times New Roman"/>
                <w:sz w:val="21"/>
                <w:szCs w:val="21"/>
                <w:lang w:val="en-US" w:eastAsia="zh-CN"/>
              </w:rPr>
              <w:t>100</w:t>
            </w:r>
          </w:p>
        </w:tc>
      </w:tr>
    </w:tbl>
    <w:p w14:paraId="6B77FB6C">
      <w:pPr>
        <w:widowControl/>
        <w:spacing w:line="600" w:lineRule="exact"/>
        <w:jc w:val="left"/>
        <w:rPr>
          <w:rFonts w:ascii="Times New Roman" w:hAnsi="Times New Roman"/>
          <w:szCs w:val="32"/>
        </w:rPr>
      </w:pPr>
    </w:p>
    <w:p w14:paraId="360D17F9">
      <w:pPr>
        <w:widowControl/>
        <w:spacing w:line="600" w:lineRule="exact"/>
        <w:ind w:firstLine="645"/>
        <w:jc w:val="left"/>
        <w:rPr>
          <w:rFonts w:ascii="Times New Roman" w:hAnsi="Times New Roman"/>
          <w:szCs w:val="32"/>
        </w:rPr>
      </w:pPr>
    </w:p>
    <w:p w14:paraId="5A148A42">
      <w:pPr>
        <w:widowControl/>
        <w:spacing w:line="600" w:lineRule="exact"/>
        <w:ind w:firstLine="645"/>
        <w:jc w:val="left"/>
        <w:rPr>
          <w:rFonts w:ascii="Times New Roman" w:hAnsi="Times New Roman"/>
          <w:szCs w:val="32"/>
        </w:rPr>
      </w:pPr>
    </w:p>
    <w:p w14:paraId="7BD6192E">
      <w:pPr>
        <w:rPr>
          <w:rFonts w:hint="default" w:ascii="Times New Roman" w:hAnsi="Times New Roman" w:cs="Times New Roman"/>
        </w:rPr>
      </w:pPr>
      <w:bookmarkStart w:id="0" w:name="_GoBack"/>
      <w:bookmarkEnd w:id="0"/>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4955942-B67A-4F75-81C7-9C42A48DB66A}"/>
  </w:font>
  <w:font w:name="黑体">
    <w:panose1 w:val="02010609060101010101"/>
    <w:charset w:val="86"/>
    <w:family w:val="auto"/>
    <w:pitch w:val="default"/>
    <w:sig w:usb0="800002BF" w:usb1="38CF7CFA" w:usb2="00000016" w:usb3="00000000" w:csb0="00040001" w:csb1="00000000"/>
    <w:embedRegular r:id="rId2" w:fontKey="{0D2AA522-E8A2-4550-BA4D-EEC730C96C7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0A7BBB13-EA6E-4088-85C0-D250EF220ACD}"/>
  </w:font>
  <w:font w:name="方正公文小标宋">
    <w:altName w:val="宋体"/>
    <w:panose1 w:val="02000500000000000000"/>
    <w:charset w:val="86"/>
    <w:family w:val="auto"/>
    <w:pitch w:val="default"/>
    <w:sig w:usb0="00000000" w:usb1="00000000" w:usb2="00000016" w:usb3="00000000" w:csb0="00040001" w:csb1="00000000"/>
    <w:embedRegular r:id="rId4" w:fontKey="{E882EACD-F32C-44AA-BCE4-67CB732EF390}"/>
  </w:font>
  <w:font w:name="方正小标宋_GBK">
    <w:altName w:val="微软雅黑"/>
    <w:panose1 w:val="02000000000000000000"/>
    <w:charset w:val="86"/>
    <w:family w:val="auto"/>
    <w:pitch w:val="default"/>
    <w:sig w:usb0="00000000" w:usb1="00000000" w:usb2="00000000" w:usb3="00000000" w:csb0="00040000" w:csb1="00000000"/>
    <w:embedRegular r:id="rId5" w:fontKey="{8820FCDA-C45F-4138-8C55-12910A9DAE33}"/>
  </w:font>
  <w:font w:name="方正仿宋_GB18030">
    <w:altName w:val="仿宋"/>
    <w:panose1 w:val="02000000000000000000"/>
    <w:charset w:val="86"/>
    <w:family w:val="auto"/>
    <w:pitch w:val="default"/>
    <w:sig w:usb0="00000000" w:usb1="00000000" w:usb2="00000000" w:usb3="00000000" w:csb0="00040000" w:csb1="00000000"/>
    <w:embedRegular r:id="rId6" w:fontKey="{8B207764-2EFB-4E21-BDB3-ED8BDC472B15}"/>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embedRegular r:id="rId7" w:fontKey="{8CA2EEF3-DCCE-42A3-8D46-2EEE0C2C1622}"/>
  </w:font>
  <w:font w:name="仿宋_GB2312">
    <w:altName w:val="仿宋"/>
    <w:panose1 w:val="02010609030101010101"/>
    <w:charset w:val="86"/>
    <w:family w:val="modern"/>
    <w:pitch w:val="default"/>
    <w:sig w:usb0="00000000" w:usb1="00000000" w:usb2="00000000" w:usb3="00000000" w:csb0="00040000" w:csb1="00000000"/>
    <w:embedRegular r:id="rId8" w:fontKey="{93213706-1FAD-4DBF-AE8E-92C9023EF53D}"/>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3FE85">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3B5356">
                          <w:pPr>
                            <w:pStyle w:val="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63B5356">
                    <w:pPr>
                      <w:pStyle w:val="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E21400"/>
    <w:rsid w:val="00311A5F"/>
    <w:rsid w:val="05B60A3D"/>
    <w:rsid w:val="0BBC48D3"/>
    <w:rsid w:val="0CB1205F"/>
    <w:rsid w:val="1496713A"/>
    <w:rsid w:val="15966E61"/>
    <w:rsid w:val="185D11EC"/>
    <w:rsid w:val="1B9C202B"/>
    <w:rsid w:val="272C0707"/>
    <w:rsid w:val="2F8C31C9"/>
    <w:rsid w:val="330A6363"/>
    <w:rsid w:val="3FBE37A3"/>
    <w:rsid w:val="40787F1D"/>
    <w:rsid w:val="4AD37EC7"/>
    <w:rsid w:val="50601FE9"/>
    <w:rsid w:val="52374280"/>
    <w:rsid w:val="53CC2B4F"/>
    <w:rsid w:val="57B67E08"/>
    <w:rsid w:val="5A7F4896"/>
    <w:rsid w:val="5C4E2E07"/>
    <w:rsid w:val="64122457"/>
    <w:rsid w:val="64326656"/>
    <w:rsid w:val="648A0240"/>
    <w:rsid w:val="660E6C74"/>
    <w:rsid w:val="670B02BB"/>
    <w:rsid w:val="69FA19C4"/>
    <w:rsid w:val="6CB542C8"/>
    <w:rsid w:val="76FF817C"/>
    <w:rsid w:val="77862AE9"/>
    <w:rsid w:val="79C45B4A"/>
    <w:rsid w:val="7A74131E"/>
    <w:rsid w:val="7C3F0774"/>
    <w:rsid w:val="7C5E2286"/>
    <w:rsid w:val="7DE21400"/>
    <w:rsid w:val="7EDC40D5"/>
    <w:rsid w:val="7EF071A3"/>
    <w:rsid w:val="BC2FC667"/>
    <w:rsid w:val="C5F67BA4"/>
    <w:rsid w:val="EF5F67FB"/>
    <w:rsid w:val="FF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sz w:val="24"/>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3304</Words>
  <Characters>3478</Characters>
  <Lines>0</Lines>
  <Paragraphs>0</Paragraphs>
  <TotalTime>0</TotalTime>
  <ScaleCrop>false</ScaleCrop>
  <LinksUpToDate>false</LinksUpToDate>
  <CharactersWithSpaces>3498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2025-04-30T00:48:00Z</dcterms:created>
  <dc:creator>夏</dc:creator>
  <cp:lastModifiedBy>【晨哲】~L</cp:lastModifiedBy>
  <cp:lastPrinted>2026-04-09T22:57:00Z</cp:lastPrinted>
  <dcterms:modified xsi:type="dcterms:W3CDTF">2026-05-14T03:28:27Z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3A824880AF414631BBF632DC1CBF6300_13</vt:lpwstr>
  </property>
  <property fmtid="{D5CDD505-2E9C-101B-9397-08002B2CF9AE}" pid="4" name="KSOTemplateDocerSaveRecord">
    <vt:lpwstr>eyJoZGlkIjoiZjM2NDA3NTJiMWU4OWQzMzJjMTNkZjVhMmM4MWRiYTYiLCJ1c2VySWQiOiIzNTM4MTg1NTAifQ==</vt:lpwstr>
  </property>
</Properties>
</file>