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C11173">
      <w:pPr>
        <w:spacing w:line="700"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2024年度益阳市公安局交通警察支队</w:t>
      </w:r>
    </w:p>
    <w:p w14:paraId="5AC5F8CB">
      <w:pPr>
        <w:spacing w:line="700"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部门整体支出绩效自评报告</w:t>
      </w:r>
    </w:p>
    <w:p w14:paraId="572B6E99">
      <w:pPr>
        <w:pStyle w:val="2"/>
      </w:pPr>
    </w:p>
    <w:p w14:paraId="02A9BE12">
      <w:pPr>
        <w:spacing w:beforeLines="100" w:line="560" w:lineRule="exact"/>
        <w:rPr>
          <w:rFonts w:ascii="仿宋" w:hAnsi="仿宋" w:eastAsia="仿宋" w:cs="宋体"/>
          <w:b/>
          <w:bCs/>
          <w:sz w:val="28"/>
          <w:szCs w:val="28"/>
        </w:rPr>
      </w:pPr>
      <w:r>
        <w:rPr>
          <w:rFonts w:hint="eastAsia" w:ascii="仿宋" w:hAnsi="仿宋" w:eastAsia="仿宋" w:cs="宋体"/>
          <w:b/>
          <w:bCs/>
          <w:sz w:val="28"/>
          <w:szCs w:val="28"/>
        </w:rPr>
        <w:t>益阳市财政局：</w:t>
      </w:r>
    </w:p>
    <w:p w14:paraId="209B4473">
      <w:pPr>
        <w:pStyle w:val="6"/>
        <w:widowControl w:val="0"/>
        <w:spacing w:beforeAutospacing="0" w:afterAutospacing="0" w:line="600" w:lineRule="exact"/>
        <w:ind w:firstLine="560" w:firstLineChars="200"/>
        <w:jc w:val="both"/>
        <w:rPr>
          <w:rFonts w:ascii="仿宋" w:hAnsi="仿宋" w:eastAsia="仿宋"/>
          <w:kern w:val="2"/>
          <w:sz w:val="28"/>
          <w:szCs w:val="28"/>
        </w:rPr>
      </w:pPr>
      <w:r>
        <w:rPr>
          <w:rFonts w:hint="eastAsia" w:ascii="仿宋" w:hAnsi="仿宋" w:eastAsia="仿宋"/>
          <w:kern w:val="2"/>
          <w:sz w:val="28"/>
          <w:szCs w:val="28"/>
        </w:rPr>
        <w:t>为了加强财政资金管理，提高财政资金使用效益，根据《中华人民共和国预算法》、《益阳市财政局关于开展2024年度市级预算部门绩效自评和部门评价工作的通知》精神，益阳市公安局交通警察支队成立绩效评价工作组，对2024年度部门整体支出绩效情况进行了自评，现将有关情况报告如下：</w:t>
      </w:r>
    </w:p>
    <w:p w14:paraId="7BEDDF25">
      <w:pPr>
        <w:autoSpaceDE w:val="0"/>
        <w:autoSpaceDN w:val="0"/>
        <w:ind w:firstLine="562" w:firstLineChars="200"/>
        <w:rPr>
          <w:rFonts w:ascii="仿宋" w:hAnsi="仿宋" w:eastAsia="仿宋" w:cs="宋体"/>
          <w:b/>
          <w:bCs/>
          <w:sz w:val="28"/>
          <w:szCs w:val="28"/>
        </w:rPr>
      </w:pPr>
      <w:r>
        <w:rPr>
          <w:rFonts w:hint="eastAsia" w:ascii="仿宋" w:hAnsi="仿宋" w:eastAsia="仿宋" w:cs="宋体"/>
          <w:b/>
          <w:bCs/>
          <w:sz w:val="28"/>
          <w:szCs w:val="28"/>
        </w:rPr>
        <w:t>一、基本情况</w:t>
      </w:r>
    </w:p>
    <w:p w14:paraId="68AF54EF">
      <w:pPr>
        <w:ind w:firstLine="562" w:firstLineChars="200"/>
        <w:jc w:val="left"/>
        <w:rPr>
          <w:rFonts w:ascii="仿宋" w:hAnsi="仿宋" w:eastAsia="仿宋" w:cs="宋体"/>
          <w:b/>
          <w:sz w:val="28"/>
          <w:szCs w:val="28"/>
        </w:rPr>
      </w:pPr>
      <w:r>
        <w:rPr>
          <w:rFonts w:hint="eastAsia" w:ascii="仿宋" w:hAnsi="仿宋" w:eastAsia="仿宋" w:cs="宋体"/>
          <w:b/>
          <w:sz w:val="28"/>
          <w:szCs w:val="28"/>
        </w:rPr>
        <w:t>（一）部门整体概况。</w:t>
      </w:r>
    </w:p>
    <w:p w14:paraId="3DD44EA5">
      <w:pPr>
        <w:pStyle w:val="16"/>
        <w:spacing w:before="0" w:beforeAutospacing="0" w:after="2" w:afterAutospacing="0"/>
        <w:ind w:left="0" w:firstLine="641"/>
        <w:rPr>
          <w:rFonts w:ascii="仿宋" w:hAnsi="仿宋" w:eastAsia="仿宋" w:cs="宋体"/>
          <w:color w:val="FF0000"/>
          <w:sz w:val="28"/>
          <w:szCs w:val="28"/>
        </w:rPr>
      </w:pPr>
      <w:r>
        <w:rPr>
          <w:rFonts w:ascii="仿宋" w:hAnsi="仿宋" w:eastAsia="仿宋" w:cs="宋体"/>
          <w:b/>
          <w:sz w:val="28"/>
          <w:szCs w:val="28"/>
        </w:rPr>
        <w:t>1</w:t>
      </w:r>
      <w:r>
        <w:rPr>
          <w:rFonts w:hint="eastAsia" w:ascii="仿宋" w:hAnsi="仿宋" w:eastAsia="仿宋" w:cs="宋体"/>
          <w:b/>
          <w:sz w:val="28"/>
          <w:szCs w:val="28"/>
        </w:rPr>
        <w:t>、组织机构设置及人员情况</w:t>
      </w:r>
      <w:r>
        <w:rPr>
          <w:rFonts w:hint="eastAsia" w:ascii="仿宋" w:hAnsi="仿宋" w:eastAsia="仿宋" w:cs="宋体"/>
          <w:sz w:val="28"/>
          <w:szCs w:val="28"/>
        </w:rPr>
        <w:t>：益阳市公安局交警支队全称益阳市公安局交通警察支队（以下简称市公安交警支队），加挂“益阳市公安局公路巡逻民警支队”牌子，为副处级机构。市公安局交警支队是市公安局主管全市道路交通安全、交通秩序、机动车辆、驾驶人以及公路巡逻的职能部门。内设机构有办公室、政工科、监察室、行政财务装备科、交通秩序管理科、交通事故预防与处理科、法制科、宣传教育科、交通管理指挥中心、行政审批改革科、驾驶员考务管理科、道路交通安全设施管理科、道路交通安全委员会办公室共13个；直属机构有：驾驶人管理所、车辆管理所（对外挂益阳市公安局车辆管理所的牌子）、机动车检测管理站、高新大队、资阳大队、赫山大队、特勤大队、科技应用大队共8个。</w:t>
      </w:r>
    </w:p>
    <w:p w14:paraId="7720EE45">
      <w:pPr>
        <w:ind w:firstLine="560" w:firstLineChars="200"/>
        <w:jc w:val="left"/>
        <w:rPr>
          <w:rFonts w:ascii="仿宋" w:hAnsi="仿宋" w:eastAsia="仿宋" w:cs="宋体"/>
          <w:sz w:val="28"/>
          <w:szCs w:val="28"/>
        </w:rPr>
      </w:pPr>
      <w:r>
        <w:rPr>
          <w:rFonts w:hint="eastAsia" w:ascii="仿宋" w:hAnsi="仿宋" w:eastAsia="仿宋" w:cs="宋体"/>
          <w:sz w:val="28"/>
          <w:szCs w:val="28"/>
        </w:rPr>
        <w:t>交警支队机关编制337人，实有人数952人，其中在职在编282人，离退休164人，辅警506人。</w:t>
      </w:r>
    </w:p>
    <w:p w14:paraId="35C7A63B">
      <w:pPr>
        <w:ind w:firstLine="562" w:firstLineChars="200"/>
        <w:jc w:val="left"/>
        <w:rPr>
          <w:rFonts w:ascii="仿宋" w:hAnsi="仿宋" w:eastAsia="仿宋" w:cs="宋体"/>
          <w:b/>
          <w:sz w:val="24"/>
          <w:szCs w:val="24"/>
        </w:rPr>
      </w:pPr>
      <w:r>
        <w:rPr>
          <w:rFonts w:ascii="仿宋" w:hAnsi="仿宋" w:eastAsia="仿宋" w:cs="宋体"/>
          <w:b/>
          <w:sz w:val="28"/>
          <w:szCs w:val="28"/>
        </w:rPr>
        <w:t>2</w:t>
      </w:r>
      <w:r>
        <w:rPr>
          <w:rFonts w:hint="eastAsia" w:ascii="仿宋" w:hAnsi="仿宋" w:eastAsia="仿宋" w:cs="宋体"/>
          <w:b/>
          <w:sz w:val="28"/>
          <w:szCs w:val="28"/>
        </w:rPr>
        <w:t>、主要工作职能：</w:t>
      </w:r>
    </w:p>
    <w:p w14:paraId="025098C7">
      <w:pPr>
        <w:pStyle w:val="16"/>
        <w:spacing w:before="0" w:beforeAutospacing="0" w:after="2" w:afterAutospacing="0"/>
        <w:ind w:left="0" w:firstLine="641"/>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（一）负责维护交通秩序，依法制止和处罚交通违法。 </w:t>
      </w:r>
    </w:p>
    <w:p w14:paraId="4F3B3DE7">
      <w:pPr>
        <w:pStyle w:val="16"/>
        <w:spacing w:before="0" w:beforeAutospacing="0" w:after="2" w:afterAutospacing="0"/>
        <w:ind w:left="0" w:firstLine="641"/>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（二）负责全市交通安全宣传教育。 </w:t>
      </w:r>
    </w:p>
    <w:p w14:paraId="76AD5EF0">
      <w:pPr>
        <w:pStyle w:val="16"/>
        <w:spacing w:before="0" w:beforeAutospacing="0" w:after="2" w:afterAutospacing="0"/>
        <w:ind w:left="0" w:firstLine="641"/>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（三）预防和依法处理交通事故，打击各类交通肇事犯罪。 </w:t>
      </w:r>
    </w:p>
    <w:p w14:paraId="0D361348">
      <w:pPr>
        <w:pStyle w:val="16"/>
        <w:spacing w:before="0" w:beforeAutospacing="0" w:after="2" w:afterAutospacing="0"/>
        <w:ind w:left="0" w:firstLine="641"/>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（四）负责全市机动车辆和驾驶人的管理。 </w:t>
      </w:r>
    </w:p>
    <w:p w14:paraId="5448B142">
      <w:pPr>
        <w:pStyle w:val="16"/>
        <w:spacing w:before="0" w:beforeAutospacing="0" w:after="2" w:afterAutospacing="0"/>
        <w:ind w:left="0" w:firstLine="641"/>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（五）负责组织实施各类交通警保卫工作和任务。 </w:t>
      </w:r>
    </w:p>
    <w:p w14:paraId="2E677664">
      <w:pPr>
        <w:pStyle w:val="16"/>
        <w:spacing w:before="0" w:beforeAutospacing="0" w:after="2" w:afterAutospacing="0"/>
        <w:ind w:left="0" w:firstLine="641"/>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（六）实施道路交通管理规划，负责道路施工、危险品运输许可及大型建设项目的交通影响评价，“两客一危一校”重点车辆及驾驶人安全监管。 </w:t>
      </w:r>
    </w:p>
    <w:p w14:paraId="0E902651">
      <w:pPr>
        <w:pStyle w:val="16"/>
        <w:spacing w:before="0" w:beforeAutospacing="0" w:after="2" w:afterAutospacing="0"/>
        <w:ind w:left="0" w:firstLine="641"/>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（七）设计和有关事项的审核、把关。 </w:t>
      </w:r>
    </w:p>
    <w:p w14:paraId="3E86DC3A">
      <w:pPr>
        <w:ind w:firstLine="560" w:firstLineChars="2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（八）负责道路交通安全设施的管理和维护。</w:t>
      </w:r>
    </w:p>
    <w:p w14:paraId="34B817CB">
      <w:pPr>
        <w:ind w:firstLine="640" w:firstLineChars="200"/>
        <w:jc w:val="left"/>
        <w:rPr>
          <w:rFonts w:ascii="仿宋" w:hAnsi="仿宋" w:eastAsia="仿宋" w:cs="仿宋"/>
          <w:sz w:val="28"/>
          <w:szCs w:val="28"/>
        </w:rPr>
      </w:pPr>
      <w:r>
        <w:rPr>
          <w:rFonts w:ascii="宋体" w:hAnsi="宋体" w:eastAsia="宋体" w:cs="宋体"/>
          <w:color w:val="000000"/>
          <w:sz w:val="32"/>
          <w:szCs w:val="32"/>
        </w:rPr>
        <w:t xml:space="preserve"> </w:t>
      </w:r>
      <w:r>
        <w:rPr>
          <w:rFonts w:ascii="仿宋" w:hAnsi="仿宋" w:eastAsia="仿宋" w:cs="宋体"/>
          <w:b/>
          <w:sz w:val="28"/>
          <w:szCs w:val="28"/>
        </w:rPr>
        <w:t>3</w:t>
      </w:r>
      <w:r>
        <w:rPr>
          <w:rFonts w:hint="eastAsia" w:ascii="仿宋" w:hAnsi="仿宋" w:eastAsia="仿宋" w:cs="宋体"/>
          <w:b/>
          <w:sz w:val="28"/>
          <w:szCs w:val="28"/>
        </w:rPr>
        <w:t>、2024年整体支出预算绩效目标</w:t>
      </w:r>
    </w:p>
    <w:p w14:paraId="4BCC1DE6">
      <w:pPr>
        <w:tabs>
          <w:tab w:val="left" w:pos="284"/>
        </w:tabs>
        <w:ind w:firstLine="560" w:firstLineChars="200"/>
        <w:rPr>
          <w:rFonts w:ascii="仿宋" w:hAnsi="仿宋" w:eastAsia="仿宋" w:cs="仿宋"/>
          <w:sz w:val="28"/>
          <w:szCs w:val="28"/>
        </w:rPr>
      </w:pPr>
      <w:r>
        <w:rPr>
          <w:rFonts w:hint="eastAsia" w:ascii="仿宋" w:hAnsi="仿宋" w:eastAsia="仿宋" w:cs="仿宋"/>
          <w:sz w:val="28"/>
          <w:szCs w:val="28"/>
        </w:rPr>
        <w:t>（1）重点工作目标建设</w:t>
      </w:r>
    </w:p>
    <w:p w14:paraId="4C360D1C">
      <w:pPr>
        <w:tabs>
          <w:tab w:val="left" w:pos="284"/>
        </w:tabs>
        <w:ind w:firstLine="560" w:firstLineChars="200"/>
        <w:rPr>
          <w:rFonts w:ascii="仿宋" w:hAnsi="仿宋" w:eastAsia="仿宋" w:cs="仿宋"/>
          <w:sz w:val="28"/>
          <w:szCs w:val="28"/>
        </w:rPr>
      </w:pPr>
      <w:r>
        <w:rPr>
          <w:rFonts w:hint="eastAsia" w:ascii="仿宋" w:hAnsi="仿宋" w:eastAsia="仿宋" w:cs="仿宋"/>
          <w:sz w:val="28"/>
          <w:szCs w:val="28"/>
        </w:rPr>
        <w:t>①开展互联网综合服务平台建设。</w:t>
      </w:r>
    </w:p>
    <w:p w14:paraId="5813208E">
      <w:pPr>
        <w:tabs>
          <w:tab w:val="left" w:pos="284"/>
        </w:tabs>
        <w:ind w:firstLine="560" w:firstLineChars="200"/>
        <w:rPr>
          <w:rFonts w:ascii="仿宋" w:hAnsi="仿宋" w:eastAsia="仿宋" w:cs="仿宋"/>
          <w:sz w:val="28"/>
          <w:szCs w:val="28"/>
        </w:rPr>
      </w:pPr>
      <w:r>
        <w:rPr>
          <w:rFonts w:hint="eastAsia" w:ascii="仿宋" w:hAnsi="仿宋" w:eastAsia="仿宋" w:cs="仿宋"/>
          <w:sz w:val="28"/>
          <w:szCs w:val="28"/>
        </w:rPr>
        <w:t>②开展违法监管系统建设。</w:t>
      </w:r>
    </w:p>
    <w:p w14:paraId="121B9674">
      <w:pPr>
        <w:tabs>
          <w:tab w:val="left" w:pos="284"/>
        </w:tabs>
        <w:ind w:firstLine="560" w:firstLineChars="200"/>
        <w:rPr>
          <w:rFonts w:ascii="仿宋" w:hAnsi="仿宋" w:eastAsia="仿宋" w:cs="仿宋"/>
          <w:sz w:val="28"/>
          <w:szCs w:val="28"/>
        </w:rPr>
      </w:pPr>
      <w:r>
        <w:rPr>
          <w:rFonts w:hint="eastAsia" w:ascii="仿宋" w:hAnsi="仿宋" w:eastAsia="仿宋" w:cs="仿宋"/>
          <w:sz w:val="28"/>
          <w:szCs w:val="28"/>
        </w:rPr>
        <w:t>③确保信息系统安全。</w:t>
      </w:r>
    </w:p>
    <w:p w14:paraId="69040E5B">
      <w:pPr>
        <w:tabs>
          <w:tab w:val="left" w:pos="284"/>
        </w:tabs>
        <w:ind w:firstLine="560" w:firstLineChars="200"/>
        <w:rPr>
          <w:rFonts w:ascii="仿宋" w:hAnsi="仿宋" w:eastAsia="仿宋" w:cs="仿宋"/>
          <w:sz w:val="28"/>
          <w:szCs w:val="28"/>
        </w:rPr>
      </w:pPr>
      <w:r>
        <w:rPr>
          <w:rFonts w:hint="eastAsia" w:ascii="仿宋" w:hAnsi="仿宋" w:eastAsia="仿宋" w:cs="仿宋"/>
          <w:sz w:val="28"/>
          <w:szCs w:val="28"/>
        </w:rPr>
        <w:t>④开展新闻宣传阵地建设。</w:t>
      </w:r>
    </w:p>
    <w:p w14:paraId="0BE007E4">
      <w:pPr>
        <w:tabs>
          <w:tab w:val="left" w:pos="284"/>
        </w:tabs>
        <w:ind w:firstLine="560" w:firstLineChars="200"/>
        <w:rPr>
          <w:rFonts w:ascii="仿宋" w:hAnsi="仿宋" w:eastAsia="仿宋" w:cs="仿宋"/>
          <w:sz w:val="28"/>
          <w:szCs w:val="28"/>
        </w:rPr>
      </w:pPr>
      <w:r>
        <w:rPr>
          <w:rFonts w:hint="eastAsia" w:ascii="仿宋" w:hAnsi="仿宋" w:eastAsia="仿宋" w:cs="仿宋"/>
          <w:sz w:val="28"/>
          <w:szCs w:val="28"/>
        </w:rPr>
        <w:t>⑤开发道路交通事故一路通系统，推进事故快处快赔工作。</w:t>
      </w:r>
    </w:p>
    <w:p w14:paraId="6823B1FD">
      <w:pPr>
        <w:tabs>
          <w:tab w:val="left" w:pos="284"/>
        </w:tabs>
        <w:ind w:firstLine="560" w:firstLineChars="200"/>
        <w:rPr>
          <w:rFonts w:ascii="仿宋" w:hAnsi="仿宋" w:eastAsia="仿宋" w:cs="仿宋"/>
          <w:sz w:val="28"/>
          <w:szCs w:val="28"/>
        </w:rPr>
      </w:pPr>
      <w:r>
        <w:rPr>
          <w:rFonts w:hint="eastAsia" w:ascii="仿宋" w:hAnsi="仿宋" w:eastAsia="仿宋" w:cs="仿宋"/>
          <w:sz w:val="28"/>
          <w:szCs w:val="28"/>
        </w:rPr>
        <w:t>⑥开展执法问题专项整治及执法质量巡查。</w:t>
      </w:r>
    </w:p>
    <w:p w14:paraId="02D94455">
      <w:pPr>
        <w:autoSpaceDE w:val="0"/>
        <w:autoSpaceDN w:val="0"/>
        <w:ind w:firstLine="560" w:firstLineChars="200"/>
        <w:rPr>
          <w:rFonts w:ascii="仿宋" w:hAnsi="仿宋" w:eastAsia="仿宋" w:cs="仿宋"/>
          <w:sz w:val="28"/>
          <w:szCs w:val="28"/>
        </w:rPr>
      </w:pPr>
      <w:r>
        <w:rPr>
          <w:rFonts w:hint="eastAsia" w:ascii="仿宋" w:hAnsi="仿宋" w:eastAsia="仿宋" w:cs="仿宋"/>
          <w:sz w:val="28"/>
          <w:szCs w:val="28"/>
        </w:rPr>
        <w:t>⑦加强涉案财物规范管理及信息公开、行政处罚决定书公开工作。</w:t>
      </w:r>
    </w:p>
    <w:p w14:paraId="040E011D">
      <w:pPr>
        <w:tabs>
          <w:tab w:val="left" w:pos="284"/>
        </w:tabs>
        <w:ind w:firstLine="560" w:firstLineChars="200"/>
        <w:rPr>
          <w:rFonts w:ascii="仿宋" w:hAnsi="仿宋" w:eastAsia="仿宋" w:cs="仿宋"/>
          <w:sz w:val="28"/>
          <w:szCs w:val="28"/>
        </w:rPr>
      </w:pPr>
      <w:r>
        <w:rPr>
          <w:rFonts w:hint="eastAsia" w:ascii="仿宋" w:hAnsi="仿宋" w:eastAsia="仿宋" w:cs="仿宋"/>
          <w:sz w:val="28"/>
          <w:szCs w:val="28"/>
        </w:rPr>
        <w:t>⑧开展教育训练实战专题比武、业务技能比武。</w:t>
      </w:r>
    </w:p>
    <w:p w14:paraId="4C4928EC">
      <w:pPr>
        <w:tabs>
          <w:tab w:val="left" w:pos="284"/>
        </w:tabs>
        <w:ind w:firstLine="560" w:firstLineChars="200"/>
        <w:rPr>
          <w:rFonts w:ascii="仿宋" w:hAnsi="仿宋" w:eastAsia="仿宋" w:cs="仿宋"/>
          <w:sz w:val="28"/>
          <w:szCs w:val="28"/>
        </w:rPr>
      </w:pPr>
      <w:r>
        <w:rPr>
          <w:rFonts w:hint="eastAsia" w:ascii="仿宋" w:hAnsi="仿宋" w:eastAsia="仿宋" w:cs="仿宋"/>
          <w:sz w:val="28"/>
          <w:szCs w:val="28"/>
        </w:rPr>
        <w:t>⑨加强政治建警，创新队伍建设与管理，创建各种优秀团队，树立一批先进典型。</w:t>
      </w:r>
    </w:p>
    <w:p w14:paraId="6112ED89">
      <w:pPr>
        <w:tabs>
          <w:tab w:val="left" w:pos="284"/>
        </w:tabs>
        <w:ind w:firstLine="560" w:firstLineChars="200"/>
        <w:rPr>
          <w:rFonts w:hint="eastAsia" w:ascii="Cambria Math" w:hAnsi="Cambria Math" w:eastAsia="仿宋" w:cs="Cambria Math"/>
          <w:sz w:val="28"/>
          <w:szCs w:val="28"/>
        </w:rPr>
      </w:pPr>
      <w:r>
        <w:rPr>
          <w:rFonts w:hint="eastAsia" w:ascii="仿宋" w:hAnsi="仿宋" w:eastAsia="仿宋" w:cs="仿宋"/>
          <w:sz w:val="28"/>
          <w:szCs w:val="28"/>
        </w:rPr>
        <w:t>⑩加强会计人员配备及培训工作,完善财务管理制度，健全内部控制制度。</w:t>
      </w:r>
    </w:p>
    <w:p w14:paraId="70D4F5B8">
      <w:pPr>
        <w:tabs>
          <w:tab w:val="left" w:pos="284"/>
        </w:tabs>
        <w:ind w:firstLine="562" w:firstLineChars="200"/>
        <w:rPr>
          <w:rFonts w:ascii="仿宋" w:hAnsi="仿宋" w:eastAsia="仿宋" w:cs="仿宋"/>
          <w:b/>
          <w:sz w:val="28"/>
          <w:szCs w:val="28"/>
        </w:rPr>
      </w:pPr>
      <w:r>
        <w:rPr>
          <w:rFonts w:hint="eastAsia" w:ascii="仿宋" w:hAnsi="仿宋" w:eastAsia="仿宋" w:cs="仿宋"/>
          <w:b/>
          <w:sz w:val="28"/>
          <w:szCs w:val="28"/>
        </w:rPr>
        <w:t>（2）履职情况目标建设</w:t>
      </w:r>
    </w:p>
    <w:p w14:paraId="1A24E087">
      <w:pPr>
        <w:tabs>
          <w:tab w:val="left" w:pos="284"/>
        </w:tabs>
        <w:ind w:firstLine="560" w:firstLineChars="200"/>
        <w:rPr>
          <w:rFonts w:ascii="仿宋" w:hAnsi="仿宋" w:eastAsia="仿宋" w:cs="仿宋"/>
          <w:sz w:val="28"/>
          <w:szCs w:val="28"/>
        </w:rPr>
      </w:pPr>
      <w:r>
        <w:rPr>
          <w:rFonts w:hint="eastAsia" w:ascii="仿宋" w:hAnsi="仿宋" w:eastAsia="仿宋" w:cs="仿宋"/>
          <w:sz w:val="28"/>
          <w:szCs w:val="28"/>
        </w:rPr>
        <w:t>①及时疏导堵点交通，城区5分钟、郊区10分钟赶到现场。.</w:t>
      </w:r>
    </w:p>
    <w:p w14:paraId="3A6F4A52">
      <w:pPr>
        <w:tabs>
          <w:tab w:val="left" w:pos="284"/>
        </w:tabs>
        <w:ind w:firstLine="560" w:firstLineChars="200"/>
        <w:rPr>
          <w:rFonts w:ascii="仿宋" w:hAnsi="仿宋" w:eastAsia="仿宋" w:cs="仿宋"/>
          <w:sz w:val="28"/>
          <w:szCs w:val="28"/>
        </w:rPr>
      </w:pPr>
      <w:r>
        <w:rPr>
          <w:rFonts w:hint="eastAsia" w:ascii="仿宋" w:hAnsi="仿宋" w:eastAsia="仿宋" w:cs="仿宋"/>
          <w:sz w:val="28"/>
          <w:szCs w:val="28"/>
        </w:rPr>
        <w:t>②排查县级道路安全隐患8515处，截止12月31日，已全部完成整治； 处，乡级道路安全隐患</w:t>
      </w:r>
      <w:r>
        <w:rPr>
          <w:rFonts w:hint="eastAsia" w:ascii="仿宋" w:hAnsi="仿宋" w:eastAsia="仿宋"/>
          <w:sz w:val="28"/>
          <w:szCs w:val="28"/>
        </w:rPr>
        <w:t>8146处，现已整改4178处，计划在明年6月底前完成治理任务。</w:t>
      </w:r>
    </w:p>
    <w:p w14:paraId="7841C433">
      <w:pPr>
        <w:tabs>
          <w:tab w:val="left" w:pos="284"/>
        </w:tabs>
        <w:ind w:firstLine="560" w:firstLineChars="200"/>
        <w:rPr>
          <w:rFonts w:ascii="仿宋" w:hAnsi="仿宋" w:eastAsia="仿宋" w:cs="仿宋"/>
          <w:sz w:val="28"/>
          <w:szCs w:val="28"/>
        </w:rPr>
      </w:pPr>
      <w:r>
        <w:rPr>
          <w:rFonts w:hint="eastAsia" w:ascii="仿宋" w:hAnsi="仿宋" w:eastAsia="仿宋" w:cs="仿宋"/>
          <w:sz w:val="28"/>
          <w:szCs w:val="28"/>
        </w:rPr>
        <w:t xml:space="preserve">③全市查处道路交通违法，酒驾醉驾、无证驾驶、“三超一疲劳”“农村两违”等重点交通违法24.43万起； 通过互联网平台办理各项业务260万笔，开展轻微交通事故视频快处8275起。  </w:t>
      </w:r>
    </w:p>
    <w:p w14:paraId="7A07F792">
      <w:pPr>
        <w:tabs>
          <w:tab w:val="left" w:pos="284"/>
        </w:tabs>
        <w:ind w:firstLine="560" w:firstLineChars="200"/>
        <w:rPr>
          <w:rFonts w:ascii="仿宋" w:hAnsi="仿宋" w:eastAsia="仿宋" w:cs="仿宋"/>
          <w:sz w:val="28"/>
          <w:szCs w:val="28"/>
        </w:rPr>
      </w:pPr>
      <w:r>
        <w:rPr>
          <w:rFonts w:hint="eastAsia" w:ascii="仿宋" w:hAnsi="仿宋" w:eastAsia="仿宋" w:cs="仿宋"/>
          <w:sz w:val="28"/>
          <w:szCs w:val="28"/>
        </w:rPr>
        <w:t>④重点车辆检验率、报废率、违法处理率全部达到100%，重点驾驶人审验率、换证率分别达到97.58%、99.53%。</w:t>
      </w:r>
    </w:p>
    <w:p w14:paraId="7CF4303A">
      <w:pPr>
        <w:tabs>
          <w:tab w:val="left" w:pos="284"/>
        </w:tabs>
        <w:ind w:firstLine="560" w:firstLineChars="200"/>
        <w:rPr>
          <w:rFonts w:ascii="仿宋" w:hAnsi="仿宋" w:eastAsia="仿宋" w:cs="仿宋"/>
          <w:sz w:val="28"/>
          <w:szCs w:val="28"/>
        </w:rPr>
      </w:pPr>
      <w:r>
        <w:rPr>
          <w:rFonts w:hint="eastAsia" w:ascii="仿宋" w:hAnsi="仿宋" w:eastAsia="仿宋" w:cs="仿宋"/>
          <w:sz w:val="28"/>
          <w:szCs w:val="28"/>
        </w:rPr>
        <w:t>⑤各项规费、罚没收入及时上缴财政。各项收入应收尽收完成率达到100%。</w:t>
      </w:r>
    </w:p>
    <w:p w14:paraId="7195C76A">
      <w:pPr>
        <w:tabs>
          <w:tab w:val="left" w:pos="284"/>
        </w:tabs>
        <w:ind w:firstLine="560" w:firstLineChars="200"/>
        <w:rPr>
          <w:rFonts w:ascii="仿宋" w:hAnsi="仿宋" w:eastAsia="仿宋" w:cs="仿宋"/>
          <w:sz w:val="28"/>
          <w:szCs w:val="28"/>
        </w:rPr>
      </w:pPr>
      <w:r>
        <w:rPr>
          <w:rFonts w:hint="eastAsia" w:ascii="仿宋" w:hAnsi="仿宋" w:eastAsia="仿宋" w:cs="仿宋"/>
          <w:sz w:val="28"/>
          <w:szCs w:val="28"/>
        </w:rPr>
        <w:t>（3）控制各项支出比例及进度目标建设。</w:t>
      </w:r>
    </w:p>
    <w:p w14:paraId="47943B92">
      <w:pPr>
        <w:tabs>
          <w:tab w:val="left" w:pos="284"/>
        </w:tabs>
        <w:ind w:firstLine="560" w:firstLineChars="200"/>
        <w:rPr>
          <w:rFonts w:ascii="仿宋" w:hAnsi="仿宋" w:eastAsia="仿宋" w:cs="仿宋"/>
          <w:sz w:val="28"/>
          <w:szCs w:val="28"/>
        </w:rPr>
      </w:pPr>
      <w:r>
        <w:rPr>
          <w:rFonts w:hint="eastAsia" w:ascii="仿宋" w:hAnsi="仿宋" w:eastAsia="仿宋" w:cs="仿宋"/>
          <w:sz w:val="28"/>
          <w:szCs w:val="28"/>
        </w:rPr>
        <w:t>①三公经费增减率控制在-10%以上;</w:t>
      </w:r>
    </w:p>
    <w:p w14:paraId="774B9AAF">
      <w:pPr>
        <w:tabs>
          <w:tab w:val="left" w:pos="284"/>
        </w:tabs>
        <w:ind w:firstLine="560" w:firstLineChars="200"/>
        <w:rPr>
          <w:rFonts w:ascii="仿宋" w:hAnsi="仿宋" w:eastAsia="仿宋" w:cs="仿宋"/>
          <w:sz w:val="28"/>
          <w:szCs w:val="28"/>
        </w:rPr>
      </w:pPr>
      <w:r>
        <w:rPr>
          <w:rFonts w:hint="eastAsia" w:ascii="仿宋" w:hAnsi="仿宋" w:eastAsia="仿宋" w:cs="仿宋"/>
          <w:sz w:val="28"/>
          <w:szCs w:val="28"/>
        </w:rPr>
        <w:t>②部门整体支出支付进度:基本支出按月付款，项目支出10月底完成80%;</w:t>
      </w:r>
    </w:p>
    <w:p w14:paraId="601D2262">
      <w:pPr>
        <w:tabs>
          <w:tab w:val="left" w:pos="284"/>
        </w:tabs>
        <w:ind w:firstLine="560" w:firstLineChars="200"/>
        <w:rPr>
          <w:rFonts w:ascii="仿宋" w:hAnsi="仿宋" w:eastAsia="仿宋" w:cs="仿宋"/>
          <w:sz w:val="28"/>
          <w:szCs w:val="28"/>
        </w:rPr>
      </w:pPr>
      <w:r>
        <w:rPr>
          <w:rFonts w:hint="eastAsia" w:ascii="仿宋" w:hAnsi="仿宋" w:eastAsia="仿宋" w:cs="仿宋"/>
          <w:sz w:val="28"/>
          <w:szCs w:val="28"/>
        </w:rPr>
        <w:t>③部门预决算和三公经费预决算定期外网公开,透明度100%;</w:t>
      </w:r>
    </w:p>
    <w:p w14:paraId="7B0726A5">
      <w:pPr>
        <w:tabs>
          <w:tab w:val="left" w:pos="284"/>
        </w:tabs>
        <w:ind w:firstLine="560" w:firstLineChars="200"/>
        <w:rPr>
          <w:rFonts w:ascii="仿宋" w:hAnsi="仿宋" w:eastAsia="仿宋" w:cs="仿宋"/>
          <w:sz w:val="28"/>
          <w:szCs w:val="28"/>
        </w:rPr>
      </w:pPr>
      <w:r>
        <w:rPr>
          <w:rFonts w:hint="eastAsia" w:ascii="仿宋" w:hAnsi="仿宋" w:eastAsia="仿宋" w:cs="仿宋"/>
          <w:sz w:val="28"/>
          <w:szCs w:val="28"/>
        </w:rPr>
        <w:t>④政府采购执行率：100%;</w:t>
      </w:r>
    </w:p>
    <w:p w14:paraId="55012D1F">
      <w:pPr>
        <w:tabs>
          <w:tab w:val="left" w:pos="284"/>
        </w:tabs>
        <w:ind w:firstLine="560" w:firstLineChars="200"/>
        <w:rPr>
          <w:rFonts w:ascii="仿宋" w:hAnsi="仿宋" w:eastAsia="仿宋" w:cs="仿宋"/>
          <w:sz w:val="28"/>
          <w:szCs w:val="28"/>
        </w:rPr>
      </w:pPr>
      <w:r>
        <w:rPr>
          <w:rFonts w:hint="eastAsia" w:ascii="仿宋" w:hAnsi="仿宋" w:eastAsia="仿宋" w:cs="仿宋"/>
          <w:sz w:val="28"/>
          <w:szCs w:val="28"/>
        </w:rPr>
        <w:t>⑤重点工作办结率：100%;</w:t>
      </w:r>
    </w:p>
    <w:p w14:paraId="197AC7E9">
      <w:pPr>
        <w:tabs>
          <w:tab w:val="left" w:pos="284"/>
        </w:tabs>
        <w:ind w:firstLine="560" w:firstLineChars="200"/>
        <w:rPr>
          <w:rFonts w:ascii="仿宋" w:hAnsi="仿宋" w:eastAsia="仿宋" w:cs="仿宋"/>
          <w:sz w:val="28"/>
          <w:szCs w:val="28"/>
        </w:rPr>
      </w:pPr>
      <w:r>
        <w:rPr>
          <w:rFonts w:hint="eastAsia" w:ascii="仿宋" w:hAnsi="仿宋" w:eastAsia="仿宋" w:cs="仿宋"/>
          <w:sz w:val="28"/>
          <w:szCs w:val="28"/>
        </w:rPr>
        <w:t>⑥交通事故结案率:90%;</w:t>
      </w:r>
    </w:p>
    <w:p w14:paraId="3CD366D3">
      <w:pPr>
        <w:tabs>
          <w:tab w:val="left" w:pos="284"/>
        </w:tabs>
        <w:ind w:firstLine="560" w:firstLineChars="200"/>
        <w:rPr>
          <w:rFonts w:ascii="仿宋" w:hAnsi="仿宋" w:eastAsia="仿宋" w:cs="仿宋"/>
          <w:sz w:val="28"/>
          <w:szCs w:val="28"/>
        </w:rPr>
      </w:pPr>
      <w:r>
        <w:rPr>
          <w:rFonts w:hint="eastAsia" w:ascii="仿宋" w:hAnsi="仿宋" w:eastAsia="仿宋" w:cs="仿宋"/>
          <w:sz w:val="28"/>
          <w:szCs w:val="28"/>
        </w:rPr>
        <w:t>⑦车驾管业务窗口“一站式”服务，群众满意度100%;</w:t>
      </w:r>
    </w:p>
    <w:p w14:paraId="2B3D49B1">
      <w:pPr>
        <w:pStyle w:val="10"/>
        <w:spacing w:line="520" w:lineRule="exact"/>
        <w:ind w:firstLine="562"/>
        <w:rPr>
          <w:rFonts w:ascii="仿宋" w:hAnsi="仿宋" w:eastAsia="仿宋" w:cs="仿宋"/>
          <w:b/>
          <w:bCs/>
          <w:kern w:val="0"/>
          <w:sz w:val="28"/>
          <w:szCs w:val="28"/>
          <w:shd w:val="clear" w:color="auto" w:fill="FFFFFF"/>
        </w:rPr>
      </w:pPr>
      <w:r>
        <w:rPr>
          <w:rFonts w:hint="eastAsia" w:ascii="仿宋" w:hAnsi="仿宋" w:eastAsia="仿宋" w:cs="仿宋"/>
          <w:b/>
          <w:bCs/>
          <w:kern w:val="0"/>
          <w:sz w:val="28"/>
          <w:szCs w:val="28"/>
          <w:shd w:val="clear" w:color="auto" w:fill="FFFFFF"/>
        </w:rPr>
        <w:t>二、一般公共预算支出情况</w:t>
      </w:r>
      <w:r>
        <w:rPr>
          <w:rFonts w:hint="eastAsia" w:ascii="仿宋" w:hAnsi="仿宋" w:eastAsia="仿宋" w:cs="仿宋"/>
          <w:b/>
          <w:bCs/>
          <w:kern w:val="0"/>
          <w:sz w:val="28"/>
          <w:szCs w:val="28"/>
          <w:shd w:val="clear" w:color="auto" w:fill="FFFFFF"/>
        </w:rPr>
        <w:tab/>
      </w:r>
    </w:p>
    <w:p w14:paraId="15F27E1E">
      <w:pPr>
        <w:pStyle w:val="6"/>
        <w:shd w:val="clear" w:color="auto" w:fill="FFFFFF"/>
        <w:spacing w:before="0" w:beforeAutospacing="0" w:after="0" w:afterAutospacing="0"/>
        <w:ind w:firstLine="560" w:firstLineChars="200"/>
        <w:jc w:val="both"/>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2024年部门整体决算总收入13409.11万元，其中一般公共预算财政拨款收入13346.61万元，其他收入62.5万元。</w:t>
      </w:r>
    </w:p>
    <w:p w14:paraId="56842D79">
      <w:pPr>
        <w:pStyle w:val="6"/>
        <w:shd w:val="clear" w:color="auto" w:fill="FFFFFF"/>
        <w:spacing w:before="0" w:beforeAutospacing="0" w:after="0" w:afterAutospacing="0"/>
        <w:ind w:firstLine="560" w:firstLineChars="200"/>
        <w:jc w:val="both"/>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2024年部门整体决算总支出13409.11万元，其中基本支出10027.98万元，占部门总支出的74.78%；项目支出3381.13万元，占部门总支出的33.72%。具体情况如下：</w:t>
      </w:r>
    </w:p>
    <w:p w14:paraId="332ED85D">
      <w:pPr>
        <w:pStyle w:val="6"/>
        <w:numPr>
          <w:ilvl w:val="0"/>
          <w:numId w:val="1"/>
        </w:numPr>
        <w:shd w:val="clear" w:color="auto" w:fill="FFFFFF"/>
        <w:spacing w:before="0" w:beforeAutospacing="0" w:after="0" w:afterAutospacing="0"/>
        <w:ind w:firstLine="562" w:firstLineChars="200"/>
        <w:jc w:val="both"/>
        <w:rPr>
          <w:rFonts w:ascii="仿宋" w:hAnsi="仿宋" w:eastAsia="仿宋" w:cs="仿宋"/>
          <w:b/>
          <w:bCs/>
          <w:sz w:val="28"/>
          <w:szCs w:val="28"/>
          <w:shd w:val="clear" w:color="auto" w:fill="FFFFFF"/>
        </w:rPr>
      </w:pPr>
      <w:r>
        <w:rPr>
          <w:rFonts w:hint="eastAsia" w:ascii="仿宋" w:hAnsi="仿宋" w:eastAsia="仿宋" w:cs="仿宋"/>
          <w:b/>
          <w:bCs/>
          <w:sz w:val="28"/>
          <w:szCs w:val="28"/>
          <w:shd w:val="clear" w:color="auto" w:fill="FFFFFF"/>
        </w:rPr>
        <w:t>基本支出情况</w:t>
      </w:r>
    </w:p>
    <w:p w14:paraId="4089C7DF">
      <w:pPr>
        <w:pStyle w:val="6"/>
        <w:shd w:val="clear" w:color="auto" w:fill="FFFFFF"/>
        <w:spacing w:before="0" w:beforeAutospacing="0" w:after="0" w:afterAutospacing="0"/>
        <w:ind w:firstLine="560" w:firstLineChars="200"/>
        <w:jc w:val="both"/>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2024年度基本支出10027.98万元，其中：人员经费6248.98万元，占基本支出的62.32%；公用经费3779万元，占基本支出的37.68%。</w:t>
      </w:r>
    </w:p>
    <w:p w14:paraId="1FD3900F">
      <w:pPr>
        <w:pStyle w:val="6"/>
        <w:shd w:val="clear" w:color="auto" w:fill="FFFFFF"/>
        <w:spacing w:before="0" w:beforeAutospacing="0" w:after="0" w:afterAutospacing="0"/>
        <w:ind w:firstLine="560" w:firstLineChars="200"/>
        <w:jc w:val="both"/>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人员经费支出今年6248.98万元（其中工资福利支出5844.99万元，对个人和家庭的补助403.99万元），去年9176.54万元，比去年减少2927.56万元，减少31.9%，原因是主要原因是2024年辅警人员经费由工资福利支出的其他工资福利支出全部调入商品服务支出中的劳务费支出中，且今年将车补调整至其他交通费用。</w:t>
      </w:r>
    </w:p>
    <w:p w14:paraId="1F0CA801">
      <w:pPr>
        <w:pStyle w:val="6"/>
        <w:shd w:val="clear" w:color="auto" w:fill="FFFFFF"/>
        <w:spacing w:before="0" w:beforeAutospacing="0" w:after="0" w:afterAutospacing="0"/>
        <w:ind w:firstLine="560" w:firstLineChars="200"/>
        <w:jc w:val="both"/>
        <w:rPr>
          <w:rFonts w:ascii="仿宋" w:hAnsi="仿宋" w:eastAsia="仿宋" w:cs="仿宋"/>
          <w:sz w:val="28"/>
          <w:szCs w:val="28"/>
          <w:shd w:val="clear" w:color="auto" w:fill="FFFFFF"/>
          <w:lang w:val="zh-CN"/>
        </w:rPr>
      </w:pPr>
      <w:r>
        <w:rPr>
          <w:rFonts w:hint="eastAsia" w:ascii="仿宋" w:hAnsi="仿宋" w:eastAsia="仿宋" w:cs="仿宋"/>
          <w:sz w:val="28"/>
          <w:szCs w:val="28"/>
          <w:shd w:val="clear" w:color="auto" w:fill="FFFFFF"/>
        </w:rPr>
        <w:t>公用经费支出今年3779万元，去年1826.09万元，比去年增加1952.91万元，增加106.95%，原因一是2024年把水电费、物业费、办公费等运转类经费从项目经费调入了公用经费中，二是2024年辅警人员经费由工资福利支出的其他工资福利支出全部调入商品服务支出中的劳务费支出中，三是今年车补调整至其他交通费用，因此公用经费增加。</w:t>
      </w:r>
    </w:p>
    <w:p w14:paraId="5033FA1C">
      <w:pPr>
        <w:pStyle w:val="6"/>
        <w:numPr>
          <w:ilvl w:val="0"/>
          <w:numId w:val="1"/>
        </w:numPr>
        <w:shd w:val="clear" w:color="auto" w:fill="FFFFFF"/>
        <w:spacing w:before="0" w:beforeAutospacing="0" w:after="0" w:afterAutospacing="0"/>
        <w:ind w:firstLine="562" w:firstLineChars="200"/>
        <w:jc w:val="both"/>
        <w:rPr>
          <w:rFonts w:ascii="仿宋" w:hAnsi="仿宋" w:eastAsia="仿宋" w:cs="仿宋"/>
          <w:b/>
          <w:bCs/>
          <w:sz w:val="28"/>
          <w:szCs w:val="28"/>
          <w:shd w:val="clear" w:color="auto" w:fill="FFFFFF"/>
        </w:rPr>
      </w:pPr>
      <w:r>
        <w:rPr>
          <w:rFonts w:hint="eastAsia" w:ascii="仿宋" w:hAnsi="仿宋" w:eastAsia="仿宋" w:cs="仿宋"/>
          <w:b/>
          <w:bCs/>
          <w:sz w:val="28"/>
          <w:szCs w:val="28"/>
          <w:shd w:val="clear" w:color="auto" w:fill="FFFFFF"/>
        </w:rPr>
        <w:t>部门“三公”经费使用管理情况</w:t>
      </w:r>
    </w:p>
    <w:p w14:paraId="5C69315F">
      <w:pPr>
        <w:autoSpaceDE w:val="0"/>
        <w:autoSpaceDN w:val="0"/>
        <w:ind w:firstLine="562" w:firstLineChars="200"/>
        <w:rPr>
          <w:rFonts w:ascii="仿宋" w:hAnsi="仿宋" w:eastAsia="仿宋"/>
          <w:b/>
          <w:sz w:val="28"/>
          <w:szCs w:val="28"/>
          <w:lang w:val="zh-CN"/>
        </w:rPr>
      </w:pPr>
      <w:r>
        <w:rPr>
          <w:rFonts w:hint="eastAsia" w:ascii="仿宋" w:hAnsi="仿宋" w:eastAsia="仿宋"/>
          <w:b/>
          <w:sz w:val="28"/>
          <w:szCs w:val="28"/>
          <w:lang w:val="zh-CN"/>
        </w:rPr>
        <w:t>1、202</w:t>
      </w:r>
      <w:r>
        <w:rPr>
          <w:rFonts w:hint="eastAsia" w:ascii="仿宋" w:hAnsi="仿宋" w:eastAsia="仿宋"/>
          <w:b/>
          <w:sz w:val="28"/>
          <w:szCs w:val="28"/>
        </w:rPr>
        <w:t>4</w:t>
      </w:r>
      <w:r>
        <w:rPr>
          <w:rFonts w:hint="eastAsia" w:ascii="仿宋" w:hAnsi="仿宋" w:eastAsia="仿宋"/>
          <w:b/>
          <w:sz w:val="28"/>
          <w:szCs w:val="28"/>
          <w:lang w:val="zh-CN"/>
        </w:rPr>
        <w:t>年“三公”经费预算情况（单位：</w:t>
      </w:r>
      <w:r>
        <w:rPr>
          <w:rFonts w:hint="eastAsia" w:ascii="仿宋" w:hAnsi="仿宋" w:eastAsia="仿宋"/>
          <w:b/>
          <w:sz w:val="28"/>
          <w:szCs w:val="28"/>
        </w:rPr>
        <w:t>万</w:t>
      </w:r>
      <w:r>
        <w:rPr>
          <w:rFonts w:hint="eastAsia" w:ascii="仿宋" w:hAnsi="仿宋" w:eastAsia="仿宋"/>
          <w:b/>
          <w:sz w:val="28"/>
          <w:szCs w:val="28"/>
          <w:lang w:val="zh-CN"/>
        </w:rPr>
        <w:t>元）</w:t>
      </w:r>
    </w:p>
    <w:tbl>
      <w:tblPr>
        <w:tblStyle w:val="7"/>
        <w:tblW w:w="8282" w:type="dxa"/>
        <w:jc w:val="center"/>
        <w:tblLayout w:type="fixed"/>
        <w:tblCellMar>
          <w:top w:w="0" w:type="dxa"/>
          <w:left w:w="0" w:type="dxa"/>
          <w:bottom w:w="0" w:type="dxa"/>
          <w:right w:w="0" w:type="dxa"/>
        </w:tblCellMar>
      </w:tblPr>
      <w:tblGrid>
        <w:gridCol w:w="2842"/>
        <w:gridCol w:w="1812"/>
        <w:gridCol w:w="1814"/>
        <w:gridCol w:w="1814"/>
      </w:tblGrid>
      <w:tr w14:paraId="226AF9C7">
        <w:tblPrEx>
          <w:tblCellMar>
            <w:top w:w="0" w:type="dxa"/>
            <w:left w:w="0" w:type="dxa"/>
            <w:bottom w:w="0" w:type="dxa"/>
            <w:right w:w="0" w:type="dxa"/>
          </w:tblCellMar>
        </w:tblPrEx>
        <w:trPr>
          <w:trHeight w:val="510" w:hRule="atLeast"/>
          <w:jc w:val="center"/>
        </w:trPr>
        <w:tc>
          <w:tcPr>
            <w:tcW w:w="284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156A354">
            <w:pPr>
              <w:widowControl/>
              <w:jc w:val="center"/>
              <w:textAlignment w:val="center"/>
              <w:rPr>
                <w:rFonts w:ascii="仿宋" w:hAnsi="仿宋" w:eastAsia="仿宋"/>
                <w:kern w:val="0"/>
                <w:sz w:val="21"/>
                <w:szCs w:val="21"/>
              </w:rPr>
            </w:pPr>
            <w:r>
              <w:rPr>
                <w:rFonts w:hint="eastAsia" w:ascii="仿宋" w:hAnsi="仿宋" w:eastAsia="仿宋" w:cs="仿宋"/>
                <w:color w:val="000000"/>
                <w:kern w:val="0"/>
                <w:sz w:val="21"/>
                <w:szCs w:val="21"/>
              </w:rPr>
              <w:t>费用项目</w:t>
            </w:r>
          </w:p>
        </w:tc>
        <w:tc>
          <w:tcPr>
            <w:tcW w:w="18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19BFD6D">
            <w:pPr>
              <w:widowControl/>
              <w:jc w:val="center"/>
              <w:textAlignment w:val="center"/>
              <w:rPr>
                <w:rFonts w:ascii="仿宋" w:hAnsi="仿宋" w:eastAsia="仿宋"/>
                <w:kern w:val="0"/>
                <w:sz w:val="21"/>
                <w:szCs w:val="21"/>
              </w:rPr>
            </w:pPr>
            <w:r>
              <w:rPr>
                <w:rFonts w:hint="eastAsia" w:ascii="仿宋" w:hAnsi="仿宋" w:eastAsia="仿宋" w:cs="仿宋"/>
                <w:color w:val="000000"/>
                <w:kern w:val="0"/>
                <w:sz w:val="21"/>
                <w:szCs w:val="21"/>
              </w:rPr>
              <w:t>基本支出</w:t>
            </w:r>
          </w:p>
        </w:tc>
        <w:tc>
          <w:tcPr>
            <w:tcW w:w="18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1B62885">
            <w:pPr>
              <w:widowControl/>
              <w:jc w:val="center"/>
              <w:textAlignment w:val="center"/>
              <w:rPr>
                <w:rFonts w:ascii="仿宋" w:hAnsi="仿宋" w:eastAsia="仿宋"/>
                <w:kern w:val="0"/>
                <w:sz w:val="21"/>
                <w:szCs w:val="21"/>
              </w:rPr>
            </w:pPr>
            <w:r>
              <w:rPr>
                <w:rFonts w:hint="eastAsia" w:ascii="仿宋" w:hAnsi="仿宋" w:eastAsia="仿宋" w:cs="仿宋"/>
                <w:color w:val="000000"/>
                <w:kern w:val="0"/>
                <w:sz w:val="21"/>
                <w:szCs w:val="21"/>
              </w:rPr>
              <w:t>项目支出</w:t>
            </w:r>
          </w:p>
        </w:tc>
        <w:tc>
          <w:tcPr>
            <w:tcW w:w="18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BBBDCB1">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合计</w:t>
            </w:r>
          </w:p>
        </w:tc>
      </w:tr>
      <w:tr w14:paraId="711A0BCF">
        <w:tblPrEx>
          <w:tblCellMar>
            <w:top w:w="0" w:type="dxa"/>
            <w:left w:w="0" w:type="dxa"/>
            <w:bottom w:w="0" w:type="dxa"/>
            <w:right w:w="0" w:type="dxa"/>
          </w:tblCellMar>
        </w:tblPrEx>
        <w:trPr>
          <w:trHeight w:val="593" w:hRule="atLeast"/>
          <w:jc w:val="center"/>
        </w:trPr>
        <w:tc>
          <w:tcPr>
            <w:tcW w:w="284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5F30E79">
            <w:pPr>
              <w:widowControl/>
              <w:jc w:val="center"/>
              <w:textAlignment w:val="center"/>
              <w:rPr>
                <w:rFonts w:ascii="仿宋" w:hAnsi="仿宋" w:eastAsia="仿宋"/>
                <w:kern w:val="0"/>
                <w:sz w:val="21"/>
                <w:szCs w:val="21"/>
              </w:rPr>
            </w:pPr>
            <w:r>
              <w:rPr>
                <w:rFonts w:hint="eastAsia" w:ascii="仿宋" w:hAnsi="仿宋" w:eastAsia="仿宋" w:cs="仿宋"/>
                <w:color w:val="000000"/>
                <w:kern w:val="0"/>
                <w:sz w:val="21"/>
                <w:szCs w:val="21"/>
              </w:rPr>
              <w:t>公务接待费</w:t>
            </w:r>
          </w:p>
        </w:tc>
        <w:tc>
          <w:tcPr>
            <w:tcW w:w="18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066B82D">
            <w:pPr>
              <w:widowControl/>
              <w:jc w:val="center"/>
              <w:textAlignment w:val="center"/>
              <w:rPr>
                <w:rFonts w:ascii="仿宋" w:hAnsi="仿宋" w:eastAsia="仿宋"/>
                <w:kern w:val="0"/>
                <w:sz w:val="21"/>
                <w:szCs w:val="21"/>
              </w:rPr>
            </w:pPr>
            <w:r>
              <w:rPr>
                <w:rFonts w:hint="eastAsia" w:ascii="仿宋" w:hAnsi="仿宋" w:eastAsia="仿宋" w:cs="仿宋"/>
                <w:color w:val="000000"/>
                <w:kern w:val="0"/>
                <w:sz w:val="21"/>
                <w:szCs w:val="21"/>
              </w:rPr>
              <w:t>3</w:t>
            </w:r>
          </w:p>
        </w:tc>
        <w:tc>
          <w:tcPr>
            <w:tcW w:w="18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32BD621">
            <w:pPr>
              <w:widowControl/>
              <w:jc w:val="center"/>
              <w:textAlignment w:val="center"/>
              <w:rPr>
                <w:rFonts w:ascii="仿宋" w:hAnsi="仿宋" w:eastAsia="仿宋"/>
                <w:kern w:val="0"/>
                <w:sz w:val="21"/>
                <w:szCs w:val="21"/>
              </w:rPr>
            </w:pPr>
            <w:r>
              <w:rPr>
                <w:rFonts w:hint="eastAsia" w:ascii="仿宋" w:hAnsi="仿宋" w:eastAsia="仿宋" w:cs="仿宋"/>
                <w:color w:val="000000"/>
                <w:kern w:val="0"/>
                <w:sz w:val="21"/>
                <w:szCs w:val="21"/>
              </w:rPr>
              <w:t>0</w:t>
            </w:r>
          </w:p>
        </w:tc>
        <w:tc>
          <w:tcPr>
            <w:tcW w:w="18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7D71782">
            <w:pPr>
              <w:widowControl/>
              <w:jc w:val="center"/>
              <w:textAlignment w:val="center"/>
              <w:rPr>
                <w:rFonts w:ascii="仿宋" w:hAnsi="仿宋" w:eastAsia="仿宋"/>
                <w:kern w:val="0"/>
                <w:sz w:val="21"/>
                <w:szCs w:val="21"/>
              </w:rPr>
            </w:pPr>
            <w:r>
              <w:rPr>
                <w:rFonts w:hint="eastAsia" w:ascii="仿宋" w:hAnsi="仿宋" w:eastAsia="仿宋" w:cs="仿宋"/>
                <w:color w:val="000000"/>
                <w:kern w:val="0"/>
                <w:sz w:val="21"/>
                <w:szCs w:val="21"/>
              </w:rPr>
              <w:t>3</w:t>
            </w:r>
          </w:p>
        </w:tc>
      </w:tr>
      <w:tr w14:paraId="51E31274">
        <w:tblPrEx>
          <w:tblCellMar>
            <w:top w:w="0" w:type="dxa"/>
            <w:left w:w="0" w:type="dxa"/>
            <w:bottom w:w="0" w:type="dxa"/>
            <w:right w:w="0" w:type="dxa"/>
          </w:tblCellMar>
        </w:tblPrEx>
        <w:trPr>
          <w:trHeight w:val="510" w:hRule="atLeast"/>
          <w:jc w:val="center"/>
        </w:trPr>
        <w:tc>
          <w:tcPr>
            <w:tcW w:w="284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DC1EC5F">
            <w:pPr>
              <w:widowControl/>
              <w:jc w:val="center"/>
              <w:textAlignment w:val="center"/>
              <w:rPr>
                <w:rFonts w:ascii="仿宋" w:hAnsi="仿宋" w:eastAsia="仿宋"/>
                <w:kern w:val="0"/>
                <w:sz w:val="21"/>
                <w:szCs w:val="21"/>
              </w:rPr>
            </w:pPr>
            <w:r>
              <w:rPr>
                <w:rFonts w:hint="eastAsia" w:ascii="仿宋" w:hAnsi="仿宋" w:eastAsia="仿宋" w:cs="仿宋"/>
                <w:color w:val="000000"/>
                <w:kern w:val="0"/>
                <w:sz w:val="21"/>
                <w:szCs w:val="21"/>
              </w:rPr>
              <w:t>公务用车购置及运行费</w:t>
            </w:r>
          </w:p>
        </w:tc>
        <w:tc>
          <w:tcPr>
            <w:tcW w:w="18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7E7E53E">
            <w:pPr>
              <w:widowControl/>
              <w:jc w:val="center"/>
              <w:textAlignment w:val="center"/>
              <w:rPr>
                <w:rFonts w:ascii="仿宋" w:hAnsi="仿宋" w:eastAsia="仿宋"/>
                <w:kern w:val="0"/>
                <w:sz w:val="21"/>
                <w:szCs w:val="21"/>
              </w:rPr>
            </w:pPr>
            <w:r>
              <w:rPr>
                <w:rFonts w:hint="eastAsia" w:ascii="仿宋" w:hAnsi="仿宋" w:eastAsia="仿宋" w:cs="仿宋"/>
                <w:color w:val="000000"/>
                <w:kern w:val="0"/>
                <w:sz w:val="21"/>
                <w:szCs w:val="21"/>
              </w:rPr>
              <w:t>320</w:t>
            </w:r>
          </w:p>
        </w:tc>
        <w:tc>
          <w:tcPr>
            <w:tcW w:w="18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6901474">
            <w:pPr>
              <w:widowControl/>
              <w:jc w:val="center"/>
              <w:textAlignment w:val="center"/>
              <w:rPr>
                <w:rFonts w:ascii="仿宋" w:hAnsi="仿宋" w:eastAsia="仿宋"/>
                <w:kern w:val="0"/>
                <w:sz w:val="21"/>
                <w:szCs w:val="21"/>
              </w:rPr>
            </w:pPr>
            <w:r>
              <w:rPr>
                <w:rFonts w:hint="eastAsia" w:ascii="仿宋" w:hAnsi="仿宋" w:eastAsia="仿宋" w:cs="仿宋"/>
                <w:color w:val="000000"/>
                <w:kern w:val="0"/>
                <w:sz w:val="21"/>
                <w:szCs w:val="21"/>
              </w:rPr>
              <w:t>0</w:t>
            </w:r>
          </w:p>
        </w:tc>
        <w:tc>
          <w:tcPr>
            <w:tcW w:w="18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9937FA8">
            <w:pPr>
              <w:widowControl/>
              <w:jc w:val="center"/>
              <w:textAlignment w:val="center"/>
              <w:rPr>
                <w:rFonts w:ascii="仿宋" w:hAnsi="仿宋" w:eastAsia="仿宋"/>
                <w:kern w:val="0"/>
                <w:sz w:val="21"/>
                <w:szCs w:val="21"/>
              </w:rPr>
            </w:pPr>
            <w:r>
              <w:rPr>
                <w:rFonts w:hint="eastAsia" w:ascii="仿宋" w:hAnsi="仿宋" w:eastAsia="仿宋" w:cs="仿宋"/>
                <w:color w:val="000000"/>
                <w:kern w:val="0"/>
                <w:sz w:val="21"/>
                <w:szCs w:val="21"/>
              </w:rPr>
              <w:t>320</w:t>
            </w:r>
          </w:p>
        </w:tc>
      </w:tr>
      <w:tr w14:paraId="3FF7C6C2">
        <w:tblPrEx>
          <w:tblCellMar>
            <w:top w:w="0" w:type="dxa"/>
            <w:left w:w="0" w:type="dxa"/>
            <w:bottom w:w="0" w:type="dxa"/>
            <w:right w:w="0" w:type="dxa"/>
          </w:tblCellMar>
        </w:tblPrEx>
        <w:trPr>
          <w:trHeight w:val="510" w:hRule="atLeast"/>
          <w:jc w:val="center"/>
        </w:trPr>
        <w:tc>
          <w:tcPr>
            <w:tcW w:w="284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4859444">
            <w:pPr>
              <w:widowControl/>
              <w:jc w:val="center"/>
              <w:textAlignment w:val="center"/>
              <w:rPr>
                <w:rFonts w:ascii="仿宋" w:hAnsi="仿宋" w:eastAsia="仿宋" w:cstheme="minorBidi"/>
                <w:kern w:val="0"/>
                <w:sz w:val="21"/>
                <w:szCs w:val="21"/>
              </w:rPr>
            </w:pPr>
            <w:r>
              <w:rPr>
                <w:rFonts w:hint="eastAsia" w:ascii="仿宋" w:hAnsi="仿宋" w:eastAsia="仿宋" w:cs="仿宋"/>
                <w:color w:val="000000"/>
                <w:kern w:val="0"/>
                <w:sz w:val="21"/>
                <w:szCs w:val="21"/>
              </w:rPr>
              <w:t>因公出国费用</w:t>
            </w:r>
          </w:p>
        </w:tc>
        <w:tc>
          <w:tcPr>
            <w:tcW w:w="18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08C4D29">
            <w:pPr>
              <w:widowControl/>
              <w:jc w:val="center"/>
              <w:textAlignment w:val="center"/>
              <w:rPr>
                <w:rFonts w:ascii="仿宋" w:hAnsi="仿宋" w:eastAsia="仿宋" w:cstheme="minorBidi"/>
                <w:kern w:val="0"/>
                <w:sz w:val="21"/>
                <w:szCs w:val="21"/>
              </w:rPr>
            </w:pPr>
            <w:r>
              <w:rPr>
                <w:rFonts w:hint="eastAsia" w:ascii="仿宋" w:hAnsi="仿宋" w:eastAsia="仿宋" w:cs="仿宋"/>
                <w:color w:val="000000"/>
                <w:kern w:val="0"/>
                <w:sz w:val="21"/>
                <w:szCs w:val="21"/>
              </w:rPr>
              <w:t>0</w:t>
            </w:r>
          </w:p>
        </w:tc>
        <w:tc>
          <w:tcPr>
            <w:tcW w:w="18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DB12306">
            <w:pPr>
              <w:widowControl/>
              <w:jc w:val="center"/>
              <w:textAlignment w:val="center"/>
              <w:rPr>
                <w:rFonts w:ascii="仿宋" w:hAnsi="仿宋" w:eastAsia="仿宋"/>
                <w:kern w:val="0"/>
                <w:sz w:val="21"/>
                <w:szCs w:val="21"/>
              </w:rPr>
            </w:pPr>
            <w:r>
              <w:rPr>
                <w:rFonts w:hint="eastAsia" w:ascii="仿宋" w:hAnsi="仿宋" w:eastAsia="仿宋" w:cs="仿宋"/>
                <w:color w:val="000000"/>
                <w:kern w:val="0"/>
                <w:sz w:val="21"/>
                <w:szCs w:val="21"/>
              </w:rPr>
              <w:t>0</w:t>
            </w:r>
          </w:p>
        </w:tc>
        <w:tc>
          <w:tcPr>
            <w:tcW w:w="18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4B55A98">
            <w:pPr>
              <w:widowControl/>
              <w:jc w:val="center"/>
              <w:textAlignment w:val="center"/>
              <w:rPr>
                <w:rFonts w:ascii="仿宋" w:hAnsi="仿宋" w:eastAsia="仿宋"/>
                <w:kern w:val="0"/>
                <w:sz w:val="21"/>
                <w:szCs w:val="21"/>
              </w:rPr>
            </w:pPr>
            <w:r>
              <w:rPr>
                <w:rFonts w:hint="eastAsia" w:ascii="仿宋" w:hAnsi="仿宋" w:eastAsia="仿宋" w:cs="仿宋"/>
                <w:color w:val="000000"/>
                <w:kern w:val="0"/>
                <w:sz w:val="21"/>
                <w:szCs w:val="21"/>
              </w:rPr>
              <w:t>0</w:t>
            </w:r>
          </w:p>
        </w:tc>
      </w:tr>
      <w:tr w14:paraId="75034A50">
        <w:tblPrEx>
          <w:tblCellMar>
            <w:top w:w="0" w:type="dxa"/>
            <w:left w:w="0" w:type="dxa"/>
            <w:bottom w:w="0" w:type="dxa"/>
            <w:right w:w="0" w:type="dxa"/>
          </w:tblCellMar>
        </w:tblPrEx>
        <w:trPr>
          <w:trHeight w:val="510" w:hRule="atLeast"/>
          <w:jc w:val="center"/>
        </w:trPr>
        <w:tc>
          <w:tcPr>
            <w:tcW w:w="284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45D1A62">
            <w:pPr>
              <w:widowControl/>
              <w:jc w:val="center"/>
              <w:textAlignment w:val="center"/>
              <w:rPr>
                <w:rFonts w:ascii="仿宋" w:hAnsi="仿宋" w:eastAsia="仿宋" w:cstheme="minorBidi"/>
                <w:kern w:val="0"/>
                <w:sz w:val="21"/>
                <w:szCs w:val="21"/>
              </w:rPr>
            </w:pPr>
            <w:r>
              <w:rPr>
                <w:rFonts w:hint="eastAsia" w:ascii="仿宋" w:hAnsi="仿宋" w:eastAsia="仿宋" w:cs="仿宋"/>
                <w:color w:val="000000"/>
                <w:kern w:val="0"/>
                <w:sz w:val="21"/>
                <w:szCs w:val="21"/>
              </w:rPr>
              <w:t xml:space="preserve">合 </w:t>
            </w:r>
            <w:r>
              <w:rPr>
                <w:rStyle w:val="12"/>
                <w:rFonts w:hint="default"/>
              </w:rPr>
              <w:t xml:space="preserve"> 计</w:t>
            </w:r>
          </w:p>
        </w:tc>
        <w:tc>
          <w:tcPr>
            <w:tcW w:w="181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358A370">
            <w:pPr>
              <w:widowControl/>
              <w:jc w:val="center"/>
              <w:textAlignment w:val="center"/>
              <w:rPr>
                <w:rFonts w:ascii="仿宋" w:hAnsi="仿宋" w:eastAsia="仿宋" w:cstheme="minorBidi"/>
                <w:kern w:val="0"/>
                <w:sz w:val="21"/>
                <w:szCs w:val="21"/>
              </w:rPr>
            </w:pPr>
            <w:r>
              <w:rPr>
                <w:rFonts w:hint="eastAsia" w:ascii="仿宋" w:hAnsi="仿宋" w:eastAsia="仿宋" w:cs="仿宋"/>
                <w:color w:val="000000"/>
                <w:kern w:val="0"/>
                <w:sz w:val="21"/>
                <w:szCs w:val="21"/>
              </w:rPr>
              <w:t>323</w:t>
            </w:r>
          </w:p>
        </w:tc>
        <w:tc>
          <w:tcPr>
            <w:tcW w:w="18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0F78EBC">
            <w:pPr>
              <w:widowControl/>
              <w:jc w:val="center"/>
              <w:textAlignment w:val="center"/>
              <w:rPr>
                <w:rFonts w:ascii="仿宋" w:hAnsi="仿宋" w:eastAsia="仿宋"/>
                <w:kern w:val="0"/>
                <w:sz w:val="21"/>
                <w:szCs w:val="21"/>
              </w:rPr>
            </w:pPr>
            <w:r>
              <w:rPr>
                <w:rFonts w:hint="eastAsia" w:ascii="仿宋" w:hAnsi="仿宋" w:eastAsia="仿宋" w:cs="仿宋"/>
                <w:color w:val="000000"/>
                <w:kern w:val="0"/>
                <w:sz w:val="21"/>
                <w:szCs w:val="21"/>
              </w:rPr>
              <w:t>0</w:t>
            </w:r>
          </w:p>
        </w:tc>
        <w:tc>
          <w:tcPr>
            <w:tcW w:w="18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44A0BE9">
            <w:pPr>
              <w:widowControl/>
              <w:jc w:val="center"/>
              <w:textAlignment w:val="center"/>
              <w:rPr>
                <w:rFonts w:ascii="仿宋" w:hAnsi="仿宋" w:eastAsia="仿宋"/>
                <w:kern w:val="0"/>
                <w:sz w:val="21"/>
                <w:szCs w:val="21"/>
              </w:rPr>
            </w:pPr>
            <w:r>
              <w:rPr>
                <w:rFonts w:hint="eastAsia" w:ascii="仿宋" w:hAnsi="仿宋" w:eastAsia="仿宋" w:cs="仿宋"/>
                <w:color w:val="000000"/>
                <w:kern w:val="0"/>
                <w:sz w:val="21"/>
                <w:szCs w:val="21"/>
              </w:rPr>
              <w:t>323</w:t>
            </w:r>
          </w:p>
        </w:tc>
      </w:tr>
    </w:tbl>
    <w:p w14:paraId="4662E9D2">
      <w:pPr>
        <w:ind w:firstLine="562" w:firstLineChars="200"/>
        <w:rPr>
          <w:rFonts w:ascii="仿宋" w:hAnsi="仿宋" w:eastAsia="仿宋"/>
          <w:b/>
          <w:szCs w:val="32"/>
        </w:rPr>
      </w:pPr>
      <w:r>
        <w:rPr>
          <w:rFonts w:hint="eastAsia" w:ascii="仿宋" w:hAnsi="仿宋" w:eastAsia="仿宋"/>
          <w:b/>
          <w:sz w:val="28"/>
          <w:szCs w:val="28"/>
        </w:rPr>
        <w:t>2、</w:t>
      </w:r>
      <w:r>
        <w:rPr>
          <w:rFonts w:hint="eastAsia" w:ascii="仿宋" w:hAnsi="仿宋" w:eastAsia="仿宋"/>
          <w:b/>
          <w:sz w:val="28"/>
          <w:szCs w:val="28"/>
          <w:lang w:val="zh-CN"/>
        </w:rPr>
        <w:t>“三公”经费预算执行比较情况（单位：</w:t>
      </w:r>
      <w:r>
        <w:rPr>
          <w:rFonts w:hint="eastAsia" w:ascii="仿宋" w:hAnsi="仿宋" w:eastAsia="仿宋"/>
          <w:b/>
          <w:sz w:val="28"/>
          <w:szCs w:val="28"/>
        </w:rPr>
        <w:t>万</w:t>
      </w:r>
      <w:r>
        <w:rPr>
          <w:rFonts w:hint="eastAsia" w:ascii="仿宋" w:hAnsi="仿宋" w:eastAsia="仿宋"/>
          <w:b/>
          <w:sz w:val="28"/>
          <w:szCs w:val="28"/>
          <w:lang w:val="zh-CN"/>
        </w:rPr>
        <w:t>元）</w:t>
      </w:r>
    </w:p>
    <w:tbl>
      <w:tblPr>
        <w:tblStyle w:val="7"/>
        <w:tblW w:w="8278" w:type="dxa"/>
        <w:jc w:val="center"/>
        <w:tblLayout w:type="fixed"/>
        <w:tblCellMar>
          <w:top w:w="0" w:type="dxa"/>
          <w:left w:w="0" w:type="dxa"/>
          <w:bottom w:w="0" w:type="dxa"/>
          <w:right w:w="0" w:type="dxa"/>
        </w:tblCellMar>
      </w:tblPr>
      <w:tblGrid>
        <w:gridCol w:w="1816"/>
        <w:gridCol w:w="1066"/>
        <w:gridCol w:w="1088"/>
        <w:gridCol w:w="1228"/>
        <w:gridCol w:w="926"/>
        <w:gridCol w:w="1077"/>
        <w:gridCol w:w="1077"/>
      </w:tblGrid>
      <w:tr w14:paraId="5133E920">
        <w:tblPrEx>
          <w:tblCellMar>
            <w:top w:w="0" w:type="dxa"/>
            <w:left w:w="0" w:type="dxa"/>
            <w:bottom w:w="0" w:type="dxa"/>
            <w:right w:w="0" w:type="dxa"/>
          </w:tblCellMar>
        </w:tblPrEx>
        <w:trPr>
          <w:trHeight w:val="454" w:hRule="atLeast"/>
          <w:jc w:val="center"/>
        </w:trPr>
        <w:tc>
          <w:tcPr>
            <w:tcW w:w="1816"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8D4DF93">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费用项目</w:t>
            </w:r>
          </w:p>
        </w:tc>
        <w:tc>
          <w:tcPr>
            <w:tcW w:w="215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0087408">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预算金额</w:t>
            </w:r>
          </w:p>
        </w:tc>
        <w:tc>
          <w:tcPr>
            <w:tcW w:w="215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B433416">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决算金额</w:t>
            </w:r>
          </w:p>
        </w:tc>
        <w:tc>
          <w:tcPr>
            <w:tcW w:w="215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ED6FC04">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减少额（预-决）</w:t>
            </w:r>
          </w:p>
        </w:tc>
      </w:tr>
      <w:tr w14:paraId="6E185649">
        <w:tblPrEx>
          <w:tblCellMar>
            <w:top w:w="0" w:type="dxa"/>
            <w:left w:w="0" w:type="dxa"/>
            <w:bottom w:w="0" w:type="dxa"/>
            <w:right w:w="0" w:type="dxa"/>
          </w:tblCellMar>
        </w:tblPrEx>
        <w:trPr>
          <w:trHeight w:val="454" w:hRule="atLeast"/>
          <w:jc w:val="center"/>
        </w:trPr>
        <w:tc>
          <w:tcPr>
            <w:tcW w:w="1816" w:type="dxa"/>
            <w:vMerge w:val="continue"/>
            <w:tcBorders>
              <w:top w:val="single" w:color="auto" w:sz="4" w:space="0"/>
              <w:left w:val="single" w:color="auto" w:sz="4" w:space="0"/>
              <w:bottom w:val="single" w:color="auto" w:sz="4" w:space="0"/>
              <w:right w:val="single" w:color="auto" w:sz="4" w:space="0"/>
            </w:tcBorders>
            <w:vAlign w:val="center"/>
          </w:tcPr>
          <w:p w14:paraId="68D45D1C">
            <w:pPr>
              <w:jc w:val="center"/>
              <w:rPr>
                <w:rFonts w:ascii="仿宋" w:hAnsi="仿宋" w:eastAsia="仿宋"/>
                <w:bCs/>
                <w:kern w:val="0"/>
                <w:sz w:val="21"/>
                <w:szCs w:val="21"/>
              </w:rPr>
            </w:pPr>
          </w:p>
        </w:tc>
        <w:tc>
          <w:tcPr>
            <w:tcW w:w="106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37684CE">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基本支出</w:t>
            </w:r>
          </w:p>
        </w:tc>
        <w:tc>
          <w:tcPr>
            <w:tcW w:w="108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6780264">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项目支出</w:t>
            </w:r>
          </w:p>
        </w:tc>
        <w:tc>
          <w:tcPr>
            <w:tcW w:w="122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E7ED0D7">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基本支出</w:t>
            </w:r>
          </w:p>
        </w:tc>
        <w:tc>
          <w:tcPr>
            <w:tcW w:w="9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8C89666">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项目支出</w:t>
            </w:r>
          </w:p>
        </w:tc>
        <w:tc>
          <w:tcPr>
            <w:tcW w:w="10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CE8B20D">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基本支出</w:t>
            </w:r>
          </w:p>
        </w:tc>
        <w:tc>
          <w:tcPr>
            <w:tcW w:w="10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FA31828">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项目支出</w:t>
            </w:r>
          </w:p>
        </w:tc>
      </w:tr>
      <w:tr w14:paraId="410127FC">
        <w:tblPrEx>
          <w:tblCellMar>
            <w:top w:w="0" w:type="dxa"/>
            <w:left w:w="0" w:type="dxa"/>
            <w:bottom w:w="0" w:type="dxa"/>
            <w:right w:w="0" w:type="dxa"/>
          </w:tblCellMar>
        </w:tblPrEx>
        <w:trPr>
          <w:trHeight w:val="454" w:hRule="atLeast"/>
          <w:jc w:val="center"/>
        </w:trPr>
        <w:tc>
          <w:tcPr>
            <w:tcW w:w="181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37A211D">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公务接待</w:t>
            </w:r>
          </w:p>
        </w:tc>
        <w:tc>
          <w:tcPr>
            <w:tcW w:w="106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C58C446">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3</w:t>
            </w:r>
          </w:p>
        </w:tc>
        <w:tc>
          <w:tcPr>
            <w:tcW w:w="108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346055B">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0</w:t>
            </w:r>
          </w:p>
        </w:tc>
        <w:tc>
          <w:tcPr>
            <w:tcW w:w="122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F5CB24E">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0.84</w:t>
            </w:r>
          </w:p>
        </w:tc>
        <w:tc>
          <w:tcPr>
            <w:tcW w:w="9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5DBA064">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0</w:t>
            </w:r>
          </w:p>
        </w:tc>
        <w:tc>
          <w:tcPr>
            <w:tcW w:w="10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4607784">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2.16</w:t>
            </w:r>
          </w:p>
        </w:tc>
        <w:tc>
          <w:tcPr>
            <w:tcW w:w="10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398DB10">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0</w:t>
            </w:r>
          </w:p>
        </w:tc>
      </w:tr>
      <w:tr w14:paraId="5972C341">
        <w:tblPrEx>
          <w:tblCellMar>
            <w:top w:w="0" w:type="dxa"/>
            <w:left w:w="0" w:type="dxa"/>
            <w:bottom w:w="0" w:type="dxa"/>
            <w:right w:w="0" w:type="dxa"/>
          </w:tblCellMar>
        </w:tblPrEx>
        <w:trPr>
          <w:trHeight w:val="454" w:hRule="atLeast"/>
          <w:jc w:val="center"/>
        </w:trPr>
        <w:tc>
          <w:tcPr>
            <w:tcW w:w="181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82287D3">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公务用车购置及运行费</w:t>
            </w:r>
          </w:p>
        </w:tc>
        <w:tc>
          <w:tcPr>
            <w:tcW w:w="106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431D0DF">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320</w:t>
            </w:r>
          </w:p>
        </w:tc>
        <w:tc>
          <w:tcPr>
            <w:tcW w:w="108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478642C">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0</w:t>
            </w:r>
          </w:p>
        </w:tc>
        <w:tc>
          <w:tcPr>
            <w:tcW w:w="122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9A256AD">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244.98</w:t>
            </w:r>
          </w:p>
        </w:tc>
        <w:tc>
          <w:tcPr>
            <w:tcW w:w="9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47FABE0">
            <w:pPr>
              <w:jc w:val="center"/>
              <w:rPr>
                <w:rFonts w:ascii="仿宋" w:hAnsi="仿宋" w:eastAsia="仿宋"/>
                <w:bCs/>
                <w:kern w:val="0"/>
                <w:sz w:val="21"/>
                <w:szCs w:val="21"/>
              </w:rPr>
            </w:pPr>
            <w:r>
              <w:rPr>
                <w:rFonts w:hint="eastAsia" w:ascii="仿宋" w:hAnsi="仿宋" w:eastAsia="仿宋"/>
                <w:bCs/>
                <w:kern w:val="0"/>
                <w:sz w:val="21"/>
                <w:szCs w:val="21"/>
              </w:rPr>
              <w:t>0</w:t>
            </w:r>
          </w:p>
        </w:tc>
        <w:tc>
          <w:tcPr>
            <w:tcW w:w="10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CE2CF8D">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75.02</w:t>
            </w:r>
          </w:p>
        </w:tc>
        <w:tc>
          <w:tcPr>
            <w:tcW w:w="10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E299442">
            <w:pPr>
              <w:jc w:val="center"/>
              <w:rPr>
                <w:rFonts w:ascii="仿宋" w:hAnsi="仿宋" w:eastAsia="仿宋"/>
                <w:bCs/>
                <w:kern w:val="0"/>
                <w:sz w:val="21"/>
                <w:szCs w:val="21"/>
              </w:rPr>
            </w:pPr>
            <w:r>
              <w:rPr>
                <w:rFonts w:hint="eastAsia" w:ascii="仿宋" w:hAnsi="仿宋" w:eastAsia="仿宋"/>
                <w:bCs/>
                <w:kern w:val="0"/>
                <w:sz w:val="21"/>
                <w:szCs w:val="21"/>
              </w:rPr>
              <w:t>0</w:t>
            </w:r>
          </w:p>
        </w:tc>
      </w:tr>
      <w:tr w14:paraId="7FDCC5E7">
        <w:tblPrEx>
          <w:tblCellMar>
            <w:top w:w="0" w:type="dxa"/>
            <w:left w:w="0" w:type="dxa"/>
            <w:bottom w:w="0" w:type="dxa"/>
            <w:right w:w="0" w:type="dxa"/>
          </w:tblCellMar>
        </w:tblPrEx>
        <w:trPr>
          <w:trHeight w:val="454" w:hRule="atLeast"/>
          <w:jc w:val="center"/>
        </w:trPr>
        <w:tc>
          <w:tcPr>
            <w:tcW w:w="181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29E95E3">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因公出国</w:t>
            </w:r>
          </w:p>
        </w:tc>
        <w:tc>
          <w:tcPr>
            <w:tcW w:w="106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4214E10">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0</w:t>
            </w:r>
          </w:p>
        </w:tc>
        <w:tc>
          <w:tcPr>
            <w:tcW w:w="108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5544091">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0</w:t>
            </w:r>
          </w:p>
        </w:tc>
        <w:tc>
          <w:tcPr>
            <w:tcW w:w="122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E521F26">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0</w:t>
            </w:r>
          </w:p>
        </w:tc>
        <w:tc>
          <w:tcPr>
            <w:tcW w:w="9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7F2D3F3">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0</w:t>
            </w:r>
          </w:p>
        </w:tc>
        <w:tc>
          <w:tcPr>
            <w:tcW w:w="10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8C84A45">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0</w:t>
            </w:r>
          </w:p>
        </w:tc>
        <w:tc>
          <w:tcPr>
            <w:tcW w:w="10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5A28FB9">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0</w:t>
            </w:r>
          </w:p>
        </w:tc>
      </w:tr>
      <w:tr w14:paraId="23E806CB">
        <w:tblPrEx>
          <w:tblCellMar>
            <w:top w:w="0" w:type="dxa"/>
            <w:left w:w="0" w:type="dxa"/>
            <w:bottom w:w="0" w:type="dxa"/>
            <w:right w:w="0" w:type="dxa"/>
          </w:tblCellMar>
        </w:tblPrEx>
        <w:trPr>
          <w:trHeight w:val="454" w:hRule="atLeast"/>
          <w:jc w:val="center"/>
        </w:trPr>
        <w:tc>
          <w:tcPr>
            <w:tcW w:w="181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CA61C3B">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合  计</w:t>
            </w:r>
          </w:p>
        </w:tc>
        <w:tc>
          <w:tcPr>
            <w:tcW w:w="106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E989EC4">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323</w:t>
            </w:r>
          </w:p>
        </w:tc>
        <w:tc>
          <w:tcPr>
            <w:tcW w:w="108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2CB2DAC">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0</w:t>
            </w:r>
          </w:p>
        </w:tc>
        <w:tc>
          <w:tcPr>
            <w:tcW w:w="122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D7A8C24">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245.82</w:t>
            </w:r>
          </w:p>
        </w:tc>
        <w:tc>
          <w:tcPr>
            <w:tcW w:w="92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17ACF12">
            <w:pPr>
              <w:jc w:val="center"/>
              <w:rPr>
                <w:rFonts w:ascii="仿宋" w:hAnsi="仿宋" w:eastAsia="仿宋"/>
                <w:bCs/>
                <w:kern w:val="0"/>
                <w:sz w:val="21"/>
                <w:szCs w:val="21"/>
              </w:rPr>
            </w:pPr>
            <w:r>
              <w:rPr>
                <w:rFonts w:hint="eastAsia" w:ascii="仿宋" w:hAnsi="仿宋" w:eastAsia="仿宋"/>
                <w:bCs/>
                <w:kern w:val="0"/>
                <w:sz w:val="21"/>
                <w:szCs w:val="21"/>
              </w:rPr>
              <w:t>0</w:t>
            </w:r>
          </w:p>
        </w:tc>
        <w:tc>
          <w:tcPr>
            <w:tcW w:w="10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F5E38A5">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77.18</w:t>
            </w:r>
          </w:p>
        </w:tc>
        <w:tc>
          <w:tcPr>
            <w:tcW w:w="10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369F5E2">
            <w:pPr>
              <w:jc w:val="center"/>
              <w:rPr>
                <w:rFonts w:ascii="仿宋" w:hAnsi="仿宋" w:eastAsia="仿宋"/>
                <w:bCs/>
                <w:kern w:val="0"/>
                <w:sz w:val="21"/>
                <w:szCs w:val="21"/>
              </w:rPr>
            </w:pPr>
            <w:r>
              <w:rPr>
                <w:rFonts w:hint="eastAsia" w:ascii="仿宋" w:hAnsi="仿宋" w:eastAsia="仿宋"/>
                <w:bCs/>
                <w:kern w:val="0"/>
                <w:sz w:val="21"/>
                <w:szCs w:val="21"/>
              </w:rPr>
              <w:t>0</w:t>
            </w:r>
          </w:p>
        </w:tc>
      </w:tr>
    </w:tbl>
    <w:p w14:paraId="1A50DFD2">
      <w:pPr>
        <w:widowControl/>
        <w:ind w:firstLine="562" w:firstLineChars="200"/>
        <w:rPr>
          <w:rFonts w:ascii="仿宋" w:hAnsi="仿宋" w:eastAsia="仿宋"/>
          <w:b/>
          <w:bCs/>
          <w:kern w:val="0"/>
          <w:sz w:val="28"/>
          <w:szCs w:val="28"/>
        </w:rPr>
      </w:pPr>
      <w:r>
        <w:rPr>
          <w:rFonts w:hint="eastAsia" w:ascii="仿宋" w:hAnsi="仿宋" w:eastAsia="仿宋"/>
          <w:b/>
          <w:bCs/>
          <w:kern w:val="0"/>
          <w:sz w:val="28"/>
          <w:szCs w:val="28"/>
        </w:rPr>
        <w:t>3、“三公”经费与上年对比情况（单位：万元）</w:t>
      </w:r>
    </w:p>
    <w:tbl>
      <w:tblPr>
        <w:tblStyle w:val="7"/>
        <w:tblW w:w="8282" w:type="dxa"/>
        <w:jc w:val="center"/>
        <w:tblLayout w:type="fixed"/>
        <w:tblCellMar>
          <w:top w:w="0" w:type="dxa"/>
          <w:left w:w="0" w:type="dxa"/>
          <w:bottom w:w="0" w:type="dxa"/>
          <w:right w:w="0" w:type="dxa"/>
        </w:tblCellMar>
      </w:tblPr>
      <w:tblGrid>
        <w:gridCol w:w="2686"/>
        <w:gridCol w:w="1650"/>
        <w:gridCol w:w="1650"/>
        <w:gridCol w:w="2296"/>
      </w:tblGrid>
      <w:tr w14:paraId="10A430E9">
        <w:tblPrEx>
          <w:tblCellMar>
            <w:top w:w="0" w:type="dxa"/>
            <w:left w:w="0" w:type="dxa"/>
            <w:bottom w:w="0" w:type="dxa"/>
            <w:right w:w="0" w:type="dxa"/>
          </w:tblCellMar>
        </w:tblPrEx>
        <w:trPr>
          <w:trHeight w:val="510" w:hRule="atLeast"/>
          <w:jc w:val="center"/>
        </w:trPr>
        <w:tc>
          <w:tcPr>
            <w:tcW w:w="268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60567DA">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费用项目</w:t>
            </w:r>
          </w:p>
        </w:tc>
        <w:tc>
          <w:tcPr>
            <w:tcW w:w="16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4A2F05D">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2023年决算数</w:t>
            </w:r>
          </w:p>
        </w:tc>
        <w:tc>
          <w:tcPr>
            <w:tcW w:w="16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FFFCC57">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2024年决算数</w:t>
            </w:r>
          </w:p>
        </w:tc>
        <w:tc>
          <w:tcPr>
            <w:tcW w:w="229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51007FA">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增减情况（2024-2023）</w:t>
            </w:r>
          </w:p>
        </w:tc>
      </w:tr>
      <w:tr w14:paraId="40F0E6BD">
        <w:tblPrEx>
          <w:tblCellMar>
            <w:top w:w="0" w:type="dxa"/>
            <w:left w:w="0" w:type="dxa"/>
            <w:bottom w:w="0" w:type="dxa"/>
            <w:right w:w="0" w:type="dxa"/>
          </w:tblCellMar>
        </w:tblPrEx>
        <w:trPr>
          <w:trHeight w:val="510" w:hRule="atLeast"/>
          <w:jc w:val="center"/>
        </w:trPr>
        <w:tc>
          <w:tcPr>
            <w:tcW w:w="268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90C4273">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公务接待费</w:t>
            </w:r>
          </w:p>
        </w:tc>
        <w:tc>
          <w:tcPr>
            <w:tcW w:w="16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3C7741D">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0.48</w:t>
            </w:r>
          </w:p>
        </w:tc>
        <w:tc>
          <w:tcPr>
            <w:tcW w:w="16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29A3937">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1.09</w:t>
            </w:r>
          </w:p>
        </w:tc>
        <w:tc>
          <w:tcPr>
            <w:tcW w:w="229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4FB2730">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0.61</w:t>
            </w:r>
          </w:p>
        </w:tc>
      </w:tr>
      <w:tr w14:paraId="6882C8C8">
        <w:tblPrEx>
          <w:tblCellMar>
            <w:top w:w="0" w:type="dxa"/>
            <w:left w:w="0" w:type="dxa"/>
            <w:bottom w:w="0" w:type="dxa"/>
            <w:right w:w="0" w:type="dxa"/>
          </w:tblCellMar>
        </w:tblPrEx>
        <w:trPr>
          <w:trHeight w:val="510" w:hRule="atLeast"/>
          <w:jc w:val="center"/>
        </w:trPr>
        <w:tc>
          <w:tcPr>
            <w:tcW w:w="268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C7ED6B9">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公务用车购置及运行费</w:t>
            </w:r>
          </w:p>
        </w:tc>
        <w:tc>
          <w:tcPr>
            <w:tcW w:w="16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E11517C">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370.77</w:t>
            </w:r>
          </w:p>
        </w:tc>
        <w:tc>
          <w:tcPr>
            <w:tcW w:w="16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A1BEF06">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244.98</w:t>
            </w:r>
          </w:p>
        </w:tc>
        <w:tc>
          <w:tcPr>
            <w:tcW w:w="229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B92782A">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-125.79</w:t>
            </w:r>
          </w:p>
        </w:tc>
      </w:tr>
      <w:tr w14:paraId="1EBC3926">
        <w:tblPrEx>
          <w:tblCellMar>
            <w:top w:w="0" w:type="dxa"/>
            <w:left w:w="0" w:type="dxa"/>
            <w:bottom w:w="0" w:type="dxa"/>
            <w:right w:w="0" w:type="dxa"/>
          </w:tblCellMar>
        </w:tblPrEx>
        <w:trPr>
          <w:trHeight w:val="510" w:hRule="atLeast"/>
          <w:jc w:val="center"/>
        </w:trPr>
        <w:tc>
          <w:tcPr>
            <w:tcW w:w="268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A6776A9">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因公出国费用</w:t>
            </w:r>
          </w:p>
        </w:tc>
        <w:tc>
          <w:tcPr>
            <w:tcW w:w="16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97A96A3">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0</w:t>
            </w:r>
          </w:p>
        </w:tc>
        <w:tc>
          <w:tcPr>
            <w:tcW w:w="16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B651140">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0</w:t>
            </w:r>
          </w:p>
        </w:tc>
        <w:tc>
          <w:tcPr>
            <w:tcW w:w="229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E108622">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0</w:t>
            </w:r>
          </w:p>
        </w:tc>
      </w:tr>
      <w:tr w14:paraId="63AF2FA4">
        <w:tblPrEx>
          <w:tblCellMar>
            <w:top w:w="0" w:type="dxa"/>
            <w:left w:w="0" w:type="dxa"/>
            <w:bottom w:w="0" w:type="dxa"/>
            <w:right w:w="0" w:type="dxa"/>
          </w:tblCellMar>
        </w:tblPrEx>
        <w:trPr>
          <w:trHeight w:val="510" w:hRule="atLeast"/>
          <w:jc w:val="center"/>
        </w:trPr>
        <w:tc>
          <w:tcPr>
            <w:tcW w:w="268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A1ACA92">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合  计</w:t>
            </w:r>
          </w:p>
        </w:tc>
        <w:tc>
          <w:tcPr>
            <w:tcW w:w="16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28DA60A">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371.25</w:t>
            </w:r>
          </w:p>
        </w:tc>
        <w:tc>
          <w:tcPr>
            <w:tcW w:w="16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327D8A6">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246.07</w:t>
            </w:r>
          </w:p>
        </w:tc>
        <w:tc>
          <w:tcPr>
            <w:tcW w:w="229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92D7988">
            <w:pPr>
              <w:widowControl/>
              <w:jc w:val="center"/>
              <w:textAlignment w:val="center"/>
              <w:rPr>
                <w:rFonts w:ascii="仿宋" w:hAnsi="仿宋" w:eastAsia="仿宋"/>
                <w:bCs/>
                <w:kern w:val="0"/>
                <w:sz w:val="21"/>
                <w:szCs w:val="21"/>
              </w:rPr>
            </w:pPr>
            <w:r>
              <w:rPr>
                <w:rFonts w:hint="eastAsia" w:ascii="仿宋" w:hAnsi="仿宋" w:eastAsia="仿宋" w:cs="仿宋"/>
                <w:color w:val="000000"/>
                <w:kern w:val="0"/>
                <w:sz w:val="21"/>
                <w:szCs w:val="21"/>
              </w:rPr>
              <w:t>-125.18</w:t>
            </w:r>
          </w:p>
        </w:tc>
      </w:tr>
    </w:tbl>
    <w:p w14:paraId="4B9B9363">
      <w:pPr>
        <w:snapToGrid w:val="0"/>
        <w:spacing w:line="520" w:lineRule="exact"/>
        <w:ind w:firstLine="560" w:firstLineChars="200"/>
        <w:rPr>
          <w:rFonts w:ascii="仿宋" w:hAnsi="仿宋" w:eastAsia="仿宋"/>
          <w:bCs/>
          <w:sz w:val="28"/>
          <w:szCs w:val="28"/>
        </w:rPr>
      </w:pPr>
      <w:r>
        <w:rPr>
          <w:rFonts w:hint="eastAsia" w:ascii="仿宋" w:hAnsi="仿宋" w:eastAsia="仿宋"/>
          <w:bCs/>
          <w:sz w:val="28"/>
          <w:szCs w:val="28"/>
        </w:rPr>
        <w:t>2024年“三公”经费实际发生246.07万元，为年初预算323万元的76.18%，比去年同期371.25万元减少了125.18万元，减少34.54%。从上表可以看出，本年“三公”经费支出总体呈下降趋势。</w:t>
      </w:r>
    </w:p>
    <w:p w14:paraId="0BAB5285">
      <w:pPr>
        <w:pStyle w:val="6"/>
        <w:shd w:val="clear" w:color="auto" w:fill="FFFFFF"/>
        <w:spacing w:before="0" w:beforeAutospacing="0" w:after="0" w:afterAutospacing="0"/>
        <w:ind w:firstLine="562" w:firstLineChars="200"/>
        <w:jc w:val="both"/>
        <w:rPr>
          <w:rFonts w:ascii="仿宋" w:hAnsi="仿宋" w:eastAsia="仿宋" w:cs="仿宋"/>
          <w:b/>
          <w:bCs/>
          <w:sz w:val="28"/>
          <w:szCs w:val="28"/>
        </w:rPr>
      </w:pPr>
      <w:r>
        <w:rPr>
          <w:rFonts w:hint="eastAsia" w:ascii="仿宋" w:hAnsi="仿宋" w:eastAsia="仿宋" w:cs="仿宋"/>
          <w:b/>
          <w:bCs/>
          <w:sz w:val="28"/>
          <w:szCs w:val="28"/>
          <w:shd w:val="clear" w:color="auto" w:fill="FFFFFF"/>
        </w:rPr>
        <w:t>（三）项目支出情况</w:t>
      </w:r>
    </w:p>
    <w:p w14:paraId="46747628">
      <w:pPr>
        <w:pStyle w:val="6"/>
        <w:shd w:val="clear" w:color="auto" w:fill="FFFFFF"/>
        <w:spacing w:before="0" w:beforeAutospacing="0" w:after="0" w:afterAutospacing="0"/>
        <w:ind w:firstLine="560" w:firstLineChars="200"/>
        <w:jc w:val="both"/>
        <w:textAlignment w:val="center"/>
        <w:rPr>
          <w:rFonts w:ascii="仿宋" w:hAnsi="仿宋" w:eastAsia="仿宋" w:cs="仿宋"/>
          <w:spacing w:val="-2"/>
          <w:sz w:val="28"/>
          <w:szCs w:val="28"/>
          <w:shd w:val="clear" w:color="auto" w:fill="FFFFFF"/>
        </w:rPr>
      </w:pPr>
      <w:r>
        <w:rPr>
          <w:rFonts w:hint="eastAsia" w:ascii="仿宋" w:hAnsi="仿宋" w:eastAsia="仿宋" w:cs="仿宋"/>
          <w:sz w:val="28"/>
          <w:szCs w:val="28"/>
          <w:shd w:val="clear" w:color="auto" w:fill="FFFFFF"/>
        </w:rPr>
        <w:t>2024年度项目支出</w:t>
      </w:r>
      <w:r>
        <w:rPr>
          <w:rFonts w:hint="eastAsia" w:ascii="仿宋" w:hAnsi="仿宋" w:eastAsia="仿宋" w:cs="仿宋"/>
          <w:spacing w:val="-2"/>
          <w:sz w:val="28"/>
          <w:szCs w:val="28"/>
          <w:shd w:val="clear" w:color="auto" w:fill="FFFFFF"/>
        </w:rPr>
        <w:t>3381.13万</w:t>
      </w:r>
      <w:r>
        <w:rPr>
          <w:rFonts w:hint="eastAsia" w:ascii="仿宋" w:hAnsi="仿宋" w:eastAsia="仿宋" w:cs="仿宋"/>
          <w:sz w:val="28"/>
          <w:szCs w:val="28"/>
          <w:shd w:val="clear" w:color="auto" w:fill="FFFFFF"/>
        </w:rPr>
        <w:t>元，</w:t>
      </w:r>
      <w:r>
        <w:rPr>
          <w:rFonts w:hint="eastAsia" w:ascii="仿宋" w:hAnsi="仿宋" w:eastAsia="仿宋" w:cs="仿宋"/>
          <w:spacing w:val="-2"/>
          <w:sz w:val="28"/>
          <w:szCs w:val="28"/>
          <w:shd w:val="clear" w:color="auto" w:fill="FFFFFF"/>
        </w:rPr>
        <w:t>具体项目支出情况如下：</w:t>
      </w:r>
    </w:p>
    <w:p w14:paraId="1B01B3FD">
      <w:pPr>
        <w:pStyle w:val="6"/>
        <w:shd w:val="clear" w:color="auto" w:fill="FFFFFF"/>
        <w:spacing w:before="0" w:beforeAutospacing="0" w:after="0" w:afterAutospacing="0"/>
        <w:ind w:firstLine="552" w:firstLineChars="200"/>
        <w:jc w:val="both"/>
        <w:textAlignment w:val="center"/>
        <w:rPr>
          <w:rFonts w:ascii="仿宋" w:hAnsi="仿宋" w:eastAsia="楷体_GB2312" w:cs="仿宋"/>
          <w:sz w:val="28"/>
          <w:szCs w:val="28"/>
        </w:rPr>
      </w:pPr>
      <w:r>
        <w:rPr>
          <w:rFonts w:hint="eastAsia" w:ascii="仿宋" w:hAnsi="仿宋" w:eastAsia="仿宋" w:cs="仿宋"/>
          <w:spacing w:val="-2"/>
          <w:sz w:val="28"/>
          <w:szCs w:val="28"/>
          <w:shd w:val="clear" w:color="auto" w:fill="FFFFFF"/>
        </w:rPr>
        <w:t>1、辅警经费项目2352.85万元，占项目支出的69.58%；主要用于辅警人员经费由工资福利支出。</w:t>
      </w:r>
    </w:p>
    <w:p w14:paraId="587A28E1">
      <w:pPr>
        <w:pStyle w:val="6"/>
        <w:shd w:val="clear" w:color="auto" w:fill="FFFFFF"/>
        <w:spacing w:before="0" w:beforeAutospacing="0" w:after="0" w:afterAutospacing="0"/>
        <w:ind w:firstLine="552" w:firstLineChars="200"/>
        <w:jc w:val="both"/>
        <w:textAlignment w:val="center"/>
        <w:rPr>
          <w:rFonts w:ascii="仿宋" w:hAnsi="仿宋" w:eastAsia="仿宋" w:cs="仿宋"/>
          <w:sz w:val="28"/>
          <w:szCs w:val="28"/>
        </w:rPr>
      </w:pPr>
      <w:r>
        <w:rPr>
          <w:rFonts w:hint="eastAsia" w:ascii="仿宋" w:hAnsi="仿宋" w:eastAsia="仿宋" w:cs="仿宋"/>
          <w:spacing w:val="-2"/>
          <w:sz w:val="28"/>
          <w:szCs w:val="28"/>
          <w:shd w:val="clear" w:color="auto" w:fill="FFFFFF"/>
        </w:rPr>
        <w:t>2、办案及装备费资金638.22万元，占项目支出的18.88%；主要</w:t>
      </w:r>
      <w:r>
        <w:rPr>
          <w:rFonts w:hint="eastAsia" w:ascii="仿宋" w:hAnsi="仿宋" w:eastAsia="仿宋"/>
          <w:sz w:val="28"/>
          <w:szCs w:val="28"/>
        </w:rPr>
        <w:t>用于益阳市公安局交警支队办案费及装备费资金项目</w:t>
      </w:r>
    </w:p>
    <w:p w14:paraId="2189A5BF">
      <w:pPr>
        <w:pStyle w:val="6"/>
        <w:shd w:val="clear" w:color="auto" w:fill="FFFFFF"/>
        <w:spacing w:before="0" w:beforeAutospacing="0" w:after="0" w:afterAutospacing="0"/>
        <w:ind w:firstLine="552" w:firstLineChars="200"/>
        <w:jc w:val="both"/>
        <w:textAlignment w:val="center"/>
        <w:rPr>
          <w:rFonts w:ascii="仿宋" w:hAnsi="仿宋" w:eastAsia="仿宋" w:cs="仿宋"/>
          <w:spacing w:val="-2"/>
          <w:sz w:val="28"/>
          <w:szCs w:val="28"/>
          <w:shd w:val="clear" w:color="auto" w:fill="FFFFFF"/>
        </w:rPr>
      </w:pPr>
      <w:r>
        <w:rPr>
          <w:rFonts w:hint="eastAsia" w:ascii="仿宋" w:hAnsi="仿宋" w:eastAsia="仿宋" w:cs="仿宋"/>
          <w:spacing w:val="-2"/>
          <w:sz w:val="28"/>
          <w:szCs w:val="28"/>
          <w:shd w:val="clear" w:color="auto" w:fill="FFFFFF"/>
        </w:rPr>
        <w:t>3、交警综合业务项目390.06万元，占项目支出的11.54%，主要用于行政运行、执法办案及其他公安支出以弥补项目支出经费的不足。</w:t>
      </w:r>
    </w:p>
    <w:p w14:paraId="5865D849">
      <w:pPr>
        <w:pStyle w:val="10"/>
        <w:spacing w:line="520" w:lineRule="exact"/>
        <w:ind w:firstLine="562"/>
        <w:rPr>
          <w:rFonts w:ascii="仿宋" w:hAnsi="仿宋" w:eastAsia="仿宋" w:cs="仿宋"/>
          <w:b/>
          <w:bCs/>
          <w:kern w:val="0"/>
          <w:sz w:val="28"/>
          <w:szCs w:val="28"/>
          <w:shd w:val="clear" w:color="auto" w:fill="FFFFFF"/>
        </w:rPr>
      </w:pPr>
      <w:r>
        <w:rPr>
          <w:rFonts w:hint="eastAsia" w:ascii="仿宋" w:hAnsi="仿宋" w:eastAsia="仿宋" w:cs="仿宋"/>
          <w:b/>
          <w:bCs/>
          <w:kern w:val="0"/>
          <w:sz w:val="28"/>
          <w:szCs w:val="28"/>
          <w:shd w:val="clear" w:color="auto" w:fill="FFFFFF"/>
        </w:rPr>
        <w:t>三、资金使用管理情况</w:t>
      </w:r>
    </w:p>
    <w:p w14:paraId="16967CF2">
      <w:pPr>
        <w:pStyle w:val="6"/>
        <w:shd w:val="clear" w:color="auto" w:fill="FFFFFF"/>
        <w:spacing w:before="0" w:beforeAutospacing="0" w:after="0" w:afterAutospacing="0"/>
        <w:ind w:firstLine="562" w:firstLineChars="200"/>
        <w:rPr>
          <w:rFonts w:ascii="仿宋" w:hAnsi="仿宋" w:eastAsia="仿宋" w:cstheme="minorBidi"/>
          <w:b/>
          <w:bCs/>
          <w:kern w:val="2"/>
          <w:sz w:val="28"/>
          <w:szCs w:val="28"/>
        </w:rPr>
      </w:pPr>
      <w:r>
        <w:rPr>
          <w:rFonts w:hint="eastAsia" w:ascii="仿宋" w:hAnsi="仿宋" w:eastAsia="仿宋" w:cstheme="minorBidi"/>
          <w:b/>
          <w:bCs/>
          <w:kern w:val="2"/>
          <w:sz w:val="28"/>
          <w:szCs w:val="28"/>
        </w:rPr>
        <w:t>1.基本支出资金使用管理情况</w:t>
      </w:r>
    </w:p>
    <w:p w14:paraId="6F3B3403">
      <w:pPr>
        <w:autoSpaceDE w:val="0"/>
        <w:autoSpaceDN w:val="0"/>
        <w:ind w:firstLine="560" w:firstLineChars="200"/>
        <w:rPr>
          <w:rFonts w:ascii="仿宋" w:hAnsi="仿宋" w:eastAsia="仿宋"/>
          <w:sz w:val="28"/>
          <w:szCs w:val="28"/>
          <w:lang w:val="zh-CN"/>
        </w:rPr>
      </w:pPr>
      <w:r>
        <w:rPr>
          <w:rFonts w:hint="eastAsia" w:ascii="仿宋" w:hAnsi="仿宋" w:eastAsia="仿宋"/>
          <w:sz w:val="28"/>
          <w:szCs w:val="28"/>
          <w:lang w:val="zh-CN"/>
        </w:rPr>
        <w:t>益阳市公安局交警支队20</w:t>
      </w:r>
      <w:r>
        <w:rPr>
          <w:rFonts w:hint="eastAsia" w:ascii="仿宋" w:hAnsi="仿宋" w:eastAsia="仿宋"/>
          <w:sz w:val="28"/>
          <w:szCs w:val="28"/>
        </w:rPr>
        <w:t>24</w:t>
      </w:r>
      <w:r>
        <w:rPr>
          <w:rFonts w:hint="eastAsia" w:ascii="仿宋" w:hAnsi="仿宋" w:eastAsia="仿宋"/>
          <w:sz w:val="28"/>
          <w:szCs w:val="28"/>
          <w:lang w:val="zh-CN"/>
        </w:rPr>
        <w:t>年度基本支出决算金额未出现超支，在资金使用上，严格遵守各项财经法规和财务管理制度规定，资金拨付有完整的审批程序和手续，支出符合部门预算批复的用途，无截留、挤占、挪用、虚列支出等情况。为了搞好部门整体支出管理工作，交警支队采取了以下措施：</w:t>
      </w:r>
    </w:p>
    <w:p w14:paraId="0F5B96C7">
      <w:pPr>
        <w:autoSpaceDE w:val="0"/>
        <w:autoSpaceDN w:val="0"/>
        <w:ind w:firstLine="560" w:firstLineChars="200"/>
        <w:rPr>
          <w:rFonts w:ascii="仿宋" w:hAnsi="仿宋" w:eastAsia="仿宋" w:cs="宋体"/>
          <w:kern w:val="0"/>
          <w:sz w:val="24"/>
          <w:szCs w:val="24"/>
        </w:rPr>
      </w:pPr>
      <w:r>
        <w:rPr>
          <w:rFonts w:hint="eastAsia" w:ascii="仿宋" w:hAnsi="仿宋" w:eastAsia="仿宋"/>
          <w:sz w:val="28"/>
          <w:szCs w:val="28"/>
          <w:lang w:val="zh-CN"/>
        </w:rPr>
        <w:t>（1）加强内部管理制度建设，支队</w:t>
      </w:r>
      <w:r>
        <w:rPr>
          <w:rFonts w:hint="eastAsia" w:ascii="仿宋" w:hAnsi="仿宋" w:eastAsia="仿宋"/>
          <w:sz w:val="28"/>
          <w:szCs w:val="28"/>
        </w:rPr>
        <w:t>成立了内部控制领导小组，</w:t>
      </w:r>
      <w:r>
        <w:rPr>
          <w:rFonts w:hint="eastAsia" w:ascii="仿宋" w:hAnsi="仿宋" w:eastAsia="仿宋"/>
          <w:sz w:val="28"/>
          <w:szCs w:val="28"/>
          <w:lang w:val="zh-CN"/>
        </w:rPr>
        <w:t>制定了《项目建设专项资金管理规定》和《益阳市交警支队经费报销会审联签制度》等制度，通过制度明确了资金的使用范围，明确了责任人，完善了报账流程、规定与权限，严格报批、销审等手续，做好财务管理工作。</w:t>
      </w:r>
    </w:p>
    <w:p w14:paraId="624C6C75">
      <w:pPr>
        <w:autoSpaceDE w:val="0"/>
        <w:autoSpaceDN w:val="0"/>
        <w:ind w:firstLine="560" w:firstLineChars="200"/>
        <w:rPr>
          <w:rFonts w:ascii="仿宋" w:hAnsi="仿宋" w:eastAsia="仿宋"/>
          <w:sz w:val="28"/>
          <w:szCs w:val="28"/>
          <w:lang w:val="zh-CN"/>
        </w:rPr>
      </w:pPr>
      <w:r>
        <w:rPr>
          <w:rFonts w:hint="eastAsia" w:ascii="仿宋" w:hAnsi="仿宋" w:eastAsia="仿宋"/>
          <w:sz w:val="28"/>
          <w:szCs w:val="28"/>
          <w:lang w:val="zh-CN"/>
        </w:rPr>
        <w:t>（2）加强部门预算管理，合理安排财政资金。增强行政成本意识，细化经费预算编制，在保证机关正常工作需要的人员经费和公用经费的前提下，严格控制“三公”经费支出和专项支出，各项支出遵照预算执行，确保支出与预算的对应衔接，着力提高预算执行力。</w:t>
      </w:r>
    </w:p>
    <w:p w14:paraId="48AC4D6A">
      <w:pPr>
        <w:autoSpaceDE w:val="0"/>
        <w:autoSpaceDN w:val="0"/>
        <w:ind w:firstLine="560" w:firstLineChars="200"/>
        <w:rPr>
          <w:rFonts w:ascii="仿宋" w:hAnsi="仿宋" w:eastAsia="仿宋"/>
          <w:sz w:val="28"/>
          <w:szCs w:val="28"/>
          <w:lang w:val="zh-CN"/>
        </w:rPr>
      </w:pPr>
      <w:r>
        <w:rPr>
          <w:rFonts w:hint="eastAsia" w:ascii="仿宋" w:hAnsi="仿宋" w:eastAsia="仿宋"/>
          <w:sz w:val="28"/>
          <w:szCs w:val="28"/>
          <w:lang w:val="zh-CN"/>
        </w:rPr>
        <w:t>（3）加强“三公”经费管理，严控“三公”经费规模。在既有的制度办法基础上，严格按照年度计划指标控制使用，由支队行财科对“三公”经费设立台账，将“三公”经费严格纳入预算管理，严控“三公”经费支出。</w:t>
      </w:r>
    </w:p>
    <w:p w14:paraId="201EE977">
      <w:pPr>
        <w:autoSpaceDE w:val="0"/>
        <w:autoSpaceDN w:val="0"/>
        <w:ind w:firstLine="560" w:firstLineChars="200"/>
        <w:rPr>
          <w:rFonts w:ascii="仿宋" w:hAnsi="仿宋" w:eastAsia="仿宋"/>
          <w:sz w:val="28"/>
          <w:szCs w:val="28"/>
          <w:lang w:val="zh-CN"/>
        </w:rPr>
      </w:pPr>
      <w:r>
        <w:rPr>
          <w:rFonts w:hint="eastAsia" w:ascii="仿宋" w:hAnsi="仿宋" w:eastAsia="仿宋"/>
          <w:sz w:val="28"/>
          <w:szCs w:val="28"/>
          <w:lang w:val="zh-CN"/>
        </w:rPr>
        <w:t>（4）加强对公用支出中重点费用的管理。规范会议费、培训费、差旅费、办公费等费用开支标准，按照国家规定的标准和范围列支，坚持厉行节约的原则，控制和压缩办公经费支出，各项费用严格控制在预算额度内使用。</w:t>
      </w:r>
    </w:p>
    <w:p w14:paraId="60556FA9">
      <w:pPr>
        <w:autoSpaceDE w:val="0"/>
        <w:autoSpaceDN w:val="0"/>
        <w:ind w:firstLine="560" w:firstLineChars="200"/>
        <w:rPr>
          <w:rFonts w:ascii="仿宋" w:hAnsi="仿宋" w:eastAsia="仿宋"/>
          <w:sz w:val="28"/>
          <w:szCs w:val="28"/>
          <w:lang w:val="zh-CN"/>
        </w:rPr>
      </w:pPr>
      <w:r>
        <w:rPr>
          <w:rFonts w:hint="eastAsia" w:ascii="仿宋" w:hAnsi="仿宋" w:eastAsia="仿宋"/>
          <w:sz w:val="28"/>
          <w:szCs w:val="28"/>
          <w:lang w:val="zh-CN"/>
        </w:rPr>
        <w:t>（5）重视对项目支出的管理。制定了《项目建设专项资金管理规定》，项目支出严格纳入经费预算，统筹安排使用专项资金，实行工程履约保证金制度，根据批复的预算严格控制各项支出，没有纳入预算的项目不能支出，确保资金运转规范有序。</w:t>
      </w:r>
    </w:p>
    <w:p w14:paraId="12961116">
      <w:pPr>
        <w:autoSpaceDE w:val="0"/>
        <w:autoSpaceDN w:val="0"/>
        <w:ind w:firstLine="560" w:firstLineChars="200"/>
        <w:rPr>
          <w:rFonts w:ascii="仿宋" w:hAnsi="仿宋" w:eastAsia="仿宋"/>
          <w:sz w:val="28"/>
          <w:szCs w:val="28"/>
          <w:lang w:val="zh-CN"/>
        </w:rPr>
      </w:pPr>
      <w:r>
        <w:rPr>
          <w:rFonts w:hint="eastAsia" w:ascii="仿宋" w:hAnsi="仿宋" w:eastAsia="仿宋"/>
          <w:sz w:val="28"/>
          <w:szCs w:val="28"/>
          <w:lang w:val="zh-CN"/>
        </w:rPr>
        <w:t>（6）规范大宗商品的购置管理。大宗商品购置执行预算管理制度，达到政府采购标准的商品购置，按照政府采购的要求和程序，依法实行政府采购。</w:t>
      </w:r>
    </w:p>
    <w:p w14:paraId="12DDD9F9">
      <w:pPr>
        <w:autoSpaceDE w:val="0"/>
        <w:autoSpaceDN w:val="0"/>
        <w:ind w:firstLine="560" w:firstLineChars="200"/>
        <w:rPr>
          <w:rFonts w:ascii="仿宋" w:hAnsi="仿宋" w:eastAsia="仿宋"/>
          <w:sz w:val="28"/>
          <w:szCs w:val="28"/>
          <w:lang w:val="zh-CN"/>
        </w:rPr>
      </w:pPr>
      <w:r>
        <w:rPr>
          <w:rFonts w:hint="eastAsia" w:ascii="仿宋" w:hAnsi="仿宋" w:eastAsia="仿宋"/>
          <w:sz w:val="28"/>
          <w:szCs w:val="28"/>
          <w:lang w:val="zh-CN"/>
        </w:rPr>
        <w:t>（7）预决算信息公开。在规定的时间内对预、决算和“三公”经费进行公开。</w:t>
      </w:r>
    </w:p>
    <w:p w14:paraId="654CB271">
      <w:pPr>
        <w:autoSpaceDE w:val="0"/>
        <w:autoSpaceDN w:val="0"/>
        <w:ind w:firstLine="562" w:firstLineChars="200"/>
        <w:rPr>
          <w:rFonts w:ascii="仿宋" w:hAnsi="仿宋" w:eastAsia="仿宋"/>
          <w:b/>
          <w:kern w:val="0"/>
          <w:sz w:val="28"/>
          <w:szCs w:val="28"/>
        </w:rPr>
      </w:pPr>
      <w:r>
        <w:rPr>
          <w:rFonts w:hint="eastAsia" w:ascii="仿宋" w:hAnsi="仿宋" w:eastAsia="仿宋"/>
          <w:b/>
          <w:kern w:val="0"/>
          <w:sz w:val="28"/>
          <w:szCs w:val="28"/>
        </w:rPr>
        <w:t>2.项目资金使用及管理情况</w:t>
      </w:r>
    </w:p>
    <w:p w14:paraId="7E1F25D5">
      <w:pPr>
        <w:pStyle w:val="6"/>
        <w:shd w:val="clear" w:color="auto" w:fill="FFFFFF"/>
        <w:spacing w:before="0" w:beforeAutospacing="0" w:after="0" w:afterAutospacing="0"/>
        <w:ind w:firstLine="552" w:firstLineChars="200"/>
        <w:jc w:val="both"/>
        <w:rPr>
          <w:rFonts w:ascii="仿宋" w:hAnsi="仿宋" w:eastAsia="仿宋"/>
          <w:sz w:val="28"/>
          <w:szCs w:val="28"/>
        </w:rPr>
      </w:pPr>
      <w:r>
        <w:rPr>
          <w:rFonts w:hint="eastAsia" w:ascii="仿宋" w:hAnsi="仿宋" w:eastAsia="仿宋" w:cs="仿宋"/>
          <w:spacing w:val="-2"/>
          <w:sz w:val="28"/>
          <w:szCs w:val="28"/>
          <w:shd w:val="clear" w:color="auto" w:fill="FFFFFF"/>
        </w:rPr>
        <w:t>各项专项资金严格按照有关法律法规、财经纪律、财务规章制执行，同时根据单位自身情况制定了相关财务制度。</w:t>
      </w:r>
      <w:r>
        <w:rPr>
          <w:rFonts w:hint="eastAsia" w:ascii="仿宋" w:hAnsi="仿宋" w:eastAsia="仿宋"/>
          <w:sz w:val="28"/>
          <w:szCs w:val="28"/>
          <w:lang w:val="zh-CN"/>
        </w:rPr>
        <w:t>交警支队</w:t>
      </w:r>
      <w:r>
        <w:rPr>
          <w:rFonts w:hint="eastAsia" w:ascii="仿宋" w:hAnsi="仿宋" w:eastAsia="仿宋"/>
          <w:sz w:val="28"/>
          <w:szCs w:val="28"/>
        </w:rPr>
        <w:t>在项目资金管理和实施过程中，资金拨付有完整的审批程序和手续，按照财经制度的有关要求，重视对项目支出的管理。确保专项资金专款专用，资金支付严格实行联审会签制度，保证了资金使用的合规性。在项目组织及程序上：</w:t>
      </w:r>
    </w:p>
    <w:p w14:paraId="0A10F98C">
      <w:pPr>
        <w:ind w:firstLine="560" w:firstLineChars="200"/>
        <w:rPr>
          <w:rFonts w:ascii="仿宋" w:hAnsi="仿宋" w:eastAsia="仿宋"/>
          <w:sz w:val="28"/>
          <w:szCs w:val="28"/>
        </w:rPr>
      </w:pPr>
      <w:r>
        <w:rPr>
          <w:rFonts w:hint="eastAsia" w:ascii="仿宋" w:hAnsi="仿宋" w:eastAsia="仿宋"/>
          <w:sz w:val="28"/>
          <w:szCs w:val="28"/>
        </w:rPr>
        <w:t>（1）成立了项目管理领导小组，制定了《</w:t>
      </w:r>
      <w:r>
        <w:rPr>
          <w:rFonts w:hint="eastAsia" w:ascii="仿宋" w:hAnsi="仿宋" w:eastAsia="仿宋"/>
          <w:sz w:val="28"/>
          <w:szCs w:val="28"/>
          <w:lang w:val="zh-CN"/>
        </w:rPr>
        <w:t>项目建设专项资金管理规定</w:t>
      </w:r>
      <w:r>
        <w:rPr>
          <w:rFonts w:hint="eastAsia" w:ascii="仿宋" w:hAnsi="仿宋" w:eastAsia="仿宋"/>
          <w:sz w:val="28"/>
          <w:szCs w:val="28"/>
        </w:rPr>
        <w:t>》；</w:t>
      </w:r>
    </w:p>
    <w:p w14:paraId="0105DD8D">
      <w:pPr>
        <w:ind w:firstLine="560" w:firstLineChars="200"/>
        <w:rPr>
          <w:rFonts w:ascii="仿宋" w:hAnsi="仿宋" w:eastAsia="仿宋"/>
          <w:sz w:val="28"/>
          <w:szCs w:val="28"/>
        </w:rPr>
      </w:pPr>
      <w:r>
        <w:rPr>
          <w:rFonts w:hint="eastAsia" w:ascii="仿宋" w:hAnsi="仿宋" w:eastAsia="仿宋"/>
          <w:sz w:val="28"/>
          <w:szCs w:val="28"/>
        </w:rPr>
        <w:t>（2）由专人负责组织实施，按照“统一领导、统一规划、统一建设、统一管理”的要求实施，从本地实际出发，有计划、分阶段地推进项目工作；</w:t>
      </w:r>
    </w:p>
    <w:p w14:paraId="0A176E4F">
      <w:pPr>
        <w:ind w:firstLine="560" w:firstLineChars="200"/>
        <w:rPr>
          <w:rFonts w:ascii="仿宋" w:hAnsi="仿宋" w:eastAsia="仿宋"/>
          <w:sz w:val="28"/>
          <w:szCs w:val="28"/>
        </w:rPr>
      </w:pPr>
      <w:r>
        <w:rPr>
          <w:rFonts w:hint="eastAsia" w:ascii="仿宋" w:hAnsi="仿宋" w:eastAsia="仿宋"/>
          <w:sz w:val="28"/>
          <w:szCs w:val="28"/>
        </w:rPr>
        <w:t>（3）项目实施后适时组织人员对项目进行竣工验收，并委托中介机构进行项目结算审计和财务决算审计。</w:t>
      </w:r>
    </w:p>
    <w:p w14:paraId="35E6D4D5">
      <w:pPr>
        <w:ind w:firstLine="560" w:firstLineChars="200"/>
        <w:rPr>
          <w:rFonts w:ascii="仿宋" w:hAnsi="仿宋" w:eastAsia="仿宋"/>
          <w:sz w:val="28"/>
          <w:szCs w:val="28"/>
        </w:rPr>
      </w:pPr>
      <w:r>
        <w:rPr>
          <w:rFonts w:hint="eastAsia" w:ascii="仿宋" w:hAnsi="仿宋" w:eastAsia="仿宋"/>
          <w:sz w:val="28"/>
          <w:szCs w:val="28"/>
        </w:rPr>
        <w:t>（4）政府采购项目通过了政府采购办统一招标。</w:t>
      </w:r>
    </w:p>
    <w:p w14:paraId="3E356F9B">
      <w:pPr>
        <w:autoSpaceDE w:val="0"/>
        <w:autoSpaceDN w:val="0"/>
        <w:ind w:firstLine="562" w:firstLineChars="200"/>
        <w:rPr>
          <w:rFonts w:ascii="仿宋" w:hAnsi="仿宋" w:eastAsia="仿宋"/>
          <w:b/>
          <w:kern w:val="0"/>
          <w:sz w:val="28"/>
          <w:szCs w:val="28"/>
        </w:rPr>
      </w:pPr>
      <w:r>
        <w:rPr>
          <w:rFonts w:hint="eastAsia" w:ascii="仿宋" w:hAnsi="仿宋" w:eastAsia="仿宋"/>
          <w:b/>
          <w:kern w:val="0"/>
          <w:sz w:val="28"/>
          <w:szCs w:val="28"/>
        </w:rPr>
        <w:t>四、绩效评价组织</w:t>
      </w:r>
    </w:p>
    <w:p w14:paraId="7ECB6AA4">
      <w:pPr>
        <w:spacing w:line="640" w:lineRule="exact"/>
        <w:ind w:firstLine="422" w:firstLineChars="150"/>
        <w:rPr>
          <w:b/>
          <w:lang w:val="zh-CN"/>
        </w:rPr>
      </w:pPr>
      <w:r>
        <w:rPr>
          <w:rFonts w:hint="eastAsia" w:ascii="楷体" w:hAnsi="楷体" w:eastAsia="楷体" w:cs="楷体"/>
          <w:b/>
          <w:sz w:val="28"/>
          <w:szCs w:val="28"/>
        </w:rPr>
        <w:t>（一）绩效评价组织开展情况</w:t>
      </w:r>
    </w:p>
    <w:p w14:paraId="1E6495F9">
      <w:pPr>
        <w:pStyle w:val="9"/>
        <w:autoSpaceDE w:val="0"/>
        <w:spacing w:before="0" w:beforeAutospacing="0" w:after="0" w:afterAutospacing="0"/>
        <w:ind w:firstLine="480" w:firstLineChars="200"/>
        <w:rPr>
          <w:rFonts w:ascii="仿宋" w:hAnsi="仿宋" w:eastAsia="仿宋" w:cs="Times New Roman"/>
          <w:kern w:val="2"/>
          <w:sz w:val="28"/>
          <w:szCs w:val="28"/>
        </w:rPr>
      </w:pPr>
      <w:r>
        <w:rPr>
          <w:rFonts w:hint="eastAsia" w:ascii="仿宋" w:hAnsi="仿宋" w:eastAsia="仿宋"/>
          <w:kern w:val="2"/>
        </w:rPr>
        <w:t>1.</w:t>
      </w:r>
      <w:r>
        <w:rPr>
          <w:rFonts w:hint="eastAsia" w:ascii="仿宋" w:hAnsi="仿宋" w:eastAsia="仿宋" w:cs="Times New Roman"/>
          <w:kern w:val="2"/>
          <w:sz w:val="28"/>
          <w:szCs w:val="28"/>
        </w:rPr>
        <w:t>绩效评价目的。本次绩效评价的目的是为了全面分析和综合评价我单位对财政预算资金的使用和管理情况，通过加强预算收支管理，不断建立健全内部管理制度，梳理内部管理流程，为切实提高财政资金使用效益，强化预算支出的责任和效率提供参考。</w:t>
      </w:r>
    </w:p>
    <w:p w14:paraId="6EFB750C">
      <w:pPr>
        <w:pStyle w:val="9"/>
        <w:autoSpaceDE w:val="0"/>
        <w:spacing w:before="0" w:beforeAutospacing="0" w:after="0" w:afterAutospacing="0"/>
        <w:ind w:firstLine="560" w:firstLineChars="200"/>
        <w:rPr>
          <w:rFonts w:ascii="仿宋" w:hAnsi="仿宋" w:eastAsia="仿宋" w:cs="Times New Roman"/>
          <w:kern w:val="2"/>
          <w:sz w:val="28"/>
          <w:szCs w:val="28"/>
        </w:rPr>
      </w:pPr>
      <w:r>
        <w:rPr>
          <w:rFonts w:hint="eastAsia" w:ascii="仿宋" w:hAnsi="仿宋" w:eastAsia="仿宋" w:cs="Times New Roman"/>
          <w:kern w:val="2"/>
          <w:sz w:val="28"/>
          <w:szCs w:val="28"/>
        </w:rPr>
        <w:t>2.绩效评价工作过程。</w:t>
      </w:r>
      <w:r>
        <w:rPr>
          <w:rFonts w:hint="eastAsia" w:ascii="仿宋" w:hAnsi="仿宋" w:eastAsia="仿宋" w:cs="仿宋"/>
          <w:sz w:val="28"/>
          <w:szCs w:val="28"/>
        </w:rPr>
        <w:t>按照绩效评价工作的相关要求（详见《中共中央国务院关于全面实施预算绩效管理的意见》(中发</w:t>
      </w:r>
      <w:r>
        <w:rPr>
          <w:rFonts w:hint="eastAsia" w:ascii="仿宋" w:hAnsi="仿宋" w:eastAsia="仿宋" w:cs="仿宋"/>
          <w:spacing w:val="-6"/>
          <w:sz w:val="28"/>
          <w:szCs w:val="28"/>
          <w:shd w:val="clear" w:color="auto" w:fill="FFFFFF"/>
        </w:rPr>
        <w:t>〔</w:t>
      </w:r>
      <w:r>
        <w:rPr>
          <w:rFonts w:hint="eastAsia" w:ascii="仿宋" w:hAnsi="仿宋" w:eastAsia="仿宋" w:cs="仿宋"/>
          <w:sz w:val="28"/>
          <w:szCs w:val="28"/>
        </w:rPr>
        <w:t>2018〕34号)、《财政部关于印发&lt;财政支出绩效评价管理暂行办法&gt;的通知》(财预</w:t>
      </w:r>
      <w:r>
        <w:rPr>
          <w:rFonts w:hint="eastAsia" w:ascii="仿宋" w:hAnsi="仿宋" w:eastAsia="仿宋" w:cs="仿宋"/>
          <w:spacing w:val="-6"/>
          <w:sz w:val="28"/>
          <w:szCs w:val="28"/>
          <w:shd w:val="clear" w:color="auto" w:fill="FFFFFF"/>
        </w:rPr>
        <w:t>〔</w:t>
      </w:r>
      <w:r>
        <w:rPr>
          <w:rFonts w:hint="eastAsia" w:ascii="仿宋" w:hAnsi="仿宋" w:eastAsia="仿宋" w:cs="仿宋"/>
          <w:sz w:val="28"/>
          <w:szCs w:val="28"/>
        </w:rPr>
        <w:t>2011〕285号)、《益阳市财政局关于印发&lt;益阳市财政预算支出绩效评价结果应用管理暂行办法&gt;的通知（益财绩</w:t>
      </w:r>
      <w:r>
        <w:rPr>
          <w:rFonts w:hint="eastAsia" w:ascii="仿宋" w:hAnsi="仿宋" w:eastAsia="仿宋" w:cs="仿宋"/>
          <w:spacing w:val="-6"/>
          <w:sz w:val="28"/>
          <w:szCs w:val="28"/>
          <w:shd w:val="clear" w:color="auto" w:fill="FFFFFF"/>
        </w:rPr>
        <w:t>〔</w:t>
      </w:r>
      <w:r>
        <w:rPr>
          <w:rFonts w:hint="eastAsia" w:ascii="仿宋" w:hAnsi="仿宋" w:eastAsia="仿宋" w:cs="仿宋"/>
          <w:sz w:val="28"/>
          <w:szCs w:val="28"/>
        </w:rPr>
        <w:t>2020〕276号）、</w:t>
      </w:r>
      <w:r>
        <w:rPr>
          <w:rFonts w:hint="eastAsia" w:ascii="仿宋" w:hAnsi="仿宋" w:eastAsia="仿宋"/>
          <w:kern w:val="2"/>
          <w:sz w:val="28"/>
          <w:szCs w:val="28"/>
        </w:rPr>
        <w:t>《益阳市财政局关于开展2024年度市级预算部门绩效自评和部门评价工作的通知》，</w:t>
      </w:r>
      <w:r>
        <w:rPr>
          <w:rFonts w:hint="eastAsia" w:ascii="仿宋" w:hAnsi="仿宋" w:eastAsia="仿宋" w:cs="仿宋"/>
          <w:sz w:val="28"/>
          <w:szCs w:val="28"/>
        </w:rPr>
        <w:t>按照下列步骤开展评价。</w:t>
      </w:r>
    </w:p>
    <w:p w14:paraId="31C49A51">
      <w:pPr>
        <w:ind w:firstLine="560" w:firstLineChars="200"/>
        <w:rPr>
          <w:rFonts w:ascii="仿宋" w:hAnsi="仿宋" w:eastAsia="仿宋"/>
          <w:sz w:val="28"/>
          <w:szCs w:val="28"/>
        </w:rPr>
      </w:pPr>
      <w:r>
        <w:rPr>
          <w:rFonts w:hint="eastAsia" w:ascii="仿宋" w:hAnsi="仿宋" w:eastAsia="仿宋"/>
          <w:sz w:val="28"/>
          <w:szCs w:val="28"/>
        </w:rPr>
        <w:t>一是成立评价小组。成立益阳市交警支队绩效评价工作小组，由支队长任组长，各科室、大队负责人为成员，明确工作职责和分工。评价小组负责本部门绩效自评工作的组织领导和具体实施。</w:t>
      </w:r>
    </w:p>
    <w:p w14:paraId="0A52A4D4">
      <w:pPr>
        <w:ind w:firstLine="560" w:firstLineChars="200"/>
        <w:rPr>
          <w:rFonts w:ascii="仿宋" w:hAnsi="仿宋" w:eastAsia="仿宋"/>
          <w:sz w:val="28"/>
          <w:szCs w:val="28"/>
        </w:rPr>
      </w:pPr>
      <w:r>
        <w:rPr>
          <w:rFonts w:hint="eastAsia" w:ascii="仿宋" w:hAnsi="仿宋" w:eastAsia="仿宋"/>
          <w:sz w:val="28"/>
          <w:szCs w:val="28"/>
        </w:rPr>
        <w:t>二是实施绩效评价。一是收集资料。根据评价对象、内容和要求收集相关法律法规规章、文件制度、部门职能职责、年度工作计划等各种资料；要求所属部门、单位填报相关数据，提供有关情况；评价人员采取到实地勘察、发放问卷调查、召开座谈会听取汇报等方式收集各种资料。二是审核资料。评价小组对收集到的各种资料进行审核，根据具体情况组织人员到现场进行勘察、询查和核实，确保资料真实可信、准确无误。三是形成评价结论。评价人员通过对资料进行分类、整理和分析，按照确定的评价方法、评价标准和评价指标进行打分，形成自评结论。</w:t>
      </w:r>
    </w:p>
    <w:p w14:paraId="42123920">
      <w:pPr>
        <w:autoSpaceDE w:val="0"/>
        <w:autoSpaceDN w:val="0"/>
        <w:ind w:firstLine="562" w:firstLineChars="200"/>
        <w:rPr>
          <w:rFonts w:ascii="仿宋" w:hAnsi="仿宋" w:eastAsia="仿宋"/>
          <w:b/>
          <w:sz w:val="28"/>
          <w:szCs w:val="28"/>
        </w:rPr>
      </w:pPr>
      <w:r>
        <w:rPr>
          <w:rFonts w:hint="eastAsia" w:ascii="仿宋" w:hAnsi="仿宋" w:eastAsia="仿宋"/>
          <w:b/>
          <w:sz w:val="28"/>
          <w:szCs w:val="28"/>
        </w:rPr>
        <w:t>五、部门整体支出主要绩效情况</w:t>
      </w:r>
    </w:p>
    <w:p w14:paraId="562002A7">
      <w:pPr>
        <w:ind w:firstLine="560" w:firstLineChars="200"/>
        <w:rPr>
          <w:rFonts w:ascii="仿宋" w:hAnsi="仿宋" w:eastAsia="仿宋"/>
          <w:sz w:val="28"/>
          <w:szCs w:val="28"/>
        </w:rPr>
      </w:pPr>
      <w:r>
        <w:rPr>
          <w:rFonts w:hint="eastAsia" w:ascii="仿宋" w:hAnsi="仿宋" w:eastAsia="仿宋"/>
          <w:sz w:val="28"/>
          <w:szCs w:val="28"/>
        </w:rPr>
        <w:t>根据部门整体支出绩效评价指标体系和绩效检查情况，我</w:t>
      </w:r>
      <w:r>
        <w:rPr>
          <w:rFonts w:hint="eastAsia" w:ascii="仿宋" w:hAnsi="仿宋" w:eastAsia="仿宋"/>
          <w:sz w:val="28"/>
          <w:szCs w:val="28"/>
          <w:lang w:val="zh-CN"/>
        </w:rPr>
        <w:t>支队</w:t>
      </w:r>
      <w:r>
        <w:rPr>
          <w:rFonts w:hint="eastAsia" w:ascii="仿宋" w:hAnsi="仿宋" w:eastAsia="仿宋"/>
          <w:sz w:val="28"/>
          <w:szCs w:val="28"/>
        </w:rPr>
        <w:t>主要绩效表现在如下几个方面：</w:t>
      </w:r>
    </w:p>
    <w:p w14:paraId="003D8EE1">
      <w:pPr>
        <w:ind w:firstLine="562" w:firstLineChars="200"/>
        <w:rPr>
          <w:rFonts w:ascii="仿宋" w:hAnsi="仿宋" w:eastAsia="仿宋"/>
          <w:b/>
          <w:sz w:val="28"/>
          <w:szCs w:val="28"/>
        </w:rPr>
      </w:pPr>
      <w:r>
        <w:rPr>
          <w:rFonts w:hint="eastAsia" w:ascii="仿宋" w:hAnsi="仿宋" w:eastAsia="仿宋"/>
          <w:b/>
          <w:sz w:val="28"/>
          <w:szCs w:val="28"/>
        </w:rPr>
        <w:t>（一）交通管理与事故预防</w:t>
      </w:r>
    </w:p>
    <w:p w14:paraId="4C512C0B">
      <w:pPr>
        <w:ind w:firstLine="562" w:firstLineChars="200"/>
        <w:rPr>
          <w:rFonts w:ascii="仿宋" w:hAnsi="仿宋" w:eastAsia="仿宋"/>
          <w:b/>
          <w:sz w:val="28"/>
          <w:szCs w:val="28"/>
        </w:rPr>
      </w:pPr>
      <w:r>
        <w:rPr>
          <w:rFonts w:hint="eastAsia" w:ascii="仿宋" w:hAnsi="仿宋" w:eastAsia="仿宋"/>
          <w:b/>
          <w:sz w:val="28"/>
          <w:szCs w:val="28"/>
        </w:rPr>
        <w:t xml:space="preserve">  1. 强化路面管控</w:t>
      </w:r>
    </w:p>
    <w:p w14:paraId="0A68AF3C">
      <w:pPr>
        <w:ind w:firstLine="560" w:firstLineChars="200"/>
        <w:rPr>
          <w:rFonts w:ascii="仿宋" w:hAnsi="仿宋" w:eastAsia="仿宋"/>
          <w:sz w:val="28"/>
          <w:szCs w:val="28"/>
        </w:rPr>
      </w:pPr>
      <w:r>
        <w:rPr>
          <w:rFonts w:hint="eastAsia" w:ascii="仿宋" w:hAnsi="仿宋" w:eastAsia="仿宋"/>
          <w:sz w:val="28"/>
          <w:szCs w:val="28"/>
        </w:rPr>
        <w:t>支队通过日常巡逻和专项整治行动，有效维护了道路交通秩序。在重要节假日期间，加强对重点路段和时段的管控，确保道路交通安全畅通。开展了酒驾、涉牌涉证、超速超载等专项整治行动，取得了显著成效，降低了交通事故的发生率。</w:t>
      </w:r>
    </w:p>
    <w:p w14:paraId="7D4F00A6">
      <w:pPr>
        <w:ind w:firstLine="560" w:firstLineChars="200"/>
        <w:rPr>
          <w:rFonts w:ascii="仿宋" w:hAnsi="仿宋" w:eastAsia="仿宋"/>
          <w:sz w:val="28"/>
          <w:szCs w:val="28"/>
        </w:rPr>
      </w:pPr>
      <w:r>
        <w:rPr>
          <w:rFonts w:hint="eastAsia" w:ascii="仿宋" w:hAnsi="仿宋" w:eastAsia="仿宋"/>
          <w:sz w:val="28"/>
          <w:szCs w:val="28"/>
        </w:rPr>
        <w:t>实部署安排，结合全市实际，围绕道路交通事故预防“减量控大”总目标，梯次推进“夏季行动”等系列首尾相接的专项整治，累计查处酒驾醉驾、无证驾驶、“三超一疲劳”“农村两违”等重点交通违法24.43万起，1-9月“减量控大”综合排名进入全省第一方阵。尤其是针对涉“摩电”事故高发问题，自5月24日起在全市范围部署开展“摩电”专项整治，明确主体责任，汇集治安、特警、交警等警种部门和农村派出所工作合力，聚焦“农村、城市”两大战场压茬推进，全市涉“摩电”和行人亡人数较去年同期分别下降23.21%和16.46%。</w:t>
      </w:r>
    </w:p>
    <w:p w14:paraId="29C65C85">
      <w:pPr>
        <w:ind w:firstLine="560" w:firstLineChars="200"/>
        <w:rPr>
          <w:rFonts w:ascii="仿宋" w:hAnsi="仿宋" w:eastAsia="仿宋"/>
          <w:sz w:val="28"/>
          <w:szCs w:val="28"/>
        </w:rPr>
      </w:pPr>
      <w:r>
        <w:rPr>
          <w:rFonts w:hint="eastAsia" w:ascii="仿宋" w:hAnsi="仿宋" w:eastAsia="仿宋"/>
          <w:sz w:val="28"/>
          <w:szCs w:val="28"/>
        </w:rPr>
        <w:t>完成全市8515处县级道路安全隐患整改任务。序时推进道路安全隐患整治工作。推动全主市383所学校落实人车分离措施，提升学校周边道路本质安全水平。</w:t>
      </w:r>
    </w:p>
    <w:p w14:paraId="59007887">
      <w:pPr>
        <w:ind w:firstLine="562" w:firstLineChars="200"/>
        <w:rPr>
          <w:rFonts w:ascii="仿宋" w:hAnsi="仿宋" w:eastAsia="仿宋"/>
          <w:b/>
          <w:sz w:val="28"/>
          <w:szCs w:val="28"/>
        </w:rPr>
      </w:pPr>
      <w:r>
        <w:rPr>
          <w:rFonts w:hint="eastAsia" w:ascii="仿宋" w:hAnsi="仿宋" w:eastAsia="仿宋"/>
          <w:b/>
          <w:sz w:val="28"/>
          <w:szCs w:val="28"/>
        </w:rPr>
        <w:t xml:space="preserve">  2. 事故预防与处理</w:t>
      </w:r>
    </w:p>
    <w:p w14:paraId="0DB2DFFB">
      <w:pPr>
        <w:ind w:firstLine="560" w:firstLineChars="200"/>
        <w:rPr>
          <w:rFonts w:ascii="仿宋" w:hAnsi="仿宋" w:eastAsia="仿宋"/>
          <w:sz w:val="28"/>
          <w:szCs w:val="28"/>
        </w:rPr>
      </w:pPr>
      <w:r>
        <w:rPr>
          <w:rFonts w:hint="eastAsia" w:ascii="仿宋" w:hAnsi="仿宋" w:eastAsia="仿宋"/>
          <w:sz w:val="28"/>
          <w:szCs w:val="28"/>
        </w:rPr>
        <w:t xml:space="preserve"> 支队加强对交通事故的预防工作，通过宣传教育、隐患排查等手段，提高了驾驶员的安全意识。在事故发生后，迅速出警，妥善处理，有效减少了事故造成的损失和影响。</w:t>
      </w:r>
    </w:p>
    <w:p w14:paraId="25980ED4">
      <w:pPr>
        <w:ind w:firstLine="560" w:firstLineChars="200"/>
        <w:rPr>
          <w:rFonts w:ascii="仿宋" w:hAnsi="仿宋" w:eastAsia="仿宋"/>
          <w:sz w:val="28"/>
          <w:szCs w:val="28"/>
        </w:rPr>
      </w:pPr>
      <w:r>
        <w:rPr>
          <w:rFonts w:hint="eastAsia" w:ascii="仿宋" w:hAnsi="仿宋" w:eastAsia="仿宋"/>
          <w:sz w:val="28"/>
          <w:szCs w:val="28"/>
        </w:rPr>
        <w:t>严格落实“节点警务”要求，重要节点日均出动警力2000余人次、警车500余台次，圆满完成重要节点交通安保任务，深入推动8项公安交管便民利企改革新措施落地，在全省率先完成社会化服务系统升级推广应用工作，通过互联网平台办理各项业务260万笔，开展轻微交通事故视频快处8275起，交警条线警务评议综合满意度达到98.5%，各单项均进入全省前列。落实“全国文明城市创建”“优化营商环境”等中心工作要求，主动停用长期无摄录违法数据的设备。特别是今年以来淘汰报废老旧柴油货车853台淘汰数，为打赢大气污染防治攻坚战贡献了公安交警力量。</w:t>
      </w:r>
    </w:p>
    <w:p w14:paraId="531C26FE">
      <w:pPr>
        <w:ind w:firstLine="562" w:firstLineChars="200"/>
        <w:rPr>
          <w:rFonts w:ascii="仿宋" w:hAnsi="仿宋" w:eastAsia="仿宋"/>
          <w:b/>
          <w:sz w:val="28"/>
          <w:szCs w:val="28"/>
        </w:rPr>
      </w:pPr>
      <w:r>
        <w:rPr>
          <w:rFonts w:hint="eastAsia" w:ascii="仿宋" w:hAnsi="仿宋" w:eastAsia="仿宋"/>
          <w:b/>
          <w:sz w:val="28"/>
          <w:szCs w:val="28"/>
        </w:rPr>
        <w:t>（二）服务与便民措施</w:t>
      </w:r>
    </w:p>
    <w:p w14:paraId="6FD1B56E">
      <w:pPr>
        <w:ind w:firstLine="562" w:firstLineChars="200"/>
        <w:rPr>
          <w:rFonts w:ascii="仿宋" w:hAnsi="仿宋" w:eastAsia="仿宋"/>
          <w:b/>
          <w:sz w:val="28"/>
          <w:szCs w:val="28"/>
        </w:rPr>
      </w:pPr>
      <w:r>
        <w:rPr>
          <w:rFonts w:hint="eastAsia" w:ascii="仿宋" w:hAnsi="仿宋" w:eastAsia="仿宋"/>
          <w:b/>
          <w:sz w:val="28"/>
          <w:szCs w:val="28"/>
        </w:rPr>
        <w:t xml:space="preserve">  1. 优化服务流程</w:t>
      </w:r>
    </w:p>
    <w:p w14:paraId="159580C0">
      <w:pPr>
        <w:ind w:firstLine="560" w:firstLineChars="200"/>
        <w:rPr>
          <w:rFonts w:ascii="仿宋" w:hAnsi="仿宋" w:eastAsia="仿宋"/>
          <w:sz w:val="28"/>
          <w:szCs w:val="28"/>
        </w:rPr>
      </w:pPr>
      <w:r>
        <w:rPr>
          <w:rFonts w:hint="eastAsia" w:ascii="仿宋" w:hAnsi="仿宋" w:eastAsia="仿宋"/>
          <w:sz w:val="28"/>
          <w:szCs w:val="28"/>
        </w:rPr>
        <w:t>支队推出了多项便民服务措施，如车检“交钥匙工程”，实现了群众只排一次队、全程一窗办，提高了办事效率。推行网上预约服务，群众可以随来随检，进一步方便了群众。</w:t>
      </w:r>
    </w:p>
    <w:p w14:paraId="741304B5">
      <w:pPr>
        <w:ind w:firstLine="562" w:firstLineChars="200"/>
        <w:rPr>
          <w:rFonts w:ascii="仿宋" w:hAnsi="仿宋" w:eastAsia="仿宋"/>
          <w:b/>
          <w:sz w:val="28"/>
          <w:szCs w:val="28"/>
        </w:rPr>
      </w:pPr>
      <w:r>
        <w:rPr>
          <w:rFonts w:hint="eastAsia" w:ascii="仿宋" w:hAnsi="仿宋" w:eastAsia="仿宋"/>
          <w:b/>
          <w:sz w:val="28"/>
          <w:szCs w:val="28"/>
        </w:rPr>
        <w:t xml:space="preserve">  2. 提升服务质量</w:t>
      </w:r>
    </w:p>
    <w:p w14:paraId="54F67300">
      <w:pPr>
        <w:ind w:firstLine="560" w:firstLineChars="200"/>
        <w:rPr>
          <w:rFonts w:ascii="仿宋" w:hAnsi="仿宋" w:eastAsia="仿宋"/>
          <w:sz w:val="28"/>
          <w:szCs w:val="28"/>
        </w:rPr>
      </w:pPr>
      <w:r>
        <w:rPr>
          <w:rFonts w:hint="eastAsia" w:ascii="仿宋" w:hAnsi="仿宋" w:eastAsia="仿宋"/>
          <w:sz w:val="28"/>
          <w:szCs w:val="28"/>
        </w:rPr>
        <w:t>支队加强了对民辅警的培训和管理，提高了其业务能力和服务水平。通过警务评议等方式，及时了解群众对交警工作的满意度，针对存在的问题进行整改，提升了群众满意度。</w:t>
      </w:r>
    </w:p>
    <w:p w14:paraId="20D5DF4D">
      <w:pPr>
        <w:ind w:firstLine="562" w:firstLineChars="200"/>
        <w:rPr>
          <w:rFonts w:ascii="仿宋" w:hAnsi="仿宋" w:eastAsia="仿宋"/>
          <w:b/>
          <w:sz w:val="28"/>
          <w:szCs w:val="28"/>
        </w:rPr>
      </w:pPr>
      <w:r>
        <w:rPr>
          <w:rFonts w:hint="eastAsia" w:ascii="仿宋" w:hAnsi="仿宋" w:eastAsia="仿宋"/>
          <w:b/>
          <w:sz w:val="28"/>
          <w:szCs w:val="28"/>
        </w:rPr>
        <w:t>（三）队伍建设与管理</w:t>
      </w:r>
    </w:p>
    <w:p w14:paraId="7A416D55">
      <w:pPr>
        <w:ind w:firstLine="562" w:firstLineChars="200"/>
        <w:rPr>
          <w:rFonts w:ascii="仿宋" w:hAnsi="仿宋" w:eastAsia="仿宋"/>
          <w:b/>
          <w:sz w:val="28"/>
          <w:szCs w:val="28"/>
        </w:rPr>
      </w:pPr>
      <w:r>
        <w:rPr>
          <w:rFonts w:hint="eastAsia" w:ascii="仿宋" w:hAnsi="仿宋" w:eastAsia="仿宋"/>
          <w:b/>
          <w:sz w:val="28"/>
          <w:szCs w:val="28"/>
        </w:rPr>
        <w:t xml:space="preserve">  1. 加强队伍建设</w:t>
      </w:r>
    </w:p>
    <w:p w14:paraId="15EECE70">
      <w:pPr>
        <w:ind w:firstLine="420" w:firstLineChars="150"/>
        <w:rPr>
          <w:rFonts w:ascii="仿宋" w:hAnsi="仿宋" w:eastAsia="仿宋"/>
          <w:sz w:val="28"/>
          <w:szCs w:val="28"/>
        </w:rPr>
      </w:pPr>
      <w:r>
        <w:rPr>
          <w:rFonts w:hint="eastAsia" w:ascii="仿宋" w:hAnsi="仿宋" w:eastAsia="仿宋"/>
          <w:sz w:val="28"/>
          <w:szCs w:val="28"/>
        </w:rPr>
        <w:t>支队注重队伍的思想政治建设，通过开展主题教育、警示教育等活动，提高了民辅警的政治觉悟和职业素养。加强了业务培训，提高了民辅警的业务能力和执法水平。</w:t>
      </w:r>
    </w:p>
    <w:p w14:paraId="145A24B8">
      <w:pPr>
        <w:ind w:firstLine="562" w:firstLineChars="200"/>
        <w:rPr>
          <w:rFonts w:ascii="仿宋" w:hAnsi="仿宋" w:eastAsia="仿宋"/>
          <w:sz w:val="28"/>
          <w:szCs w:val="28"/>
        </w:rPr>
      </w:pPr>
      <w:r>
        <w:rPr>
          <w:rFonts w:hint="eastAsia" w:ascii="仿宋" w:hAnsi="仿宋" w:eastAsia="仿宋"/>
          <w:b/>
          <w:sz w:val="28"/>
          <w:szCs w:val="28"/>
        </w:rPr>
        <w:t>2.严格队伍管理</w:t>
      </w:r>
    </w:p>
    <w:p w14:paraId="70E60CC0">
      <w:pPr>
        <w:ind w:firstLine="420" w:firstLineChars="150"/>
        <w:rPr>
          <w:rFonts w:ascii="仿宋" w:hAnsi="仿宋" w:eastAsia="仿宋"/>
          <w:sz w:val="28"/>
          <w:szCs w:val="28"/>
        </w:rPr>
      </w:pPr>
      <w:r>
        <w:rPr>
          <w:rFonts w:hint="eastAsia" w:ascii="仿宋" w:hAnsi="仿宋" w:eastAsia="仿宋"/>
          <w:sz w:val="28"/>
          <w:szCs w:val="28"/>
        </w:rPr>
        <w:t>支队建立健全了各项规章制度，加强了对民辅警的日常管理和监督。对发现的问题，一律通报，并与单位绩效评估、民警平时考核挂钩，严肃处理违规违纪行为。</w:t>
      </w:r>
    </w:p>
    <w:p w14:paraId="31970A07">
      <w:pPr>
        <w:ind w:firstLine="562" w:firstLineChars="200"/>
        <w:rPr>
          <w:rFonts w:ascii="仿宋" w:hAnsi="仿宋" w:eastAsia="仿宋"/>
          <w:b/>
          <w:sz w:val="28"/>
          <w:szCs w:val="28"/>
        </w:rPr>
      </w:pPr>
      <w:r>
        <w:rPr>
          <w:rFonts w:hint="eastAsia" w:ascii="仿宋" w:hAnsi="仿宋" w:eastAsia="仿宋"/>
          <w:b/>
          <w:sz w:val="28"/>
          <w:szCs w:val="28"/>
        </w:rPr>
        <w:t>（四）工作成效与荣誉</w:t>
      </w:r>
    </w:p>
    <w:p w14:paraId="5F8EC472">
      <w:pPr>
        <w:ind w:firstLine="562" w:firstLineChars="200"/>
        <w:rPr>
          <w:rFonts w:ascii="仿宋" w:hAnsi="仿宋" w:eastAsia="仿宋"/>
          <w:b/>
          <w:sz w:val="28"/>
          <w:szCs w:val="28"/>
        </w:rPr>
      </w:pPr>
      <w:r>
        <w:rPr>
          <w:rFonts w:hint="eastAsia" w:ascii="仿宋" w:hAnsi="仿宋" w:eastAsia="仿宋"/>
          <w:b/>
          <w:sz w:val="28"/>
          <w:szCs w:val="28"/>
        </w:rPr>
        <w:t xml:space="preserve">  1. 工作成效显著</w:t>
      </w:r>
    </w:p>
    <w:p w14:paraId="665549F1">
      <w:pPr>
        <w:ind w:firstLine="560" w:firstLineChars="200"/>
        <w:rPr>
          <w:rFonts w:ascii="仿宋" w:hAnsi="仿宋" w:eastAsia="仿宋"/>
          <w:sz w:val="28"/>
          <w:szCs w:val="28"/>
        </w:rPr>
      </w:pPr>
      <w:r>
        <w:rPr>
          <w:rFonts w:hint="eastAsia" w:ascii="仿宋" w:hAnsi="仿宋" w:eastAsia="仿宋"/>
          <w:sz w:val="28"/>
          <w:szCs w:val="28"/>
        </w:rPr>
        <w:t xml:space="preserve"> 根据公开发布的信息，益阳市交警支队在交通管理、事故预防、服务便民等方面取得了显著成效。2024年行政拘留、再次饮酒、无证驾驶等566起；交通违法查处337360条；通过交警队查处危险驾驶行为，其有效防止交通事故发生，降低人员伤亡与财产损失。</w:t>
      </w:r>
    </w:p>
    <w:p w14:paraId="461B6A3B">
      <w:pPr>
        <w:ind w:firstLine="560" w:firstLineChars="200"/>
        <w:rPr>
          <w:rFonts w:ascii="仿宋" w:hAnsi="仿宋" w:eastAsia="仿宋"/>
          <w:sz w:val="28"/>
          <w:szCs w:val="28"/>
        </w:rPr>
      </w:pPr>
      <w:r>
        <w:rPr>
          <w:rFonts w:hint="eastAsia" w:ascii="仿宋" w:hAnsi="仿宋" w:eastAsia="仿宋"/>
          <w:sz w:val="28"/>
          <w:szCs w:val="28"/>
        </w:rPr>
        <w:t>全市警务评议自动回访显示，交通执法满意率、车辆上户满意率、驾驶人考试满意率均保持在较高水平。</w:t>
      </w:r>
    </w:p>
    <w:p w14:paraId="405B9169">
      <w:pPr>
        <w:ind w:firstLine="562" w:firstLineChars="200"/>
        <w:rPr>
          <w:rFonts w:ascii="仿宋" w:hAnsi="仿宋" w:eastAsia="仿宋"/>
          <w:b/>
          <w:sz w:val="28"/>
          <w:szCs w:val="28"/>
        </w:rPr>
      </w:pPr>
      <w:r>
        <w:rPr>
          <w:rFonts w:hint="eastAsia" w:ascii="仿宋" w:hAnsi="仿宋" w:eastAsia="仿宋"/>
          <w:b/>
          <w:sz w:val="28"/>
          <w:szCs w:val="28"/>
        </w:rPr>
        <w:t xml:space="preserve">  2. 获得多项荣誉</w:t>
      </w:r>
    </w:p>
    <w:p w14:paraId="6B337F09">
      <w:pPr>
        <w:ind w:firstLine="560" w:firstLineChars="200"/>
        <w:rPr>
          <w:rFonts w:ascii="仿宋" w:hAnsi="仿宋" w:eastAsia="仿宋"/>
          <w:sz w:val="28"/>
          <w:szCs w:val="28"/>
        </w:rPr>
      </w:pPr>
      <w:r>
        <w:rPr>
          <w:rFonts w:hint="eastAsia" w:ascii="仿宋" w:hAnsi="仿宋" w:eastAsia="仿宋"/>
          <w:sz w:val="28"/>
          <w:szCs w:val="28"/>
        </w:rPr>
        <w:t xml:space="preserve"> 由于工作成绩突出，益阳市交警支队多次获得上级部门的表彰和奖励。在全省率先完成社会化服务应用系统建设升级，全年通过互联网平台办理各项交管业务260完笔，单笔业务平均响应时长缩短72%，工作经验在全省予以推介。建成轻微道路交通事故远程视频快处平台，在全省率先推广至县市区一级，视频快处轻微交通事故8723起，警务评议综合满意度达到98.99%，各单项均列全省第一。</w:t>
      </w:r>
    </w:p>
    <w:p w14:paraId="7E3945AA">
      <w:pPr>
        <w:numPr>
          <w:ilvl w:val="0"/>
          <w:numId w:val="2"/>
        </w:numPr>
        <w:ind w:firstLine="843" w:firstLineChars="300"/>
        <w:rPr>
          <w:rFonts w:ascii="仿宋" w:hAnsi="仿宋" w:eastAsia="仿宋"/>
          <w:b/>
          <w:sz w:val="28"/>
          <w:szCs w:val="28"/>
        </w:rPr>
      </w:pPr>
      <w:r>
        <w:rPr>
          <w:rFonts w:hint="eastAsia" w:ascii="仿宋" w:hAnsi="仿宋" w:eastAsia="仿宋"/>
          <w:b/>
          <w:sz w:val="28"/>
          <w:szCs w:val="28"/>
        </w:rPr>
        <w:t>维护道路交通秩序，提升通行效率</w:t>
      </w:r>
    </w:p>
    <w:p w14:paraId="4241051F">
      <w:pPr>
        <w:numPr>
          <w:ilvl w:val="0"/>
          <w:numId w:val="3"/>
        </w:numPr>
        <w:ind w:firstLine="560" w:firstLineChars="200"/>
        <w:rPr>
          <w:rFonts w:ascii="仿宋" w:hAnsi="仿宋" w:eastAsia="仿宋"/>
          <w:sz w:val="28"/>
          <w:szCs w:val="28"/>
        </w:rPr>
      </w:pPr>
      <w:r>
        <w:rPr>
          <w:rFonts w:ascii="仿宋" w:hAnsi="仿宋" w:eastAsia="仿宋"/>
          <w:sz w:val="28"/>
          <w:szCs w:val="28"/>
        </w:rPr>
        <w:t>消除交通流干扰：危险驾驶行为（如随意变道、强行加塞）会破坏正常交通秩序，引发拥堵甚至局部瘫痪。查处此类行为可恢复道路通行秩序，减少因违规行为导致的“肠梗阻”</w:t>
      </w:r>
      <w:r>
        <w:rPr>
          <w:rFonts w:hint="eastAsia" w:ascii="仿宋" w:hAnsi="仿宋" w:eastAsia="仿宋"/>
          <w:sz w:val="28"/>
          <w:szCs w:val="28"/>
        </w:rPr>
        <w:t>。推动康富北路益师附小、通程转盘等8个堵点治理项目纳入基础设施建设计划，城区64公里双向六车道以上道路中心护栏实现应装尽装。聚焦学校、商场等交通需求高度集中的区域，增设临时停车带22处、单行道12条、路段人行过街信号12个、违停抓拍智能球机31套，合理规划停车场15个，进一步释放道路空间，缓解交通压力。</w:t>
      </w:r>
    </w:p>
    <w:p w14:paraId="181561D1">
      <w:pPr>
        <w:numPr>
          <w:ilvl w:val="0"/>
          <w:numId w:val="3"/>
        </w:numPr>
        <w:ind w:firstLine="560" w:firstLineChars="200"/>
        <w:rPr>
          <w:rFonts w:ascii="仿宋" w:hAnsi="仿宋" w:eastAsia="仿宋"/>
          <w:sz w:val="28"/>
          <w:szCs w:val="28"/>
        </w:rPr>
      </w:pPr>
      <w:r>
        <w:rPr>
          <w:rFonts w:ascii="仿宋" w:hAnsi="仿宋" w:eastAsia="仿宋"/>
          <w:sz w:val="28"/>
          <w:szCs w:val="28"/>
        </w:rPr>
        <w:t>保障应急车道畅通：严查占用应急车道行为，确保救援车辆快速通行，避免因救援延误导致事故伤亡扩大。</w:t>
      </w:r>
    </w:p>
    <w:p w14:paraId="4EEBB1FA">
      <w:pPr>
        <w:numPr>
          <w:ilvl w:val="0"/>
          <w:numId w:val="3"/>
        </w:numPr>
        <w:ind w:firstLine="560" w:firstLineChars="200"/>
        <w:rPr>
          <w:rFonts w:ascii="仿宋" w:hAnsi="仿宋" w:eastAsia="仿宋"/>
          <w:sz w:val="28"/>
          <w:szCs w:val="28"/>
        </w:rPr>
      </w:pPr>
      <w:r>
        <w:rPr>
          <w:rFonts w:ascii="仿宋" w:hAnsi="仿宋" w:eastAsia="仿宋"/>
          <w:sz w:val="28"/>
          <w:szCs w:val="28"/>
        </w:rPr>
        <w:t>规范信号灯遵守：查处闯红灯、不礼让行人等行为，可减少路口冲突点，提升整体通行效率，避免因违规行为导致的区域拥堵。</w:t>
      </w:r>
    </w:p>
    <w:p w14:paraId="4D15853A">
      <w:pPr>
        <w:numPr>
          <w:ilvl w:val="0"/>
          <w:numId w:val="2"/>
        </w:numPr>
        <w:ind w:firstLine="843" w:firstLineChars="300"/>
        <w:rPr>
          <w:rFonts w:ascii="仿宋" w:hAnsi="仿宋" w:eastAsia="仿宋"/>
          <w:b/>
          <w:sz w:val="28"/>
          <w:szCs w:val="28"/>
        </w:rPr>
      </w:pPr>
      <w:r>
        <w:rPr>
          <w:rFonts w:ascii="仿宋" w:hAnsi="仿宋" w:eastAsia="仿宋"/>
          <w:b/>
          <w:sz w:val="28"/>
          <w:szCs w:val="28"/>
        </w:rPr>
        <w:t>净化交通环境，减少社会危害</w:t>
      </w:r>
    </w:p>
    <w:p w14:paraId="0C717D14">
      <w:pPr>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 xml:space="preserve">  （1）</w:t>
      </w:r>
      <w:r>
        <w:rPr>
          <w:rFonts w:ascii="仿宋" w:hAnsi="仿宋" w:eastAsia="仿宋"/>
          <w:sz w:val="28"/>
          <w:szCs w:val="28"/>
        </w:rPr>
        <w:t>震慑潜在违法者：常态化查处行动（如酒驾夜查、超载专项整治）形成高压态势，降低违法侥幸心理，减少潜在危险驾驶行为。</w:t>
      </w:r>
    </w:p>
    <w:p w14:paraId="4B88BB52">
      <w:pPr>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 xml:space="preserve"> （2）</w:t>
      </w:r>
      <w:r>
        <w:rPr>
          <w:rFonts w:ascii="仿宋" w:hAnsi="仿宋" w:eastAsia="仿宋"/>
          <w:sz w:val="28"/>
          <w:szCs w:val="28"/>
        </w:rPr>
        <w:t>净化道路交通生态：严查“飙车党”“炸街车”等行为，可消除噪音污染、惊扰居民等问题，提升城市道路文明程度。</w:t>
      </w:r>
      <w:bookmarkStart w:id="0" w:name="_GoBack"/>
      <w:bookmarkEnd w:id="0"/>
    </w:p>
    <w:p w14:paraId="4767622C">
      <w:pPr>
        <w:ind w:firstLine="562" w:firstLineChars="200"/>
        <w:rPr>
          <w:rFonts w:ascii="仿宋" w:hAnsi="仿宋" w:eastAsia="仿宋"/>
          <w:b/>
          <w:sz w:val="28"/>
          <w:szCs w:val="28"/>
        </w:rPr>
      </w:pPr>
      <w:r>
        <w:rPr>
          <w:rFonts w:hint="eastAsia" w:ascii="仿宋" w:hAnsi="仿宋" w:eastAsia="仿宋"/>
          <w:b/>
          <w:sz w:val="28"/>
          <w:szCs w:val="28"/>
        </w:rPr>
        <w:t>（五）社会影响与公众评价</w:t>
      </w:r>
    </w:p>
    <w:p w14:paraId="77A4CD7A">
      <w:pPr>
        <w:ind w:firstLine="562" w:firstLineChars="200"/>
        <w:rPr>
          <w:rFonts w:ascii="仿宋" w:hAnsi="仿宋" w:eastAsia="仿宋"/>
          <w:b/>
          <w:sz w:val="28"/>
          <w:szCs w:val="28"/>
        </w:rPr>
      </w:pPr>
      <w:r>
        <w:rPr>
          <w:rFonts w:hint="eastAsia" w:ascii="仿宋" w:hAnsi="仿宋" w:eastAsia="仿宋"/>
          <w:b/>
          <w:sz w:val="28"/>
          <w:szCs w:val="28"/>
        </w:rPr>
        <w:t xml:space="preserve"> 1. 提升公众安全意识</w:t>
      </w:r>
    </w:p>
    <w:p w14:paraId="32ED5C74">
      <w:pPr>
        <w:ind w:firstLine="560" w:firstLineChars="200"/>
        <w:rPr>
          <w:rFonts w:ascii="仿宋" w:hAnsi="仿宋" w:eastAsia="仿宋"/>
          <w:sz w:val="28"/>
          <w:szCs w:val="28"/>
        </w:rPr>
      </w:pPr>
      <w:r>
        <w:rPr>
          <w:rFonts w:hint="eastAsia" w:ascii="仿宋" w:hAnsi="仿宋" w:eastAsia="仿宋"/>
          <w:sz w:val="28"/>
          <w:szCs w:val="28"/>
        </w:rPr>
        <w:t>支队通过宣传教育、执法检查等手段，提高了公众的道路交通安全意识，营造了良好的交通环境。累计开展送法“五进”宣传4000余场，先后承办全省“美丽乡村行”交 通安全巡回宣讲南县站和安化高明活动，通过多种接地气、创新意的方式，广泛传播交通安全知识。开展摩托车驾驶证“送考下乡”服务50批次，为6700名农村群众解决办证需求。整合12345市长热线、社情民意等渠道，全年共办理4994起群众反映事项，同比上升44.2%。高质量办理18件人大代表建议和政协委员提案，满意度达到100%。</w:t>
      </w:r>
    </w:p>
    <w:p w14:paraId="00AADEFA">
      <w:pPr>
        <w:ind w:firstLine="562" w:firstLineChars="200"/>
        <w:rPr>
          <w:rFonts w:ascii="仿宋" w:hAnsi="仿宋" w:eastAsia="仿宋"/>
          <w:b/>
          <w:sz w:val="28"/>
          <w:szCs w:val="28"/>
        </w:rPr>
      </w:pPr>
      <w:r>
        <w:rPr>
          <w:rFonts w:hint="eastAsia" w:ascii="仿宋" w:hAnsi="仿宋" w:eastAsia="仿宋"/>
          <w:b/>
          <w:sz w:val="28"/>
          <w:szCs w:val="28"/>
        </w:rPr>
        <w:t>2. 获得公众广泛认可</w:t>
      </w:r>
    </w:p>
    <w:p w14:paraId="66EE2FAD">
      <w:pPr>
        <w:ind w:firstLine="560" w:firstLineChars="200"/>
        <w:rPr>
          <w:rFonts w:ascii="仿宋" w:hAnsi="仿宋" w:eastAsia="仿宋"/>
          <w:sz w:val="28"/>
          <w:szCs w:val="28"/>
        </w:rPr>
      </w:pPr>
      <w:r>
        <w:rPr>
          <w:rFonts w:hint="eastAsia" w:ascii="仿宋" w:hAnsi="仿宋" w:eastAsia="仿宋"/>
          <w:sz w:val="28"/>
          <w:szCs w:val="28"/>
        </w:rPr>
        <w:t>支队的工作得到了广大市民的广泛认可和好评。与湖南城市学院签定“产学研”合作框架协议，通过实战实训，为社会培养输送了3批次交通工程应用型人材；通过优化服务流程、提升服务质量等措施，进一步增强了公众的满意度和信任感。益阳市交警支队在交通管理、事故预防、服务便民、队伍建设等方面取得了显著绩效，为维护道路交通安全、提升公众满意度做出了积极贡献。</w:t>
      </w:r>
    </w:p>
    <w:p w14:paraId="50DC6355">
      <w:pPr>
        <w:pStyle w:val="10"/>
        <w:spacing w:line="520" w:lineRule="exact"/>
        <w:ind w:firstLine="562"/>
        <w:rPr>
          <w:rFonts w:ascii="仿宋" w:hAnsi="仿宋" w:eastAsia="仿宋"/>
          <w:b/>
          <w:sz w:val="28"/>
          <w:szCs w:val="28"/>
        </w:rPr>
      </w:pPr>
      <w:r>
        <w:rPr>
          <w:rFonts w:hint="eastAsia" w:ascii="仿宋" w:hAnsi="仿宋" w:eastAsia="仿宋"/>
          <w:b/>
          <w:sz w:val="28"/>
          <w:szCs w:val="28"/>
        </w:rPr>
        <w:t>六、</w:t>
      </w:r>
      <w:r>
        <w:rPr>
          <w:rFonts w:ascii="仿宋" w:hAnsi="仿宋" w:eastAsia="仿宋"/>
          <w:b/>
          <w:sz w:val="28"/>
          <w:szCs w:val="28"/>
        </w:rPr>
        <w:t>存在的问题及原因分析</w:t>
      </w:r>
    </w:p>
    <w:p w14:paraId="1B01DDF2">
      <w:pPr>
        <w:ind w:firstLine="560" w:firstLineChars="200"/>
        <w:rPr>
          <w:rFonts w:ascii="仿宋" w:hAnsi="仿宋" w:eastAsia="仿宋"/>
          <w:sz w:val="28"/>
          <w:szCs w:val="28"/>
        </w:rPr>
      </w:pPr>
      <w:r>
        <w:rPr>
          <w:rFonts w:hint="eastAsia" w:ascii="仿宋" w:hAnsi="仿宋" w:eastAsia="仿宋"/>
          <w:sz w:val="28"/>
          <w:szCs w:val="28"/>
        </w:rPr>
        <w:t>1.由于部分财政预算指标逐年减少，造成资金紧张，有部分项目资金未能支付到位。</w:t>
      </w:r>
    </w:p>
    <w:p w14:paraId="50CCB03F">
      <w:pPr>
        <w:ind w:firstLine="560" w:firstLineChars="200"/>
        <w:rPr>
          <w:rFonts w:ascii="仿宋" w:hAnsi="仿宋" w:eastAsia="仿宋"/>
          <w:sz w:val="28"/>
          <w:szCs w:val="28"/>
        </w:rPr>
      </w:pPr>
      <w:r>
        <w:rPr>
          <w:rFonts w:hint="eastAsia" w:ascii="仿宋" w:hAnsi="仿宋" w:eastAsia="仿宋"/>
          <w:sz w:val="28"/>
          <w:szCs w:val="28"/>
        </w:rPr>
        <w:t>2.辅警经费严重不足，以往靠非税执收成本返还尚可弥补，但现在非税执收成本预算削减，实际执收也下降，可无法支撑辅警经费开支。</w:t>
      </w:r>
    </w:p>
    <w:p w14:paraId="1D26DA9A">
      <w:pPr>
        <w:ind w:firstLine="560" w:firstLineChars="200"/>
        <w:rPr>
          <w:rFonts w:ascii="仿宋" w:hAnsi="仿宋" w:eastAsia="仿宋"/>
          <w:sz w:val="28"/>
          <w:szCs w:val="28"/>
        </w:rPr>
      </w:pPr>
      <w:r>
        <w:rPr>
          <w:rFonts w:hint="eastAsia" w:ascii="仿宋" w:hAnsi="仿宋" w:eastAsia="仿宋"/>
          <w:sz w:val="28"/>
          <w:szCs w:val="28"/>
        </w:rPr>
        <w:t>3.人员经费中民警的养老、医保、住房公积金财政下拨经费不足，需靠压缩单位其他经费弥补。</w:t>
      </w:r>
    </w:p>
    <w:p w14:paraId="21298573">
      <w:pPr>
        <w:spacing w:line="520" w:lineRule="exact"/>
        <w:ind w:firstLine="562" w:firstLineChars="200"/>
        <w:rPr>
          <w:rFonts w:ascii="仿宋" w:hAnsi="仿宋" w:eastAsia="仿宋"/>
          <w:b/>
          <w:sz w:val="28"/>
          <w:szCs w:val="28"/>
        </w:rPr>
      </w:pPr>
      <w:r>
        <w:rPr>
          <w:rFonts w:hint="eastAsia" w:ascii="仿宋" w:hAnsi="仿宋" w:eastAsia="仿宋"/>
          <w:b/>
          <w:sz w:val="28"/>
          <w:szCs w:val="28"/>
        </w:rPr>
        <w:t>七、</w:t>
      </w:r>
      <w:r>
        <w:rPr>
          <w:rFonts w:ascii="仿宋" w:hAnsi="仿宋" w:eastAsia="仿宋"/>
          <w:b/>
          <w:sz w:val="28"/>
          <w:szCs w:val="28"/>
        </w:rPr>
        <w:t>下一步改进措施</w:t>
      </w:r>
    </w:p>
    <w:p w14:paraId="72568447">
      <w:pPr>
        <w:ind w:firstLine="560" w:firstLineChars="200"/>
        <w:rPr>
          <w:rFonts w:ascii="仿宋" w:hAnsi="仿宋" w:eastAsia="仿宋"/>
          <w:sz w:val="28"/>
          <w:szCs w:val="28"/>
          <w:lang w:val="zh-CN"/>
        </w:rPr>
      </w:pPr>
      <w:r>
        <w:rPr>
          <w:rFonts w:hint="eastAsia" w:ascii="仿宋" w:hAnsi="仿宋" w:eastAsia="仿宋"/>
          <w:sz w:val="28"/>
          <w:szCs w:val="28"/>
        </w:rPr>
        <w:t>希望市财政考虑增加非税执收成本返还额度，加大对交通设施项目的资金投入，考虑妥善解决辅警经费不足的问题。</w:t>
      </w:r>
    </w:p>
    <w:p w14:paraId="3A0D0BEC">
      <w:pPr>
        <w:spacing w:line="520" w:lineRule="exact"/>
        <w:ind w:firstLine="562" w:firstLineChars="200"/>
        <w:rPr>
          <w:rFonts w:ascii="仿宋" w:hAnsi="仿宋" w:eastAsia="仿宋"/>
          <w:b/>
          <w:sz w:val="28"/>
          <w:szCs w:val="28"/>
        </w:rPr>
      </w:pPr>
      <w:r>
        <w:rPr>
          <w:rFonts w:hint="eastAsia" w:ascii="仿宋" w:hAnsi="仿宋" w:eastAsia="仿宋"/>
          <w:b/>
          <w:sz w:val="28"/>
          <w:szCs w:val="28"/>
        </w:rPr>
        <w:t>八、</w:t>
      </w:r>
      <w:r>
        <w:rPr>
          <w:rFonts w:ascii="仿宋" w:hAnsi="仿宋" w:eastAsia="仿宋"/>
          <w:b/>
          <w:sz w:val="28"/>
          <w:szCs w:val="28"/>
        </w:rPr>
        <w:t>绩效自评结果拟应用和公开情况</w:t>
      </w:r>
    </w:p>
    <w:p w14:paraId="3F3C8A55">
      <w:pPr>
        <w:pStyle w:val="11"/>
        <w:widowControl w:val="0"/>
        <w:ind w:firstLine="560" w:firstLineChars="200"/>
        <w:rPr>
          <w:rFonts w:ascii="Times New Roman" w:hAnsi="Times New Roman"/>
          <w:szCs w:val="32"/>
        </w:rPr>
      </w:pPr>
      <w:r>
        <w:rPr>
          <w:rFonts w:hint="eastAsia" w:ascii="仿宋" w:hAnsi="仿宋" w:eastAsia="仿宋"/>
          <w:kern w:val="2"/>
          <w:sz w:val="28"/>
          <w:szCs w:val="28"/>
        </w:rPr>
        <w:t>通过本次自评分析，我支队在2024年度预算执行过程中严谨规范，项目产出效果明显，很好地达到了预期的绩效目标，按部门整体支出绩效评价指标体系统一标准，自评综合得分为98分，自评结论为优秀。本次</w:t>
      </w:r>
      <w:r>
        <w:rPr>
          <w:rFonts w:hint="eastAsia" w:ascii="仿宋" w:hAnsi="仿宋" w:eastAsia="仿宋"/>
          <w:kern w:val="2"/>
          <w:sz w:val="28"/>
          <w:szCs w:val="28"/>
          <w:lang w:val="zh-CN"/>
        </w:rPr>
        <w:t>绩效评价结果已在门户网站上公示。</w:t>
      </w:r>
    </w:p>
    <w:p w14:paraId="076FC94B">
      <w:pPr>
        <w:pStyle w:val="11"/>
        <w:widowControl w:val="0"/>
        <w:ind w:firstLine="562" w:firstLineChars="200"/>
        <w:rPr>
          <w:rFonts w:ascii="仿宋" w:hAnsi="仿宋" w:eastAsia="仿宋"/>
          <w:b/>
          <w:kern w:val="2"/>
          <w:sz w:val="28"/>
          <w:szCs w:val="28"/>
        </w:rPr>
      </w:pPr>
      <w:r>
        <w:rPr>
          <w:rFonts w:hint="eastAsia" w:ascii="仿宋" w:hAnsi="仿宋" w:eastAsia="仿宋"/>
          <w:b/>
          <w:kern w:val="2"/>
          <w:sz w:val="28"/>
          <w:szCs w:val="28"/>
        </w:rPr>
        <w:t>九、其他事项说明</w:t>
      </w:r>
    </w:p>
    <w:p w14:paraId="4FF87016">
      <w:pPr>
        <w:pStyle w:val="11"/>
        <w:widowControl w:val="0"/>
        <w:ind w:firstLine="560" w:firstLineChars="200"/>
        <w:rPr>
          <w:rFonts w:ascii="仿宋" w:hAnsi="仿宋" w:eastAsia="仿宋"/>
          <w:kern w:val="2"/>
          <w:sz w:val="28"/>
          <w:szCs w:val="28"/>
        </w:rPr>
      </w:pPr>
      <w:r>
        <w:rPr>
          <w:rFonts w:hint="eastAsia" w:ascii="仿宋" w:hAnsi="仿宋" w:eastAsia="仿宋"/>
          <w:kern w:val="2"/>
          <w:sz w:val="28"/>
          <w:szCs w:val="28"/>
        </w:rPr>
        <w:t>2024年度我支队无政府性基金预算支出，无国有资本经营预算支出，无社会保险基金预算支出。</w:t>
      </w:r>
    </w:p>
    <w:p w14:paraId="2160E54D">
      <w:pPr>
        <w:pStyle w:val="11"/>
        <w:widowControl w:val="0"/>
        <w:ind w:firstLine="560" w:firstLineChars="200"/>
        <w:rPr>
          <w:rFonts w:ascii="仿宋" w:hAnsi="仿宋" w:eastAsia="仿宋"/>
          <w:kern w:val="2"/>
          <w:sz w:val="28"/>
          <w:szCs w:val="28"/>
        </w:rPr>
      </w:pPr>
    </w:p>
    <w:p w14:paraId="38B2AFAD">
      <w:pPr>
        <w:pStyle w:val="11"/>
        <w:widowControl w:val="0"/>
        <w:ind w:firstLine="560" w:firstLineChars="200"/>
        <w:rPr>
          <w:rFonts w:ascii="仿宋" w:hAnsi="仿宋" w:eastAsia="仿宋"/>
          <w:kern w:val="2"/>
          <w:sz w:val="28"/>
          <w:szCs w:val="28"/>
        </w:rPr>
      </w:pPr>
    </w:p>
    <w:p w14:paraId="5D6E37E9">
      <w:pPr>
        <w:pStyle w:val="11"/>
        <w:widowControl w:val="0"/>
        <w:ind w:firstLine="560" w:firstLineChars="200"/>
        <w:rPr>
          <w:rFonts w:ascii="仿宋" w:hAnsi="仿宋" w:eastAsia="仿宋"/>
          <w:kern w:val="2"/>
          <w:sz w:val="28"/>
          <w:szCs w:val="28"/>
        </w:rPr>
      </w:pPr>
    </w:p>
    <w:p w14:paraId="77A0EB73">
      <w:pPr>
        <w:pStyle w:val="11"/>
        <w:widowControl w:val="0"/>
        <w:ind w:firstLine="560" w:firstLineChars="200"/>
        <w:jc w:val="right"/>
        <w:rPr>
          <w:rFonts w:ascii="仿宋" w:hAnsi="仿宋" w:eastAsia="仿宋"/>
          <w:kern w:val="2"/>
          <w:sz w:val="28"/>
          <w:szCs w:val="28"/>
        </w:rPr>
      </w:pPr>
      <w:r>
        <w:rPr>
          <w:rFonts w:hint="eastAsia" w:ascii="仿宋" w:hAnsi="仿宋" w:eastAsia="仿宋"/>
          <w:kern w:val="2"/>
          <w:sz w:val="28"/>
          <w:szCs w:val="28"/>
        </w:rPr>
        <w:t>益阳市公安局交通警察支队</w:t>
      </w:r>
    </w:p>
    <w:p w14:paraId="3422BC0A">
      <w:pPr>
        <w:pStyle w:val="11"/>
        <w:widowControl w:val="0"/>
        <w:wordWrap w:val="0"/>
        <w:ind w:firstLine="560" w:firstLineChars="200"/>
        <w:jc w:val="right"/>
        <w:rPr>
          <w:rFonts w:ascii="仿宋" w:hAnsi="仿宋" w:eastAsia="仿宋"/>
          <w:kern w:val="2"/>
          <w:sz w:val="28"/>
          <w:szCs w:val="28"/>
        </w:rPr>
      </w:pPr>
      <w:r>
        <w:rPr>
          <w:rFonts w:hint="eastAsia" w:ascii="仿宋" w:hAnsi="仿宋" w:eastAsia="仿宋"/>
          <w:kern w:val="2"/>
          <w:sz w:val="28"/>
          <w:szCs w:val="28"/>
        </w:rPr>
        <w:t xml:space="preserve">2025年4月25日    </w:t>
      </w:r>
    </w:p>
    <w:sectPr>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Cambria Math">
    <w:panose1 w:val="02040503050406030204"/>
    <w:charset w:val="00"/>
    <w:family w:val="roman"/>
    <w:pitch w:val="default"/>
    <w:sig w:usb0="E00002FF" w:usb1="420024FF" w:usb2="00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87F223"/>
    <w:multiLevelType w:val="singleLevel"/>
    <w:tmpl w:val="9287F223"/>
    <w:lvl w:ilvl="0" w:tentative="0">
      <w:start w:val="1"/>
      <w:numFmt w:val="decimal"/>
      <w:suff w:val="nothing"/>
      <w:lvlText w:val="（%1）"/>
      <w:lvlJc w:val="left"/>
    </w:lvl>
  </w:abstractNum>
  <w:abstractNum w:abstractNumId="1">
    <w:nsid w:val="97E3B92C"/>
    <w:multiLevelType w:val="singleLevel"/>
    <w:tmpl w:val="97E3B92C"/>
    <w:lvl w:ilvl="0" w:tentative="0">
      <w:start w:val="1"/>
      <w:numFmt w:val="chineseCounting"/>
      <w:suff w:val="nothing"/>
      <w:lvlText w:val="（%1）"/>
      <w:lvlJc w:val="left"/>
      <w:rPr>
        <w:rFonts w:hint="eastAsia"/>
      </w:rPr>
    </w:lvl>
  </w:abstractNum>
  <w:abstractNum w:abstractNumId="2">
    <w:nsid w:val="6267A7B1"/>
    <w:multiLevelType w:val="singleLevel"/>
    <w:tmpl w:val="6267A7B1"/>
    <w:lvl w:ilvl="0" w:tentative="0">
      <w:start w:val="3"/>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9"/>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1CAF2B24"/>
    <w:rsid w:val="00022CB4"/>
    <w:rsid w:val="00260054"/>
    <w:rsid w:val="002A6109"/>
    <w:rsid w:val="003B16B2"/>
    <w:rsid w:val="00401D73"/>
    <w:rsid w:val="004F471E"/>
    <w:rsid w:val="00582E63"/>
    <w:rsid w:val="00607579"/>
    <w:rsid w:val="006A159D"/>
    <w:rsid w:val="00770B3E"/>
    <w:rsid w:val="00776872"/>
    <w:rsid w:val="007E4C29"/>
    <w:rsid w:val="009404C6"/>
    <w:rsid w:val="009D2715"/>
    <w:rsid w:val="00B57E18"/>
    <w:rsid w:val="00BE18F8"/>
    <w:rsid w:val="00CB466C"/>
    <w:rsid w:val="00CD40A5"/>
    <w:rsid w:val="00D12C2B"/>
    <w:rsid w:val="00DD24B1"/>
    <w:rsid w:val="00E959EE"/>
    <w:rsid w:val="00EC204F"/>
    <w:rsid w:val="00F82ABF"/>
    <w:rsid w:val="01646F20"/>
    <w:rsid w:val="03174F3D"/>
    <w:rsid w:val="07230354"/>
    <w:rsid w:val="075E75DE"/>
    <w:rsid w:val="087D1CE6"/>
    <w:rsid w:val="0D4B4161"/>
    <w:rsid w:val="0D690A8B"/>
    <w:rsid w:val="0E981627"/>
    <w:rsid w:val="10795489"/>
    <w:rsid w:val="11E06E41"/>
    <w:rsid w:val="14157276"/>
    <w:rsid w:val="157D50D3"/>
    <w:rsid w:val="17033CFE"/>
    <w:rsid w:val="1A8E38DF"/>
    <w:rsid w:val="1ABA2925"/>
    <w:rsid w:val="1CAF2B24"/>
    <w:rsid w:val="246B6A3F"/>
    <w:rsid w:val="278E3170"/>
    <w:rsid w:val="27B6199A"/>
    <w:rsid w:val="2C2103AE"/>
    <w:rsid w:val="2CE51A84"/>
    <w:rsid w:val="32E427DE"/>
    <w:rsid w:val="34D80120"/>
    <w:rsid w:val="36EF4DC8"/>
    <w:rsid w:val="389600D6"/>
    <w:rsid w:val="393D0552"/>
    <w:rsid w:val="3A282FB0"/>
    <w:rsid w:val="3EC60FE9"/>
    <w:rsid w:val="4157061F"/>
    <w:rsid w:val="44000AFA"/>
    <w:rsid w:val="487321E2"/>
    <w:rsid w:val="492434DC"/>
    <w:rsid w:val="4AAC3789"/>
    <w:rsid w:val="4C81297B"/>
    <w:rsid w:val="4CE76CFB"/>
    <w:rsid w:val="4E04568A"/>
    <w:rsid w:val="510A2FB8"/>
    <w:rsid w:val="53634C01"/>
    <w:rsid w:val="571F7091"/>
    <w:rsid w:val="588B0E82"/>
    <w:rsid w:val="5ABA3CA0"/>
    <w:rsid w:val="5CF61214"/>
    <w:rsid w:val="5FAD7930"/>
    <w:rsid w:val="628B71A8"/>
    <w:rsid w:val="630D5A42"/>
    <w:rsid w:val="668F4233"/>
    <w:rsid w:val="69937B96"/>
    <w:rsid w:val="6BE66E12"/>
    <w:rsid w:val="741B0EB4"/>
    <w:rsid w:val="797F0137"/>
    <w:rsid w:val="7A637111"/>
    <w:rsid w:val="7A7E6481"/>
    <w:rsid w:val="7C4411C4"/>
    <w:rsid w:val="7E046E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3">
    <w:name w:val="endnote text"/>
    <w:basedOn w:val="1"/>
    <w:qFormat/>
    <w:uiPriority w:val="0"/>
    <w:pPr>
      <w:snapToGrid w:val="0"/>
      <w:jc w:val="left"/>
    </w:pPr>
  </w:style>
  <w:style w:type="paragraph" w:styleId="4">
    <w:name w:val="footer"/>
    <w:basedOn w:val="1"/>
    <w:link w:val="15"/>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9">
    <w:name w:val="custom_unionstyle"/>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10">
    <w:name w:val="List Paragraph"/>
    <w:basedOn w:val="1"/>
    <w:unhideWhenUsed/>
    <w:qFormat/>
    <w:uiPriority w:val="99"/>
    <w:pPr>
      <w:ind w:firstLine="420" w:firstLineChars="200"/>
    </w:pPr>
  </w:style>
  <w:style w:type="paragraph" w:customStyle="1" w:styleId="11">
    <w:name w:val="p0"/>
    <w:basedOn w:val="1"/>
    <w:qFormat/>
    <w:uiPriority w:val="0"/>
    <w:pPr>
      <w:widowControl/>
    </w:pPr>
    <w:rPr>
      <w:kern w:val="0"/>
      <w:szCs w:val="21"/>
    </w:rPr>
  </w:style>
  <w:style w:type="character" w:customStyle="1" w:styleId="12">
    <w:name w:val="font11"/>
    <w:basedOn w:val="8"/>
    <w:qFormat/>
    <w:uiPriority w:val="0"/>
    <w:rPr>
      <w:rFonts w:hint="eastAsia" w:ascii="仿宋" w:hAnsi="仿宋" w:eastAsia="仿宋" w:cs="仿宋"/>
      <w:color w:val="000000"/>
      <w:sz w:val="21"/>
      <w:szCs w:val="21"/>
      <w:u w:val="none"/>
    </w:rPr>
  </w:style>
  <w:style w:type="paragraph" w:customStyle="1" w:styleId="13">
    <w:name w:val="NormalIndent"/>
    <w:basedOn w:val="1"/>
    <w:qFormat/>
    <w:uiPriority w:val="0"/>
    <w:pPr>
      <w:ind w:firstLine="420" w:firstLineChars="200"/>
    </w:pPr>
  </w:style>
  <w:style w:type="character" w:customStyle="1" w:styleId="14">
    <w:name w:val="页眉 Char"/>
    <w:basedOn w:val="8"/>
    <w:link w:val="5"/>
    <w:qFormat/>
    <w:uiPriority w:val="0"/>
    <w:rPr>
      <w:rFonts w:ascii="Calibri" w:hAnsi="Calibri" w:eastAsia="仿宋_GB2312"/>
      <w:kern w:val="2"/>
      <w:sz w:val="18"/>
      <w:szCs w:val="18"/>
    </w:rPr>
  </w:style>
  <w:style w:type="character" w:customStyle="1" w:styleId="15">
    <w:name w:val="页脚 Char"/>
    <w:basedOn w:val="8"/>
    <w:link w:val="4"/>
    <w:qFormat/>
    <w:uiPriority w:val="0"/>
    <w:rPr>
      <w:rFonts w:ascii="Calibri" w:hAnsi="Calibri" w:eastAsia="仿宋_GB2312"/>
      <w:kern w:val="2"/>
      <w:sz w:val="18"/>
      <w:szCs w:val="18"/>
    </w:rPr>
  </w:style>
  <w:style w:type="paragraph" w:customStyle="1" w:styleId="16">
    <w:name w:val="18"/>
    <w:basedOn w:val="1"/>
    <w:qFormat/>
    <w:uiPriority w:val="0"/>
    <w:pPr>
      <w:keepNext w:val="0"/>
      <w:keepLines w:val="0"/>
      <w:widowControl w:val="0"/>
      <w:suppressLineNumbers w:val="0"/>
      <w:spacing w:before="0" w:beforeAutospacing="0" w:after="0" w:afterAutospacing="0"/>
      <w:ind w:left="0" w:right="0"/>
      <w:jc w:val="both"/>
    </w:pPr>
    <w:rPr>
      <w:rFonts w:hint="eastAsia" w:ascii="等线" w:hAnsi="等线" w:eastAsia="等线" w:cs="Times New Roman"/>
      <w:kern w:val="2"/>
      <w:sz w:val="21"/>
      <w:szCs w:val="22"/>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2055</Words>
  <Characters>2349</Characters>
  <Lines>62</Lines>
  <Paragraphs>17</Paragraphs>
  <TotalTime>6</TotalTime>
  <ScaleCrop>false</ScaleCrop>
  <LinksUpToDate>false</LinksUpToDate>
  <CharactersWithSpaces>2366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2025-04-24T02:21:00Z</dcterms:created>
  <dc:creator>悠闲</dc:creator>
  <cp:lastModifiedBy>鸢尾。</cp:lastModifiedBy>
  <cp:lastPrinted>2025-04-27T02:32:00Z</cp:lastPrinted>
  <dcterms:modified xsi:type="dcterms:W3CDTF">2025-10-27T03:03:43Z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D2C528060BCC4BDD8DF6FFB15D9A4FAE_11</vt:lpwstr>
  </property>
  <property fmtid="{D5CDD505-2E9C-101B-9397-08002B2CF9AE}" pid="4" name="KSOTemplateDocerSaveRecord">
    <vt:lpwstr>eyJoZGlkIjoiYmZhNjgyZGRkNzNiMmUyYjY2M2QxZTllZWVkNDZkYWQiLCJ1c2VySWQiOiIyMjY3NDIyMyJ9</vt:lpwstr>
  </property>
</Properties>
</file>