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5BFE0">
      <w:pPr>
        <w:ind w:firstLine="240" w:firstLineChars="50"/>
        <w:jc w:val="center"/>
        <w:rPr>
          <w:rFonts w:eastAsia="方正小标宋_GBK"/>
          <w:sz w:val="48"/>
          <w:szCs w:val="48"/>
        </w:rPr>
      </w:pPr>
      <w:r>
        <w:rPr>
          <w:rFonts w:eastAsia="方正小标宋_GBK"/>
          <w:sz w:val="48"/>
          <w:szCs w:val="48"/>
        </w:rPr>
        <w:t>202</w:t>
      </w:r>
      <w:r>
        <w:rPr>
          <w:rFonts w:hint="eastAsia" w:eastAsia="方正小标宋_GBK"/>
          <w:sz w:val="48"/>
          <w:szCs w:val="48"/>
        </w:rPr>
        <w:t>4</w:t>
      </w:r>
      <w:r>
        <w:rPr>
          <w:rFonts w:eastAsia="方正小标宋_GBK"/>
          <w:sz w:val="48"/>
          <w:szCs w:val="48"/>
        </w:rPr>
        <w:t>年度</w:t>
      </w:r>
      <w:r>
        <w:rPr>
          <w:rFonts w:hint="eastAsia" w:eastAsia="方正小标宋_GBK"/>
          <w:sz w:val="48"/>
          <w:szCs w:val="48"/>
        </w:rPr>
        <w:t>技术服务费项目资金部门评价</w:t>
      </w:r>
      <w:r>
        <w:rPr>
          <w:rFonts w:eastAsia="方正小标宋_GBK"/>
          <w:sz w:val="48"/>
          <w:szCs w:val="48"/>
        </w:rPr>
        <w:t>报告</w:t>
      </w:r>
    </w:p>
    <w:p w14:paraId="50C35F11">
      <w:pPr>
        <w:tabs>
          <w:tab w:val="left" w:pos="1603"/>
        </w:tabs>
        <w:jc w:val="left"/>
      </w:pPr>
      <w:r>
        <w:t> </w:t>
      </w:r>
    </w:p>
    <w:p w14:paraId="61C70D05">
      <w:pPr>
        <w:tabs>
          <w:tab w:val="left" w:pos="1603"/>
        </w:tabs>
        <w:jc w:val="left"/>
      </w:pPr>
      <w:r>
        <w:t> </w:t>
      </w:r>
    </w:p>
    <w:p w14:paraId="0C67C640">
      <w:pPr>
        <w:ind w:firstLine="720" w:firstLineChars="200"/>
        <w:rPr>
          <w:rFonts w:eastAsia="黑体"/>
          <w:sz w:val="36"/>
          <w:szCs w:val="36"/>
        </w:rPr>
      </w:pPr>
    </w:p>
    <w:p w14:paraId="758B1413">
      <w:pPr>
        <w:ind w:firstLine="720" w:firstLineChars="200"/>
        <w:rPr>
          <w:rFonts w:eastAsia="黑体"/>
          <w:sz w:val="36"/>
          <w:szCs w:val="36"/>
        </w:rPr>
      </w:pPr>
    </w:p>
    <w:p w14:paraId="722498AA">
      <w:pPr>
        <w:ind w:firstLine="720" w:firstLineChars="200"/>
        <w:rPr>
          <w:rFonts w:eastAsia="黑体"/>
          <w:sz w:val="36"/>
          <w:szCs w:val="36"/>
        </w:rPr>
      </w:pPr>
    </w:p>
    <w:p w14:paraId="56F3A9BD">
      <w:pPr>
        <w:ind w:firstLine="720" w:firstLineChars="200"/>
        <w:rPr>
          <w:rFonts w:eastAsia="黑体"/>
          <w:sz w:val="36"/>
          <w:szCs w:val="36"/>
        </w:rPr>
      </w:pPr>
    </w:p>
    <w:p w14:paraId="5F5D69B4">
      <w:pPr>
        <w:ind w:firstLine="720" w:firstLineChars="200"/>
        <w:rPr>
          <w:rFonts w:eastAsia="黑体"/>
          <w:sz w:val="36"/>
          <w:szCs w:val="36"/>
        </w:rPr>
      </w:pPr>
    </w:p>
    <w:p w14:paraId="027E85BB">
      <w:pPr>
        <w:rPr>
          <w:rFonts w:eastAsia="黑体"/>
          <w:sz w:val="36"/>
          <w:szCs w:val="36"/>
        </w:rPr>
      </w:pPr>
    </w:p>
    <w:p w14:paraId="1E3C1B1A">
      <w:pPr>
        <w:rPr>
          <w:rFonts w:hint="eastAsia" w:eastAsia="黑体"/>
          <w:sz w:val="36"/>
          <w:szCs w:val="36"/>
        </w:rPr>
      </w:pPr>
    </w:p>
    <w:p w14:paraId="0A5CC7DC">
      <w:pPr>
        <w:rPr>
          <w:rFonts w:hint="eastAsia" w:eastAsia="黑体"/>
          <w:sz w:val="36"/>
          <w:szCs w:val="36"/>
        </w:rPr>
      </w:pPr>
    </w:p>
    <w:p w14:paraId="7CC2D851">
      <w:pPr>
        <w:rPr>
          <w:rFonts w:hint="eastAsia" w:eastAsia="黑体"/>
          <w:sz w:val="36"/>
          <w:szCs w:val="36"/>
        </w:rPr>
      </w:pPr>
    </w:p>
    <w:p w14:paraId="3C8E3CBD">
      <w:pPr>
        <w:rPr>
          <w:rFonts w:hint="eastAsia" w:eastAsia="黑体"/>
          <w:sz w:val="36"/>
          <w:szCs w:val="36"/>
        </w:rPr>
      </w:pPr>
    </w:p>
    <w:p w14:paraId="5B4182E2">
      <w:pPr>
        <w:rPr>
          <w:rFonts w:eastAsia="黑体"/>
          <w:sz w:val="36"/>
          <w:szCs w:val="36"/>
        </w:rPr>
      </w:pPr>
    </w:p>
    <w:p w14:paraId="2939F06B">
      <w:pPr>
        <w:ind w:firstLine="720" w:firstLineChars="200"/>
        <w:jc w:val="center"/>
        <w:rPr>
          <w:rFonts w:eastAsia="黑体"/>
          <w:sz w:val="36"/>
          <w:szCs w:val="36"/>
        </w:rPr>
      </w:pPr>
      <w:r>
        <w:rPr>
          <w:rFonts w:eastAsia="黑体"/>
          <w:sz w:val="36"/>
          <w:szCs w:val="36"/>
        </w:rPr>
        <w:t>部门（单位）名称：</w:t>
      </w:r>
      <w:r>
        <w:rPr>
          <w:rFonts w:hint="eastAsia" w:ascii="黑体" w:hAnsi="黑体" w:eastAsia="黑体" w:cs="仿宋"/>
          <w:color w:val="000000"/>
          <w:sz w:val="36"/>
          <w:szCs w:val="36"/>
          <w:u w:val="single"/>
          <w:shd w:val="clear" w:color="auto" w:fill="FFFFFF"/>
        </w:rPr>
        <w:t>益阳市不动产登记中心</w:t>
      </w:r>
      <w:r>
        <w:rPr>
          <w:rFonts w:eastAsia="黑体"/>
          <w:sz w:val="36"/>
          <w:szCs w:val="36"/>
          <w:u w:val="single"/>
        </w:rPr>
        <w:t>（盖章）</w:t>
      </w:r>
      <w:r>
        <w:rPr>
          <w:rFonts w:eastAsia="黑体"/>
          <w:sz w:val="36"/>
          <w:szCs w:val="36"/>
        </w:rPr>
        <w:t xml:space="preserve">      </w:t>
      </w:r>
    </w:p>
    <w:p w14:paraId="7EBA8343">
      <w:pPr>
        <w:ind w:firstLine="2520" w:firstLineChars="700"/>
        <w:rPr>
          <w:rFonts w:eastAsia="黑体"/>
          <w:sz w:val="36"/>
          <w:szCs w:val="36"/>
        </w:rPr>
      </w:pPr>
    </w:p>
    <w:p w14:paraId="5FF695D5">
      <w:pPr>
        <w:ind w:firstLine="2520" w:firstLineChars="700"/>
        <w:jc w:val="both"/>
        <w:rPr>
          <w:rFonts w:eastAsia="黑体"/>
          <w:sz w:val="36"/>
          <w:szCs w:val="36"/>
        </w:rPr>
      </w:pPr>
      <w:r>
        <w:rPr>
          <w:rFonts w:hint="eastAsia" w:eastAsia="黑体"/>
          <w:sz w:val="36"/>
          <w:szCs w:val="36"/>
        </w:rPr>
        <w:t>2025</w:t>
      </w:r>
      <w:r>
        <w:rPr>
          <w:rFonts w:eastAsia="黑体"/>
          <w:sz w:val="36"/>
          <w:szCs w:val="36"/>
        </w:rPr>
        <w:t xml:space="preserve">年 </w:t>
      </w:r>
      <w:r>
        <w:rPr>
          <w:rFonts w:hint="eastAsia" w:eastAsia="黑体"/>
          <w:sz w:val="36"/>
          <w:szCs w:val="36"/>
        </w:rPr>
        <w:t>4</w:t>
      </w:r>
      <w:r>
        <w:rPr>
          <w:rFonts w:eastAsia="黑体"/>
          <w:sz w:val="36"/>
          <w:szCs w:val="36"/>
        </w:rPr>
        <w:t xml:space="preserve"> 月 </w:t>
      </w:r>
      <w:r>
        <w:rPr>
          <w:rFonts w:hint="eastAsia" w:eastAsia="黑体"/>
          <w:sz w:val="36"/>
          <w:szCs w:val="36"/>
        </w:rPr>
        <w:t>11</w:t>
      </w:r>
      <w:r>
        <w:rPr>
          <w:rFonts w:eastAsia="黑体"/>
          <w:sz w:val="36"/>
          <w:szCs w:val="36"/>
        </w:rPr>
        <w:t> 日</w:t>
      </w:r>
    </w:p>
    <w:p w14:paraId="785BFB71">
      <w:pPr>
        <w:jc w:val="center"/>
        <w:rPr>
          <w:szCs w:val="32"/>
        </w:rPr>
      </w:pPr>
    </w:p>
    <w:p w14:paraId="3D8E2E54">
      <w:pPr>
        <w:spacing w:line="560" w:lineRule="exact"/>
        <w:jc w:val="both"/>
        <w:rPr>
          <w:rFonts w:hint="eastAsia" w:ascii="Times New Roman" w:hAnsi="Times New Roman" w:eastAsia="方正小标宋_GBK"/>
          <w:sz w:val="36"/>
          <w:szCs w:val="36"/>
        </w:rPr>
      </w:pPr>
    </w:p>
    <w:p w14:paraId="7BA24D30">
      <w:pPr>
        <w:spacing w:line="560" w:lineRule="exact"/>
        <w:jc w:val="center"/>
        <w:rPr>
          <w:rFonts w:ascii="Times New Roman" w:hAnsi="Times New Roman" w:eastAsia="方正小标宋_GBK"/>
          <w:sz w:val="36"/>
          <w:szCs w:val="36"/>
        </w:rPr>
      </w:pPr>
      <w:r>
        <w:rPr>
          <w:rFonts w:hint="eastAsia" w:ascii="Times New Roman" w:hAnsi="Times New Roman" w:eastAsia="方正小标宋_GBK"/>
          <w:sz w:val="36"/>
          <w:szCs w:val="36"/>
        </w:rPr>
        <w:t>2024年度技术服务费项目资金部门评价报告</w:t>
      </w:r>
    </w:p>
    <w:p w14:paraId="2DBAFDA1">
      <w:pPr>
        <w:adjustRightInd w:val="0"/>
        <w:spacing w:line="600" w:lineRule="exact"/>
        <w:ind w:right="641"/>
        <w:rPr>
          <w:rFonts w:ascii="Times New Roman" w:hAnsi="Times New Roman"/>
          <w:szCs w:val="32"/>
        </w:rPr>
      </w:pPr>
    </w:p>
    <w:p w14:paraId="59D2FF27">
      <w:pPr>
        <w:spacing w:line="600" w:lineRule="exact"/>
        <w:rPr>
          <w:rFonts w:eastAsia="黑体"/>
          <w:szCs w:val="32"/>
        </w:rPr>
      </w:pPr>
      <w:r>
        <w:rPr>
          <w:rFonts w:ascii="Times New Roman" w:hAnsi="Times New Roman" w:eastAsia="黑体"/>
          <w:szCs w:val="32"/>
        </w:rPr>
        <w:t>一、</w:t>
      </w:r>
      <w:r>
        <w:rPr>
          <w:rFonts w:hint="eastAsia" w:eastAsia="黑体"/>
          <w:szCs w:val="32"/>
        </w:rPr>
        <w:t>项目</w:t>
      </w:r>
      <w:r>
        <w:rPr>
          <w:rFonts w:eastAsia="黑体"/>
          <w:szCs w:val="32"/>
        </w:rPr>
        <w:t>基本情况</w:t>
      </w:r>
    </w:p>
    <w:p w14:paraId="658D7FFC">
      <w:pPr>
        <w:spacing w:line="600" w:lineRule="exact"/>
        <w:ind w:firstLine="161" w:firstLineChars="50"/>
        <w:rPr>
          <w:rFonts w:eastAsia="楷体_GB2312"/>
          <w:b/>
          <w:szCs w:val="32"/>
        </w:rPr>
      </w:pPr>
      <w:r>
        <w:rPr>
          <w:rFonts w:eastAsia="楷体_GB2312"/>
          <w:b/>
          <w:szCs w:val="32"/>
        </w:rPr>
        <w:t>（一）</w:t>
      </w:r>
      <w:r>
        <w:rPr>
          <w:rFonts w:hint="eastAsia" w:eastAsia="楷体_GB2312"/>
          <w:b/>
          <w:szCs w:val="32"/>
        </w:rPr>
        <w:t>项目</w:t>
      </w:r>
      <w:r>
        <w:rPr>
          <w:rFonts w:eastAsia="楷体_GB2312"/>
          <w:b/>
          <w:szCs w:val="32"/>
        </w:rPr>
        <w:t>概况。</w:t>
      </w:r>
    </w:p>
    <w:p w14:paraId="075C2987">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1.立项背景：根据湖南省自然资源厅《湖南省不动产登记统一平台和数据库建设总体方案》（湘自资办发〔2021〕72号），为保障湖南省统一登记平台益阳试点系统高效运行，需对22类日常运维服务提供技术支撑。</w:t>
      </w:r>
    </w:p>
    <w:p w14:paraId="2ABEDC78">
      <w:pPr>
        <w:spacing w:line="600" w:lineRule="exact"/>
        <w:ind w:firstLine="600" w:firstLineChars="200"/>
        <w:rPr>
          <w:rFonts w:ascii="仿宋" w:hAnsi="仿宋" w:eastAsia="仿宋"/>
          <w:sz w:val="30"/>
          <w:szCs w:val="30"/>
        </w:rPr>
      </w:pPr>
      <w:r>
        <w:rPr>
          <w:rFonts w:hint="eastAsia" w:ascii="仿宋" w:hAnsi="仿宋" w:eastAsia="仿宋"/>
          <w:sz w:val="30"/>
          <w:szCs w:val="30"/>
        </w:rPr>
        <w:t>2.主要内容：系统运维保障：包括不动产登记系统、地籍系统、数据迁移、突发事件处置等22项技术服务，该项目每年预算48万元。</w:t>
      </w:r>
    </w:p>
    <w:p w14:paraId="403BA181">
      <w:pPr>
        <w:spacing w:line="600" w:lineRule="exact"/>
        <w:ind w:firstLine="161" w:firstLineChars="50"/>
        <w:rPr>
          <w:rFonts w:eastAsia="楷体_GB2312"/>
          <w:b/>
          <w:szCs w:val="32"/>
        </w:rPr>
      </w:pPr>
      <w:r>
        <w:rPr>
          <w:rFonts w:eastAsia="楷体_GB2312"/>
          <w:b/>
          <w:szCs w:val="32"/>
        </w:rPr>
        <w:t>（二）资金使用管理情况。</w:t>
      </w:r>
    </w:p>
    <w:p w14:paraId="05BAE14C">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1.预算执行：2024年总预算91.38万元，该金额含23年度未付项目余款和24年度项目资金，实际执行率100%。</w:t>
      </w:r>
    </w:p>
    <w:p w14:paraId="1BDC047C">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2.资金管理：资金由财政全额拨付，严格按照《湖南省财政专项资金管理办法》规范使用。</w:t>
      </w:r>
    </w:p>
    <w:p w14:paraId="18306948">
      <w:pPr>
        <w:adjustRightInd w:val="0"/>
        <w:snapToGrid w:val="0"/>
        <w:spacing w:line="600" w:lineRule="exact"/>
        <w:ind w:firstLine="161" w:firstLineChars="50"/>
        <w:rPr>
          <w:rFonts w:eastAsia="楷体_GB2312"/>
          <w:b/>
          <w:szCs w:val="32"/>
        </w:rPr>
      </w:pPr>
      <w:r>
        <w:rPr>
          <w:rFonts w:eastAsia="楷体_GB2312"/>
          <w:b/>
          <w:szCs w:val="32"/>
        </w:rPr>
        <w:t>（三）绩效目标完成程度。</w:t>
      </w:r>
    </w:p>
    <w:p w14:paraId="01F0BBBB">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1.产出目标：完成22项运维任务，系统运行故障率为0次/季度，项目验收合格率100%。</w:t>
      </w:r>
    </w:p>
    <w:p w14:paraId="72279BBE">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2.效益目标：减少财产登记纠纷，群众满意度达90%，企业满意度达90%。</w:t>
      </w:r>
    </w:p>
    <w:p w14:paraId="6AC252B1">
      <w:pPr>
        <w:spacing w:line="600" w:lineRule="exact"/>
        <w:rPr>
          <w:rFonts w:hint="eastAsia" w:ascii="Times New Roman" w:hAnsi="Times New Roman" w:eastAsia="黑体"/>
          <w:szCs w:val="32"/>
        </w:rPr>
      </w:pPr>
      <w:r>
        <w:rPr>
          <w:rFonts w:ascii="Times New Roman" w:hAnsi="Times New Roman" w:eastAsia="黑体"/>
          <w:szCs w:val="32"/>
        </w:rPr>
        <w:t>二、</w:t>
      </w:r>
      <w:r>
        <w:rPr>
          <w:rFonts w:hint="eastAsia" w:ascii="Times New Roman" w:hAnsi="Times New Roman" w:eastAsia="黑体"/>
          <w:szCs w:val="32"/>
        </w:rPr>
        <w:t>部门评价工作开展情况</w:t>
      </w:r>
    </w:p>
    <w:p w14:paraId="792BED63">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1.评价方法：通过系统日志核查、第三方技术评估、满意度问卷调查等方式综合评分。</w:t>
      </w:r>
    </w:p>
    <w:p w14:paraId="6DB28BBF">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2.评价过程：查阅运维台账及财务凭证；随机抽取30项业务办理记录验证系统稳定性。</w:t>
      </w:r>
    </w:p>
    <w:p w14:paraId="7514C3F7">
      <w:pPr>
        <w:adjustRightInd w:val="0"/>
        <w:snapToGrid w:val="0"/>
        <w:spacing w:line="600" w:lineRule="exact"/>
        <w:rPr>
          <w:rFonts w:hint="eastAsia" w:ascii="Times New Roman" w:hAnsi="Times New Roman" w:eastAsia="黑体"/>
          <w:szCs w:val="32"/>
        </w:rPr>
      </w:pPr>
      <w:r>
        <w:rPr>
          <w:rFonts w:ascii="Times New Roman" w:hAnsi="Times New Roman" w:eastAsia="黑体"/>
          <w:szCs w:val="32"/>
        </w:rPr>
        <w:t>三、</w:t>
      </w:r>
      <w:r>
        <w:rPr>
          <w:rFonts w:hint="eastAsia" w:ascii="Times New Roman" w:hAnsi="Times New Roman" w:eastAsia="黑体"/>
          <w:szCs w:val="32"/>
        </w:rPr>
        <w:t>综合评价结论</w:t>
      </w:r>
    </w:p>
    <w:p w14:paraId="3A972231">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1.得分：98分（满分100分）</w:t>
      </w:r>
    </w:p>
    <w:p w14:paraId="02A1E7EC">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2.评价等级：优秀</w:t>
      </w:r>
    </w:p>
    <w:p w14:paraId="4B3AB552">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3.评价依据：预算执行率100%，系统故障率为0，群众满意度超目标值。</w:t>
      </w:r>
    </w:p>
    <w:p w14:paraId="6F512895">
      <w:pPr>
        <w:spacing w:line="600" w:lineRule="exact"/>
        <w:rPr>
          <w:rFonts w:hint="eastAsia" w:eastAsia="黑体"/>
          <w:szCs w:val="32"/>
        </w:rPr>
      </w:pPr>
      <w:r>
        <w:rPr>
          <w:rFonts w:eastAsia="黑体"/>
          <w:szCs w:val="32"/>
        </w:rPr>
        <w:t>四、绩效评价指标分析</w:t>
      </w:r>
    </w:p>
    <w:p w14:paraId="0800A87E">
      <w:pPr>
        <w:spacing w:line="600" w:lineRule="exact"/>
        <w:ind w:firstLine="161" w:firstLineChars="50"/>
        <w:rPr>
          <w:rFonts w:eastAsia="楷体_GB2312"/>
          <w:b/>
          <w:szCs w:val="32"/>
        </w:rPr>
      </w:pPr>
      <w:r>
        <w:rPr>
          <w:rFonts w:eastAsia="楷体_GB2312"/>
          <w:b/>
          <w:szCs w:val="32"/>
        </w:rPr>
        <w:t>（一）预算支出决策情况</w:t>
      </w:r>
    </w:p>
    <w:p w14:paraId="63FE15E4">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项目符合省级统一部署，目标清晰。</w:t>
      </w:r>
    </w:p>
    <w:p w14:paraId="6C08D485">
      <w:pPr>
        <w:spacing w:line="600" w:lineRule="exact"/>
        <w:ind w:firstLine="161" w:firstLineChars="50"/>
        <w:rPr>
          <w:rFonts w:eastAsia="楷体_GB2312"/>
          <w:b/>
          <w:szCs w:val="32"/>
        </w:rPr>
      </w:pPr>
      <w:r>
        <w:rPr>
          <w:rFonts w:eastAsia="楷体_GB2312"/>
          <w:b/>
          <w:szCs w:val="32"/>
        </w:rPr>
        <w:t>（二）预算执行过程情况</w:t>
      </w:r>
    </w:p>
    <w:p w14:paraId="2EC982DD">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资金拨付及时，无截留挪用现象。</w:t>
      </w:r>
    </w:p>
    <w:p w14:paraId="6E74FD51">
      <w:pPr>
        <w:spacing w:line="600" w:lineRule="exact"/>
        <w:ind w:firstLine="161" w:firstLineChars="50"/>
        <w:rPr>
          <w:rFonts w:eastAsia="楷体_GB2312"/>
          <w:b/>
          <w:szCs w:val="32"/>
        </w:rPr>
      </w:pPr>
      <w:r>
        <w:rPr>
          <w:rFonts w:eastAsia="楷体_GB2312"/>
          <w:b/>
          <w:szCs w:val="32"/>
        </w:rPr>
        <w:t>（三）预算支出产出情况</w:t>
      </w:r>
    </w:p>
    <w:p w14:paraId="661CE071">
      <w:pPr>
        <w:spacing w:line="600" w:lineRule="exact"/>
        <w:ind w:firstLine="600" w:firstLineChars="200"/>
        <w:rPr>
          <w:rFonts w:ascii="仿宋" w:hAnsi="仿宋" w:eastAsia="仿宋"/>
          <w:b/>
          <w:sz w:val="30"/>
          <w:szCs w:val="30"/>
        </w:rPr>
      </w:pPr>
      <w:r>
        <w:rPr>
          <w:rFonts w:hint="eastAsia" w:ascii="仿宋" w:hAnsi="仿宋" w:eastAsia="仿宋"/>
          <w:sz w:val="30"/>
          <w:szCs w:val="30"/>
        </w:rPr>
        <w:t>22项任务全部完成，系统稳定性达标。</w:t>
      </w:r>
    </w:p>
    <w:p w14:paraId="5B937E0D">
      <w:pPr>
        <w:spacing w:line="600" w:lineRule="exact"/>
        <w:ind w:firstLine="161" w:firstLineChars="50"/>
        <w:rPr>
          <w:rFonts w:eastAsia="楷体_GB2312"/>
          <w:b/>
          <w:szCs w:val="32"/>
        </w:rPr>
      </w:pPr>
      <w:r>
        <w:rPr>
          <w:rFonts w:eastAsia="楷体_GB2312"/>
          <w:b/>
          <w:szCs w:val="32"/>
        </w:rPr>
        <w:t>（四）预算支出效益情况</w:t>
      </w:r>
    </w:p>
    <w:p w14:paraId="11C064B3">
      <w:pPr>
        <w:spacing w:line="600" w:lineRule="exact"/>
        <w:ind w:firstLine="600" w:firstLineChars="200"/>
        <w:rPr>
          <w:rFonts w:ascii="仿宋" w:hAnsi="仿宋" w:eastAsia="仿宋"/>
          <w:b/>
          <w:sz w:val="30"/>
          <w:szCs w:val="30"/>
        </w:rPr>
      </w:pPr>
      <w:r>
        <w:rPr>
          <w:rFonts w:hint="eastAsia" w:ascii="仿宋" w:hAnsi="仿宋" w:eastAsia="仿宋"/>
          <w:sz w:val="30"/>
          <w:szCs w:val="30"/>
        </w:rPr>
        <w:t>扣分项：历史遗留问题调解成功率89%（目标≥90%）。</w:t>
      </w:r>
    </w:p>
    <w:p w14:paraId="20EC96CB">
      <w:pPr>
        <w:adjustRightInd w:val="0"/>
        <w:snapToGrid w:val="0"/>
        <w:spacing w:line="600" w:lineRule="exact"/>
        <w:rPr>
          <w:rFonts w:hint="eastAsia" w:ascii="Times New Roman" w:hAnsi="Times New Roman" w:eastAsia="黑体"/>
          <w:szCs w:val="32"/>
        </w:rPr>
      </w:pPr>
      <w:r>
        <w:rPr>
          <w:rFonts w:hint="eastAsia" w:ascii="Times New Roman" w:hAnsi="Times New Roman" w:eastAsia="黑体"/>
          <w:szCs w:val="32"/>
        </w:rPr>
        <w:t>五、存在的问题和改进措施</w:t>
      </w:r>
    </w:p>
    <w:p w14:paraId="34E27267">
      <w:pPr>
        <w:spacing w:line="600" w:lineRule="exact"/>
        <w:ind w:firstLine="161" w:firstLineChars="50"/>
        <w:rPr>
          <w:rFonts w:hint="eastAsia" w:ascii="Times New Roman" w:hAnsi="Times New Roman" w:eastAsia="楷体_GB2312"/>
          <w:b/>
          <w:szCs w:val="32"/>
        </w:rPr>
      </w:pPr>
      <w:r>
        <w:rPr>
          <w:rFonts w:hint="eastAsia" w:ascii="Times New Roman" w:hAnsi="Times New Roman" w:eastAsia="楷体_GB2312"/>
          <w:b/>
          <w:szCs w:val="32"/>
        </w:rPr>
        <w:t>（一）存在的问题</w:t>
      </w:r>
    </w:p>
    <w:p w14:paraId="13FDC029">
      <w:pPr>
        <w:adjustRightInd w:val="0"/>
        <w:snapToGrid w:val="0"/>
        <w:spacing w:line="600" w:lineRule="exact"/>
        <w:ind w:firstLine="600" w:firstLineChars="200"/>
        <w:rPr>
          <w:rFonts w:ascii="仿宋" w:hAnsi="仿宋" w:eastAsia="仿宋"/>
          <w:sz w:val="30"/>
          <w:szCs w:val="30"/>
        </w:rPr>
      </w:pPr>
      <w:r>
        <w:rPr>
          <w:rFonts w:hint="eastAsia" w:ascii="仿宋" w:hAnsi="仿宋" w:eastAsia="仿宋"/>
          <w:sz w:val="30"/>
          <w:szCs w:val="30"/>
        </w:rPr>
        <w:t>1.</w:t>
      </w:r>
      <w:r>
        <w:rPr>
          <w:rFonts w:ascii="仿宋" w:hAnsi="仿宋" w:eastAsia="仿宋"/>
          <w:sz w:val="30"/>
          <w:szCs w:val="30"/>
        </w:rPr>
        <w:t>部分历史问题调解效率不足；</w:t>
      </w:r>
    </w:p>
    <w:p w14:paraId="5872366A">
      <w:pPr>
        <w:adjustRightInd w:val="0"/>
        <w:snapToGrid w:val="0"/>
        <w:spacing w:line="600" w:lineRule="exact"/>
        <w:ind w:firstLine="600" w:firstLineChars="200"/>
        <w:rPr>
          <w:rFonts w:ascii="仿宋" w:hAnsi="仿宋" w:eastAsia="仿宋"/>
          <w:sz w:val="30"/>
          <w:szCs w:val="30"/>
        </w:rPr>
      </w:pPr>
      <w:r>
        <w:rPr>
          <w:rFonts w:hint="eastAsia" w:ascii="仿宋" w:hAnsi="仿宋" w:eastAsia="仿宋"/>
          <w:sz w:val="30"/>
          <w:szCs w:val="30"/>
        </w:rPr>
        <w:t>2.</w:t>
      </w:r>
      <w:r>
        <w:rPr>
          <w:rFonts w:ascii="仿宋" w:hAnsi="仿宋" w:eastAsia="仿宋"/>
          <w:sz w:val="30"/>
          <w:szCs w:val="30"/>
        </w:rPr>
        <w:t>跨部门数据共享响应速度待提升。</w:t>
      </w:r>
    </w:p>
    <w:p w14:paraId="4A3D1D0D">
      <w:pPr>
        <w:spacing w:line="600" w:lineRule="exact"/>
        <w:ind w:firstLine="161" w:firstLineChars="50"/>
        <w:rPr>
          <w:rFonts w:hint="eastAsia" w:ascii="Times New Roman" w:hAnsi="Times New Roman" w:eastAsia="楷体_GB2312"/>
          <w:b/>
          <w:szCs w:val="32"/>
        </w:rPr>
      </w:pPr>
      <w:r>
        <w:rPr>
          <w:rFonts w:hint="eastAsia" w:ascii="Times New Roman" w:hAnsi="Times New Roman" w:eastAsia="楷体_GB2312"/>
          <w:b/>
          <w:szCs w:val="32"/>
        </w:rPr>
        <w:t>（二）改进措施</w:t>
      </w:r>
    </w:p>
    <w:p w14:paraId="75000444">
      <w:pPr>
        <w:adjustRightInd w:val="0"/>
        <w:snapToGrid w:val="0"/>
        <w:spacing w:line="600" w:lineRule="exact"/>
        <w:ind w:firstLine="600" w:firstLineChars="200"/>
        <w:rPr>
          <w:rFonts w:ascii="仿宋" w:hAnsi="仿宋" w:eastAsia="仿宋"/>
          <w:sz w:val="30"/>
          <w:szCs w:val="30"/>
        </w:rPr>
      </w:pPr>
      <w:r>
        <w:rPr>
          <w:rFonts w:hint="eastAsia" w:ascii="仿宋" w:hAnsi="仿宋" w:eastAsia="仿宋"/>
          <w:sz w:val="30"/>
          <w:szCs w:val="30"/>
        </w:rPr>
        <w:t>1.</w:t>
      </w:r>
      <w:r>
        <w:rPr>
          <w:rFonts w:ascii="仿宋" w:hAnsi="仿宋" w:eastAsia="仿宋"/>
          <w:sz w:val="30"/>
          <w:szCs w:val="30"/>
        </w:rPr>
        <w:t>建立多部门联席调解机制；</w:t>
      </w:r>
    </w:p>
    <w:p w14:paraId="0D8DF4DC">
      <w:pPr>
        <w:adjustRightInd w:val="0"/>
        <w:snapToGrid w:val="0"/>
        <w:spacing w:line="600" w:lineRule="exact"/>
        <w:ind w:firstLine="600" w:firstLineChars="200"/>
        <w:rPr>
          <w:rFonts w:ascii="仿宋" w:hAnsi="仿宋" w:eastAsia="仿宋"/>
          <w:sz w:val="30"/>
          <w:szCs w:val="30"/>
        </w:rPr>
      </w:pPr>
      <w:r>
        <w:rPr>
          <w:rFonts w:hint="eastAsia" w:ascii="仿宋" w:hAnsi="仿宋" w:eastAsia="仿宋"/>
          <w:sz w:val="30"/>
          <w:szCs w:val="30"/>
        </w:rPr>
        <w:t>2.</w:t>
      </w:r>
      <w:r>
        <w:rPr>
          <w:rFonts w:ascii="仿宋" w:hAnsi="仿宋" w:eastAsia="仿宋"/>
          <w:sz w:val="30"/>
          <w:szCs w:val="30"/>
        </w:rPr>
        <w:t>优化数据接口，缩短共享响应时间至24小时内。</w:t>
      </w:r>
    </w:p>
    <w:p w14:paraId="5F412974">
      <w:pPr>
        <w:adjustRightInd w:val="0"/>
        <w:snapToGrid w:val="0"/>
        <w:spacing w:line="600" w:lineRule="exact"/>
        <w:ind w:firstLine="160" w:firstLineChars="50"/>
        <w:rPr>
          <w:rFonts w:hint="eastAsia" w:ascii="Times New Roman" w:hAnsi="Times New Roman" w:eastAsia="黑体"/>
          <w:szCs w:val="32"/>
        </w:rPr>
      </w:pPr>
      <w:r>
        <w:rPr>
          <w:rFonts w:hint="eastAsia" w:ascii="Times New Roman" w:hAnsi="Times New Roman" w:eastAsia="黑体"/>
          <w:szCs w:val="32"/>
        </w:rPr>
        <w:t>六、部门评价结果拟应用和公开情况</w:t>
      </w:r>
    </w:p>
    <w:p w14:paraId="16368F36">
      <w:pPr>
        <w:adjustRightInd w:val="0"/>
        <w:snapToGrid w:val="0"/>
        <w:spacing w:line="600" w:lineRule="exact"/>
        <w:ind w:firstLine="600" w:firstLineChars="2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本单位绩效自评结果将在主管单位益阳市自然资源和规划局门户网站上进行公开。</w:t>
      </w:r>
    </w:p>
    <w:p w14:paraId="12F5C5CD">
      <w:pPr>
        <w:adjustRightInd w:val="0"/>
        <w:snapToGrid w:val="0"/>
        <w:spacing w:line="600" w:lineRule="exact"/>
        <w:ind w:firstLine="160" w:firstLineChars="50"/>
        <w:rPr>
          <w:rFonts w:hint="eastAsia" w:ascii="Times New Roman" w:hAnsi="Times New Roman" w:eastAsia="黑体"/>
          <w:szCs w:val="32"/>
        </w:rPr>
      </w:pPr>
      <w:r>
        <w:rPr>
          <w:rFonts w:hint="eastAsia" w:ascii="Times New Roman" w:hAnsi="Times New Roman" w:eastAsia="黑体"/>
          <w:szCs w:val="32"/>
        </w:rPr>
        <w:t>七、其他需要说明的问题</w:t>
      </w:r>
    </w:p>
    <w:p w14:paraId="065BD9D9">
      <w:pPr>
        <w:adjustRightInd w:val="0"/>
        <w:snapToGrid w:val="0"/>
        <w:spacing w:line="600" w:lineRule="exact"/>
        <w:rPr>
          <w:rFonts w:ascii="仿宋" w:hAnsi="仿宋" w:eastAsia="仿宋"/>
          <w:sz w:val="30"/>
          <w:szCs w:val="30"/>
        </w:rPr>
      </w:pPr>
      <w:r>
        <w:rPr>
          <w:rFonts w:hint="eastAsia" w:ascii="Times New Roman" w:hAnsi="Times New Roman" w:eastAsia="黑体"/>
          <w:szCs w:val="32"/>
        </w:rPr>
        <w:t xml:space="preserve">    </w:t>
      </w:r>
      <w:r>
        <w:rPr>
          <w:rFonts w:hint="eastAsia" w:ascii="仿宋" w:hAnsi="仿宋" w:eastAsia="仿宋"/>
          <w:sz w:val="30"/>
          <w:szCs w:val="30"/>
        </w:rPr>
        <w:t>无其他需要说明的问题。</w:t>
      </w:r>
    </w:p>
    <w:p w14:paraId="23E10460">
      <w:pPr>
        <w:widowControl/>
        <w:spacing w:line="600" w:lineRule="exact"/>
        <w:ind w:firstLine="645"/>
        <w:jc w:val="left"/>
        <w:rPr>
          <w:rFonts w:hint="eastAsia" w:ascii="Times New Roman" w:hAnsi="Times New Roman"/>
          <w:szCs w:val="32"/>
        </w:rPr>
      </w:pPr>
    </w:p>
    <w:p w14:paraId="3CB7BFB1"/>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C4FFE">
    <w:pPr>
      <w:pStyle w:val="2"/>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1A8D7DB">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1A8D7DB">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B2908">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083BE5"/>
    <w:rsid w:val="59455097"/>
    <w:rsid w:val="74B25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850</Words>
  <Characters>921</Characters>
  <Lines>0</Lines>
  <Paragraphs>0</Paragraphs>
  <TotalTime>3</TotalTime>
  <ScaleCrop>false</ScaleCrop>
  <LinksUpToDate>false</LinksUpToDate>
  <CharactersWithSpaces>928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2025-04-23T06:19:00Z</dcterms:created>
  <dc:creator>Administrator</dc:creator>
  <cp:lastModifiedBy>我不服输</cp:lastModifiedBy>
  <dcterms:modified xsi:type="dcterms:W3CDTF">2025-04-23T06:29:00Z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eyJoZGlkIjoiY2M0NzU1MWZjMTAxNmNjYmIyMzY5YzczOWE2NTYwYzgiLCJ1c2VySWQiOiIyOTU1NTU4MjAifQ==</vt:lpwstr>
  </property>
  <property fmtid="{D5CDD505-2E9C-101B-9397-08002B2CF9AE}" pid="4" name="ICV">
    <vt:lpwstr>7BF5A28E466147EA90ED997C1FDC8745_12</vt:lpwstr>
  </property>
</Properties>
</file>