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F785D">
      <w:pPr>
        <w:overflowPunct w:val="0"/>
        <w:spacing w:line="700" w:lineRule="exact"/>
        <w:jc w:val="center"/>
        <w:rPr>
          <w:rFonts w:hint="default" w:ascii="Times New Roman" w:hAnsi="Times New Roman" w:eastAsia="方正小标宋简体" w:cs="Times New Roman"/>
          <w:bCs/>
          <w:color w:val="0B1216"/>
          <w:sz w:val="44"/>
          <w:szCs w:val="44"/>
          <w:shd w:val="clear" w:color="auto" w:fill="FFFFFF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color w:val="0B1216"/>
          <w:sz w:val="44"/>
          <w:szCs w:val="44"/>
          <w:shd w:val="clear" w:color="auto" w:fill="FFFFFF"/>
          <w:lang w:eastAsia="zh-CN"/>
        </w:rPr>
        <w:t>益阳高新技术产业开发区</w:t>
      </w:r>
    </w:p>
    <w:p w14:paraId="721D2A06">
      <w:pPr>
        <w:overflowPunct w:val="0"/>
        <w:spacing w:line="700" w:lineRule="exact"/>
        <w:jc w:val="center"/>
        <w:rPr>
          <w:rFonts w:hint="default" w:ascii="Times New Roman" w:hAnsi="Times New Roman" w:eastAsia="方正小标宋简体" w:cs="Times New Roman"/>
          <w:bCs/>
          <w:color w:val="0B1216"/>
          <w:spacing w:val="-11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bCs/>
          <w:color w:val="0B1216"/>
          <w:spacing w:val="-11"/>
          <w:sz w:val="44"/>
          <w:szCs w:val="44"/>
          <w:shd w:val="clear" w:color="auto" w:fill="FFFFFF"/>
          <w:lang w:eastAsia="zh-CN"/>
        </w:rPr>
        <w:t>关于</w:t>
      </w:r>
      <w:r>
        <w:rPr>
          <w:rFonts w:hint="eastAsia" w:ascii="Times New Roman" w:hAnsi="Times New Roman" w:eastAsia="方正小标宋简体" w:cs="Times New Roman"/>
          <w:bCs/>
          <w:color w:val="0B1216"/>
          <w:spacing w:val="-11"/>
          <w:sz w:val="44"/>
          <w:szCs w:val="44"/>
          <w:shd w:val="clear" w:color="auto" w:fill="FFFFFF"/>
          <w:lang w:val="en-US" w:eastAsia="zh-CN"/>
        </w:rPr>
        <w:t>2024</w:t>
      </w:r>
      <w:r>
        <w:rPr>
          <w:rFonts w:hint="default" w:ascii="Times New Roman" w:hAnsi="Times New Roman" w:eastAsia="方正小标宋简体" w:cs="Times New Roman"/>
          <w:bCs/>
          <w:color w:val="0B1216"/>
          <w:spacing w:val="-11"/>
          <w:sz w:val="44"/>
          <w:szCs w:val="44"/>
          <w:shd w:val="clear" w:color="auto" w:fill="FFFFFF"/>
          <w:lang w:val="en-US" w:eastAsia="zh-CN"/>
        </w:rPr>
        <w:t>年预算执行及202</w:t>
      </w:r>
      <w:r>
        <w:rPr>
          <w:rFonts w:hint="eastAsia" w:ascii="Times New Roman" w:hAnsi="Times New Roman" w:eastAsia="方正小标宋简体" w:cs="Times New Roman"/>
          <w:bCs/>
          <w:color w:val="0B1216"/>
          <w:spacing w:val="-11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Cs/>
          <w:color w:val="0B1216"/>
          <w:spacing w:val="-11"/>
          <w:sz w:val="44"/>
          <w:szCs w:val="44"/>
          <w:shd w:val="clear" w:color="auto" w:fill="FFFFFF"/>
          <w:lang w:val="en-US" w:eastAsia="zh-CN"/>
        </w:rPr>
        <w:t>年预算草案的报告</w:t>
      </w:r>
    </w:p>
    <w:p w14:paraId="57D6D47F">
      <w:pPr>
        <w:overflowPunct w:val="0"/>
        <w:spacing w:line="600" w:lineRule="exact"/>
        <w:jc w:val="center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</w:rPr>
      </w:pPr>
    </w:p>
    <w:p w14:paraId="3E7F71E7">
      <w:pPr>
        <w:overflowPunct w:val="0"/>
        <w:spacing w:line="600" w:lineRule="exact"/>
        <w:jc w:val="center"/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</w:rPr>
        <w:t>目</w:t>
      </w:r>
      <w:r>
        <w:rPr>
          <w:rFonts w:hint="eastAsia" w:ascii="Times New Roman" w:hAnsi="Times New Roman" w:eastAsia="黑体" w:cs="Times New Roman"/>
          <w:color w:val="000000"/>
          <w:kern w:val="0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color w:val="000000"/>
          <w:kern w:val="0"/>
          <w:sz w:val="44"/>
          <w:szCs w:val="44"/>
        </w:rPr>
        <w:t>录</w:t>
      </w:r>
    </w:p>
    <w:p w14:paraId="37BDAC65">
      <w:pPr>
        <w:overflowPunct w:val="0"/>
        <w:spacing w:line="600" w:lineRule="exact"/>
        <w:jc w:val="center"/>
        <w:rPr>
          <w:rFonts w:hint="default" w:ascii="Times New Roman" w:hAnsi="Times New Roman" w:eastAsia="方正楷体简体" w:cs="Times New Roman"/>
          <w:color w:val="000000"/>
          <w:kern w:val="0"/>
          <w:sz w:val="32"/>
          <w:szCs w:val="32"/>
        </w:rPr>
      </w:pPr>
    </w:p>
    <w:p w14:paraId="2136E1BA">
      <w:pPr>
        <w:overflowPunct w:val="0"/>
        <w:spacing w:line="560" w:lineRule="exact"/>
        <w:ind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年预算执行</w:t>
      </w:r>
      <w:r>
        <w:rPr>
          <w:rFonts w:hint="eastAsia" w:ascii="Times New Roman" w:hAnsi="Times New Roman" w:eastAsia="黑体" w:cs="Times New Roman"/>
          <w:sz w:val="32"/>
          <w:szCs w:val="32"/>
          <w:shd w:val="clear" w:color="auto" w:fill="FFFFFF"/>
          <w:lang w:eastAsia="zh-CN"/>
        </w:rPr>
        <w:t>及财政运行</w:t>
      </w: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情况</w:t>
      </w:r>
    </w:p>
    <w:p w14:paraId="017D5728">
      <w:pPr>
        <w:overflowPunct w:val="0"/>
        <w:spacing w:line="560" w:lineRule="exact"/>
        <w:ind w:firstLine="640" w:firstLineChars="200"/>
        <w:jc w:val="left"/>
        <w:rPr>
          <w:rFonts w:hint="default" w:ascii="Times New Roman" w:hAnsi="Times New Roman" w:eastAsia="楷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（一）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  <w:lang w:eastAsia="zh-CN"/>
        </w:rPr>
        <w:t>一般公共预算执行情况</w:t>
      </w:r>
    </w:p>
    <w:p w14:paraId="5F386896">
      <w:pPr>
        <w:overflowPunct w:val="0"/>
        <w:spacing w:line="560" w:lineRule="exact"/>
        <w:ind w:firstLine="640" w:firstLineChars="200"/>
        <w:jc w:val="left"/>
        <w:rPr>
          <w:rFonts w:hint="default" w:ascii="Times New Roman" w:hAnsi="Times New Roman" w:eastAsia="楷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shd w:val="clear" w:color="auto" w:fill="FFFFFF"/>
        </w:rPr>
        <w:t>（二）</w:t>
      </w:r>
      <w:r>
        <w:rPr>
          <w:rFonts w:hint="default" w:ascii="Times New Roman" w:hAnsi="Times New Roman" w:eastAsia="楷体" w:cs="Times New Roman"/>
          <w:sz w:val="32"/>
          <w:szCs w:val="32"/>
          <w:shd w:val="clear" w:color="auto" w:fill="FFFFFF"/>
          <w:lang w:eastAsia="zh-CN"/>
        </w:rPr>
        <w:t>政府性基金预算执行情况</w:t>
      </w:r>
    </w:p>
    <w:p w14:paraId="2DE5AE87">
      <w:pPr>
        <w:overflowPunct w:val="0"/>
        <w:spacing w:line="560" w:lineRule="exact"/>
        <w:ind w:firstLine="640" w:firstLineChars="200"/>
        <w:jc w:val="left"/>
        <w:rPr>
          <w:rFonts w:hint="default" w:ascii="Times New Roman" w:hAnsi="Times New Roman" w:eastAsia="楷体" w:cs="Times New Roman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shd w:val="clear" w:color="auto" w:fill="FFFFFF"/>
        </w:rPr>
        <w:t>（三）</w:t>
      </w:r>
      <w:r>
        <w:rPr>
          <w:rFonts w:hint="default" w:ascii="Times New Roman" w:hAnsi="Times New Roman" w:eastAsia="楷体" w:cs="Times New Roman"/>
          <w:sz w:val="32"/>
          <w:szCs w:val="32"/>
          <w:shd w:val="clear" w:color="auto" w:fill="FFFFFF"/>
          <w:lang w:eastAsia="zh-CN"/>
        </w:rPr>
        <w:t>国有资本经营预算执行情况</w:t>
      </w:r>
    </w:p>
    <w:p w14:paraId="443A1541">
      <w:pPr>
        <w:overflowPunct w:val="0"/>
        <w:spacing w:line="560" w:lineRule="exact"/>
        <w:ind w:firstLine="640" w:firstLineChars="200"/>
        <w:jc w:val="left"/>
        <w:rPr>
          <w:rFonts w:hint="default" w:ascii="Times New Roman" w:hAnsi="Times New Roman" w:eastAsia="楷体" w:cs="Times New Roman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楷体" w:cs="Times New Roman"/>
          <w:sz w:val="32"/>
          <w:szCs w:val="32"/>
          <w:shd w:val="clear" w:color="auto" w:fill="FFFFFF"/>
          <w:lang w:eastAsia="zh-CN"/>
        </w:rPr>
        <w:t>四</w:t>
      </w:r>
      <w:r>
        <w:rPr>
          <w:rFonts w:hint="default" w:ascii="Times New Roman" w:hAnsi="Times New Roman" w:eastAsia="楷体" w:cs="Times New Roman"/>
          <w:sz w:val="32"/>
          <w:szCs w:val="32"/>
          <w:shd w:val="clear" w:color="auto" w:fill="FFFFFF"/>
          <w:lang w:eastAsia="zh-CN"/>
        </w:rPr>
        <w:t>）政府债务情况</w:t>
      </w:r>
    </w:p>
    <w:p w14:paraId="4DCB2326">
      <w:pPr>
        <w:overflowPunct w:val="0"/>
        <w:spacing w:line="560" w:lineRule="exact"/>
        <w:ind w:firstLine="640" w:firstLineChars="200"/>
        <w:jc w:val="left"/>
        <w:rPr>
          <w:rFonts w:hint="eastAsia" w:ascii="Times New Roman" w:hAnsi="Times New Roman" w:eastAsia="楷体" w:cs="Times New Roman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楷体" w:cs="Times New Roman"/>
          <w:sz w:val="32"/>
          <w:szCs w:val="32"/>
          <w:shd w:val="clear" w:color="auto" w:fill="FFFFFF"/>
          <w:lang w:eastAsia="zh-CN"/>
        </w:rPr>
        <w:t>（五）主要财税政策和人大预算决议落实情况</w:t>
      </w:r>
    </w:p>
    <w:p w14:paraId="12158C86">
      <w:pPr>
        <w:numPr>
          <w:ilvl w:val="0"/>
          <w:numId w:val="0"/>
        </w:numPr>
        <w:overflowPunct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fill="FFFFFF"/>
          <w:lang w:val="en-US" w:eastAsia="zh-CN" w:bidi="ar-SA"/>
        </w:rPr>
        <w:t>1.抓收入，夯实财政保障基础</w:t>
      </w:r>
    </w:p>
    <w:p w14:paraId="00BB73FF">
      <w:pPr>
        <w:numPr>
          <w:ilvl w:val="0"/>
          <w:numId w:val="0"/>
        </w:numPr>
        <w:overflowPunct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fill="FFFFFF"/>
          <w:lang w:val="en-US" w:eastAsia="zh-CN" w:bidi="ar-SA"/>
        </w:rPr>
        <w:t>2.优结构，财政保障精准有效</w:t>
      </w:r>
    </w:p>
    <w:p w14:paraId="6C33A8C5">
      <w:pPr>
        <w:numPr>
          <w:ilvl w:val="0"/>
          <w:numId w:val="0"/>
        </w:numPr>
        <w:overflowPunct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fill="FFFFFF"/>
          <w:lang w:val="en-US" w:eastAsia="zh-CN" w:bidi="ar-SA"/>
        </w:rPr>
        <w:t>3.推改革，提升财政管理效能</w:t>
      </w:r>
    </w:p>
    <w:p w14:paraId="55C1B45F">
      <w:pPr>
        <w:numPr>
          <w:ilvl w:val="0"/>
          <w:numId w:val="0"/>
        </w:numPr>
        <w:overflowPunct w:val="0"/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fill="FFFFFF"/>
          <w:lang w:val="en-US" w:eastAsia="zh-CN" w:bidi="ar-SA"/>
        </w:rPr>
        <w:t>4.防风险，确保财政平稳运行</w:t>
      </w:r>
    </w:p>
    <w:p w14:paraId="059B69CF">
      <w:pPr>
        <w:overflowPunct w:val="0"/>
        <w:spacing w:line="560" w:lineRule="exact"/>
        <w:ind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二、</w:t>
      </w:r>
      <w:r>
        <w:rPr>
          <w:rFonts w:hint="default" w:ascii="Times New Roman" w:hAnsi="Times New Roman" w:cs="Times New Roman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cs="Times New Roman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年预算</w:t>
      </w: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eastAsia="zh-CN"/>
        </w:rPr>
        <w:t>草案</w:t>
      </w:r>
    </w:p>
    <w:p w14:paraId="2286F6E9">
      <w:pPr>
        <w:overflowPunct w:val="0"/>
        <w:spacing w:line="560" w:lineRule="exact"/>
        <w:ind w:firstLine="640" w:firstLineChars="200"/>
        <w:jc w:val="left"/>
        <w:rPr>
          <w:rFonts w:hint="eastAsia" w:ascii="Times New Roman" w:hAnsi="Times New Roman" w:eastAsia="楷体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shd w:val="clear" w:color="auto" w:fill="FFFFFF"/>
        </w:rPr>
        <w:t>（一）</w:t>
      </w:r>
      <w:r>
        <w:rPr>
          <w:rFonts w:hint="eastAsia" w:ascii="Times New Roman" w:hAnsi="Times New Roman" w:eastAsia="楷体" w:cs="Times New Roman"/>
          <w:sz w:val="32"/>
          <w:szCs w:val="32"/>
          <w:shd w:val="clear" w:color="auto" w:fill="FFFFFF"/>
          <w:lang w:val="en-US" w:eastAsia="zh-CN"/>
        </w:rPr>
        <w:t>2025年预算编制情况</w:t>
      </w:r>
    </w:p>
    <w:p w14:paraId="28142432">
      <w:pPr>
        <w:numPr>
          <w:ilvl w:val="0"/>
          <w:numId w:val="0"/>
        </w:numPr>
        <w:overflowPunct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fill="FFFFFF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一般公共预算</w:t>
      </w:r>
    </w:p>
    <w:p w14:paraId="4503245B">
      <w:pPr>
        <w:numPr>
          <w:ilvl w:val="0"/>
          <w:numId w:val="0"/>
        </w:numPr>
        <w:overflowPunct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fill="FFFFFF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政府性基金预算</w:t>
      </w:r>
    </w:p>
    <w:p w14:paraId="4A886F08">
      <w:pPr>
        <w:overflowPunct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国有资本经营预算</w:t>
      </w:r>
    </w:p>
    <w:p w14:paraId="36ADE2E0">
      <w:pPr>
        <w:overflowPunct w:val="0"/>
        <w:spacing w:line="560" w:lineRule="exact"/>
        <w:ind w:firstLine="640" w:firstLineChars="200"/>
        <w:jc w:val="left"/>
        <w:rPr>
          <w:rFonts w:hint="eastAsia" w:ascii="Times New Roman" w:hAnsi="Times New Roman" w:eastAsia="楷体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楷体" w:cs="Times New Roman"/>
          <w:sz w:val="32"/>
          <w:szCs w:val="32"/>
          <w:shd w:val="clear" w:color="auto" w:fill="FFFFFF"/>
          <w:lang w:eastAsia="zh-CN"/>
        </w:rPr>
        <w:t>（二）</w:t>
      </w:r>
      <w:r>
        <w:rPr>
          <w:rFonts w:hint="eastAsia" w:ascii="Times New Roman" w:hAnsi="Times New Roman" w:eastAsia="楷体" w:cs="Times New Roman"/>
          <w:sz w:val="32"/>
          <w:szCs w:val="32"/>
          <w:shd w:val="clear" w:color="auto" w:fill="FFFFFF"/>
          <w:lang w:val="en-US" w:eastAsia="zh-CN"/>
        </w:rPr>
        <w:t>2025年财政改革和预算管理工作要点</w:t>
      </w:r>
    </w:p>
    <w:p w14:paraId="0F89FF73">
      <w:pPr>
        <w:numPr>
          <w:ilvl w:val="0"/>
          <w:numId w:val="0"/>
        </w:numPr>
        <w:overflowPunct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fill="FFFFFF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聚焦财源要点，增强财政综合实力</w:t>
      </w:r>
    </w:p>
    <w:p w14:paraId="666470E6">
      <w:pPr>
        <w:overflowPunct w:val="0"/>
        <w:spacing w:line="560" w:lineRule="exact"/>
        <w:ind w:firstLine="640" w:firstLineChars="200"/>
        <w:jc w:val="left"/>
        <w:rPr>
          <w:rFonts w:hint="eastAsia" w:ascii="仿宋" w:hAnsi="仿宋" w:eastAsia="仿宋_GB2312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2.把握支出重点，提高财政保障能力</w:t>
      </w:r>
    </w:p>
    <w:p w14:paraId="3F9EBAEB">
      <w:pPr>
        <w:overflowPunct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3.突出改革亮点，激发财政管理活力</w:t>
      </w:r>
    </w:p>
    <w:p w14:paraId="08502620">
      <w:pPr>
        <w:overflowPunct w:val="0"/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4.防范风险难点，增强持续发展定力</w:t>
      </w:r>
    </w:p>
    <w:p w14:paraId="48677B9D">
      <w:pPr>
        <w:overflowPunct w:val="0"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一：关于益阳高新区2024年预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算执行及2025年预算草案附表</w:t>
      </w:r>
    </w:p>
    <w:p w14:paraId="33BF0111">
      <w:pPr>
        <w:overflowPunct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年高新区一般公共预算收入预算执行情况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表</w:t>
      </w:r>
    </w:p>
    <w:p w14:paraId="5123FC63">
      <w:pPr>
        <w:overflowPunct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年高新区一般公共预算支出预算执行情况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表</w:t>
      </w:r>
    </w:p>
    <w:p w14:paraId="447BE76C">
      <w:pPr>
        <w:overflowPunct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3.2024年高新区一般公共预算收支平衡表</w:t>
      </w:r>
    </w:p>
    <w:p w14:paraId="5AD69851">
      <w:pPr>
        <w:overflowPunct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年高新区政府性基金收入预算执行情况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表</w:t>
      </w:r>
    </w:p>
    <w:p w14:paraId="2813C013">
      <w:pPr>
        <w:overflowPunct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年高新区政府性基金支出预算执行情况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表</w:t>
      </w:r>
    </w:p>
    <w:p w14:paraId="04CE96EA">
      <w:pPr>
        <w:overflowPunct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2024年高新区国有资本经营收入预算执行情况表</w:t>
      </w:r>
    </w:p>
    <w:p w14:paraId="57A85E2D">
      <w:pPr>
        <w:overflowPunct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7.2024年高新区国有资本经营支出预算执行情况表</w:t>
      </w:r>
    </w:p>
    <w:p w14:paraId="24DEB275">
      <w:pPr>
        <w:overflowPunct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年高新区一般公共预算收入预算表</w:t>
      </w:r>
    </w:p>
    <w:p w14:paraId="1D23721C">
      <w:pPr>
        <w:overflowPunct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年高新区一般公共预算支出预算表</w:t>
      </w:r>
    </w:p>
    <w:p w14:paraId="71A8A0E5">
      <w:pPr>
        <w:overflowPunct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10.2025年高新区一般公共预算支出预算表（本级）</w:t>
      </w:r>
    </w:p>
    <w:p w14:paraId="3F879275">
      <w:pPr>
        <w:overflowPunct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11.2025年高新区一般公共预算收支平衡表</w:t>
      </w:r>
    </w:p>
    <w:p w14:paraId="4BCE50E9">
      <w:pPr>
        <w:overflowPunct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12.2025年高新区一般公共预算支出预算明细表（本级）</w:t>
      </w:r>
    </w:p>
    <w:p w14:paraId="053494DA">
      <w:pPr>
        <w:overflowPunct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年高新区一般公共预算基本支出明细表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（本级）</w:t>
      </w:r>
    </w:p>
    <w:p w14:paraId="1F2E905D">
      <w:pPr>
        <w:overflowPunct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14.2025年高新区一般公共预算税收返还和转移支付表</w:t>
      </w:r>
    </w:p>
    <w:p w14:paraId="52C558EE">
      <w:pPr>
        <w:overflowPunct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年高新区政府性基金收入预算表</w:t>
      </w:r>
    </w:p>
    <w:p w14:paraId="261D0D6C">
      <w:pPr>
        <w:overflowPunct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年高新区政府性基金支出预算表</w:t>
      </w:r>
    </w:p>
    <w:p w14:paraId="74EA3938">
      <w:pPr>
        <w:overflowPunct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年高新区政府性基金支出预算表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（本级）</w:t>
      </w:r>
    </w:p>
    <w:p w14:paraId="5BBC1EAD">
      <w:pPr>
        <w:overflowPunct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年高新区政府性基金支出预算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明细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表（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 w14:paraId="088419E5">
      <w:pPr>
        <w:overflowPunct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19.2025年高新区政府性基金转移支付表</w:t>
      </w:r>
    </w:p>
    <w:p w14:paraId="3689765E">
      <w:pPr>
        <w:overflowPunct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年高新区国有资本经营收入预算表</w:t>
      </w:r>
    </w:p>
    <w:p w14:paraId="4B95D637">
      <w:pPr>
        <w:overflowPunct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年高新区国有资本经营支出预算表</w:t>
      </w:r>
    </w:p>
    <w:p w14:paraId="1F6F5747">
      <w:pPr>
        <w:overflowPunct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22.2025年高新区国有资本经营支出预算表（本级）</w:t>
      </w:r>
    </w:p>
    <w:p w14:paraId="35BA6317">
      <w:pPr>
        <w:overflowPunct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23.2025年高新区国有资本经营预算转移支付表</w:t>
      </w:r>
    </w:p>
    <w:p w14:paraId="4495275F">
      <w:pPr>
        <w:overflowPunct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年预算政府一般债务限额和余额情况表</w:t>
      </w:r>
    </w:p>
    <w:p w14:paraId="6FF8A807">
      <w:pPr>
        <w:overflowPunct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年预算政府专项债务限额和余额情况表</w:t>
      </w:r>
    </w:p>
    <w:p w14:paraId="77B5D7F9">
      <w:pPr>
        <w:overflowPunct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年高新区“三公经费”支出预算表</w:t>
      </w:r>
    </w:p>
    <w:p w14:paraId="7CD406AA">
      <w:pPr>
        <w:overflowPunct w:val="0"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附件二、益阳高新区2025年预算重要事项解释说明</w:t>
      </w:r>
    </w:p>
    <w:sectPr>
      <w:headerReference r:id="rId3" w:type="default"/>
      <w:footerReference r:id="rId4" w:type="default"/>
      <w:pgSz w:w="11906" w:h="16838"/>
      <w:pgMar w:top="1985" w:right="1588" w:bottom="1701" w:left="1588" w:header="851" w:footer="147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58A60">
    <w:pPr>
      <w:pStyle w:val="3"/>
      <w:tabs>
        <w:tab w:val="clear" w:pos="4153"/>
        <w:tab w:val="clear" w:pos="8306"/>
      </w:tabs>
      <w:jc w:val="center"/>
      <w:rPr>
        <w:rFonts w:hint="eastAsia" w:ascii="仿宋" w:hAnsi="仿宋" w:eastAsia="仿宋" w:cs="仿宋"/>
        <w:sz w:val="28"/>
        <w:szCs w:val="28"/>
      </w:rPr>
    </w:pPr>
    <w:r>
      <w:rPr>
        <w:rFonts w:hint="eastAsia" w:ascii="仿宋" w:hAnsi="仿宋" w:eastAsia="仿宋" w:cs="仿宋"/>
        <w:sz w:val="28"/>
        <w:szCs w:val="28"/>
      </w:rPr>
      <w:t xml:space="preserve">－ </w:t>
    </w:r>
    <w:r>
      <w:rPr>
        <w:rFonts w:hint="eastAsia" w:ascii="仿宋" w:hAnsi="仿宋" w:eastAsia="仿宋" w:cs="仿宋"/>
        <w:sz w:val="28"/>
        <w:szCs w:val="28"/>
      </w:rPr>
      <w:fldChar w:fldCharType="begin"/>
    </w:r>
    <w:r>
      <w:rPr>
        <w:rFonts w:hint="eastAsia" w:ascii="仿宋" w:hAnsi="仿宋" w:eastAsia="仿宋" w:cs="仿宋"/>
        <w:sz w:val="28"/>
        <w:szCs w:val="28"/>
      </w:rPr>
      <w:instrText xml:space="preserve"> PAGE   \* MERGEFORMAT </w:instrText>
    </w:r>
    <w:r>
      <w:rPr>
        <w:rFonts w:hint="eastAsia" w:ascii="仿宋" w:hAnsi="仿宋" w:eastAsia="仿宋" w:cs="仿宋"/>
        <w:sz w:val="28"/>
        <w:szCs w:val="28"/>
      </w:rPr>
      <w:fldChar w:fldCharType="separate"/>
    </w:r>
    <w:r>
      <w:rPr>
        <w:rFonts w:ascii="仿宋" w:hAnsi="仿宋" w:eastAsia="仿宋" w:cs="仿宋"/>
        <w:sz w:val="28"/>
        <w:szCs w:val="28"/>
        <w:lang w:val="zh-CN" w:eastAsia="zh-CN"/>
      </w:rPr>
      <w:t>2</w:t>
    </w:r>
    <w:r>
      <w:rPr>
        <w:rFonts w:hint="eastAsia" w:ascii="仿宋" w:hAnsi="仿宋" w:eastAsia="仿宋" w:cs="仿宋"/>
        <w:sz w:val="28"/>
        <w:szCs w:val="28"/>
      </w:rPr>
      <w:fldChar w:fldCharType="end"/>
    </w:r>
    <w:r>
      <w:rPr>
        <w:rFonts w:hint="eastAsia" w:ascii="仿宋" w:hAnsi="仿宋" w:eastAsia="仿宋" w:cs="仿宋"/>
        <w:sz w:val="28"/>
        <w:szCs w:val="28"/>
      </w:rPr>
      <w:t xml:space="preserve"> －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4D754">
    <w:pPr>
      <w:pStyle w:val="4"/>
      <w:pBdr>
        <w:bottom w:val="none" w:color="auto" w:sz="0" w:space="1"/>
      </w:pBdr>
      <w:tabs>
        <w:tab w:val="left" w:pos="7627"/>
      </w:tabs>
      <w:jc w:val="left"/>
      <w:rPr>
        <w:rFonts w:hint="eastAsia"/>
      </w:rPr>
    </w:pPr>
    <w:r>
      <w:rPr>
        <w:rFonts w:hint="eastAsia"/>
      </w:rPr>
      <w:tab/>
    </w: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BjNDg2ODk5ZDhjYWU3OWRmY2Y0ZGFiZmMxZWZhNjUifQ=="/>
  </w:docVars>
  <w:rsids>
    <w:rsidRoot w:val="00340CA2"/>
    <w:rsid w:val="002202E1"/>
    <w:rsid w:val="00340CA2"/>
    <w:rsid w:val="005C091B"/>
    <w:rsid w:val="008602D8"/>
    <w:rsid w:val="00E97D94"/>
    <w:rsid w:val="0B5616FE"/>
    <w:rsid w:val="0D106482"/>
    <w:rsid w:val="1E6452E1"/>
    <w:rsid w:val="24004D15"/>
    <w:rsid w:val="319C56DB"/>
    <w:rsid w:val="4A9F26B9"/>
    <w:rsid w:val="582041ED"/>
    <w:rsid w:val="5F01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autoRedefine/>
    <w:qFormat/>
    <w:uiPriority w:val="0"/>
    <w:rPr>
      <w:rFonts w:ascii="宋体" w:hAnsi="Courier New" w:cs="Times New Roman"/>
    </w:rPr>
  </w:style>
  <w:style w:type="paragraph" w:styleId="3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7">
    <w:name w:val="纯文本 Char"/>
    <w:basedOn w:val="6"/>
    <w:link w:val="2"/>
    <w:autoRedefine/>
    <w:qFormat/>
    <w:uiPriority w:val="0"/>
    <w:rPr>
      <w:rFonts w:ascii="宋体" w:hAnsi="Courier New" w:eastAsia="宋体" w:cs="Times New Roman"/>
      <w:szCs w:val="24"/>
    </w:rPr>
  </w:style>
  <w:style w:type="character" w:customStyle="1" w:styleId="8">
    <w:name w:val="页脚 Char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autoRedefine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10">
    <w:name w:val="p16"/>
    <w:basedOn w:val="1"/>
    <w:autoRedefine/>
    <w:qFormat/>
    <w:uiPriority w:val="0"/>
    <w:pPr>
      <w:widowControl/>
    </w:pPr>
    <w:rPr>
      <w:rFonts w:ascii="宋体" w:hAnsi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769</Words>
  <Characters>962</Characters>
  <Lines>3</Lines>
  <Paragraphs>1</Paragraphs>
  <TotalTime>38</TotalTime>
  <ScaleCrop>false</ScaleCrop>
  <LinksUpToDate>false</LinksUpToDate>
  <CharactersWithSpaces>964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2023-09-07T08:59:00Z</dcterms:created>
  <dc:creator>微软用户</dc:creator>
  <cp:lastModifiedBy>午夜的挪威</cp:lastModifiedBy>
  <dcterms:modified xsi:type="dcterms:W3CDTF">2025-02-18T02:45:43Z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75E7FADCE14F4588B873D77800A3BAFF_12</vt:lpwstr>
  </property>
</Properties>
</file>