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8"/>
          <w:szCs w:val="48"/>
          <w:lang w:val="en-US" w:eastAsia="zh-CN"/>
        </w:rPr>
      </w:pPr>
      <w:bookmarkStart w:id="0" w:name="_GoBack"/>
      <w:bookmarkEnd w:id="0"/>
    </w:p>
    <w:p>
      <w:pPr>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2023年度益阳市智慧城市和大数据中心</w:t>
      </w:r>
    </w:p>
    <w:p>
      <w:pPr>
        <w:jc w:val="center"/>
        <w:rPr>
          <w:rFonts w:hint="default"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部门（单位）整体支出绩效自评报告</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sz w:val="44"/>
          <w:szCs w:val="44"/>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部门（单位）名称：益阳市智慧城市和大数据中心</w:t>
      </w:r>
    </w:p>
    <w:p>
      <w:pPr>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2023年5月28日</w:t>
      </w:r>
    </w:p>
    <w:p>
      <w:pPr>
        <w:jc w:val="center"/>
        <w:rPr>
          <w:rFonts w:hint="eastAsia" w:ascii="方正小标宋简体" w:hAnsi="方正小标宋简体" w:eastAsia="方正小标宋简体" w:cs="方正小标宋简体"/>
          <w:sz w:val="44"/>
          <w:szCs w:val="44"/>
          <w:lang w:val="en-US" w:eastAsia="zh-CN"/>
        </w:rPr>
        <w:sectPr>
          <w:pgSz w:w="11906" w:h="16838"/>
          <w:pgMar w:top="1440" w:right="1800" w:bottom="1440" w:left="1800" w:header="851" w:footer="992" w:gutter="0"/>
          <w:pgNumType w:fmt="decimal"/>
          <w:cols w:space="425"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2023年度益阳市智慧城市和大数据中心</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部门（单位）整体支出绩效自评报告</w:t>
      </w:r>
    </w:p>
    <w:p>
      <w:pPr>
        <w:rPr>
          <w:rFonts w:ascii="宋体" w:hAnsi="宋体" w:eastAsia="宋体" w:cs="宋体"/>
          <w:color w:val="000000"/>
          <w:sz w:val="32"/>
          <w:szCs w:val="32"/>
        </w:rPr>
      </w:pPr>
      <w:r>
        <w:rPr>
          <w:rFonts w:hint="eastAsia" w:ascii="黑体" w:hAnsi="黑体" w:eastAsia="黑体" w:cs="黑体"/>
          <w:sz w:val="32"/>
          <w:szCs w:val="32"/>
          <w:lang w:val="en-US" w:eastAsia="zh-CN"/>
        </w:rPr>
        <w:t>一、部门（单位）基本情况</w:t>
      </w:r>
    </w:p>
    <w:p>
      <w:pPr>
        <w:keepNext w:val="0"/>
        <w:keepLines w:val="0"/>
        <w:pageBreakBefore w:val="0"/>
        <w:widowControl w:val="0"/>
        <w:kinsoku/>
        <w:wordWrap/>
        <w:overflowPunct/>
        <w:topLinePunct w:val="0"/>
        <w:autoSpaceDE/>
        <w:autoSpaceDN/>
        <w:bidi w:val="0"/>
        <w:adjustRightInd/>
        <w:snapToGrid/>
        <w:spacing w:before="0" w:beforeAutospacing="0" w:afterAutospacing="0" w:line="600" w:lineRule="exact"/>
        <w:ind w:left="0" w:firstLine="640" w:firstLineChars="200"/>
        <w:textAlignment w:val="auto"/>
      </w:pPr>
      <w:r>
        <w:rPr>
          <w:rFonts w:ascii="Times New Roman" w:hAnsi="Times New Roman" w:eastAsia="仿宋_GB2312" w:cs="宋体"/>
          <w:color w:val="000000"/>
          <w:sz w:val="32"/>
          <w:szCs w:val="32"/>
        </w:rPr>
        <w:t>益阳市智慧城市和大数据中心内设机构包括：内设股室6个（均为副科级），分别是综合科、开发应用科、项目建设科、大数据运行科、信息安全科、网络科。益阳市智慧城市和大数据中心是副处级公益一类事业单位，本部门共有编制人数16人，实有人数16人。</w:t>
      </w:r>
      <w:r>
        <w:rPr>
          <w:rFonts w:hint="eastAsia" w:ascii="Times New Roman" w:hAnsi="Times New Roman" w:eastAsia="仿宋_GB2312" w:cs="仿宋_GB2312"/>
          <w:color w:val="000000"/>
          <w:sz w:val="32"/>
          <w:szCs w:val="32"/>
          <w:lang w:eastAsia="zh-CN"/>
        </w:rPr>
        <w:t>主要职责职能有：</w:t>
      </w:r>
      <w:r>
        <w:rPr>
          <w:rFonts w:ascii="Times New Roman" w:hAnsi="Times New Roman" w:eastAsia="仿宋_GB2312" w:cs="宋体"/>
          <w:color w:val="000000"/>
          <w:sz w:val="32"/>
          <w:szCs w:val="32"/>
        </w:rPr>
        <w:t>1、为市政府有关部门实施智慧城市、大数据与电子政务项目立项审查、财政投资评审、竣工验收等提供技术咨询与服务。2、根据授权，负责市政府投资智慧城市、大数据（含基础数据库、主题数据库、共享数据库与数据交换平台等）、电子政务项目的建设、安全运行、日常运维管理。3、负责智慧城市、大数据、电子政务项目硬件对接工作。4、负责“互联网+政务服务”系统平台、政务云平台、容灾系统的建设、安全运行、日常运维管理。5、负责全市电子政务骨干网络的日常运维管理，承担国家电子政务外网市级平台的建设、升级改造、运维管理。6、承担市政府门户网站、益阳政务服务门户网站、市行政审批服务局门户网站、公共应用系统的开发建设、信息更新、运维与网络安全运行保障，协助政务公开主管部门实施政府信息网上公开工作。7、负责市直部门互联网统一出口的运行管理。</w:t>
      </w:r>
      <w:r>
        <w:rPr>
          <w:rFonts w:hint="default" w:ascii="Times New Roman" w:hAnsi="Times New Roman" w:cs="Times New Roman"/>
          <w:color w:val="000000"/>
          <w:sz w:val="32"/>
          <w:szCs w:val="32"/>
        </w:rPr>
        <w:t xml:space="preserve"> </w:t>
      </w:r>
    </w:p>
    <w:p>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一般公共预算支出情况</w:t>
      </w:r>
    </w:p>
    <w:p>
      <w:pPr>
        <w:numPr>
          <w:ilvl w:val="0"/>
          <w:numId w:val="2"/>
        </w:num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基本支出情况</w:t>
      </w:r>
    </w:p>
    <w:p>
      <w:pPr>
        <w:keepNext w:val="0"/>
        <w:keepLines w:val="0"/>
        <w:pageBreakBefore w:val="0"/>
        <w:widowControl w:val="0"/>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default"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rPr>
        <w:t>2023年度基本支出共计298.8万元，主要包含人员经费和公用经费。其中人员经费支出246.26万元，占基本支出的82%，包括工资、奖金、社会保险和福利支出等，充分保障了单位干职工的自身福利。公用经费支出52.54万元，占基本支出的18%，包括办公印刷费、差旅费、物业费、工会经费、和日常办公经费支出等，用以保障单位日常运行顺畅。</w:t>
      </w:r>
    </w:p>
    <w:p>
      <w:pPr>
        <w:numPr>
          <w:ilvl w:val="0"/>
          <w:numId w:val="2"/>
        </w:num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项目支出情况</w:t>
      </w:r>
    </w:p>
    <w:p>
      <w:pPr>
        <w:keepNext w:val="0"/>
        <w:keepLines w:val="0"/>
        <w:pageBreakBefore w:val="0"/>
        <w:widowControl w:val="0"/>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default"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rPr>
        <w:t>2023年度项目支出共计4138.86万元，主要包含项目有智慧大脑+政务服务费1835万元，占项目支出的44%；雪亮工程项目经费383.32万元，占项目支出的9%；提升工程项目经费1322.14万元，占项目经费的32%；电子政务外网运维费179.85万元，占项目经费的4%；智慧益阳管理中心电费303万元，占项目经费的7%；财税综合信息平台项目经费94.75万元，占项目经费的2%，还有其他项目支出等。</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政府性基金预算支出情况</w:t>
      </w:r>
    </w:p>
    <w:p>
      <w:pPr>
        <w:keepNext w:val="0"/>
        <w:keepLines w:val="0"/>
        <w:pageBreakBefore w:val="0"/>
        <w:widowControl w:val="0"/>
        <w:kinsoku/>
        <w:wordWrap/>
        <w:overflowPunct/>
        <w:topLinePunct w:val="0"/>
        <w:autoSpaceDE/>
        <w:autoSpaceDN/>
        <w:bidi w:val="0"/>
        <w:adjustRightInd/>
        <w:snapToGrid/>
        <w:spacing w:before="0" w:beforeAutospacing="0" w:afterAutospacing="0" w:line="600" w:lineRule="atLeast"/>
        <w:ind w:left="0" w:firstLine="640" w:firstLineChars="200"/>
        <w:textAlignment w:val="auto"/>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国有资本经营预算支出情况</w:t>
      </w:r>
    </w:p>
    <w:p>
      <w:pPr>
        <w:keepNext w:val="0"/>
        <w:keepLines w:val="0"/>
        <w:pageBreakBefore w:val="0"/>
        <w:widowControl w:val="0"/>
        <w:kinsoku/>
        <w:wordWrap/>
        <w:overflowPunct/>
        <w:topLinePunct w:val="0"/>
        <w:autoSpaceDE/>
        <w:autoSpaceDN/>
        <w:bidi w:val="0"/>
        <w:adjustRightInd/>
        <w:snapToGrid/>
        <w:spacing w:before="0" w:beforeAutospacing="0" w:afterAutospacing="0" w:line="600" w:lineRule="atLeast"/>
        <w:ind w:left="0" w:firstLine="640" w:firstLineChars="200"/>
        <w:textAlignment w:val="auto"/>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社会保险基金预算支出情况</w:t>
      </w:r>
    </w:p>
    <w:p>
      <w:pPr>
        <w:keepNext w:val="0"/>
        <w:keepLines w:val="0"/>
        <w:pageBreakBefore w:val="0"/>
        <w:widowControl w:val="0"/>
        <w:kinsoku/>
        <w:wordWrap/>
        <w:overflowPunct/>
        <w:topLinePunct w:val="0"/>
        <w:autoSpaceDE/>
        <w:autoSpaceDN/>
        <w:bidi w:val="0"/>
        <w:adjustRightInd/>
        <w:snapToGrid/>
        <w:spacing w:before="0" w:beforeAutospacing="0" w:afterAutospacing="0" w:line="600" w:lineRule="atLeast"/>
        <w:ind w:left="0" w:firstLine="640" w:firstLineChars="200"/>
        <w:textAlignment w:val="auto"/>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rPr>
        <w:t>无。</w:t>
      </w:r>
    </w:p>
    <w:p>
      <w:pPr>
        <w:keepNext w:val="0"/>
        <w:keepLines w:val="0"/>
        <w:pageBreakBefore w:val="0"/>
        <w:widowControl w:val="0"/>
        <w:numPr>
          <w:numId w:val="0"/>
        </w:numPr>
        <w:kinsoku/>
        <w:wordWrap/>
        <w:overflowPunct/>
        <w:topLinePunct w:val="0"/>
        <w:autoSpaceDE/>
        <w:autoSpaceDN/>
        <w:bidi w:val="0"/>
        <w:adjustRightInd/>
        <w:snapToGrid/>
        <w:spacing w:line="600" w:lineRule="atLeast"/>
        <w:ind w:leftChars="0"/>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部门整体支出绩效情况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0"/>
        <w:rPr>
          <w:rFonts w:hint="default" w:ascii="Times New Roman" w:hAnsi="Times New Roman" w:eastAsia="仿宋_GB2312" w:cs="Times New Roman"/>
          <w:b/>
          <w:bCs/>
          <w:sz w:val="32"/>
          <w:szCs w:val="32"/>
          <w:lang w:val="en-US" w:eastAsia="zh-CN"/>
        </w:rPr>
      </w:pPr>
      <w:r>
        <w:rPr>
          <w:rFonts w:hint="default" w:ascii="Times New Roman" w:hAnsi="Times New Roman" w:eastAsia="方正仿宋_GBK" w:cs="Times New Roman"/>
          <w:b w:val="0"/>
          <w:bCs w:val="0"/>
          <w:i w:val="0"/>
          <w:iCs w:val="0"/>
          <w:color w:val="000000"/>
          <w:kern w:val="0"/>
          <w:sz w:val="32"/>
          <w:szCs w:val="32"/>
          <w:highlight w:val="none"/>
          <w:vertAlign w:val="baseline"/>
          <w:lang w:val="en-US" w:eastAsia="zh-CN" w:bidi="ar-SA"/>
        </w:rPr>
        <w:t>2023年</w:t>
      </w:r>
      <w:r>
        <w:rPr>
          <w:rFonts w:hint="default" w:ascii="Times New Roman" w:hAnsi="Times New Roman" w:eastAsia="方正仿宋_GBK" w:cs="Times New Roman"/>
          <w:b w:val="0"/>
          <w:bCs w:val="0"/>
          <w:i w:val="0"/>
          <w:iCs w:val="0"/>
          <w:color w:val="000000"/>
          <w:kern w:val="0"/>
          <w:sz w:val="32"/>
          <w:szCs w:val="32"/>
          <w:highlight w:val="none"/>
          <w:vertAlign w:val="baseline"/>
          <w:lang w:val="zh-CN" w:eastAsia="zh-CN" w:bidi="ar-SA"/>
        </w:rPr>
        <w:t>，益阳市智慧城市和大数据中心</w:t>
      </w:r>
      <w:r>
        <w:rPr>
          <w:rFonts w:hint="eastAsia" w:ascii="Times New Roman" w:hAnsi="Times New Roman" w:eastAsia="方正仿宋_GBK" w:cs="Times New Roman"/>
          <w:b w:val="0"/>
          <w:bCs w:val="0"/>
          <w:i w:val="0"/>
          <w:iCs w:val="0"/>
          <w:color w:val="000000"/>
          <w:kern w:val="0"/>
          <w:sz w:val="32"/>
          <w:szCs w:val="32"/>
          <w:highlight w:val="none"/>
          <w:vertAlign w:val="baseline"/>
          <w:lang w:val="zh-CN" w:eastAsia="zh-CN" w:bidi="ar-SA"/>
        </w:rPr>
        <w:t>以习近平新时代中国特色社会主义思想为指导，深入贯彻落实党的二十大精神，</w:t>
      </w:r>
      <w:r>
        <w:rPr>
          <w:rFonts w:hint="default" w:ascii="Times New Roman" w:hAnsi="Times New Roman" w:eastAsia="方正仿宋_GBK" w:cs="Times New Roman"/>
          <w:b w:val="0"/>
          <w:bCs w:val="0"/>
          <w:i w:val="0"/>
          <w:iCs w:val="0"/>
          <w:color w:val="000000"/>
          <w:kern w:val="0"/>
          <w:sz w:val="32"/>
          <w:szCs w:val="32"/>
          <w:highlight w:val="none"/>
          <w:vertAlign w:val="baseline"/>
          <w:lang w:val="zh-CN" w:eastAsia="zh-CN" w:bidi="ar-SA"/>
        </w:rPr>
        <w:t>全面落实</w:t>
      </w:r>
      <w:r>
        <w:rPr>
          <w:rFonts w:hint="eastAsia" w:ascii="Times New Roman" w:hAnsi="Times New Roman" w:eastAsia="方正仿宋_GBK" w:cs="Times New Roman"/>
          <w:b w:val="0"/>
          <w:bCs w:val="0"/>
          <w:i w:val="0"/>
          <w:iCs w:val="0"/>
          <w:color w:val="000000"/>
          <w:kern w:val="0"/>
          <w:sz w:val="32"/>
          <w:szCs w:val="32"/>
          <w:highlight w:val="none"/>
          <w:vertAlign w:val="baseline"/>
          <w:lang w:val="zh-CN" w:eastAsia="zh-CN" w:bidi="ar-SA"/>
        </w:rPr>
        <w:t>省委十二届四次全会精神、市委七届四次全会精神，</w:t>
      </w:r>
      <w:r>
        <w:rPr>
          <w:rFonts w:hint="eastAsia" w:ascii="Times New Roman" w:hAnsi="Times New Roman" w:eastAsia="方正仿宋_GBK" w:cs="Times New Roman"/>
          <w:b w:val="0"/>
          <w:bCs w:val="0"/>
          <w:i w:val="0"/>
          <w:iCs w:val="0"/>
          <w:color w:val="000000"/>
          <w:kern w:val="0"/>
          <w:sz w:val="32"/>
          <w:szCs w:val="32"/>
          <w:highlight w:val="none"/>
          <w:vertAlign w:val="baseline"/>
          <w:lang w:val="en-US" w:eastAsia="zh-CN" w:bidi="ar-SA"/>
        </w:rPr>
        <w:t>在局党组的正确领导下，</w:t>
      </w:r>
      <w:r>
        <w:rPr>
          <w:rFonts w:hint="default" w:ascii="Times New Roman" w:hAnsi="Times New Roman" w:eastAsia="方正仿宋_GBK" w:cs="Times New Roman"/>
          <w:b w:val="0"/>
          <w:bCs w:val="0"/>
          <w:i w:val="0"/>
          <w:iCs w:val="0"/>
          <w:color w:val="000000"/>
          <w:kern w:val="0"/>
          <w:sz w:val="32"/>
          <w:szCs w:val="32"/>
          <w:highlight w:val="none"/>
          <w:vertAlign w:val="baseline"/>
          <w:lang w:val="zh-CN" w:eastAsia="zh-CN" w:bidi="ar-SA"/>
        </w:rPr>
        <w:t>以</w:t>
      </w:r>
      <w:r>
        <w:rPr>
          <w:rFonts w:hint="default" w:ascii="Times New Roman" w:hAnsi="Times New Roman" w:eastAsia="方正仿宋_GBK" w:cs="Times New Roman"/>
          <w:b w:val="0"/>
          <w:bCs w:val="0"/>
          <w:i w:val="0"/>
          <w:iCs w:val="0"/>
          <w:color w:val="000000"/>
          <w:kern w:val="0"/>
          <w:sz w:val="32"/>
          <w:szCs w:val="32"/>
          <w:highlight w:val="none"/>
          <w:vertAlign w:val="baseline"/>
          <w:lang w:val="en-US" w:eastAsia="zh-CN" w:bidi="ar-SA"/>
        </w:rPr>
        <w:t>城市运行“一网统管”和政务服务“一网通办”为抓手，</w:t>
      </w:r>
      <w:r>
        <w:rPr>
          <w:rFonts w:hint="default" w:ascii="Times New Roman" w:hAnsi="Times New Roman" w:eastAsia="方正仿宋_GBK" w:cs="Times New Roman"/>
          <w:sz w:val="32"/>
          <w:szCs w:val="32"/>
        </w:rPr>
        <w:t>大力推进新型智慧城市建设和大数据应用工作，</w:t>
      </w:r>
      <w:r>
        <w:rPr>
          <w:rFonts w:hint="default" w:ascii="Times New Roman" w:hAnsi="Times New Roman" w:eastAsia="方正仿宋_GBK" w:cs="Times New Roman"/>
          <w:sz w:val="32"/>
          <w:szCs w:val="32"/>
          <w:lang w:eastAsia="zh-CN"/>
        </w:rPr>
        <w:t>在高质量发展的新征程上展现了新气象、新作为</w:t>
      </w:r>
      <w:r>
        <w:rPr>
          <w:rFonts w:hint="default" w:ascii="Times New Roman" w:hAnsi="Times New Roman" w:eastAsia="方正仿宋_GBK" w:cs="Times New Roman"/>
          <w:b w:val="0"/>
          <w:bCs w:val="0"/>
          <w:i w:val="0"/>
          <w:iCs w:val="0"/>
          <w:color w:val="000000"/>
          <w:kern w:val="0"/>
          <w:sz w:val="32"/>
          <w:szCs w:val="32"/>
          <w:highlight w:val="none"/>
          <w:vertAlign w:val="baseline"/>
          <w:lang w:val="en-US" w:eastAsia="zh-CN" w:bidi="ar-SA"/>
        </w:rPr>
        <w:t>。</w:t>
      </w:r>
      <w:r>
        <w:rPr>
          <w:rFonts w:hint="eastAsia" w:ascii="Times New Roman" w:hAnsi="Times New Roman" w:eastAsia="方正仿宋_GBK" w:cs="Times New Roman"/>
          <w:b w:val="0"/>
          <w:bCs w:val="0"/>
          <w:i w:val="0"/>
          <w:iCs w:val="0"/>
          <w:color w:val="000000"/>
          <w:kern w:val="0"/>
          <w:sz w:val="32"/>
          <w:szCs w:val="32"/>
          <w:highlight w:val="none"/>
          <w:vertAlign w:val="baseline"/>
          <w:lang w:val="en-US" w:eastAsia="zh-CN" w:bidi="ar-SA"/>
        </w:rPr>
        <w:t>益阳市</w:t>
      </w:r>
      <w:r>
        <w:rPr>
          <w:rFonts w:hint="default" w:ascii="Times New Roman" w:hAnsi="Times New Roman" w:eastAsia="方正仿宋_GBK" w:cs="Times New Roman"/>
          <w:b w:val="0"/>
          <w:bCs w:val="0"/>
          <w:i w:val="0"/>
          <w:iCs w:val="0"/>
          <w:color w:val="000000"/>
          <w:kern w:val="0"/>
          <w:sz w:val="32"/>
          <w:szCs w:val="32"/>
          <w:highlight w:val="none"/>
          <w:vertAlign w:val="baseline"/>
          <w:lang w:val="en-US" w:eastAsia="zh-CN" w:bidi="ar-SA"/>
        </w:rPr>
        <w:t>城市运行指挥中心</w:t>
      </w:r>
      <w:r>
        <w:rPr>
          <w:rFonts w:hint="eastAsia" w:ascii="Times New Roman" w:hAnsi="Times New Roman" w:eastAsia="方正仿宋_GBK" w:cs="Times New Roman"/>
          <w:b w:val="0"/>
          <w:bCs w:val="0"/>
          <w:i w:val="0"/>
          <w:iCs w:val="0"/>
          <w:color w:val="000000"/>
          <w:kern w:val="0"/>
          <w:sz w:val="32"/>
          <w:szCs w:val="32"/>
          <w:highlight w:val="none"/>
          <w:vertAlign w:val="baseline"/>
          <w:lang w:val="en-US" w:eastAsia="zh-CN" w:bidi="ar-SA"/>
        </w:rPr>
        <w:t>系统获选中国信息协会举办的《2022-2023数字城市创新成果与实践案例》</w:t>
      </w:r>
      <w:r>
        <w:rPr>
          <w:rFonts w:hint="default" w:ascii="Times New Roman" w:hAnsi="Times New Roman" w:eastAsia="方正仿宋_GBK" w:cs="Times New Roman"/>
          <w:b w:val="0"/>
          <w:bCs w:val="0"/>
          <w:i w:val="0"/>
          <w:iCs w:val="0"/>
          <w:color w:val="000000"/>
          <w:kern w:val="0"/>
          <w:sz w:val="32"/>
          <w:szCs w:val="32"/>
          <w:highlight w:val="none"/>
          <w:vertAlign w:val="baseline"/>
          <w:lang w:val="en-US" w:eastAsia="zh-CN" w:bidi="ar-SA"/>
        </w:rPr>
        <w:t>。</w:t>
      </w:r>
      <w:r>
        <w:rPr>
          <w:rFonts w:hint="eastAsia" w:ascii="Times New Roman" w:hAnsi="Times New Roman" w:eastAsia="方正仿宋_GBK" w:cs="Times New Roman"/>
          <w:b w:val="0"/>
          <w:bCs w:val="0"/>
          <w:i w:val="0"/>
          <w:iCs w:val="0"/>
          <w:color w:val="000000"/>
          <w:kern w:val="0"/>
          <w:sz w:val="32"/>
          <w:szCs w:val="32"/>
          <w:highlight w:val="none"/>
          <w:vertAlign w:val="baseline"/>
          <w:lang w:val="en-US" w:eastAsia="zh-CN" w:bidi="ar-SA"/>
        </w:rPr>
        <w:t>《益阳市政务云网IPV6+技术应用创新方案》获省委网信办举办的湖南省互联网协议第六版本（IPv6）技术应用创新大赛一等奖。《益阳市大数据中心绿色机房改造项目》成功申报2024年湖南省公共机构节能补助资金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0"/>
        <w:rPr>
          <w:rFonts w:hint="default" w:ascii="Times New Roman" w:hAnsi="Times New Roman" w:eastAsia="黑体" w:cs="Times New Roman"/>
          <w:b/>
          <w:bCs/>
          <w:sz w:val="32"/>
          <w:szCs w:val="32"/>
          <w:lang w:val="en-US" w:eastAsia="zh-CN"/>
        </w:rPr>
      </w:pPr>
      <w:r>
        <w:rPr>
          <w:rFonts w:hint="default" w:ascii="Times New Roman" w:hAnsi="Times New Roman" w:eastAsia="仿宋_GB2312" w:cs="Times New Roman"/>
          <w:b/>
          <w:bCs/>
          <w:sz w:val="32"/>
          <w:szCs w:val="32"/>
          <w:lang w:val="en-US" w:eastAsia="zh-CN"/>
        </w:rPr>
        <w:t>1、抓好意识形态工作。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仿宋_GB2312" w:cs="Times New Roman"/>
          <w:b w:val="0"/>
          <w:bCs w:val="0"/>
          <w:i w:val="0"/>
          <w:iCs w:val="0"/>
          <w:color w:val="000000"/>
          <w:kern w:val="0"/>
          <w:sz w:val="32"/>
          <w:szCs w:val="32"/>
          <w:highlight w:val="none"/>
          <w:vertAlign w:val="baseline"/>
          <w:lang w:val="en-US" w:eastAsia="zh-CN" w:bidi="ar-SA"/>
        </w:rPr>
      </w:pPr>
      <w:r>
        <w:rPr>
          <w:rFonts w:hint="default" w:ascii="Times New Roman" w:hAnsi="Times New Roman" w:eastAsia="仿宋_GB2312" w:cs="Times New Roman"/>
          <w:b w:val="0"/>
          <w:bCs w:val="0"/>
          <w:i w:val="0"/>
          <w:iCs w:val="0"/>
          <w:color w:val="000000"/>
          <w:kern w:val="0"/>
          <w:sz w:val="32"/>
          <w:szCs w:val="32"/>
          <w:highlight w:val="none"/>
          <w:vertAlign w:val="baseline"/>
          <w:lang w:val="en-US" w:eastAsia="zh-CN" w:bidi="ar-SA"/>
        </w:rPr>
        <w:t>2023年我中心</w:t>
      </w:r>
      <w:r>
        <w:rPr>
          <w:rFonts w:hint="default" w:ascii="Times New Roman" w:hAnsi="Times New Roman" w:eastAsia="仿宋_GB2312" w:cs="Times New Roman"/>
          <w:b w:val="0"/>
          <w:bCs w:val="0"/>
          <w:i w:val="0"/>
          <w:iCs w:val="0"/>
          <w:color w:val="000000"/>
          <w:kern w:val="0"/>
          <w:sz w:val="32"/>
          <w:szCs w:val="32"/>
          <w:highlight w:val="none"/>
          <w:vertAlign w:val="baseline"/>
          <w:lang w:val="zh-CN" w:eastAsia="zh-CN" w:bidi="ar-SA"/>
        </w:rPr>
        <w:t>以意识形态为统领，抓好党风廉政建设，推动全面从严治党向深向实发展。一是</w:t>
      </w:r>
      <w:r>
        <w:rPr>
          <w:rFonts w:hint="default" w:ascii="Times New Roman" w:hAnsi="Times New Roman" w:eastAsia="仿宋_GB2312" w:cs="Times New Roman"/>
          <w:b w:val="0"/>
          <w:bCs w:val="0"/>
          <w:i w:val="0"/>
          <w:iCs w:val="0"/>
          <w:color w:val="000000"/>
          <w:kern w:val="0"/>
          <w:sz w:val="32"/>
          <w:szCs w:val="32"/>
          <w:highlight w:val="none"/>
          <w:vertAlign w:val="baseline"/>
          <w:lang w:val="en-US" w:eastAsia="zh-CN" w:bidi="ar-SA"/>
        </w:rPr>
        <w:t>强化政治建设，推动责任落实。认真落实班子成员“一岗双责”，分析研判意识形态风险隐患，将党风廉政建设工作和中心工作同部署、同落实，深刻领悟“两个确立”的决定性意义，坚决做到“两个维护”。二是强化思想建设，加强廉政教育。依托主任办公会、周例会、专题学习会深入学习党的二十大精神，开展学习贯彻习近平新时代中国特色社会主义思想主题教育，召开党风廉政专题会9次，集中观看反腐倡廉警示教育片12部，开展典型案例通报学习14次、廉政谈话14人次、提醒谈话6人次，引导党员干部自觉绷紧纪律之弦，严守纪律红线。三是强化作风建设，落实问题整改。坚决贯彻“三重一大”集体决策制度，严格遵守中央八项规定，规范党员干部权力运行，管好“三公”经费，整改公务用车、财务报销等方面的问题14个，修订完善财务管理和内控制度，开展党员干部自查自纠，签订《党员问题清单整改承诺书》，营造风清气正的政治生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2、推动提升工程建设</w:t>
      </w:r>
    </w:p>
    <w:p>
      <w:pPr>
        <w:pStyle w:val="5"/>
        <w:keepNext w:val="0"/>
        <w:keepLines w:val="0"/>
        <w:pageBreakBefore w:val="0"/>
        <w:widowControl w:val="0"/>
        <w:kinsoku/>
        <w:wordWrap/>
        <w:topLinePunct w:val="0"/>
        <w:autoSpaceDE/>
        <w:autoSpaceDN/>
        <w:bidi w:val="0"/>
        <w:adjustRightInd/>
        <w:snapToGrid/>
        <w:spacing w:line="560" w:lineRule="exact"/>
        <w:ind w:left="0" w:leftChars="0" w:firstLine="640" w:firstLineChars="0"/>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i w:val="0"/>
          <w:iCs w:val="0"/>
          <w:color w:val="000000"/>
          <w:kern w:val="0"/>
          <w:sz w:val="32"/>
          <w:szCs w:val="32"/>
          <w:highlight w:val="none"/>
          <w:vertAlign w:val="baseline"/>
          <w:lang w:val="en-US" w:eastAsia="zh-CN" w:bidi="ar-SA"/>
        </w:rPr>
        <w:t>市政府2022年第2次常务会议同意启动新型智慧城市提升工程，目前项目已通过竣工验收。一是建设城市运行指挥中心。</w:t>
      </w:r>
      <w:r>
        <w:rPr>
          <w:rFonts w:hint="default" w:ascii="Times New Roman" w:hAnsi="Times New Roman" w:eastAsia="仿宋_GB2312" w:cs="Times New Roman"/>
          <w:b w:val="0"/>
          <w:bCs w:val="0"/>
          <w:color w:val="000000"/>
          <w:kern w:val="2"/>
          <w:sz w:val="32"/>
          <w:szCs w:val="32"/>
          <w:lang w:val="en-US" w:eastAsia="zh-CN" w:bidi="ar-SA"/>
        </w:rPr>
        <w:t>城市运行指挥中心建成交付使用后，除了承担市委市政府电视电话会议，市委政法委、市应急局、市大数据中心、市长热线办等单位经常使用该场地，接待了省委、省政府、市人大、市政协等单位的考察调研。2022年12月20日，“湘易办”超级服务端开通仪式益阳分会场设指挥中心，常务副市长刘勇会与省长毛伟明视频连线汇报益阳旗舰店工作。2023年11月28日，省委书记沈晓明在益阳调研经济社会发展情况并主持召开了座谈会，座谈会主会场设指挥中心，省委省政府会场、市政府视频会议室作为分会场接入指挥中心。</w:t>
      </w:r>
      <w:r>
        <w:rPr>
          <w:rFonts w:hint="default" w:ascii="Times New Roman" w:hAnsi="Times New Roman" w:eastAsia="仿宋_GB2312" w:cs="Times New Roman"/>
          <w:b w:val="0"/>
          <w:bCs w:val="0"/>
          <w:i w:val="0"/>
          <w:iCs w:val="0"/>
          <w:color w:val="000000"/>
          <w:kern w:val="0"/>
          <w:sz w:val="32"/>
          <w:szCs w:val="32"/>
          <w:highlight w:val="none"/>
          <w:vertAlign w:val="baseline"/>
          <w:lang w:val="en-US" w:eastAsia="zh-CN" w:bidi="ar-SA"/>
        </w:rPr>
        <w:t>二是搭建“一网统管”平台基础框架。接入市委组织部“益村”平台、市委政法委“城乡末端感知系统”、市城管执法局“智慧城管”、市自然资源和规划局“时空大数据平台”等，实现对事件处理流转的全程监控和采集分析。三是建设融合通信平台。对接市委市政府电视电话会议系统、市政府总值班室、市水利局、市应急局、市市场监管局和市综治中心的视频会议系统，实现跨部门、跨区域、跨层级的快速响应、联勤联动和统一调度指挥。四是部署数据治理平台。围绕以“城市运行、城市管理、社会治理”三大专题建设提供从数据归集、数据治理到数据应用的全生命周期管理，为各部门业务应用提供数据赋能。目前已汇集2100万余条数据，涉及24家单位235项资源信息，共享数据120万余条。五是夯实数字底座。扩建大数据中心机房，改造配套电力消防设施，扩容升级政务云平台。市大数据中心机房总面积1700平方米，机架数量258个，信息化设备1282台，政务云平台存储容量1090T</w:t>
      </w:r>
      <w:r>
        <w:rPr>
          <w:rFonts w:hint="default" w:ascii="Times New Roman" w:hAnsi="Times New Roman" w:eastAsia="方正仿宋_GBK" w:cs="Times New Roman"/>
          <w:b w:val="0"/>
          <w:bCs w:val="0"/>
          <w:i w:val="0"/>
          <w:iCs w:val="0"/>
          <w:color w:val="000000"/>
          <w:kern w:val="0"/>
          <w:sz w:val="32"/>
          <w:szCs w:val="32"/>
          <w:highlight w:val="none"/>
          <w:vertAlign w:val="baseline"/>
          <w:lang w:val="en-US" w:eastAsia="zh-CN" w:bidi="ar-SA"/>
        </w:rPr>
        <w:t>，内存47146G，CPU12418核，实现21个单位迁移上云。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0"/>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zh-CN" w:eastAsia="zh-CN"/>
        </w:rPr>
        <w:t>强化数据治理效能</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b w:val="0"/>
          <w:bCs w:val="0"/>
          <w:i w:val="0"/>
          <w:iCs w:val="0"/>
          <w:color w:val="000000"/>
          <w:kern w:val="0"/>
          <w:sz w:val="32"/>
          <w:szCs w:val="32"/>
          <w:highlight w:val="none"/>
          <w:vertAlign w:val="baseline"/>
          <w:lang w:val="en-US" w:eastAsia="zh-CN" w:bidi="ar-SA"/>
        </w:rPr>
      </w:pPr>
      <w:r>
        <w:rPr>
          <w:rFonts w:hint="default" w:ascii="Times New Roman" w:hAnsi="Times New Roman" w:eastAsia="仿宋_GB2312" w:cs="Times New Roman"/>
          <w:b w:val="0"/>
          <w:bCs w:val="0"/>
          <w:i w:val="0"/>
          <w:iCs w:val="0"/>
          <w:color w:val="000000"/>
          <w:kern w:val="0"/>
          <w:sz w:val="32"/>
          <w:szCs w:val="32"/>
          <w:highlight w:val="none"/>
          <w:vertAlign w:val="baseline"/>
          <w:lang w:val="en-US" w:eastAsia="zh-CN" w:bidi="ar-SA"/>
        </w:rPr>
        <w:t>“一网统管”平台汇聚整合部门业务数据，开展预测预警、数据分析，社会治理效能不断提升。一是视频联网全域覆盖。公共安全视频监控建设联网应用项目新建视频监控点</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7162</w:t>
      </w:r>
      <w:r>
        <w:rPr>
          <w:rFonts w:hint="default" w:ascii="Times New Roman" w:hAnsi="Times New Roman" w:eastAsia="仿宋_GB2312" w:cs="Times New Roman"/>
          <w:b w:val="0"/>
          <w:bCs w:val="0"/>
          <w:i w:val="0"/>
          <w:iCs w:val="0"/>
          <w:color w:val="000000"/>
          <w:kern w:val="0"/>
          <w:sz w:val="32"/>
          <w:szCs w:val="32"/>
          <w:highlight w:val="none"/>
          <w:vertAlign w:val="baseline"/>
          <w:lang w:val="en-US" w:eastAsia="zh-CN" w:bidi="ar-SA"/>
        </w:rPr>
        <w:t>个，归集社会面监控点</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67059</w:t>
      </w:r>
      <w:r>
        <w:rPr>
          <w:rFonts w:hint="default" w:ascii="Times New Roman" w:hAnsi="Times New Roman" w:eastAsia="仿宋_GB2312" w:cs="Times New Roman"/>
          <w:b w:val="0"/>
          <w:bCs w:val="0"/>
          <w:i w:val="0"/>
          <w:iCs w:val="0"/>
          <w:color w:val="000000"/>
          <w:kern w:val="0"/>
          <w:sz w:val="32"/>
          <w:szCs w:val="32"/>
          <w:highlight w:val="none"/>
          <w:vertAlign w:val="baseline"/>
          <w:lang w:val="en-US" w:eastAsia="zh-CN" w:bidi="ar-SA"/>
        </w:rPr>
        <w:t>个，视频存储资源28270T，建设视频共享平台实现“全域覆盖、全网共享、全时可用、全程可控”。二是网格化管理群防群治。城乡末端感知系统依托</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5487个网格建立6086</w:t>
      </w:r>
      <w:r>
        <w:rPr>
          <w:rFonts w:hint="default" w:ascii="Times New Roman" w:hAnsi="Times New Roman" w:eastAsia="仿宋_GB2312" w:cs="Times New Roman"/>
          <w:b w:val="0"/>
          <w:bCs w:val="0"/>
          <w:i w:val="0"/>
          <w:iCs w:val="0"/>
          <w:color w:val="000000"/>
          <w:kern w:val="0"/>
          <w:sz w:val="32"/>
          <w:szCs w:val="32"/>
          <w:highlight w:val="none"/>
          <w:vertAlign w:val="baseline"/>
          <w:lang w:val="en-US" w:eastAsia="zh-CN" w:bidi="ar-SA"/>
        </w:rPr>
        <w:t>个群众自治微信群，自2021年以来，通过“网小格”微信小程序接收办理群众诉求55.8万余件，纪委督办7322件，群众满意率达到99.8%。三是社会治安风险预测预警。社会治安风险预测预警防控智能化平台汇聚46个数源部门，共145类约49万条风险数据，上线14个风险模型，预测风险人员78308人，高风险数920条。四是财税数据高效分析。财税综合信息平台采集汇聚53家单位162项数据，共计3000万余条，从特色产业、行业税源、产业园区等维度进行财源建设分析，建立分管部门企业库，将18类行业的企业名单划分至12类主管部门，实现精准招商的效益分析和财政资金的精准扶持，提高全市财税管理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4、拓展服务应用场景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仿宋_GBK" w:cs="Times New Roman"/>
          <w:b w:val="0"/>
          <w:bCs w:val="0"/>
          <w:i w:val="0"/>
          <w:iCs w:val="0"/>
          <w:color w:val="000000"/>
          <w:kern w:val="0"/>
          <w:sz w:val="32"/>
          <w:szCs w:val="32"/>
          <w:highlight w:val="none"/>
          <w:vertAlign w:val="baseline"/>
          <w:lang w:val="en-US" w:eastAsia="zh-CN" w:bidi="ar-SA"/>
        </w:rPr>
      </w:pPr>
      <w:r>
        <w:rPr>
          <w:rFonts w:hint="default" w:ascii="Times New Roman" w:hAnsi="Times New Roman" w:eastAsia="仿宋_GB2312" w:cs="Times New Roman"/>
          <w:b w:val="0"/>
          <w:bCs w:val="0"/>
          <w:i w:val="0"/>
          <w:iCs w:val="0"/>
          <w:color w:val="000000"/>
          <w:kern w:val="0"/>
          <w:sz w:val="32"/>
          <w:szCs w:val="32"/>
          <w:highlight w:val="none"/>
          <w:vertAlign w:val="baseline"/>
          <w:lang w:val="en-US" w:eastAsia="zh-CN" w:bidi="ar-SA"/>
        </w:rPr>
        <w:t>为深入贯彻以人民为中心的发展思想，不断拓展应用服务场景，推动政务服务“一网通办”。一是打造“湘易办”益阳旗舰店。梳理全市省建和自建政务信息系统，按照“应上尽上”原则，推进各部门信息系统接入“湘易办”益阳旗舰店，目前已接入30余个市直单位300余项业务应用及2000多个服务场景，重点打造“即申即办”“交通出行”“医疗健康”“企业服务”“人才就业”“便民缴费”等十大应用场景，集成上线本地特色服务，接入“远程导办”“无证明城市”等益阳特色应用，持续丰富便民场景。二是推动“益办事”与“湘易办”对接融合。坚持将揭榜竞优和自主创新相结合，按照“应迁尽迁”原则，将“益办事”APP已接入业务应用迁移至“湘易办”旗舰店，目前已接入50个部门、150项业务应用、涉及2000多个服务场景，为群众提供业务办理、证明开具、便民查询、问题咨询 2万次以上，实现政务服务、生活服务掌上办、指尖办。三是提升“智慧政务”服务效能。智慧政务依托“益办事”APP打造“无证明城市”“远程导办”等系统，实现“不见面”审批办理，上线事项150余个，为群众提供导办服务等1500余次，大幅提升政务服务全程网办、跨域通办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5、提升机房管理水平</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olor w:val="000000"/>
          <w:kern w:val="0"/>
          <w:sz w:val="32"/>
          <w:szCs w:val="32"/>
          <w:highlight w:val="none"/>
          <w:vertAlign w:val="baseline"/>
          <w:lang w:val="en-US" w:eastAsia="zh-CN" w:bidi="ar-SA"/>
        </w:rPr>
      </w:pPr>
      <w:r>
        <w:rPr>
          <w:rFonts w:hint="default" w:ascii="Times New Roman" w:hAnsi="Times New Roman" w:eastAsia="仿宋_GB2312" w:cs="Times New Roman"/>
          <w:b w:val="0"/>
          <w:bCs w:val="0"/>
          <w:i w:val="0"/>
          <w:iCs w:val="0"/>
          <w:color w:val="000000"/>
          <w:kern w:val="0"/>
          <w:sz w:val="32"/>
          <w:szCs w:val="32"/>
          <w:highlight w:val="none"/>
          <w:vertAlign w:val="baseline"/>
          <w:lang w:val="en-US" w:eastAsia="zh-CN" w:bidi="ar-SA"/>
        </w:rPr>
        <w:t>一是健全安全生产体系。制定《数据安全管理办法（试行）》《数据安全应急预案（试行）》《运维人员管理制度》《安全生产和消防安全制度》等4个制度，强化24小时值班值守，全面开展机房风险隐患排查、消防培训演练及专项整治工作。二是搭建安全监测平台。新增云安全管理平台，加强云平台横向防护能力，实施网络安全加固项目，提供机房、政务外网及共享数据的安全感知防护，全年共计处理故障150余起，机房运行安全平稳，通过了省委网信办网络安全演练检测和各类专项安全检查。三是推动机房绿色集约发展。积极响应节能号召，持续提升机房管理水平。开展绿色机房改造项目前期调研、编制《益阳市大数据中心绿色机房改造项目可行性研究报告》，成功申报2024年湖南省公共机构节能补助资金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6、优化政务外网性能</w:t>
      </w:r>
    </w:p>
    <w:p>
      <w:pPr>
        <w:pStyle w:val="5"/>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i w:val="0"/>
          <w:iCs w:val="0"/>
          <w:color w:val="000000"/>
          <w:kern w:val="0"/>
          <w:sz w:val="32"/>
          <w:szCs w:val="32"/>
          <w:highlight w:val="none"/>
          <w:vertAlign w:val="baseline"/>
          <w:lang w:val="en-US" w:eastAsia="zh-CN" w:bidi="ar-SA"/>
        </w:rPr>
        <w:t>一是整合移动网络设备。下电、拆除、迁移移动机房网络设备共106台，整合大数据中心机房、移动机房网络，推动电子政务外网集约化建设，提高资产设备使用率，有效节省租赁费20万元/年。二是开展政务信息系统摸底。</w:t>
      </w:r>
      <w:r>
        <w:rPr>
          <w:rFonts w:hint="default" w:ascii="Times New Roman" w:hAnsi="Times New Roman" w:eastAsia="仿宋_GB2312" w:cs="Times New Roman"/>
          <w:b w:val="0"/>
          <w:bCs w:val="0"/>
          <w:sz w:val="32"/>
          <w:szCs w:val="32"/>
          <w:lang w:eastAsia="zh-CN"/>
        </w:rPr>
        <w:t>收集汇总</w:t>
      </w:r>
      <w:r>
        <w:rPr>
          <w:rFonts w:hint="default" w:ascii="Times New Roman" w:hAnsi="Times New Roman" w:eastAsia="仿宋_GB2312" w:cs="Times New Roman"/>
          <w:b w:val="0"/>
          <w:bCs w:val="0"/>
          <w:sz w:val="32"/>
          <w:szCs w:val="32"/>
        </w:rPr>
        <w:t>《益阳市政务信息系统调查表》</w:t>
      </w:r>
      <w:r>
        <w:rPr>
          <w:rFonts w:hint="default" w:ascii="Times New Roman" w:hAnsi="Times New Roman" w:eastAsia="仿宋_GB2312" w:cs="Times New Roman"/>
          <w:b w:val="0"/>
          <w:bCs w:val="0"/>
          <w:sz w:val="32"/>
          <w:szCs w:val="32"/>
          <w:lang w:eastAsia="zh-CN"/>
        </w:rPr>
        <w:t>，统计了</w:t>
      </w:r>
      <w:r>
        <w:rPr>
          <w:rFonts w:hint="default" w:ascii="Times New Roman" w:hAnsi="Times New Roman" w:eastAsia="仿宋_GB2312" w:cs="Times New Roman"/>
          <w:b w:val="0"/>
          <w:bCs w:val="0"/>
          <w:sz w:val="32"/>
          <w:szCs w:val="32"/>
          <w:lang w:val="en-US" w:eastAsia="zh-CN"/>
        </w:rPr>
        <w:t>250余个政务信息系统的基本情况。三是加强网络安全监测。</w:t>
      </w:r>
      <w:r>
        <w:rPr>
          <w:rFonts w:hint="default" w:ascii="Times New Roman" w:hAnsi="Times New Roman" w:eastAsia="仿宋_GB2312" w:cs="Times New Roman"/>
          <w:b w:val="0"/>
          <w:bCs w:val="0"/>
          <w:i w:val="0"/>
          <w:iCs w:val="0"/>
          <w:color w:val="000000"/>
          <w:kern w:val="0"/>
          <w:sz w:val="32"/>
          <w:szCs w:val="32"/>
          <w:highlight w:val="none"/>
          <w:vertAlign w:val="baseline"/>
          <w:lang w:val="en-US" w:eastAsia="zh-CN" w:bidi="ar-SA"/>
        </w:rPr>
        <w:t>全面统计电子政务外网IP地址，</w:t>
      </w:r>
      <w:r>
        <w:rPr>
          <w:rFonts w:hint="default" w:ascii="Times New Roman" w:hAnsi="Times New Roman" w:eastAsia="仿宋_GB2312" w:cs="Times New Roman"/>
          <w:b w:val="0"/>
          <w:bCs w:val="0"/>
          <w:sz w:val="32"/>
          <w:szCs w:val="32"/>
          <w:lang w:val="en-US" w:eastAsia="zh-CN"/>
        </w:rPr>
        <w:t>将全市政务外网终端录入网络安全检测平台，对接入终端进行实时监控，及时发现安全隐患。四是完成三级等保测评。对政务外网的整体安全性进行检测分析、综合测评，并根据测评结果完成了平台加固工作，提升了政务外网安全性能，确保政务外网符合等级保护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7、推进全市项目管理</w:t>
      </w:r>
    </w:p>
    <w:p>
      <w:pPr>
        <w:pStyle w:val="5"/>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sz w:val="32"/>
          <w:szCs w:val="32"/>
          <w:lang w:val="en-US" w:eastAsia="zh-CN"/>
        </w:rPr>
        <w:t>一是开展部门项目评审。对益阳市综合金融服务平台、市应急广播平台、市公安局侦查实战中心、市公安局涉密网建设、市本级应急指挥五级联动视频调度系统等21个项目进行技术方案评审。参与益阳市电子证照系统和智慧交易2个项目的验收工作。二是参与部门项目建设。做为数据汇集牵头单位参与市委政法委社会治安风险预测预警智能化防控平台试点项目建设，编制《社会治安风险预测预警防控平台数据安全管理办法》，参与平安建设考核工作；推进财税平台升级项目项目建设，完成竣工验收；三是扩容项目专家库。为确保我市政府投资信息化建设的科学决策，新增13名政府投资信息化建设项目评审专家库专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8、做好办公室综合管理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一是积极落实党建工作。</w:t>
      </w:r>
      <w:r>
        <w:rPr>
          <w:rFonts w:hint="default" w:ascii="Times New Roman" w:hAnsi="Times New Roman" w:eastAsia="仿宋_GB2312" w:cs="Times New Roman"/>
          <w:b w:val="0"/>
          <w:bCs w:val="0"/>
          <w:color w:val="333333"/>
          <w:sz w:val="32"/>
          <w:szCs w:val="32"/>
          <w:lang w:eastAsia="zh-CN"/>
        </w:rPr>
        <w:t>按时组织</w:t>
      </w:r>
      <w:r>
        <w:rPr>
          <w:rFonts w:hint="default" w:ascii="Times New Roman" w:hAnsi="Times New Roman" w:eastAsia="仿宋_GB2312" w:cs="Times New Roman"/>
          <w:b w:val="0"/>
          <w:bCs w:val="0"/>
          <w:color w:val="333333"/>
          <w:sz w:val="32"/>
          <w:szCs w:val="32"/>
          <w:lang w:val="en-US" w:eastAsia="zh-CN"/>
        </w:rPr>
        <w:t>参加</w:t>
      </w:r>
      <w:r>
        <w:rPr>
          <w:rFonts w:hint="default" w:ascii="Times New Roman" w:hAnsi="Times New Roman" w:eastAsia="仿宋_GB2312" w:cs="Times New Roman"/>
          <w:b w:val="0"/>
          <w:bCs w:val="0"/>
          <w:color w:val="333333"/>
          <w:sz w:val="32"/>
          <w:szCs w:val="32"/>
        </w:rPr>
        <w:t>支部</w:t>
      </w:r>
      <w:r>
        <w:rPr>
          <w:rFonts w:hint="default" w:ascii="Times New Roman" w:hAnsi="Times New Roman" w:eastAsia="仿宋_GB2312" w:cs="Times New Roman"/>
          <w:b w:val="0"/>
          <w:bCs w:val="0"/>
          <w:color w:val="333333"/>
          <w:sz w:val="32"/>
          <w:szCs w:val="32"/>
          <w:lang w:eastAsia="zh-CN"/>
        </w:rPr>
        <w:t>“两学一做”“三会一课”的学习活动</w:t>
      </w:r>
      <w:r>
        <w:rPr>
          <w:rFonts w:hint="default" w:ascii="Times New Roman" w:hAnsi="Times New Roman" w:eastAsia="仿宋_GB2312" w:cs="Times New Roman"/>
          <w:b w:val="0"/>
          <w:bCs w:val="0"/>
          <w:color w:val="333333"/>
          <w:sz w:val="32"/>
          <w:szCs w:val="32"/>
        </w:rPr>
        <w:t>，</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开展政治生态强基工程、两带头五整治等专题学习，</w:t>
      </w:r>
      <w:r>
        <w:rPr>
          <w:rFonts w:hint="default" w:ascii="Times New Roman" w:hAnsi="Times New Roman" w:eastAsia="仿宋_GB2312" w:cs="Times New Roman"/>
          <w:b w:val="0"/>
          <w:bCs w:val="0"/>
          <w:color w:val="333333"/>
          <w:sz w:val="32"/>
          <w:szCs w:val="32"/>
          <w:lang w:val="en-US" w:eastAsia="zh-CN"/>
        </w:rPr>
        <w:t>响应号召党员干部</w:t>
      </w:r>
      <w:r>
        <w:rPr>
          <w:rFonts w:hint="default" w:ascii="Times New Roman" w:hAnsi="Times New Roman" w:eastAsia="仿宋_GB2312" w:cs="Times New Roman"/>
          <w:b w:val="0"/>
          <w:bCs w:val="0"/>
          <w:color w:val="333333"/>
          <w:sz w:val="32"/>
          <w:szCs w:val="32"/>
        </w:rPr>
        <w:t>开展</w:t>
      </w:r>
      <w:r>
        <w:rPr>
          <w:rFonts w:hint="default" w:ascii="Times New Roman" w:hAnsi="Times New Roman" w:eastAsia="仿宋_GB2312" w:cs="Times New Roman"/>
          <w:b w:val="0"/>
          <w:bCs w:val="0"/>
          <w:color w:val="333333"/>
          <w:sz w:val="32"/>
          <w:szCs w:val="32"/>
          <w:lang w:eastAsia="zh-CN"/>
        </w:rPr>
        <w:t>社区志愿活动</w:t>
      </w:r>
      <w:r>
        <w:rPr>
          <w:rFonts w:hint="default" w:ascii="Times New Roman" w:hAnsi="Times New Roman" w:eastAsia="仿宋_GB2312" w:cs="Times New Roman"/>
          <w:b w:val="0"/>
          <w:bCs w:val="0"/>
          <w:color w:val="333333"/>
          <w:sz w:val="32"/>
          <w:szCs w:val="32"/>
          <w:lang w:val="en-US" w:eastAsia="zh-CN"/>
        </w:rPr>
        <w:t>12次</w:t>
      </w:r>
      <w:r>
        <w:rPr>
          <w:rFonts w:hint="default" w:ascii="Times New Roman" w:hAnsi="Times New Roman" w:eastAsia="仿宋_GB2312" w:cs="Times New Roman"/>
          <w:b w:val="0"/>
          <w:bCs w:val="0"/>
          <w:color w:val="333333"/>
          <w:sz w:val="32"/>
          <w:szCs w:val="32"/>
          <w:lang w:eastAsia="zh-CN"/>
        </w:rPr>
        <w:t>，</w:t>
      </w:r>
      <w:r>
        <w:rPr>
          <w:rFonts w:hint="default" w:ascii="Times New Roman" w:hAnsi="Times New Roman" w:eastAsia="仿宋_GB2312" w:cs="Times New Roman"/>
          <w:b w:val="0"/>
          <w:bCs w:val="0"/>
          <w:kern w:val="2"/>
          <w:sz w:val="32"/>
          <w:szCs w:val="32"/>
          <w:lang w:val="zh-CN" w:eastAsia="zh-CN" w:bidi="ar-SA"/>
        </w:rPr>
        <w:t>配合局机关党支部开展乡村振兴、创文创卫等。二是规范收发文及档案管理。</w:t>
      </w:r>
      <w:r>
        <w:rPr>
          <w:rFonts w:hint="default" w:ascii="Times New Roman" w:hAnsi="Times New Roman" w:eastAsia="仿宋_GB2312" w:cs="Times New Roman"/>
          <w:b w:val="0"/>
          <w:bCs w:val="0"/>
          <w:color w:val="000000"/>
          <w:kern w:val="2"/>
          <w:sz w:val="32"/>
          <w:szCs w:val="32"/>
          <w:lang w:val="en-US" w:eastAsia="zh-CN" w:bidi="ar-SA"/>
        </w:rPr>
        <w:t>全年收文270余件，发文5件，严格执行文件归档和保密制度，</w:t>
      </w:r>
      <w:r>
        <w:rPr>
          <w:rFonts w:hint="default" w:ascii="Times New Roman" w:hAnsi="Times New Roman" w:eastAsia="仿宋_GB2312" w:cs="Times New Roman"/>
          <w:b w:val="0"/>
          <w:bCs w:val="0"/>
          <w:kern w:val="2"/>
          <w:sz w:val="32"/>
          <w:szCs w:val="32"/>
          <w:lang w:val="zh-CN" w:eastAsia="zh-CN" w:bidi="ar-SA"/>
        </w:rPr>
        <w:t>协调跟进</w:t>
      </w:r>
      <w:r>
        <w:rPr>
          <w:rFonts w:hint="default" w:ascii="Times New Roman" w:hAnsi="Times New Roman" w:eastAsia="仿宋_GB2312" w:cs="Times New Roman"/>
          <w:b w:val="0"/>
          <w:bCs w:val="0"/>
          <w:kern w:val="2"/>
          <w:sz w:val="32"/>
          <w:szCs w:val="32"/>
          <w:lang w:val="en-US" w:eastAsia="zh-CN" w:bidi="ar-SA"/>
        </w:rPr>
        <w:t>重点事项办理，</w:t>
      </w:r>
      <w:r>
        <w:rPr>
          <w:rFonts w:hint="default" w:ascii="Times New Roman" w:hAnsi="Times New Roman" w:eastAsia="仿宋_GB2312" w:cs="Times New Roman"/>
          <w:b w:val="0"/>
          <w:bCs w:val="0"/>
          <w:kern w:val="2"/>
          <w:sz w:val="32"/>
          <w:szCs w:val="32"/>
          <w:lang w:val="zh-CN" w:eastAsia="zh-CN" w:bidi="ar-SA"/>
        </w:rPr>
        <w:t>推动档案电子化管理，按规定移交项目纸质档案至市档案局统一管理。</w:t>
      </w:r>
      <w:r>
        <w:rPr>
          <w:rFonts w:hint="default" w:ascii="Times New Roman" w:hAnsi="Times New Roman" w:eastAsia="仿宋_GB2312" w:cs="Times New Roman"/>
          <w:b w:val="0"/>
          <w:bCs w:val="0"/>
          <w:color w:val="000000"/>
          <w:kern w:val="2"/>
          <w:sz w:val="32"/>
          <w:szCs w:val="32"/>
          <w:lang w:val="zh-CN" w:eastAsia="zh-CN" w:bidi="ar-SA"/>
        </w:rPr>
        <w:t>三是</w:t>
      </w:r>
      <w:r>
        <w:rPr>
          <w:rFonts w:hint="default" w:ascii="Times New Roman" w:hAnsi="Times New Roman" w:eastAsia="仿宋_GB2312" w:cs="Times New Roman"/>
          <w:b w:val="0"/>
          <w:bCs w:val="0"/>
          <w:color w:val="000000"/>
          <w:kern w:val="2"/>
          <w:sz w:val="32"/>
          <w:szCs w:val="32"/>
          <w:lang w:val="en-US" w:eastAsia="zh-CN" w:bidi="ar-SA"/>
        </w:rPr>
        <w:t>提升公文写作水平。</w:t>
      </w:r>
      <w:r>
        <w:rPr>
          <w:rFonts w:hint="default" w:ascii="Times New Roman" w:hAnsi="Times New Roman" w:eastAsia="仿宋_GB2312" w:cs="Times New Roman"/>
          <w:b w:val="0"/>
          <w:bCs w:val="0"/>
          <w:kern w:val="2"/>
          <w:sz w:val="32"/>
          <w:szCs w:val="32"/>
          <w:lang w:val="en-US" w:eastAsia="zh-CN" w:bidi="ar-SA"/>
        </w:rPr>
        <w:t>综合文稿多方征求意见，仔细斟酌、反复修改，力求精益求精，确保</w:t>
      </w:r>
      <w:r>
        <w:rPr>
          <w:rFonts w:hint="default" w:ascii="Times New Roman" w:hAnsi="Times New Roman" w:eastAsia="仿宋_GB2312" w:cs="Times New Roman"/>
          <w:b w:val="0"/>
          <w:bCs w:val="0"/>
          <w:color w:val="000000"/>
          <w:kern w:val="2"/>
          <w:sz w:val="32"/>
          <w:szCs w:val="32"/>
          <w:lang w:val="en-US" w:eastAsia="zh-CN" w:bidi="ar-SA"/>
        </w:rPr>
        <w:t>体现上级精神、工作实际，全面、系统反映工作决策和部署。四</w:t>
      </w:r>
      <w:r>
        <w:rPr>
          <w:rFonts w:hint="default" w:ascii="Times New Roman" w:hAnsi="Times New Roman" w:eastAsia="仿宋_GB2312" w:cs="Times New Roman"/>
          <w:b w:val="0"/>
          <w:bCs w:val="0"/>
          <w:kern w:val="2"/>
          <w:sz w:val="32"/>
          <w:szCs w:val="32"/>
          <w:lang w:val="zh-CN" w:eastAsia="zh-CN" w:bidi="ar-SA"/>
        </w:rPr>
        <w:t>是</w:t>
      </w:r>
      <w:r>
        <w:rPr>
          <w:rFonts w:hint="default" w:ascii="Times New Roman" w:hAnsi="Times New Roman" w:eastAsia="仿宋_GB2312" w:cs="Times New Roman"/>
          <w:b w:val="0"/>
          <w:bCs w:val="0"/>
          <w:sz w:val="32"/>
          <w:szCs w:val="32"/>
          <w:lang w:eastAsia="zh-CN"/>
        </w:rPr>
        <w:t>有序开展会务接待。</w:t>
      </w:r>
      <w:r>
        <w:rPr>
          <w:rFonts w:hint="default" w:ascii="Times New Roman" w:hAnsi="Times New Roman" w:eastAsia="仿宋_GB2312" w:cs="Times New Roman"/>
          <w:b w:val="0"/>
          <w:bCs w:val="0"/>
          <w:sz w:val="32"/>
          <w:szCs w:val="32"/>
          <w:lang w:val="en-US" w:eastAsia="zh-CN"/>
        </w:rPr>
        <w:t>统筹协调各类公务接待事宜，</w:t>
      </w:r>
      <w:r>
        <w:rPr>
          <w:rFonts w:hint="default" w:ascii="Times New Roman" w:hAnsi="Times New Roman" w:eastAsia="仿宋_GB2312" w:cs="Times New Roman"/>
          <w:b w:val="0"/>
          <w:bCs w:val="0"/>
          <w:color w:val="000000"/>
          <w:kern w:val="2"/>
          <w:sz w:val="32"/>
          <w:szCs w:val="32"/>
          <w:lang w:val="en-US" w:eastAsia="zh-CN" w:bidi="ar-SA"/>
        </w:rPr>
        <w:t>保障会议物资供应，准备会议材料，确保会议记录完整清晰，做到会前有准备、会中有服务，会后有落实。</w:t>
      </w:r>
      <w:r>
        <w:rPr>
          <w:rFonts w:hint="default" w:ascii="Times New Roman" w:hAnsi="Times New Roman" w:eastAsia="仿宋_GB2312" w:cs="Times New Roman"/>
          <w:b w:val="0"/>
          <w:bCs w:val="0"/>
          <w:kern w:val="2"/>
          <w:sz w:val="32"/>
          <w:szCs w:val="32"/>
          <w:lang w:val="en-US" w:eastAsia="zh-CN" w:bidi="ar-SA"/>
        </w:rPr>
        <w:t>五是优化演示汇报。</w:t>
      </w:r>
      <w:r>
        <w:rPr>
          <w:rFonts w:hint="default" w:ascii="Times New Roman" w:hAnsi="Times New Roman" w:eastAsia="仿宋_GB2312" w:cs="Times New Roman"/>
          <w:b w:val="0"/>
          <w:bCs w:val="0"/>
          <w:color w:val="000000"/>
          <w:kern w:val="2"/>
          <w:sz w:val="32"/>
          <w:szCs w:val="32"/>
          <w:lang w:val="en-US" w:eastAsia="zh-CN" w:bidi="ar-SA"/>
        </w:rPr>
        <w:t>参与省市级、各部门调研工作，全年就益阳市新型智慧城市、数字政府以及城市运行指挥中心建设情况等开展演示汇报8次，在调研演示汇报工作中取得较好成效。六是</w:t>
      </w:r>
      <w:r>
        <w:rPr>
          <w:rFonts w:hint="default" w:ascii="Times New Roman" w:hAnsi="Times New Roman" w:eastAsia="仿宋_GB2312" w:cs="Times New Roman"/>
          <w:b w:val="0"/>
          <w:bCs w:val="0"/>
          <w:kern w:val="2"/>
          <w:sz w:val="32"/>
          <w:szCs w:val="32"/>
          <w:lang w:val="zh-CN" w:eastAsia="zh-CN" w:bidi="ar-SA"/>
        </w:rPr>
        <w:t>确保公务用车安全。</w:t>
      </w:r>
      <w:r>
        <w:rPr>
          <w:rFonts w:hint="default" w:ascii="Times New Roman" w:hAnsi="Times New Roman" w:eastAsia="仿宋_GB2312" w:cs="Times New Roman"/>
          <w:b w:val="0"/>
          <w:bCs w:val="0"/>
          <w:color w:val="000000"/>
          <w:kern w:val="0"/>
          <w:sz w:val="32"/>
          <w:szCs w:val="32"/>
          <w:lang w:val="en-US" w:eastAsia="zh-CN"/>
        </w:rPr>
        <w:t>严格执行公务用车平台管理，规范出车审批，建立台账，全年出车116次，共行驶1万余里，未发生任何安全事故</w:t>
      </w:r>
      <w:r>
        <w:rPr>
          <w:rFonts w:hint="default" w:ascii="Times New Roman" w:hAnsi="Times New Roman" w:eastAsia="仿宋_GB2312" w:cs="Times New Roman"/>
          <w:b w:val="0"/>
          <w:bCs w:val="0"/>
          <w:sz w:val="32"/>
          <w:szCs w:val="32"/>
          <w:lang w:eastAsia="zh-CN"/>
        </w:rPr>
        <w:t>。七</w:t>
      </w:r>
      <w:r>
        <w:rPr>
          <w:rFonts w:hint="default" w:ascii="Times New Roman" w:hAnsi="Times New Roman" w:eastAsia="仿宋_GB2312" w:cs="Times New Roman"/>
          <w:b w:val="0"/>
          <w:bCs w:val="0"/>
          <w:kern w:val="2"/>
          <w:sz w:val="32"/>
          <w:szCs w:val="32"/>
          <w:lang w:val="en-US" w:eastAsia="zh-CN" w:bidi="ar-SA"/>
        </w:rPr>
        <w:t>是做好资产管理工作。严格根据政府采购制度，全年采购计划均纳入政采云平台，做到了合理选购、节约资金，固定资产、单位能耗实行系统台账管理，按月上报。八是严格执行人事财务制度。完成人员调动、工资福利发放、社保缴纳、费用报销、年度财政预决算、项目绩效监控评价、信息公开等工作，部门经费支付率达100%。九</w:t>
      </w:r>
      <w:r>
        <w:rPr>
          <w:rFonts w:hint="default" w:ascii="Times New Roman" w:hAnsi="Times New Roman" w:eastAsia="仿宋_GB2312" w:cs="Times New Roman"/>
          <w:b w:val="0"/>
          <w:bCs w:val="0"/>
          <w:color w:val="333333"/>
          <w:sz w:val="32"/>
          <w:szCs w:val="32"/>
          <w:lang w:eastAsia="zh-CN"/>
        </w:rPr>
        <w:t>是保障工会福利。</w:t>
      </w:r>
      <w:r>
        <w:rPr>
          <w:rFonts w:hint="default" w:ascii="Times New Roman" w:hAnsi="Times New Roman" w:eastAsia="仿宋_GB2312" w:cs="Times New Roman"/>
          <w:b w:val="0"/>
          <w:bCs w:val="0"/>
          <w:sz w:val="32"/>
          <w:szCs w:val="32"/>
          <w:lang w:eastAsia="zh-CN"/>
        </w:rPr>
        <w:t>及时</w:t>
      </w:r>
      <w:r>
        <w:rPr>
          <w:rFonts w:hint="default" w:ascii="Times New Roman" w:hAnsi="Times New Roman" w:eastAsia="仿宋_GB2312" w:cs="Times New Roman"/>
          <w:b w:val="0"/>
          <w:bCs w:val="0"/>
          <w:color w:val="333333"/>
          <w:sz w:val="32"/>
          <w:szCs w:val="32"/>
          <w:lang w:eastAsia="zh-CN"/>
        </w:rPr>
        <w:t>发放各项</w:t>
      </w:r>
      <w:r>
        <w:rPr>
          <w:rFonts w:hint="default" w:ascii="Times New Roman" w:hAnsi="Times New Roman" w:eastAsia="仿宋_GB2312" w:cs="Times New Roman"/>
          <w:b w:val="0"/>
          <w:bCs w:val="0"/>
          <w:sz w:val="32"/>
          <w:szCs w:val="32"/>
          <w:lang w:eastAsia="zh-CN"/>
        </w:rPr>
        <w:t>福利</w:t>
      </w:r>
      <w:r>
        <w:rPr>
          <w:rFonts w:hint="default" w:ascii="Times New Roman" w:hAnsi="Times New Roman" w:eastAsia="仿宋_GB2312" w:cs="Times New Roman"/>
          <w:b w:val="0"/>
          <w:bCs w:val="0"/>
          <w:sz w:val="32"/>
          <w:szCs w:val="32"/>
        </w:rPr>
        <w:t>慰问物</w:t>
      </w:r>
      <w:r>
        <w:rPr>
          <w:rFonts w:hint="default" w:ascii="Times New Roman" w:hAnsi="Times New Roman" w:eastAsia="仿宋_GB2312" w:cs="Times New Roman"/>
          <w:b w:val="0"/>
          <w:bCs w:val="0"/>
          <w:sz w:val="32"/>
          <w:szCs w:val="32"/>
          <w:lang w:eastAsia="zh-CN"/>
        </w:rPr>
        <w:t>资，</w:t>
      </w:r>
      <w:r>
        <w:rPr>
          <w:rFonts w:hint="default" w:ascii="Times New Roman" w:hAnsi="Times New Roman" w:eastAsia="仿宋_GB2312" w:cs="Times New Roman"/>
          <w:b w:val="0"/>
          <w:bCs w:val="0"/>
          <w:i w:val="0"/>
          <w:iCs w:val="0"/>
          <w:caps w:val="0"/>
          <w:color w:val="222222"/>
          <w:spacing w:val="0"/>
          <w:kern w:val="0"/>
          <w:sz w:val="32"/>
          <w:szCs w:val="32"/>
          <w:shd w:val="clear" w:color="auto" w:fill="FFFFFF"/>
          <w:lang w:val="en-US" w:eastAsia="zh-CN" w:bidi="ar"/>
        </w:rPr>
        <w:t>组织</w:t>
      </w:r>
      <w:r>
        <w:rPr>
          <w:rFonts w:hint="default" w:ascii="Times New Roman" w:hAnsi="Times New Roman" w:eastAsia="仿宋_GB2312" w:cs="Times New Roman"/>
          <w:b w:val="0"/>
          <w:bCs w:val="0"/>
          <w:color w:val="333333"/>
          <w:sz w:val="32"/>
          <w:szCs w:val="32"/>
          <w:lang w:eastAsia="zh-CN"/>
        </w:rPr>
        <w:t>体检</w:t>
      </w:r>
      <w:r>
        <w:rPr>
          <w:rFonts w:hint="default" w:ascii="Times New Roman" w:hAnsi="Times New Roman" w:eastAsia="仿宋_GB2312" w:cs="Times New Roman"/>
          <w:b w:val="0"/>
          <w:bCs w:val="0"/>
          <w:color w:val="333333"/>
          <w:sz w:val="32"/>
          <w:szCs w:val="32"/>
          <w:lang w:val="en-US" w:eastAsia="zh-CN"/>
        </w:rPr>
        <w:t>1次</w:t>
      </w:r>
      <w:r>
        <w:rPr>
          <w:rFonts w:hint="default" w:ascii="Times New Roman" w:hAnsi="Times New Roman" w:eastAsia="仿宋_GB2312" w:cs="Times New Roman"/>
          <w:b w:val="0"/>
          <w:bCs w:val="0"/>
          <w:color w:val="333333"/>
          <w:sz w:val="32"/>
          <w:szCs w:val="32"/>
          <w:lang w:eastAsia="zh-CN"/>
        </w:rPr>
        <w:t>，全员购买意外保险</w:t>
      </w:r>
      <w:r>
        <w:rPr>
          <w:rFonts w:hint="default" w:ascii="Times New Roman" w:hAnsi="Times New Roman" w:eastAsia="仿宋_GB2312" w:cs="Times New Roman"/>
          <w:b w:val="0"/>
          <w:bCs w:val="0"/>
          <w:color w:val="333333"/>
          <w:sz w:val="32"/>
          <w:szCs w:val="32"/>
          <w:lang w:val="en-US" w:eastAsia="zh-CN"/>
        </w:rPr>
        <w:t>1份，</w:t>
      </w:r>
      <w:r>
        <w:rPr>
          <w:rFonts w:hint="default" w:ascii="Times New Roman" w:hAnsi="Times New Roman" w:eastAsia="仿宋_GB2312" w:cs="Times New Roman"/>
          <w:b w:val="0"/>
          <w:bCs w:val="0"/>
          <w:color w:val="333333"/>
          <w:sz w:val="32"/>
          <w:szCs w:val="32"/>
          <w:lang w:eastAsia="zh-CN"/>
        </w:rPr>
        <w:t>开展各类工会和主题活动</w:t>
      </w:r>
      <w:r>
        <w:rPr>
          <w:rFonts w:hint="default" w:ascii="Times New Roman" w:hAnsi="Times New Roman" w:eastAsia="仿宋_GB2312" w:cs="Times New Roman"/>
          <w:b w:val="0"/>
          <w:bCs w:val="0"/>
          <w:color w:val="333333"/>
          <w:sz w:val="32"/>
          <w:szCs w:val="32"/>
          <w:lang w:val="en-US" w:eastAsia="zh-CN"/>
        </w:rPr>
        <w:t>4次</w:t>
      </w:r>
      <w:r>
        <w:rPr>
          <w:rFonts w:hint="default" w:ascii="Times New Roman" w:hAnsi="Times New Roman" w:eastAsia="仿宋_GB2312" w:cs="Times New Roman"/>
          <w:b w:val="0"/>
          <w:bCs w:val="0"/>
          <w:color w:val="333333"/>
          <w:sz w:val="32"/>
          <w:szCs w:val="32"/>
          <w:lang w:eastAsia="zh-CN"/>
        </w:rPr>
        <w:t>，加强干部职工凝聚力。</w:t>
      </w:r>
    </w:p>
    <w:p>
      <w:pPr>
        <w:numPr>
          <w:ilvl w:val="0"/>
          <w:numId w:val="1"/>
        </w:num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存在的问题及原因分析</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default" w:ascii="Times New Roman" w:hAnsi="Times New Roman" w:eastAsia="仿宋_GB2312" w:cs="Times New Roman"/>
          <w:kern w:val="2"/>
          <w:sz w:val="32"/>
          <w:szCs w:val="32"/>
          <w:lang w:val="en-US" w:eastAsia="zh-CN" w:bidi="ar-SA"/>
        </w:rPr>
        <w:t>本单位在预算执行及绩效管理中存在问题主要为在预算管理绩效上存在不足。主要是因为管理不到位，绩效考核的指标缺乏科学性、合理性等，且考核标准人为主观因素比较多，绩效考核只注重结果，缺乏预算实施过程中的管理，从而无法实现整个预算绩效管理应达到的效果。</w:t>
      </w:r>
    </w:p>
    <w:p>
      <w:pPr>
        <w:numPr>
          <w:ilvl w:val="0"/>
          <w:numId w:val="1"/>
        </w:num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下一步改进措施</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default" w:ascii="Times New Roman" w:hAnsi="Times New Roman" w:eastAsia="仿宋_GB2312" w:cs="Times New Roman"/>
          <w:kern w:val="2"/>
          <w:sz w:val="32"/>
          <w:szCs w:val="32"/>
          <w:lang w:val="en-US" w:eastAsia="zh-CN" w:bidi="ar-SA"/>
        </w:rPr>
        <w:t>针对以上问题，本单位在来年的预算执行和绩效管理中的改进措施主要有一是提高单位内部的预算绩效管理意识；二是制定一套科学合理的绩效考核标准；三是重视对预算管理工作人员的素质培训。</w:t>
      </w:r>
    </w:p>
    <w:p>
      <w:pPr>
        <w:numPr>
          <w:ilvl w:val="0"/>
          <w:numId w:val="1"/>
        </w:num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绩效自评结果拟应用和公开情况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2023年部门整体支出绩效评价自查自评结果为优秀，拟通过官网向社会公开，接受社会监督.</w:t>
      </w:r>
    </w:p>
    <w:p>
      <w:pPr>
        <w:numPr>
          <w:ilvl w:val="0"/>
          <w:numId w:val="1"/>
        </w:num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其他需要说明的情况</w:t>
      </w:r>
    </w:p>
    <w:p>
      <w:pPr>
        <w:numPr>
          <w:numId w:val="0"/>
        </w:numPr>
        <w:ind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pPr>
        <w:numPr>
          <w:numId w:val="0"/>
        </w:numPr>
        <w:ind w:leftChars="200"/>
        <w:rPr>
          <w:rFonts w:hint="default" w:ascii="Times New Roman" w:hAnsi="Times New Roman" w:eastAsia="仿宋_GB2312" w:cs="Times New Roman"/>
          <w:kern w:val="2"/>
          <w:sz w:val="32"/>
          <w:szCs w:val="32"/>
          <w:lang w:val="en-US" w:eastAsia="zh-CN" w:bidi="ar-SA"/>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2D8F2"/>
    <w:multiLevelType w:val="singleLevel"/>
    <w:tmpl w:val="2E92D8F2"/>
    <w:lvl w:ilvl="0" w:tentative="0">
      <w:start w:val="1"/>
      <w:numFmt w:val="chineseCounting"/>
      <w:suff w:val="nothing"/>
      <w:lvlText w:val="（%1）"/>
      <w:lvlJc w:val="left"/>
      <w:rPr>
        <w:rFonts w:hint="eastAsia"/>
      </w:rPr>
    </w:lvl>
  </w:abstractNum>
  <w:abstractNum w:abstractNumId="1">
    <w:nsid w:val="7440888D"/>
    <w:multiLevelType w:val="singleLevel"/>
    <w:tmpl w:val="7440888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ZDQxYjQ5MWQ4ZWNkODk1ZGEwM2M2N2VlZmUyNjQifQ=="/>
  </w:docVars>
  <w:rsids>
    <w:rsidRoot w:val="137C39A1"/>
    <w:rsid w:val="022950E4"/>
    <w:rsid w:val="03FE43AE"/>
    <w:rsid w:val="0B6E3B68"/>
    <w:rsid w:val="0D0C53E6"/>
    <w:rsid w:val="137C39A1"/>
    <w:rsid w:val="1A3B730B"/>
    <w:rsid w:val="231879A1"/>
    <w:rsid w:val="28C3362F"/>
    <w:rsid w:val="330E7FBB"/>
    <w:rsid w:val="36CE2DB3"/>
    <w:rsid w:val="3E312796"/>
    <w:rsid w:val="3F6E3B5B"/>
    <w:rsid w:val="4DB36BDD"/>
    <w:rsid w:val="50C646B3"/>
    <w:rsid w:val="54BC6CBF"/>
    <w:rsid w:val="552265DA"/>
    <w:rsid w:val="585B234B"/>
    <w:rsid w:val="65397304"/>
    <w:rsid w:val="6B170353"/>
    <w:rsid w:val="71B903B6"/>
    <w:rsid w:val="73217FC1"/>
    <w:rsid w:val="73CB617F"/>
    <w:rsid w:val="758B02BC"/>
    <w:rsid w:val="765661D4"/>
    <w:rsid w:val="779C4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2024-05-28T07:29:00Z</dcterms:created>
  <dc:creator>彭小颖</dc:creator>
  <cp:lastModifiedBy>彭小颖</cp:lastModifiedBy>
  <dcterms:modified xsi:type="dcterms:W3CDTF">2024-05-28T10:01:45Z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1B91DA9A48DE41568E743A5DFA2AB7E5_11</vt:lpwstr>
  </property>
</Properties>
</file>