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hd w:val="clear" w:color="auto" w:fill="FFFFFF"/>
        <w:overflowPunct w:val="0"/>
        <w:topLinePunct/>
        <w:spacing w:before="0" w:beforeAutospacing="0" w:after="0" w:afterAutospacing="0" w:line="600" w:lineRule="exact"/>
        <w:jc w:val="both"/>
        <w:rPr>
          <w:rFonts w:ascii="Times New Roman" w:hAnsi="Times New Roman" w:eastAsia="仿宋" w:cs="Times New Roman"/>
          <w:color w:val="000000"/>
          <w:sz w:val="32"/>
          <w:szCs w:val="32"/>
        </w:rPr>
      </w:pPr>
    </w:p>
    <w:p>
      <w:pPr>
        <w:pStyle w:val="11"/>
        <w:widowControl w:val="0"/>
        <w:shd w:val="clear" w:color="auto" w:fill="FFFFFF"/>
        <w:overflowPunct w:val="0"/>
        <w:topLinePunct/>
        <w:adjustRightInd w:val="0"/>
        <w:snapToGrid w:val="0"/>
        <w:spacing w:before="0" w:beforeAutospacing="0" w:after="0" w:afterAutospacing="0" w:line="600" w:lineRule="exact"/>
        <w:jc w:val="center"/>
        <w:rPr>
          <w:rFonts w:ascii="Times New Roman" w:hAnsi="Times New Roman" w:eastAsia="方正小标宋简体" w:cs="Times New Roman"/>
          <w:color w:val="000000"/>
          <w:w w:val="97"/>
          <w:sz w:val="44"/>
          <w:szCs w:val="44"/>
        </w:rPr>
      </w:pPr>
      <w:r>
        <w:rPr>
          <w:rFonts w:ascii="Times New Roman" w:hAnsi="Times New Roman" w:eastAsia="方正小标宋简体" w:cs="Times New Roman"/>
          <w:color w:val="000000"/>
          <w:w w:val="97"/>
          <w:sz w:val="44"/>
          <w:szCs w:val="44"/>
        </w:rPr>
        <w:t>2023年度益阳市统计局整体支出绩效自评报告</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 w:cs="Times New Roman"/>
          <w:color w:val="000000"/>
          <w:sz w:val="32"/>
          <w:szCs w:val="32"/>
        </w:rPr>
      </w:pP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为进一步规范预算资金管理，强化绩效和责任意识，切实提高财政资金使用效益，根据《中共中央 国务院关于全面实施预算绩效管理的意见》（中发〔2018〕34号）精神及《益阳市财政局关于开展2023年度市级预算部门绩效自评和部门评价工作的通知》要求，我单位积极组织，对2023年部门整体支出情况进行了绩效自评，现将有关情况报告如下：</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黑体" w:cs="Times New Roman"/>
          <w:snapToGrid w:val="0"/>
          <w:color w:val="000000"/>
          <w:sz w:val="32"/>
          <w:szCs w:val="32"/>
        </w:rPr>
      </w:pPr>
      <w:r>
        <w:rPr>
          <w:rFonts w:ascii="Times New Roman" w:hAnsi="Times New Roman" w:eastAsia="黑体" w:cs="Times New Roman"/>
          <w:bCs/>
          <w:snapToGrid w:val="0"/>
          <w:color w:val="000000"/>
          <w:sz w:val="32"/>
          <w:szCs w:val="32"/>
        </w:rPr>
        <w:t>一、基本情况</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楷体_GB2312" w:cs="Times New Roman"/>
          <w:snapToGrid w:val="0"/>
          <w:color w:val="000000"/>
          <w:sz w:val="32"/>
          <w:szCs w:val="32"/>
        </w:rPr>
      </w:pPr>
      <w:r>
        <w:rPr>
          <w:rFonts w:ascii="Times New Roman" w:hAnsi="Times New Roman" w:eastAsia="楷体_GB2312" w:cs="Times New Roman"/>
          <w:snapToGrid w:val="0"/>
          <w:color w:val="000000"/>
          <w:sz w:val="32"/>
          <w:szCs w:val="32"/>
        </w:rPr>
        <w:t>（一）部门职能</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益阳市统计局（以下简称</w:t>
      </w:r>
      <w:r>
        <w:rPr>
          <w:rFonts w:hint="eastAsia" w:ascii="Times New Roman" w:hAnsi="Times New Roman" w:eastAsia="仿宋_GB2312" w:cs="Times New Roman"/>
          <w:snapToGrid w:val="0"/>
          <w:color w:val="000000"/>
          <w:sz w:val="32"/>
          <w:szCs w:val="32"/>
        </w:rPr>
        <w:t>“我局”</w:t>
      </w:r>
      <w:r>
        <w:rPr>
          <w:rFonts w:ascii="Times New Roman" w:hAnsi="Times New Roman" w:eastAsia="仿宋_GB2312" w:cs="Times New Roman"/>
          <w:snapToGrid w:val="0"/>
          <w:color w:val="000000"/>
          <w:sz w:val="32"/>
          <w:szCs w:val="32"/>
        </w:rPr>
        <w:t>）主要工作职责包括：</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1.拟定并组织实施全市统计改革和统计现代化建设规划及</w:t>
      </w:r>
      <w:r>
        <w:rPr>
          <w:rFonts w:ascii="Times New Roman" w:hAnsi="Times New Roman" w:eastAsia="仿宋_GB2312" w:cs="Times New Roman"/>
          <w:snapToGrid w:val="0"/>
          <w:color w:val="000000"/>
          <w:w w:val="97"/>
          <w:sz w:val="32"/>
          <w:szCs w:val="32"/>
        </w:rPr>
        <w:t>统计调查计划；建立健全全市国民经济核算体系和统计指标体系。</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2.贯彻执行国家、省统计工作的方针、政策和统计法律、法规，完成国家、省统计调查任务；指导和协调全市统计业务工作；监督检查统计法律、法规的实施情况，查处各类统计违法行为；组织指导全市统计科研、统计教育、统计宣传工作。</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3.组织开展全市人口、经济、农业等重大市情市力普查及有关专项调查；建立健全和管理全市统计信息自动化系统和统计数据库体系。</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4.负责提供市委、市人民政府制订政策和编制国民经济和社会发展规划所需的统计资料，并对全市国民经济、科技进步和社会发展等情况进行统计分析、统计预测、统计检查和监督，向市委、市人民政府及其有关部门提供统计信息和咨询建议。</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5.负责统一核定、管理、公布全市经济、社会、科技的基本统计资料，定期发布全市国民经济和社会发展情况统计公报以及有关普查和专项调查公报；发布社会经济统计信息。</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6.负责依法审批或者备案市直各有关部门的统计调查计划及其调查方案。指导各基层单位加强统计基础建设。监督和管理全市中央统计事业经费；协助管理和考核区、县（市）统计局长、副局长。</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snapToGrid w:val="0"/>
          <w:color w:val="000000"/>
          <w:sz w:val="30"/>
          <w:szCs w:val="30"/>
        </w:rPr>
      </w:pPr>
      <w:r>
        <w:rPr>
          <w:rFonts w:ascii="Times New Roman" w:hAnsi="Times New Roman" w:eastAsia="仿宋_GB2312" w:cs="Times New Roman"/>
          <w:snapToGrid w:val="0"/>
          <w:color w:val="000000"/>
          <w:sz w:val="32"/>
          <w:szCs w:val="32"/>
        </w:rPr>
        <w:t>7.完成市委、市政府交办的其他任务。</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楷体_GB2312" w:cs="Times New Roman"/>
          <w:snapToGrid w:val="0"/>
          <w:color w:val="000000"/>
          <w:sz w:val="32"/>
          <w:szCs w:val="32"/>
        </w:rPr>
      </w:pPr>
      <w:r>
        <w:rPr>
          <w:rFonts w:ascii="Times New Roman" w:hAnsi="Times New Roman" w:eastAsia="楷体_GB2312" w:cs="Times New Roman"/>
          <w:snapToGrid w:val="0"/>
          <w:color w:val="000000"/>
          <w:sz w:val="32"/>
          <w:szCs w:val="32"/>
        </w:rPr>
        <w:t>（二）部门机构设置</w:t>
      </w:r>
    </w:p>
    <w:p>
      <w:pPr>
        <w:pStyle w:val="11"/>
        <w:widowControl w:val="0"/>
        <w:shd w:val="clear" w:color="auto" w:fill="FFFFFF"/>
        <w:overflowPunct w:val="0"/>
        <w:topLinePunct/>
        <w:adjustRightInd w:val="0"/>
        <w:snapToGrid w:val="0"/>
        <w:spacing w:before="0" w:beforeAutospacing="0" w:after="0" w:afterAutospacing="0" w:line="592" w:lineRule="atLeast"/>
        <w:ind w:firstLine="600" w:firstLineChars="200"/>
        <w:jc w:val="both"/>
        <w:rPr>
          <w:rFonts w:ascii="Times New Roman" w:hAnsi="Times New Roman" w:eastAsia="仿宋" w:cs="Times New Roman"/>
          <w:snapToGrid w:val="0"/>
          <w:color w:val="000000"/>
          <w:sz w:val="32"/>
          <w:szCs w:val="32"/>
          <w:highlight w:val="green"/>
        </w:rPr>
      </w:pPr>
      <w:r>
        <w:rPr>
          <w:rFonts w:ascii="Times New Roman" w:hAnsi="Times New Roman" w:eastAsia="仿宋_GB2312" w:cs="Times New Roman"/>
          <w:snapToGrid w:val="0"/>
          <w:color w:val="000000"/>
          <w:sz w:val="30"/>
          <w:szCs w:val="30"/>
        </w:rPr>
        <w:t>我局为财政全额预算拨款单位。益阳市统计局为财政全额预算拨款单位。局机关本级内设机构有10个：办公室（人事科）、政策法规科（行政审批改革科）、综合统计科（经济研究室）、国民经济核算科、工业统计科、能源统计科、投资统计科、人口和就业统计科（社会和科技统计科）、服务业统计调查科、机关党委；下设二级机构6个：益阳市城市社会经济调查队、益阳市农村社会经济调查队、益阳市统计局普查中心、益阳市电子计算站、益阳市民意调查中心、益阳市统计执法支队。</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楷体_GB2312" w:cs="Times New Roman"/>
          <w:snapToGrid w:val="0"/>
          <w:color w:val="000000"/>
          <w:sz w:val="32"/>
          <w:szCs w:val="32"/>
        </w:rPr>
      </w:pPr>
      <w:r>
        <w:rPr>
          <w:rFonts w:ascii="Times New Roman" w:hAnsi="Times New Roman" w:eastAsia="楷体_GB2312" w:cs="Times New Roman"/>
          <w:snapToGrid w:val="0"/>
          <w:color w:val="000000"/>
          <w:sz w:val="32"/>
          <w:szCs w:val="32"/>
        </w:rPr>
        <w:t>（三）部门人员编制</w:t>
      </w:r>
    </w:p>
    <w:p>
      <w:pPr>
        <w:overflowPunct w:val="0"/>
        <w:topLinePunct/>
        <w:adjustRightInd w:val="0"/>
        <w:snapToGrid w:val="0"/>
        <w:spacing w:line="592" w:lineRule="atLeast"/>
        <w:ind w:firstLine="60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themeColor="text1"/>
          <w:kern w:val="0"/>
          <w:sz w:val="30"/>
          <w:szCs w:val="30"/>
        </w:rPr>
        <w:t>2023年编制部门核实人员编制61人。截止2023年12月31日实有在职人数为58人（其中机关本级行政编制22人，二级机构事业编制36人。）退休人数为26人</w:t>
      </w:r>
      <w:r>
        <w:rPr>
          <w:rFonts w:ascii="Times New Roman" w:hAnsi="Times New Roman" w:eastAsia="仿宋_GB2312" w:cs="Times New Roman"/>
          <w:snapToGrid w:val="0"/>
          <w:color w:val="000000"/>
          <w:kern w:val="0"/>
          <w:sz w:val="30"/>
          <w:szCs w:val="30"/>
        </w:rPr>
        <w:t>。</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黑体" w:cs="Times New Roman"/>
          <w:bCs/>
          <w:snapToGrid w:val="0"/>
          <w:color w:val="000000"/>
          <w:sz w:val="32"/>
          <w:szCs w:val="32"/>
        </w:rPr>
      </w:pPr>
      <w:r>
        <w:rPr>
          <w:rFonts w:ascii="Times New Roman" w:hAnsi="Times New Roman" w:eastAsia="黑体" w:cs="Times New Roman"/>
          <w:bCs/>
          <w:snapToGrid w:val="0"/>
          <w:color w:val="000000"/>
          <w:sz w:val="32"/>
          <w:szCs w:val="32"/>
        </w:rPr>
        <w:t>二、一般公共预算支出情况</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我局2023年一般公共预算财政拨款收入1466.51万元，一般公共预算财政拨款支出1466.51万元，其中基本支出1162.74万元，占79.29%，项目支出303.77万元，占20.71%，无年末结转和结余。</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楷体_GB2312" w:cs="Times New Roman"/>
          <w:snapToGrid w:val="0"/>
          <w:color w:val="000000"/>
          <w:sz w:val="32"/>
          <w:szCs w:val="32"/>
        </w:rPr>
      </w:pPr>
      <w:r>
        <w:rPr>
          <w:rFonts w:ascii="Times New Roman" w:hAnsi="Times New Roman" w:eastAsia="楷体_GB2312" w:cs="Times New Roman"/>
          <w:snapToGrid w:val="0"/>
          <w:color w:val="000000"/>
          <w:sz w:val="32"/>
          <w:szCs w:val="32"/>
        </w:rPr>
        <w:t>（一）基本支出情况</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基本支出系保障我局及局属单位机构正常运转、完成日常工作任务而发生的各项支出。2023年</w:t>
      </w:r>
      <w:r>
        <w:rPr>
          <w:rFonts w:ascii="Times New Roman" w:hAnsi="Times New Roman" w:eastAsia="仿宋_GB2312" w:cs="Times New Roman"/>
          <w:snapToGrid w:val="0"/>
          <w:color w:val="000000"/>
          <w:sz w:val="28"/>
          <w:szCs w:val="28"/>
          <w:shd w:val="clear" w:color="auto" w:fill="FFFFFF"/>
        </w:rPr>
        <w:t>一</w:t>
      </w:r>
      <w:r>
        <w:rPr>
          <w:rFonts w:ascii="Times New Roman" w:hAnsi="Times New Roman" w:eastAsia="仿宋_GB2312" w:cs="Times New Roman"/>
          <w:snapToGrid w:val="0"/>
          <w:color w:val="000000"/>
          <w:sz w:val="32"/>
          <w:szCs w:val="32"/>
        </w:rPr>
        <w:t>般公共预算财政拨款基本支出共</w:t>
      </w:r>
      <w:r>
        <w:rPr>
          <w:rFonts w:ascii="Times New Roman" w:hAnsi="Times New Roman" w:eastAsia="仿宋_GB2312" w:cs="Times New Roman"/>
          <w:snapToGrid w:val="0"/>
          <w:sz w:val="32"/>
          <w:szCs w:val="32"/>
        </w:rPr>
        <w:t>计1162.74万元，其中人员经费969.96万元，主要用于基本工资、津贴补贴、奖金、伙食补助、机关事业单位基本养老保险缴费、职业年金缴费、职工基本医疗保险缴费、公务员医疗补助缴费、住房公积金、退休费等；公用经费支出192.78万元，主要用于办公费、印刷费、水费、电费、差旅费、维修费、邮电</w:t>
      </w:r>
      <w:r>
        <w:rPr>
          <w:rFonts w:ascii="Times New Roman" w:hAnsi="Times New Roman" w:eastAsia="仿宋_GB2312" w:cs="Times New Roman"/>
          <w:snapToGrid w:val="0"/>
          <w:color w:val="000000"/>
          <w:sz w:val="32"/>
          <w:szCs w:val="32"/>
        </w:rPr>
        <w:t>费、租赁费、会议费、培训费、业务费、其他交通工具运行费等。</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楷体_GB2312" w:cs="Times New Roman"/>
          <w:snapToGrid w:val="0"/>
          <w:color w:val="000000"/>
          <w:sz w:val="32"/>
          <w:szCs w:val="32"/>
        </w:rPr>
      </w:pPr>
      <w:r>
        <w:rPr>
          <w:rFonts w:ascii="Times New Roman" w:hAnsi="Times New Roman" w:eastAsia="楷体_GB2312" w:cs="Times New Roman"/>
          <w:snapToGrid w:val="0"/>
          <w:color w:val="000000"/>
          <w:sz w:val="32"/>
          <w:szCs w:val="32"/>
        </w:rPr>
        <w:t>（二）项目支出情况</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snapToGrid w:val="0"/>
          <w:color w:val="FF0000"/>
          <w:sz w:val="32"/>
          <w:szCs w:val="32"/>
        </w:rPr>
      </w:pPr>
      <w:r>
        <w:rPr>
          <w:rFonts w:ascii="Times New Roman" w:hAnsi="Times New Roman" w:eastAsia="仿宋_GB2312" w:cs="Times New Roman"/>
          <w:snapToGrid w:val="0"/>
          <w:color w:val="000000"/>
          <w:sz w:val="32"/>
          <w:szCs w:val="32"/>
        </w:rPr>
        <w:t>2023年项目支出共计</w:t>
      </w:r>
      <w:r>
        <w:rPr>
          <w:rFonts w:ascii="Times New Roman" w:hAnsi="Times New Roman" w:eastAsia="仿宋_GB2312" w:cs="Times New Roman"/>
          <w:snapToGrid w:val="0"/>
          <w:sz w:val="32"/>
          <w:szCs w:val="32"/>
        </w:rPr>
        <w:t>303.77万元，其中行政运行支出93.77万元，专项普查活动180万</w:t>
      </w:r>
      <w:r>
        <w:rPr>
          <w:rFonts w:ascii="Times New Roman" w:hAnsi="Times New Roman" w:eastAsia="仿宋_GB2312" w:cs="Times New Roman"/>
          <w:snapToGrid w:val="0"/>
          <w:color w:val="000000"/>
          <w:sz w:val="32"/>
          <w:szCs w:val="32"/>
        </w:rPr>
        <w:t>元，其他科学技术支出4万元，其他城乡社区支出5万元，其他工业和信息产业监管支出5万元，其他粮油物资事务支出16万元。</w:t>
      </w:r>
      <w:r>
        <w:rPr>
          <w:rFonts w:ascii="Times New Roman" w:hAnsi="Times New Roman" w:eastAsia="仿宋_GB2312" w:cs="Times New Roman"/>
          <w:snapToGrid w:val="0"/>
          <w:sz w:val="32"/>
          <w:szCs w:val="32"/>
        </w:rPr>
        <w:t>主要用于公用运转类以及各项统计工作以及劳动力抽样调查、经济普查、县域经济考核、1%人口抽样调查、两纲检测、小康村及平困村监测、投出产出调查、</w:t>
      </w:r>
      <w:r>
        <w:rPr>
          <w:rFonts w:hint="eastAsia" w:ascii="Times New Roman" w:hAnsi="Times New Roman" w:eastAsia="仿宋_GB2312" w:cs="Times New Roman"/>
          <w:snapToGrid w:val="0"/>
          <w:sz w:val="32"/>
          <w:szCs w:val="32"/>
        </w:rPr>
        <w:t>“企业一套表”改革和联网直报等专项业务活动以及民调中心运</w:t>
      </w:r>
      <w:r>
        <w:rPr>
          <w:rFonts w:ascii="Times New Roman" w:hAnsi="Times New Roman" w:eastAsia="仿宋_GB2312" w:cs="Times New Roman"/>
          <w:snapToGrid w:val="0"/>
          <w:sz w:val="32"/>
          <w:szCs w:val="32"/>
        </w:rPr>
        <w:t>行经费。</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黑体" w:cs="Times New Roman"/>
          <w:bCs/>
          <w:snapToGrid w:val="0"/>
          <w:color w:val="000000"/>
          <w:sz w:val="32"/>
          <w:szCs w:val="32"/>
        </w:rPr>
      </w:pPr>
      <w:r>
        <w:rPr>
          <w:rFonts w:ascii="Times New Roman" w:hAnsi="Times New Roman" w:eastAsia="黑体" w:cs="Times New Roman"/>
          <w:bCs/>
          <w:snapToGrid w:val="0"/>
          <w:color w:val="000000"/>
          <w:sz w:val="32"/>
          <w:szCs w:val="32"/>
        </w:rPr>
        <w:t>三、政府性基金预算支出情况</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我局无</w:t>
      </w:r>
      <w:r>
        <w:rPr>
          <w:rFonts w:ascii="Times New Roman" w:hAnsi="Times New Roman" w:eastAsia="仿宋_GB2312" w:cs="Times New Roman"/>
          <w:snapToGrid w:val="0"/>
          <w:color w:val="000000" w:themeColor="text1"/>
          <w:sz w:val="32"/>
          <w:szCs w:val="32"/>
        </w:rPr>
        <w:t>政府性基金预算支出情况</w:t>
      </w:r>
      <w:r>
        <w:rPr>
          <w:rFonts w:ascii="Times New Roman" w:hAnsi="Times New Roman" w:eastAsia="仿宋_GB2312" w:cs="Times New Roman"/>
          <w:snapToGrid w:val="0"/>
          <w:color w:val="000000"/>
          <w:sz w:val="32"/>
          <w:szCs w:val="32"/>
        </w:rPr>
        <w:t>。</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黑体" w:cs="Times New Roman"/>
          <w:bCs/>
          <w:snapToGrid w:val="0"/>
          <w:color w:val="000000"/>
          <w:sz w:val="32"/>
          <w:szCs w:val="32"/>
        </w:rPr>
      </w:pPr>
      <w:r>
        <w:rPr>
          <w:rFonts w:ascii="Times New Roman" w:hAnsi="Times New Roman" w:eastAsia="黑体" w:cs="Times New Roman"/>
          <w:bCs/>
          <w:snapToGrid w:val="0"/>
          <w:color w:val="000000"/>
          <w:sz w:val="32"/>
          <w:szCs w:val="32"/>
        </w:rPr>
        <w:t>四、国有资本经营预算支出情况</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我局无国有资本经营预算支出情况。</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黑体" w:cs="Times New Roman"/>
          <w:bCs/>
          <w:snapToGrid w:val="0"/>
          <w:color w:val="000000"/>
          <w:sz w:val="32"/>
          <w:szCs w:val="32"/>
        </w:rPr>
      </w:pPr>
      <w:r>
        <w:rPr>
          <w:rFonts w:ascii="Times New Roman" w:hAnsi="Times New Roman" w:eastAsia="黑体" w:cs="Times New Roman"/>
          <w:bCs/>
          <w:snapToGrid w:val="0"/>
          <w:color w:val="000000"/>
          <w:sz w:val="32"/>
          <w:szCs w:val="32"/>
        </w:rPr>
        <w:t>五、社会保险基金预算支出情况</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我局无社会保险基金预算支出情况。</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黑体" w:cs="Times New Roman"/>
          <w:bCs/>
          <w:snapToGrid w:val="0"/>
          <w:color w:val="000000"/>
          <w:sz w:val="32"/>
          <w:szCs w:val="32"/>
        </w:rPr>
      </w:pPr>
      <w:r>
        <w:rPr>
          <w:rFonts w:ascii="Times New Roman" w:hAnsi="Times New Roman" w:eastAsia="黑体" w:cs="Times New Roman"/>
          <w:bCs/>
          <w:snapToGrid w:val="0"/>
          <w:color w:val="000000"/>
          <w:sz w:val="32"/>
          <w:szCs w:val="32"/>
        </w:rPr>
        <w:t>六、部门整体支出绩效情况</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2023年，我局部门整体支出绩效自评，从围绕部门职责、行业发展规划着手，以预算资金管理为主线，将运行成本、管理效率、履职效能、社会效应、可持续发展能力和服务对象满意度等指标，按2023年度部门整体支出绩效自评表要求，进一步细化、量化，综合反映部门整体及核心业务工作的实施效果。</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 w:cs="Times New Roman"/>
          <w:snapToGrid w:val="0"/>
          <w:color w:val="000000"/>
          <w:sz w:val="32"/>
          <w:szCs w:val="32"/>
        </w:rPr>
      </w:pPr>
      <w:r>
        <w:rPr>
          <w:rFonts w:ascii="Times New Roman" w:hAnsi="Times New Roman" w:eastAsia="仿宋_GB2312" w:cs="Times New Roman"/>
          <w:snapToGrid w:val="0"/>
          <w:color w:val="000000"/>
          <w:sz w:val="32"/>
          <w:szCs w:val="32"/>
        </w:rPr>
        <w:t>按照《益阳市财政局关于开展2023年度市级预算部门绩效自评和部门评价工作的通知》相关规定，根据基础数据分析计算，我局2023年度部门整体支出自评综合得</w:t>
      </w:r>
      <w:r>
        <w:rPr>
          <w:rFonts w:ascii="Times New Roman" w:hAnsi="Times New Roman" w:eastAsia="仿宋_GB2312" w:cs="Times New Roman"/>
          <w:snapToGrid w:val="0"/>
          <w:sz w:val="32"/>
          <w:szCs w:val="32"/>
        </w:rPr>
        <w:t>分为99.5分</w:t>
      </w:r>
      <w:r>
        <w:rPr>
          <w:rFonts w:ascii="Times New Roman" w:hAnsi="Times New Roman" w:eastAsia="仿宋_GB2312" w:cs="Times New Roman"/>
          <w:snapToGrid w:val="0"/>
          <w:color w:val="000000"/>
          <w:sz w:val="32"/>
          <w:szCs w:val="32"/>
        </w:rPr>
        <w:t>，其中预算执行率得分</w:t>
      </w:r>
      <w:r>
        <w:rPr>
          <w:rFonts w:ascii="Times New Roman" w:hAnsi="Times New Roman" w:eastAsia="仿宋_GB2312" w:cs="Times New Roman"/>
          <w:snapToGrid w:val="0"/>
          <w:sz w:val="32"/>
          <w:szCs w:val="32"/>
        </w:rPr>
        <w:t>为10分、产出指标类得分为42分、效益指标类得分为24分，满意度指标类得分为11.5分、成本指标类得分为12分。</w:t>
      </w:r>
      <w:r>
        <w:rPr>
          <w:rFonts w:ascii="Times New Roman" w:hAnsi="Times New Roman" w:eastAsia="仿宋_GB2312" w:cs="Times New Roman"/>
          <w:snapToGrid w:val="0"/>
          <w:color w:val="000000"/>
          <w:sz w:val="32"/>
          <w:szCs w:val="32"/>
        </w:rPr>
        <w:t>主要绩效况如下：</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楷体_GB2312" w:cs="Times New Roman"/>
          <w:snapToGrid w:val="0"/>
          <w:color w:val="000000"/>
          <w:sz w:val="32"/>
          <w:szCs w:val="32"/>
        </w:rPr>
      </w:pPr>
      <w:r>
        <w:rPr>
          <w:rFonts w:ascii="Times New Roman" w:hAnsi="Times New Roman" w:eastAsia="楷体_GB2312" w:cs="Times New Roman"/>
          <w:snapToGrid w:val="0"/>
          <w:color w:val="000000"/>
          <w:sz w:val="32"/>
          <w:szCs w:val="32"/>
        </w:rPr>
        <w:t>（一）经济性评价</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1.2023年预算配置控制较好，编制内在职人员控制率小于100%，控制在预算编制以内；</w:t>
      </w:r>
      <w:r>
        <w:rPr>
          <w:rFonts w:hint="eastAsia" w:ascii="Times New Roman" w:hAnsi="Times New Roman" w:eastAsia="仿宋_GB2312" w:cs="Times New Roman"/>
          <w:snapToGrid w:val="0"/>
          <w:color w:val="000000"/>
          <w:sz w:val="32"/>
          <w:szCs w:val="32"/>
        </w:rPr>
        <w:t>“三公”</w:t>
      </w:r>
      <w:r>
        <w:rPr>
          <w:rFonts w:ascii="Times New Roman" w:hAnsi="Times New Roman" w:eastAsia="仿宋_GB2312" w:cs="Times New Roman"/>
          <w:snapToGrid w:val="0"/>
          <w:color w:val="000000"/>
          <w:sz w:val="32"/>
          <w:szCs w:val="32"/>
        </w:rPr>
        <w:t>经费支出</w:t>
      </w:r>
      <w:r>
        <w:rPr>
          <w:rFonts w:ascii="Times New Roman" w:hAnsi="Times New Roman" w:eastAsia="仿宋_GB2312" w:cs="Times New Roman"/>
          <w:snapToGrid w:val="0"/>
          <w:sz w:val="32"/>
          <w:szCs w:val="32"/>
        </w:rPr>
        <w:t>8.28</w:t>
      </w:r>
      <w:r>
        <w:rPr>
          <w:rFonts w:ascii="Times New Roman" w:hAnsi="Times New Roman" w:eastAsia="仿宋_GB2312" w:cs="Times New Roman"/>
          <w:snapToGrid w:val="0"/>
          <w:color w:val="000000"/>
          <w:sz w:val="32"/>
          <w:szCs w:val="32"/>
        </w:rPr>
        <w:t>万元，比上年增加了1.37万元，控制在预算编制以内。</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2.预算执行情况，2023年全年预算数1466.51万元，全年执行数1466.51万元，预算执行率100%，支出总额控制在预算总额以内。</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楷体_GB2312" w:cs="Times New Roman"/>
          <w:snapToGrid w:val="0"/>
          <w:color w:val="000000"/>
          <w:sz w:val="32"/>
          <w:szCs w:val="32"/>
        </w:rPr>
      </w:pPr>
      <w:r>
        <w:rPr>
          <w:rFonts w:ascii="Times New Roman" w:hAnsi="Times New Roman" w:eastAsia="楷体_GB2312" w:cs="Times New Roman"/>
          <w:snapToGrid w:val="0"/>
          <w:color w:val="000000"/>
          <w:sz w:val="32"/>
          <w:szCs w:val="32"/>
        </w:rPr>
        <w:t>（二）行政效能评价</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为强化部门整体支出，加强国有资产管理，提高资金使用效益，提升财务管理，建立节约型机关，我局进一步加强党史教育和宗旨教育，引导干部树立正确的世界观、人生观、价值观，提升自身整体队伍素质；进一步优化内部结构，健全规章制度，强化内部管理，规范办事程序，提高服务质量；进一步强化业务管</w:t>
      </w:r>
      <w:r>
        <w:rPr>
          <w:rFonts w:ascii="Times New Roman" w:hAnsi="Times New Roman" w:eastAsia="仿宋_GB2312" w:cs="Times New Roman"/>
          <w:snapToGrid w:val="0"/>
          <w:color w:val="000000"/>
          <w:w w:val="97"/>
          <w:sz w:val="32"/>
          <w:szCs w:val="32"/>
        </w:rPr>
        <w:t>理、财务管理、厉行节约，提高行政效率，降低行政成本效果较好。</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楷体_GB2312" w:cs="Times New Roman"/>
          <w:snapToGrid w:val="0"/>
          <w:color w:val="000000"/>
          <w:sz w:val="32"/>
          <w:szCs w:val="32"/>
        </w:rPr>
      </w:pPr>
      <w:r>
        <w:rPr>
          <w:rFonts w:ascii="Times New Roman" w:hAnsi="Times New Roman" w:eastAsia="楷体_GB2312" w:cs="Times New Roman"/>
          <w:snapToGrid w:val="0"/>
          <w:color w:val="000000"/>
          <w:sz w:val="32"/>
          <w:szCs w:val="32"/>
        </w:rPr>
        <w:t>（三）社会效益评价</w:t>
      </w:r>
    </w:p>
    <w:p>
      <w:pPr>
        <w:pStyle w:val="21"/>
        <w:overflowPunct w:val="0"/>
        <w:topLinePunct/>
        <w:adjustRightInd w:val="0"/>
        <w:snapToGrid w:val="0"/>
        <w:spacing w:before="0" w:after="0" w:line="592" w:lineRule="atLeast"/>
        <w:ind w:firstLine="640"/>
        <w:rPr>
          <w:rStyle w:val="15"/>
          <w:rFonts w:ascii="Times New Roman" w:hAnsi="Times New Roman" w:eastAsia="仿宋" w:cs="Times New Roman"/>
          <w:b w:val="0"/>
          <w:snapToGrid w:val="0"/>
          <w:kern w:val="0"/>
          <w:shd w:val="clear" w:color="auto" w:fill="FFFFFF"/>
        </w:rPr>
      </w:pPr>
      <w:r>
        <w:rPr>
          <w:rStyle w:val="15"/>
          <w:rFonts w:ascii="Times New Roman" w:hAnsi="Times New Roman" w:cs="Times New Roman"/>
          <w:b w:val="0"/>
          <w:snapToGrid w:val="0"/>
          <w:kern w:val="0"/>
          <w:shd w:val="clear" w:color="auto" w:fill="FFFFFF"/>
        </w:rPr>
        <w:t>2023年，益阳市统计局坚持以习近平新时代中国特色社会主义思想为指导，全面贯彻党的二十大精神，以及国家、省统计局各项决策部署，着力提高统计数据质量和服务高质量发展的水平，进一步创新工作思路，提升工作质效，为社会经济稳进提质提供强有力的统计保障。</w:t>
      </w:r>
    </w:p>
    <w:p>
      <w:pPr>
        <w:overflowPunct w:val="0"/>
        <w:topLinePunct/>
        <w:adjustRightInd w:val="0"/>
        <w:snapToGrid w:val="0"/>
        <w:spacing w:line="592" w:lineRule="atLeast"/>
        <w:ind w:firstLine="640" w:firstLineChars="200"/>
        <w:rPr>
          <w:rFonts w:ascii="Times New Roman" w:hAnsi="Times New Roman" w:eastAsia="仿宋_GB2312" w:cs="Times New Roman"/>
          <w:snapToGrid w:val="0"/>
          <w:kern w:val="0"/>
          <w:sz w:val="32"/>
          <w:szCs w:val="32"/>
          <w:shd w:val="clear" w:color="auto" w:fill="FFFFFF"/>
        </w:rPr>
      </w:pPr>
      <w:r>
        <w:rPr>
          <w:rFonts w:ascii="Times New Roman" w:hAnsi="Times New Roman" w:eastAsia="仿宋_GB2312" w:cs="Times New Roman"/>
          <w:snapToGrid w:val="0"/>
          <w:kern w:val="0"/>
          <w:sz w:val="32"/>
          <w:szCs w:val="32"/>
          <w:shd w:val="clear" w:color="auto" w:fill="FFFFFF"/>
        </w:rPr>
        <w:t>1.坚定不移，在对标看齐、淬炼忠诚中推进政治机关建设</w:t>
      </w:r>
    </w:p>
    <w:p>
      <w:pPr>
        <w:overflowPunct w:val="0"/>
        <w:topLinePunct/>
        <w:adjustRightInd w:val="0"/>
        <w:snapToGrid w:val="0"/>
        <w:spacing w:line="592" w:lineRule="atLeast"/>
        <w:ind w:firstLine="640" w:firstLineChars="200"/>
        <w:rPr>
          <w:rFonts w:ascii="Times New Roman" w:hAnsi="Times New Roman" w:eastAsia="仿宋_GB2312" w:cs="Times New Roman"/>
          <w:snapToGrid w:val="0"/>
          <w:kern w:val="0"/>
          <w:sz w:val="32"/>
          <w:szCs w:val="32"/>
          <w:shd w:val="clear" w:color="auto" w:fill="FFFFFF"/>
        </w:rPr>
      </w:pPr>
      <w:r>
        <w:rPr>
          <w:rFonts w:ascii="Times New Roman" w:hAnsi="Times New Roman" w:eastAsia="仿宋_GB2312" w:cs="Times New Roman"/>
          <w:snapToGrid w:val="0"/>
          <w:color w:val="000000"/>
          <w:kern w:val="0"/>
          <w:sz w:val="32"/>
          <w:szCs w:val="32"/>
        </w:rPr>
        <w:t>（1）以高度政治自觉抓实主题教育。</w:t>
      </w:r>
      <w:r>
        <w:rPr>
          <w:rFonts w:ascii="Times New Roman" w:hAnsi="Times New Roman" w:eastAsia="仿宋_GB2312" w:cs="Times New Roman"/>
          <w:snapToGrid w:val="0"/>
          <w:kern w:val="0"/>
          <w:sz w:val="32"/>
          <w:szCs w:val="32"/>
          <w:shd w:val="clear" w:color="auto" w:fill="FFFFFF"/>
        </w:rPr>
        <w:t>严格按照主题教育各项安排部署，紧密围绕</w:t>
      </w:r>
      <w:r>
        <w:rPr>
          <w:rFonts w:hint="eastAsia" w:ascii="Times New Roman" w:hAnsi="Times New Roman" w:eastAsia="仿宋_GB2312" w:cs="Times New Roman"/>
          <w:snapToGrid w:val="0"/>
          <w:kern w:val="0"/>
          <w:sz w:val="32"/>
          <w:szCs w:val="32"/>
          <w:shd w:val="clear" w:color="auto" w:fill="FFFFFF"/>
        </w:rPr>
        <w:t>“学思想、强党性、重实践、建新功”总</w:t>
      </w:r>
      <w:r>
        <w:rPr>
          <w:rFonts w:ascii="Times New Roman" w:hAnsi="Times New Roman" w:eastAsia="仿宋_GB2312" w:cs="Times New Roman"/>
          <w:snapToGrid w:val="0"/>
          <w:kern w:val="0"/>
          <w:sz w:val="32"/>
          <w:szCs w:val="32"/>
          <w:shd w:val="clear" w:color="auto" w:fill="FFFFFF"/>
        </w:rPr>
        <w:t>要求，扎实开展学习贯彻习近平新时代中国特色社会主义思想主题教育。坚持把学习贯彻党的思想作为首要任务，分期举办7天读书班，开展专题研讨，局领导班子成员、各支部书记分别开讲专题党课。建立</w:t>
      </w:r>
      <w:r>
        <w:rPr>
          <w:rFonts w:hint="eastAsia" w:ascii="Times New Roman" w:hAnsi="Times New Roman" w:eastAsia="仿宋_GB2312" w:cs="Times New Roman"/>
          <w:snapToGrid w:val="0"/>
          <w:kern w:val="0"/>
          <w:sz w:val="32"/>
          <w:szCs w:val="32"/>
          <w:shd w:val="clear" w:color="auto" w:fill="FFFFFF"/>
        </w:rPr>
        <w:t>“青年党员讲党课”</w:t>
      </w:r>
      <w:r>
        <w:rPr>
          <w:rFonts w:ascii="Times New Roman" w:hAnsi="Times New Roman" w:eastAsia="仿宋_GB2312" w:cs="Times New Roman"/>
          <w:snapToGrid w:val="0"/>
          <w:kern w:val="0"/>
          <w:sz w:val="32"/>
          <w:szCs w:val="32"/>
          <w:shd w:val="clear" w:color="auto" w:fill="FFFFFF"/>
        </w:rPr>
        <w:t>平台，引导青年党员</w:t>
      </w:r>
      <w:r>
        <w:rPr>
          <w:rFonts w:hint="eastAsia" w:ascii="Times New Roman" w:hAnsi="Times New Roman" w:eastAsia="仿宋_GB2312" w:cs="Times New Roman"/>
          <w:snapToGrid w:val="0"/>
          <w:kern w:val="0"/>
          <w:sz w:val="32"/>
          <w:szCs w:val="32"/>
          <w:shd w:val="clear" w:color="auto" w:fill="FFFFFF"/>
        </w:rPr>
        <w:t>“学</w:t>
      </w:r>
      <w:r>
        <w:rPr>
          <w:rFonts w:ascii="Times New Roman" w:hAnsi="Times New Roman" w:eastAsia="仿宋_GB2312" w:cs="Times New Roman"/>
          <w:snapToGrid w:val="0"/>
          <w:kern w:val="0"/>
          <w:sz w:val="32"/>
          <w:szCs w:val="32"/>
          <w:shd w:val="clear" w:color="auto" w:fill="FFFFFF"/>
        </w:rPr>
        <w:t>思践</w:t>
      </w:r>
      <w:r>
        <w:rPr>
          <w:rFonts w:hint="eastAsia" w:ascii="Times New Roman" w:hAnsi="Times New Roman" w:eastAsia="仿宋_GB2312" w:cs="Times New Roman"/>
          <w:snapToGrid w:val="0"/>
          <w:kern w:val="0"/>
          <w:sz w:val="32"/>
          <w:szCs w:val="32"/>
          <w:shd w:val="clear" w:color="auto" w:fill="FFFFFF"/>
        </w:rPr>
        <w:t>悟”。深化调</w:t>
      </w:r>
      <w:r>
        <w:rPr>
          <w:rFonts w:ascii="Times New Roman" w:hAnsi="Times New Roman" w:eastAsia="仿宋_GB2312" w:cs="Times New Roman"/>
          <w:snapToGrid w:val="0"/>
          <w:kern w:val="0"/>
          <w:sz w:val="32"/>
          <w:szCs w:val="32"/>
          <w:shd w:val="clear" w:color="auto" w:fill="FFFFFF"/>
        </w:rPr>
        <w:t>查研究，每名班子成员联系1—2个基层联系点，</w:t>
      </w:r>
      <w:r>
        <w:rPr>
          <w:rFonts w:hint="eastAsia" w:ascii="Times New Roman" w:hAnsi="Times New Roman" w:eastAsia="仿宋_GB2312" w:cs="Times New Roman"/>
          <w:snapToGrid w:val="0"/>
          <w:kern w:val="0"/>
          <w:sz w:val="32"/>
          <w:szCs w:val="32"/>
          <w:shd w:val="clear" w:color="auto" w:fill="FFFFFF"/>
        </w:rPr>
        <w:t>通过“走找想促”活动切实解决调研中发现的问题</w:t>
      </w:r>
      <w:r>
        <w:rPr>
          <w:rFonts w:ascii="Times New Roman" w:hAnsi="Times New Roman" w:eastAsia="仿宋_GB2312" w:cs="Times New Roman"/>
          <w:snapToGrid w:val="0"/>
          <w:kern w:val="0"/>
          <w:sz w:val="32"/>
          <w:szCs w:val="32"/>
          <w:shd w:val="clear" w:color="auto" w:fill="FFFFFF"/>
        </w:rPr>
        <w:t>50个。坚持把主题教育与中心工作相结合、推动主题教育同统计业务、中心工作有机融合，在深学细照笃行中提高理论素养、坚定理想信念、增强本领能力。</w:t>
      </w:r>
    </w:p>
    <w:p>
      <w:pPr>
        <w:overflowPunct w:val="0"/>
        <w:topLinePunct/>
        <w:adjustRightInd w:val="0"/>
        <w:snapToGrid w:val="0"/>
        <w:spacing w:line="592" w:lineRule="atLeast"/>
        <w:ind w:firstLine="640" w:firstLineChars="200"/>
        <w:rPr>
          <w:rFonts w:ascii="Times New Roman" w:hAnsi="Times New Roman" w:eastAsia="仿宋_GB2312" w:cs="Times New Roman"/>
          <w:snapToGrid w:val="0"/>
          <w:kern w:val="0"/>
          <w:sz w:val="32"/>
          <w:szCs w:val="32"/>
          <w:shd w:val="clear" w:color="auto" w:fill="FFFFFF"/>
          <w:lang w:val="zh-CN"/>
        </w:rPr>
      </w:pPr>
      <w:r>
        <w:rPr>
          <w:rFonts w:ascii="Times New Roman" w:hAnsi="Times New Roman" w:eastAsia="仿宋_GB2312" w:cs="Times New Roman"/>
          <w:snapToGrid w:val="0"/>
          <w:color w:val="000000"/>
          <w:kern w:val="0"/>
          <w:sz w:val="32"/>
          <w:szCs w:val="32"/>
        </w:rPr>
        <w:t>（2）以强烈责任担当抓紧巡视整改。</w:t>
      </w:r>
      <w:r>
        <w:rPr>
          <w:rFonts w:ascii="Times New Roman" w:hAnsi="Times New Roman" w:eastAsia="仿宋_GB2312" w:cs="Times New Roman"/>
          <w:snapToGrid w:val="0"/>
          <w:kern w:val="0"/>
          <w:sz w:val="32"/>
          <w:szCs w:val="32"/>
          <w:shd w:val="clear" w:color="auto" w:fill="FFFFFF"/>
          <w:lang w:val="zh-CN"/>
        </w:rPr>
        <w:t>高度重视省委巡视统计专项监督检查反馈问题整改工作，先后4次召开党组会议专题研究部署，成立巡视整改工作专班，对照巡视反馈的6个方面17个问题，研究制定了26条具体措施，提请市委印发专项整改方案，并组织召开巡视整改推进工作会，压紧压实整改责任。将整改情况纳入市委巡视整改办专项督查督办，强化工作检查督导，确保各项措施落实落细。全面梳理汇总整改落实情况，</w:t>
      </w:r>
      <w:r>
        <w:rPr>
          <w:rFonts w:ascii="Times New Roman" w:hAnsi="Times New Roman" w:eastAsia="仿宋_GB2312" w:cs="Times New Roman"/>
          <w:snapToGrid w:val="0"/>
          <w:kern w:val="0"/>
          <w:sz w:val="32"/>
          <w:szCs w:val="32"/>
          <w:shd w:val="clear" w:color="auto" w:fill="FFFFFF"/>
        </w:rPr>
        <w:t>按时</w:t>
      </w:r>
      <w:r>
        <w:rPr>
          <w:rFonts w:ascii="Times New Roman" w:hAnsi="Times New Roman" w:eastAsia="仿宋_GB2312" w:cs="Times New Roman"/>
          <w:snapToGrid w:val="0"/>
          <w:kern w:val="0"/>
          <w:sz w:val="32"/>
          <w:szCs w:val="32"/>
          <w:shd w:val="clear" w:color="auto" w:fill="FFFFFF"/>
          <w:lang w:val="zh-CN"/>
        </w:rPr>
        <w:t>向省统计局报送整改报告及其佐证资料。同时及时总结整改经验，制定和完善各类制度和方案16项，巩固好、坚持好整改成果。</w:t>
      </w:r>
    </w:p>
    <w:p>
      <w:pPr>
        <w:overflowPunct w:val="0"/>
        <w:topLinePunct/>
        <w:adjustRightInd w:val="0"/>
        <w:snapToGrid w:val="0"/>
        <w:spacing w:line="592" w:lineRule="atLeast"/>
        <w:ind w:firstLine="640" w:firstLineChars="200"/>
        <w:rPr>
          <w:rFonts w:ascii="Times New Roman" w:hAnsi="Times New Roman" w:eastAsia="仿宋_GB2312" w:cs="Times New Roman"/>
          <w:snapToGrid w:val="0"/>
          <w:kern w:val="0"/>
          <w:sz w:val="32"/>
          <w:szCs w:val="32"/>
          <w:shd w:val="clear" w:color="auto" w:fill="FFFFFF"/>
        </w:rPr>
      </w:pPr>
      <w:r>
        <w:rPr>
          <w:rFonts w:ascii="Times New Roman" w:hAnsi="Times New Roman" w:eastAsia="仿宋_GB2312" w:cs="Times New Roman"/>
          <w:snapToGrid w:val="0"/>
          <w:kern w:val="0"/>
          <w:sz w:val="32"/>
          <w:szCs w:val="24"/>
        </w:rPr>
        <w:t>（3）以创新开放思维抓好机关党建。</w:t>
      </w:r>
      <w:r>
        <w:rPr>
          <w:rFonts w:ascii="Times New Roman" w:hAnsi="Times New Roman" w:eastAsia="仿宋_GB2312" w:cs="Times New Roman"/>
          <w:snapToGrid w:val="0"/>
          <w:kern w:val="0"/>
          <w:sz w:val="32"/>
          <w:szCs w:val="32"/>
          <w:shd w:val="clear" w:color="auto" w:fill="FFFFFF"/>
        </w:rPr>
        <w:t>努力创新方法载体，积极引导青年党员讲党课、讲业务，探索党建工作新载体，促进党建和业务工作深度融合、相互促进。强化基层组织建设，</w:t>
      </w:r>
      <w:r>
        <w:rPr>
          <w:rFonts w:hint="eastAsia" w:ascii="Times New Roman" w:hAnsi="Times New Roman" w:eastAsia="仿宋_GB2312" w:cs="Times New Roman"/>
          <w:snapToGrid w:val="0"/>
          <w:kern w:val="0"/>
          <w:sz w:val="32"/>
          <w:szCs w:val="32"/>
          <w:shd w:val="clear" w:color="auto" w:fill="FFFFFF"/>
        </w:rPr>
        <w:t>按照“牢固树立党的一切工作到支部的鲜明导向”“抓实基层支部”</w:t>
      </w:r>
      <w:r>
        <w:rPr>
          <w:rFonts w:ascii="Times New Roman" w:hAnsi="Times New Roman" w:eastAsia="仿宋_GB2312" w:cs="Times New Roman"/>
          <w:snapToGrid w:val="0"/>
          <w:kern w:val="0"/>
          <w:sz w:val="32"/>
          <w:szCs w:val="32"/>
          <w:shd w:val="clear" w:color="auto" w:fill="FFFFFF"/>
        </w:rPr>
        <w:t>的要求，着力建设政治功能强、支部班子强、党员队伍强、作用发挥强的</w:t>
      </w:r>
      <w:r>
        <w:rPr>
          <w:rFonts w:hint="eastAsia" w:ascii="Times New Roman" w:hAnsi="Times New Roman" w:eastAsia="仿宋_GB2312" w:cs="Times New Roman"/>
          <w:snapToGrid w:val="0"/>
          <w:kern w:val="0"/>
          <w:sz w:val="32"/>
          <w:szCs w:val="32"/>
          <w:shd w:val="clear" w:color="auto" w:fill="FFFFFF"/>
        </w:rPr>
        <w:t>“四强”党支部。开展各类党建活动，组织党员志愿服务队深入联点结对梓山社区开展“接地气、去官气、传正气、转作风、惠民利”主题志愿活动，开展助残活动、“爱心妈妈”六</w:t>
      </w:r>
      <w:r>
        <w:rPr>
          <w:rFonts w:ascii="Times New Roman" w:hAnsi="Times New Roman" w:eastAsia="仿宋_GB2312" w:cs="Times New Roman"/>
          <w:snapToGrid w:val="0"/>
          <w:kern w:val="0"/>
          <w:sz w:val="32"/>
          <w:szCs w:val="32"/>
          <w:shd w:val="clear" w:color="auto" w:fill="FFFFFF"/>
        </w:rPr>
        <w:t>一主题活</w:t>
      </w:r>
      <w:r>
        <w:rPr>
          <w:rFonts w:hint="eastAsia" w:ascii="Times New Roman" w:hAnsi="Times New Roman" w:eastAsia="仿宋_GB2312" w:cs="Times New Roman"/>
          <w:snapToGrid w:val="0"/>
          <w:kern w:val="0"/>
          <w:sz w:val="32"/>
          <w:szCs w:val="32"/>
          <w:shd w:val="clear" w:color="auto" w:fill="FFFFFF"/>
        </w:rPr>
        <w:t>动及乡村振兴点帮扶活动。组织退休支部党员到韶山开展庆祝“七一”系</w:t>
      </w:r>
      <w:r>
        <w:rPr>
          <w:rFonts w:ascii="Times New Roman" w:hAnsi="Times New Roman" w:eastAsia="仿宋_GB2312" w:cs="Times New Roman"/>
          <w:snapToGrid w:val="0"/>
          <w:kern w:val="0"/>
          <w:sz w:val="32"/>
          <w:szCs w:val="32"/>
          <w:shd w:val="clear" w:color="auto" w:fill="FFFFFF"/>
        </w:rPr>
        <w:t>列活动，组织党员到马渡调查旧址等红色教育基地、企业园区开展开放式调研学习。</w:t>
      </w:r>
    </w:p>
    <w:p>
      <w:pPr>
        <w:overflowPunct w:val="0"/>
        <w:topLinePunct/>
        <w:adjustRightInd w:val="0"/>
        <w:snapToGrid w:val="0"/>
        <w:spacing w:line="592" w:lineRule="atLeast"/>
        <w:ind w:firstLine="640" w:firstLineChars="200"/>
        <w:rPr>
          <w:rFonts w:ascii="Times New Roman" w:hAnsi="Times New Roman" w:eastAsia="仿宋_GB2312" w:cs="Times New Roman"/>
          <w:snapToGrid w:val="0"/>
          <w:kern w:val="0"/>
          <w:sz w:val="32"/>
          <w:szCs w:val="32"/>
          <w:shd w:val="clear" w:color="auto" w:fill="FFFFFF"/>
        </w:rPr>
      </w:pPr>
      <w:r>
        <w:rPr>
          <w:rFonts w:ascii="Times New Roman" w:hAnsi="Times New Roman" w:eastAsia="仿宋_GB2312" w:cs="Times New Roman"/>
          <w:snapToGrid w:val="0"/>
          <w:kern w:val="0"/>
          <w:sz w:val="32"/>
          <w:szCs w:val="32"/>
          <w:shd w:val="clear" w:color="auto" w:fill="FFFFFF"/>
        </w:rPr>
        <w:t>2.找准方位，在围绕中心、服务大局上促进业务能力提升</w:t>
      </w:r>
    </w:p>
    <w:p>
      <w:pPr>
        <w:overflowPunct w:val="0"/>
        <w:topLinePunct/>
        <w:adjustRightInd w:val="0"/>
        <w:snapToGrid w:val="0"/>
        <w:spacing w:line="592" w:lineRule="atLeas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24"/>
        </w:rPr>
        <w:t>（1）扎实推进</w:t>
      </w:r>
      <w:r>
        <w:rPr>
          <w:rFonts w:hint="eastAsia" w:ascii="Times New Roman" w:hAnsi="Times New Roman" w:eastAsia="仿宋_GB2312" w:cs="Times New Roman"/>
          <w:snapToGrid w:val="0"/>
          <w:kern w:val="0"/>
          <w:sz w:val="32"/>
          <w:szCs w:val="24"/>
        </w:rPr>
        <w:t>“三个提升年”行</w:t>
      </w:r>
      <w:r>
        <w:rPr>
          <w:rFonts w:ascii="Times New Roman" w:hAnsi="Times New Roman" w:eastAsia="仿宋_GB2312" w:cs="Times New Roman"/>
          <w:snapToGrid w:val="0"/>
          <w:kern w:val="0"/>
          <w:sz w:val="32"/>
          <w:szCs w:val="24"/>
        </w:rPr>
        <w:t>动。</w:t>
      </w:r>
      <w:r>
        <w:rPr>
          <w:rFonts w:ascii="Times New Roman" w:hAnsi="Times New Roman" w:eastAsia="仿宋_GB2312" w:cs="Times New Roman"/>
          <w:snapToGrid w:val="0"/>
          <w:kern w:val="0"/>
          <w:sz w:val="32"/>
          <w:szCs w:val="32"/>
        </w:rPr>
        <w:t>以市委</w:t>
      </w:r>
      <w:r>
        <w:rPr>
          <w:rFonts w:hint="eastAsia" w:ascii="Times New Roman" w:hAnsi="Times New Roman" w:eastAsia="仿宋_GB2312" w:cs="Times New Roman"/>
          <w:snapToGrid w:val="0"/>
          <w:kern w:val="0"/>
          <w:sz w:val="32"/>
          <w:szCs w:val="32"/>
        </w:rPr>
        <w:t>“执行力提升年”行动为抓手，以“不出差错、走在前列、争当标杆”为</w:t>
      </w:r>
      <w:r>
        <w:rPr>
          <w:rFonts w:ascii="Times New Roman" w:hAnsi="Times New Roman" w:eastAsia="仿宋_GB2312" w:cs="Times New Roman"/>
          <w:snapToGrid w:val="0"/>
          <w:kern w:val="0"/>
          <w:sz w:val="32"/>
          <w:szCs w:val="32"/>
        </w:rPr>
        <w:t>目标，致力打</w:t>
      </w:r>
      <w:r>
        <w:rPr>
          <w:rFonts w:hint="eastAsia" w:ascii="Times New Roman" w:hAnsi="Times New Roman" w:eastAsia="仿宋_GB2312" w:cs="Times New Roman"/>
          <w:snapToGrid w:val="0"/>
          <w:kern w:val="0"/>
          <w:sz w:val="32"/>
          <w:szCs w:val="32"/>
        </w:rPr>
        <w:t>造“政治忠诚、执行有力、管理精细、法纪严明”的统计机关；以市委“能力素质提升年”行动为契机，始终坚持强根铸魂固信念，把政治建设放在首位，不断深化党的创新理论武装，全面加强统计干部政治历练和专业训练，不断提升干部的政治素养和专业能力；以市委“营商环境提升年”行动为导向，精心组织开展社情民意调查，完成“四上”企业生产经营情况调查、“专精特新”企</w:t>
      </w:r>
      <w:r>
        <w:rPr>
          <w:rFonts w:ascii="Times New Roman" w:hAnsi="Times New Roman" w:eastAsia="仿宋_GB2312" w:cs="Times New Roman"/>
          <w:snapToGrid w:val="0"/>
          <w:kern w:val="0"/>
          <w:sz w:val="32"/>
          <w:szCs w:val="32"/>
        </w:rPr>
        <w:t>业生产经营情况调查等15项调查任务；不定期组织市局专业人员深入企业了解生产经营状况、数据填报中存在的问题等，以集中培训、现场指导等方式进行</w:t>
      </w:r>
      <w:r>
        <w:rPr>
          <w:rFonts w:ascii="Times New Roman" w:hAnsi="Times New Roman" w:eastAsia="仿宋_GB2312" w:cs="Times New Roman"/>
          <w:snapToGrid w:val="0"/>
          <w:kern w:val="0"/>
          <w:sz w:val="32"/>
          <w:szCs w:val="32"/>
          <w:lang w:val="zh-CN"/>
        </w:rPr>
        <w:t>指导</w:t>
      </w:r>
      <w:r>
        <w:rPr>
          <w:rFonts w:ascii="Times New Roman" w:hAnsi="Times New Roman" w:eastAsia="仿宋_GB2312" w:cs="Times New Roman"/>
          <w:snapToGrid w:val="0"/>
          <w:kern w:val="0"/>
          <w:sz w:val="32"/>
          <w:szCs w:val="32"/>
        </w:rPr>
        <w:t>帮扶</w:t>
      </w:r>
      <w:r>
        <w:rPr>
          <w:rFonts w:ascii="Times New Roman" w:hAnsi="Times New Roman" w:eastAsia="仿宋_GB2312" w:cs="Times New Roman"/>
          <w:snapToGrid w:val="0"/>
          <w:kern w:val="0"/>
          <w:sz w:val="32"/>
          <w:szCs w:val="32"/>
          <w:lang w:val="zh-CN"/>
        </w:rPr>
        <w:t>，</w:t>
      </w:r>
      <w:r>
        <w:rPr>
          <w:rFonts w:ascii="Times New Roman" w:hAnsi="Times New Roman" w:eastAsia="仿宋_GB2312" w:cs="Times New Roman"/>
          <w:snapToGrid w:val="0"/>
          <w:kern w:val="0"/>
          <w:sz w:val="32"/>
          <w:szCs w:val="32"/>
        </w:rPr>
        <w:t>主动</w:t>
      </w:r>
      <w:r>
        <w:rPr>
          <w:rFonts w:ascii="Times New Roman" w:hAnsi="Times New Roman" w:eastAsia="仿宋_GB2312" w:cs="Times New Roman"/>
          <w:snapToGrid w:val="0"/>
          <w:kern w:val="0"/>
          <w:sz w:val="32"/>
          <w:szCs w:val="32"/>
          <w:lang w:val="zh-CN"/>
        </w:rPr>
        <w:t>帮助企业排忧解难，以实际行动助力优化营商环境。</w:t>
      </w:r>
    </w:p>
    <w:p>
      <w:pPr>
        <w:overflowPunct w:val="0"/>
        <w:topLinePunct/>
        <w:adjustRightInd w:val="0"/>
        <w:snapToGrid w:val="0"/>
        <w:spacing w:line="592" w:lineRule="atLeas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24"/>
        </w:rPr>
        <w:t>（2）深入开</w:t>
      </w:r>
      <w:r>
        <w:rPr>
          <w:rFonts w:hint="eastAsia" w:ascii="Times New Roman" w:hAnsi="Times New Roman" w:eastAsia="仿宋_GB2312" w:cs="Times New Roman"/>
          <w:snapToGrid w:val="0"/>
          <w:kern w:val="0"/>
          <w:sz w:val="32"/>
          <w:szCs w:val="24"/>
        </w:rPr>
        <w:t>展“四大活动”。</w:t>
      </w:r>
      <w:r>
        <w:rPr>
          <w:rFonts w:ascii="Times New Roman" w:hAnsi="Times New Roman" w:eastAsia="仿宋_GB2312" w:cs="Times New Roman"/>
          <w:snapToGrid w:val="0"/>
          <w:kern w:val="0"/>
          <w:sz w:val="32"/>
          <w:szCs w:val="32"/>
          <w:shd w:val="clear" w:color="auto" w:fill="FFFFFF"/>
          <w:lang w:val="zh-CN"/>
        </w:rPr>
        <w:t>积极响应省统计局开展的</w:t>
      </w:r>
      <w:r>
        <w:rPr>
          <w:rFonts w:hint="eastAsia" w:ascii="Times New Roman" w:hAnsi="Times New Roman" w:eastAsia="仿宋_GB2312" w:cs="Times New Roman"/>
          <w:snapToGrid w:val="0"/>
          <w:kern w:val="0"/>
          <w:sz w:val="32"/>
          <w:szCs w:val="32"/>
          <w:shd w:val="clear" w:color="auto" w:fill="FFFFFF"/>
          <w:lang w:val="zh-CN"/>
        </w:rPr>
        <w:t>“来一场大学习、来一回大调研、来一轮大练兵、来一次大宣传”</w:t>
      </w:r>
      <w:r>
        <w:rPr>
          <w:rFonts w:ascii="Times New Roman" w:hAnsi="Times New Roman" w:eastAsia="仿宋_GB2312" w:cs="Times New Roman"/>
          <w:snapToGrid w:val="0"/>
          <w:kern w:val="0"/>
          <w:sz w:val="32"/>
          <w:szCs w:val="32"/>
          <w:shd w:val="clear" w:color="auto" w:fill="FFFFFF"/>
        </w:rPr>
        <w:t>工作要求</w:t>
      </w:r>
      <w:r>
        <w:rPr>
          <w:rFonts w:ascii="Times New Roman" w:hAnsi="Times New Roman" w:eastAsia="仿宋_GB2312" w:cs="Times New Roman"/>
          <w:snapToGrid w:val="0"/>
          <w:kern w:val="0"/>
          <w:sz w:val="32"/>
          <w:szCs w:val="32"/>
          <w:shd w:val="clear" w:color="auto" w:fill="FFFFFF"/>
          <w:lang w:val="zh-CN"/>
        </w:rPr>
        <w:t>，以提升统计服务能力为中心，以提升干部业务水平为主线，在全市统计系统部署相关工作。联合市委政研室、市政府研究室、市农业农村局等部门开展民营经济、乡村特色产业发展等调研活动，完成综合调研报告3篇，专题调研报告8篇。</w:t>
      </w:r>
      <w:r>
        <w:rPr>
          <w:rFonts w:ascii="Times New Roman" w:hAnsi="Times New Roman" w:eastAsia="仿宋_GB2312" w:cs="Times New Roman"/>
          <w:snapToGrid w:val="0"/>
          <w:kern w:val="0"/>
          <w:sz w:val="32"/>
          <w:szCs w:val="32"/>
          <w:shd w:val="clear" w:color="auto" w:fill="FFFFFF"/>
        </w:rPr>
        <w:t>全年市局共撰写统计分析54篇</w:t>
      </w:r>
      <w:r>
        <w:rPr>
          <w:rFonts w:ascii="Times New Roman" w:hAnsi="Times New Roman" w:eastAsia="仿宋_GB2312" w:cs="Times New Roman"/>
          <w:snapToGrid w:val="0"/>
          <w:kern w:val="0"/>
          <w:sz w:val="32"/>
          <w:szCs w:val="32"/>
          <w:shd w:val="clear" w:color="auto" w:fill="FFFFFF"/>
          <w:lang w:val="zh-CN"/>
        </w:rPr>
        <w:t>，其中《深耕特色产业 壮大县域经济》被列为全市重点课题，</w:t>
      </w:r>
      <w:r>
        <w:fldChar w:fldCharType="begin"/>
      </w:r>
      <w:r>
        <w:instrText xml:space="preserve"> HYPERLINK "https://oa.yiyang.gov.cn:17888/trueWorkFlow_gch/table_getOverList.do" </w:instrText>
      </w:r>
      <w:r>
        <w:fldChar w:fldCharType="separate"/>
      </w:r>
      <w:r>
        <w:rPr>
          <w:rFonts w:hint="eastAsia" w:ascii="Times New Roman" w:hAnsi="Times New Roman" w:eastAsia="仿宋_GB2312" w:cs="Times New Roman"/>
          <w:snapToGrid w:val="0"/>
          <w:kern w:val="0"/>
          <w:sz w:val="32"/>
          <w:szCs w:val="32"/>
          <w:shd w:val="clear" w:color="auto" w:fill="FFFFFF"/>
          <w:lang w:val="zh-CN"/>
        </w:rPr>
        <w:t>被评为“贯彻二十大精神推动高质量发展”主题调研活动调研成果二</w:t>
      </w:r>
      <w:r>
        <w:rPr>
          <w:rFonts w:hint="eastAsia" w:ascii="Times New Roman" w:hAnsi="Times New Roman" w:eastAsia="仿宋_GB2312" w:cs="Times New Roman"/>
          <w:snapToGrid w:val="0"/>
          <w:kern w:val="0"/>
          <w:sz w:val="32"/>
          <w:szCs w:val="32"/>
          <w:shd w:val="clear" w:color="auto" w:fill="FFFFFF"/>
          <w:lang w:val="zh-CN"/>
        </w:rPr>
        <w:fldChar w:fldCharType="end"/>
      </w:r>
      <w:r>
        <w:rPr>
          <w:rFonts w:hint="eastAsia" w:ascii="Times New Roman" w:hAnsi="Times New Roman" w:eastAsia="仿宋_GB2312" w:cs="Times New Roman"/>
          <w:snapToGrid w:val="0"/>
          <w:kern w:val="0"/>
          <w:sz w:val="32"/>
          <w:szCs w:val="32"/>
          <w:shd w:val="clear" w:color="auto" w:fill="FFFFFF"/>
          <w:lang w:val="zh-CN"/>
        </w:rPr>
        <w:t>等奖；利用好“统计大讲堂”平台，由青年干部主讲统计专业知识，在实</w:t>
      </w:r>
      <w:r>
        <w:rPr>
          <w:rFonts w:hint="eastAsia" w:ascii="Times New Roman" w:hAnsi="Times New Roman" w:eastAsia="仿宋_GB2312" w:cs="Times New Roman"/>
          <w:snapToGrid w:val="0"/>
          <w:kern w:val="0"/>
          <w:sz w:val="32"/>
          <w:szCs w:val="32"/>
          <w:shd w:val="clear" w:color="auto" w:fill="FFFFFF"/>
        </w:rPr>
        <w:t>讲实战中提升自身业务能力和综合素质。坚持市县联动，分类施策，以“拓广度、多渠道、高质量”为原则开展统计宣传。</w:t>
      </w:r>
    </w:p>
    <w:p>
      <w:pPr>
        <w:overflowPunct w:val="0"/>
        <w:topLinePunct/>
        <w:adjustRightInd w:val="0"/>
        <w:snapToGrid w:val="0"/>
        <w:spacing w:line="592" w:lineRule="atLeast"/>
        <w:ind w:firstLine="640" w:firstLineChars="200"/>
        <w:rPr>
          <w:rFonts w:ascii="Times New Roman" w:hAnsi="Times New Roman" w:eastAsia="仿宋_GB2312" w:cs="Times New Roman"/>
          <w:snapToGrid w:val="0"/>
          <w:kern w:val="0"/>
          <w:sz w:val="30"/>
          <w:szCs w:val="30"/>
          <w:shd w:val="clear" w:color="auto" w:fill="FFFFFF"/>
          <w:lang w:val="zh-CN"/>
        </w:rPr>
      </w:pPr>
      <w:r>
        <w:rPr>
          <w:rFonts w:ascii="Times New Roman" w:hAnsi="Times New Roman" w:eastAsia="仿宋_GB2312" w:cs="Times New Roman"/>
          <w:snapToGrid w:val="0"/>
          <w:kern w:val="0"/>
          <w:sz w:val="32"/>
          <w:szCs w:val="24"/>
        </w:rPr>
        <w:t>（3）稳步推进其他工作有序开展。</w:t>
      </w:r>
      <w:r>
        <w:rPr>
          <w:rFonts w:ascii="Times New Roman" w:hAnsi="Times New Roman" w:eastAsia="仿宋_GB2312" w:cs="Times New Roman"/>
          <w:snapToGrid w:val="0"/>
          <w:kern w:val="0"/>
          <w:sz w:val="30"/>
          <w:szCs w:val="30"/>
          <w:shd w:val="clear" w:color="auto" w:fill="FFFFFF"/>
        </w:rPr>
        <w:t>一是抓好脱贫攻坚与乡村振兴的有机衔接，派驻人员到村开展工作，认真履行驻村工作帮扶职责。二是积极参与文明城市创建、社区联建等工作，按照市创文办的要求，安排干部参加文明劝导、路口执勤、社区服务等活动，确保工作取得质效。三是扎实抓好安全生产工作。对照职责分工，认真履行市安委办成员单位工作职责；切实加大联点单位安化县马路镇创建</w:t>
      </w:r>
      <w:r>
        <w:rPr>
          <w:rFonts w:hint="eastAsia" w:ascii="Times New Roman" w:hAnsi="Times New Roman" w:eastAsia="仿宋_GB2312" w:cs="Times New Roman"/>
          <w:snapToGrid w:val="0"/>
          <w:kern w:val="0"/>
          <w:sz w:val="30"/>
          <w:szCs w:val="30"/>
          <w:shd w:val="clear" w:color="auto" w:fill="FFFFFF"/>
        </w:rPr>
        <w:t>“</w:t>
      </w:r>
      <w:r>
        <w:rPr>
          <w:rFonts w:ascii="Times New Roman" w:hAnsi="Times New Roman" w:eastAsia="仿宋_GB2312" w:cs="Times New Roman"/>
          <w:snapToGrid w:val="0"/>
          <w:kern w:val="0"/>
          <w:sz w:val="30"/>
          <w:szCs w:val="30"/>
          <w:shd w:val="clear" w:color="auto" w:fill="FFFFFF"/>
        </w:rPr>
        <w:t>2023年市级安全生产示范乡镇</w:t>
      </w:r>
      <w:r>
        <w:rPr>
          <w:rFonts w:hint="eastAsia" w:ascii="Times New Roman" w:hAnsi="Times New Roman" w:eastAsia="仿宋_GB2312" w:cs="Times New Roman"/>
          <w:snapToGrid w:val="0"/>
          <w:kern w:val="0"/>
          <w:sz w:val="30"/>
          <w:szCs w:val="30"/>
          <w:shd w:val="clear" w:color="auto" w:fill="FFFFFF"/>
        </w:rPr>
        <w:t>”工</w:t>
      </w:r>
      <w:r>
        <w:rPr>
          <w:rFonts w:ascii="Times New Roman" w:hAnsi="Times New Roman" w:eastAsia="仿宋_GB2312" w:cs="Times New Roman"/>
          <w:snapToGrid w:val="0"/>
          <w:kern w:val="0"/>
          <w:sz w:val="30"/>
          <w:szCs w:val="30"/>
          <w:shd w:val="clear" w:color="auto" w:fill="FFFFFF"/>
        </w:rPr>
        <w:t>作的帮扶力度，每季度赴马路镇进行实地调研和指导；全面加强局机关节假日的值班值守工作，严格落实24小时值班工作制度，严格执行外出报告制度，加强紧急信息报送；全面排查梳理各类安全风险隐患，有效防范化解安全生产风险，最大限度防范各类安全事故发生。</w:t>
      </w:r>
    </w:p>
    <w:p>
      <w:pPr>
        <w:overflowPunct w:val="0"/>
        <w:topLinePunct/>
        <w:adjustRightInd w:val="0"/>
        <w:snapToGrid w:val="0"/>
        <w:spacing w:line="592" w:lineRule="atLeast"/>
        <w:ind w:firstLine="640" w:firstLineChars="200"/>
        <w:rPr>
          <w:rFonts w:ascii="Times New Roman" w:hAnsi="Times New Roman" w:eastAsia="仿宋_GB2312" w:cs="Times New Roman"/>
          <w:snapToGrid w:val="0"/>
          <w:kern w:val="0"/>
          <w:sz w:val="32"/>
          <w:szCs w:val="32"/>
          <w:shd w:val="clear" w:color="auto" w:fill="FFFFFF"/>
        </w:rPr>
      </w:pPr>
      <w:r>
        <w:rPr>
          <w:rFonts w:ascii="Times New Roman" w:hAnsi="Times New Roman" w:eastAsia="仿宋_GB2312" w:cs="Times New Roman"/>
          <w:snapToGrid w:val="0"/>
          <w:kern w:val="0"/>
          <w:sz w:val="32"/>
          <w:szCs w:val="32"/>
          <w:shd w:val="clear" w:color="auto" w:fill="FFFFFF"/>
        </w:rPr>
        <w:t>3.精准发力，在强化担当、履职尽责中推进重点工作落实</w:t>
      </w:r>
    </w:p>
    <w:p>
      <w:pPr>
        <w:overflowPunct w:val="0"/>
        <w:topLinePunct/>
        <w:adjustRightInd w:val="0"/>
        <w:snapToGrid w:val="0"/>
        <w:spacing w:line="592" w:lineRule="atLeast"/>
        <w:ind w:firstLine="640" w:firstLineChars="200"/>
        <w:rPr>
          <w:rFonts w:ascii="Times New Roman" w:hAnsi="Times New Roman" w:eastAsia="仿宋_GB2312" w:cs="Times New Roman"/>
          <w:snapToGrid w:val="0"/>
          <w:kern w:val="0"/>
          <w:sz w:val="30"/>
          <w:szCs w:val="30"/>
          <w:shd w:val="clear" w:color="auto" w:fill="FFFFFF"/>
          <w:lang w:val="zh-CN"/>
        </w:rPr>
      </w:pPr>
      <w:r>
        <w:rPr>
          <w:rFonts w:ascii="Times New Roman" w:hAnsi="Times New Roman" w:eastAsia="仿宋_GB2312" w:cs="Times New Roman"/>
          <w:snapToGrid w:val="0"/>
          <w:kern w:val="0"/>
          <w:sz w:val="32"/>
          <w:szCs w:val="24"/>
        </w:rPr>
        <w:t>（1）夯实基层基础，提升统计数据质量。</w:t>
      </w:r>
      <w:r>
        <w:rPr>
          <w:rFonts w:ascii="Times New Roman" w:hAnsi="Times New Roman" w:eastAsia="仿宋_GB2312" w:cs="Times New Roman"/>
          <w:snapToGrid w:val="0"/>
          <w:kern w:val="0"/>
          <w:sz w:val="32"/>
          <w:szCs w:val="32"/>
          <w:shd w:val="clear" w:color="auto" w:fill="FFFFFF"/>
          <w:lang w:val="zh-CN"/>
        </w:rPr>
        <w:t>抓好统计造假屡禁难绝专项治理自查自纠工作，</w:t>
      </w:r>
      <w:r>
        <w:rPr>
          <w:rFonts w:ascii="Times New Roman" w:hAnsi="Times New Roman" w:eastAsia="仿宋_GB2312" w:cs="Times New Roman"/>
          <w:snapToGrid w:val="0"/>
          <w:kern w:val="0"/>
          <w:sz w:val="32"/>
          <w:szCs w:val="32"/>
          <w:shd w:val="clear" w:color="auto" w:fill="FFFFFF"/>
        </w:rPr>
        <w:t>聚焦源头数据质量问题，认真开展自查自纠。扎实稳妥</w:t>
      </w:r>
      <w:r>
        <w:rPr>
          <w:rFonts w:ascii="Times New Roman" w:hAnsi="Times New Roman" w:eastAsia="仿宋_GB2312" w:cs="Times New Roman"/>
          <w:snapToGrid w:val="0"/>
          <w:kern w:val="0"/>
          <w:sz w:val="32"/>
          <w:szCs w:val="32"/>
          <w:shd w:val="clear" w:color="auto" w:fill="FFFFFF"/>
          <w:lang w:val="zh-CN"/>
        </w:rPr>
        <w:t>开展项目统计数据质量核查，</w:t>
      </w:r>
      <w:r>
        <w:rPr>
          <w:rFonts w:ascii="Times New Roman" w:hAnsi="Times New Roman" w:eastAsia="仿宋_GB2312" w:cs="Times New Roman"/>
          <w:snapToGrid w:val="0"/>
          <w:kern w:val="0"/>
          <w:sz w:val="32"/>
          <w:szCs w:val="32"/>
          <w:shd w:val="clear" w:color="auto" w:fill="FFFFFF"/>
        </w:rPr>
        <w:t>如实向省统计局汇报有关统计数据失实情况，对部分企业（项目）失实历史数据申请进行修订。健全监督体系，加强贯通协同，市委巡察办和市统计局联合印发《关于加强市委巡察机构与市统计局工作协作的办法》，建立市统计局与市委巡察机构的协调联动工作机制，把统计监督纳入巡察内容，全市统计系统共28人纳入市委巡察人才库。</w:t>
      </w:r>
      <w:r>
        <w:rPr>
          <w:rFonts w:ascii="Times New Roman" w:hAnsi="Times New Roman" w:eastAsia="仿宋_GB2312" w:cs="Times New Roman"/>
          <w:snapToGrid w:val="0"/>
          <w:kern w:val="0"/>
          <w:sz w:val="30"/>
          <w:szCs w:val="30"/>
          <w:shd w:val="clear" w:color="auto" w:fill="FFFFFF"/>
          <w:lang w:val="zh-CN"/>
        </w:rPr>
        <w:t>开展靠前服务，加大指导力度。派出指导组对全市8个县市区的90家企业（项目）开展专项督导检查，现场指导和协助企业建立并完善原始凭证、统计台账。</w:t>
      </w:r>
    </w:p>
    <w:p>
      <w:pPr>
        <w:overflowPunct w:val="0"/>
        <w:topLinePunct/>
        <w:adjustRightInd w:val="0"/>
        <w:snapToGrid w:val="0"/>
        <w:spacing w:line="592" w:lineRule="atLeast"/>
        <w:ind w:firstLine="640" w:firstLineChars="200"/>
        <w:rPr>
          <w:rFonts w:ascii="Times New Roman" w:hAnsi="Times New Roman" w:eastAsia="仿宋_GB2312" w:cs="Times New Roman"/>
          <w:snapToGrid w:val="0"/>
          <w:kern w:val="0"/>
          <w:sz w:val="32"/>
          <w:szCs w:val="32"/>
          <w:shd w:val="clear" w:color="auto" w:fill="FFFFFF"/>
        </w:rPr>
      </w:pPr>
      <w:r>
        <w:rPr>
          <w:rFonts w:ascii="Times New Roman" w:hAnsi="Times New Roman" w:eastAsia="仿宋_GB2312" w:cs="Times New Roman"/>
          <w:snapToGrid w:val="0"/>
          <w:kern w:val="0"/>
          <w:sz w:val="32"/>
          <w:szCs w:val="24"/>
        </w:rPr>
        <w:t>（2）强化统筹协调，有力推</w:t>
      </w:r>
      <w:r>
        <w:rPr>
          <w:rFonts w:hint="eastAsia" w:ascii="Times New Roman" w:hAnsi="Times New Roman" w:eastAsia="仿宋_GB2312" w:cs="Times New Roman"/>
          <w:snapToGrid w:val="0"/>
          <w:kern w:val="0"/>
          <w:sz w:val="32"/>
          <w:szCs w:val="24"/>
        </w:rPr>
        <w:t>进“五经普”工</w:t>
      </w:r>
      <w:r>
        <w:rPr>
          <w:rFonts w:ascii="Times New Roman" w:hAnsi="Times New Roman" w:eastAsia="仿宋_GB2312" w:cs="Times New Roman"/>
          <w:snapToGrid w:val="0"/>
          <w:kern w:val="0"/>
          <w:sz w:val="32"/>
          <w:szCs w:val="24"/>
        </w:rPr>
        <w:t>作。</w:t>
      </w:r>
      <w:r>
        <w:rPr>
          <w:rFonts w:ascii="Times New Roman" w:hAnsi="Times New Roman" w:eastAsia="仿宋_GB2312" w:cs="Times New Roman"/>
          <w:snapToGrid w:val="0"/>
          <w:kern w:val="0"/>
          <w:sz w:val="32"/>
          <w:szCs w:val="32"/>
          <w:shd w:val="clear" w:color="auto" w:fill="FFFFFF"/>
        </w:rPr>
        <w:t>相关单位各负其责，明确责任，密切配合，共同推</w:t>
      </w:r>
      <w:r>
        <w:rPr>
          <w:rFonts w:hint="eastAsia" w:ascii="Times New Roman" w:hAnsi="Times New Roman" w:eastAsia="仿宋_GB2312" w:cs="Times New Roman"/>
          <w:snapToGrid w:val="0"/>
          <w:kern w:val="0"/>
          <w:sz w:val="32"/>
          <w:szCs w:val="32"/>
          <w:shd w:val="clear" w:color="auto" w:fill="FFFFFF"/>
        </w:rPr>
        <w:t>进“五经普”各阶</w:t>
      </w:r>
      <w:r>
        <w:rPr>
          <w:rFonts w:ascii="Times New Roman" w:hAnsi="Times New Roman" w:eastAsia="仿宋_GB2312" w:cs="Times New Roman"/>
          <w:snapToGrid w:val="0"/>
          <w:kern w:val="0"/>
          <w:sz w:val="32"/>
          <w:szCs w:val="32"/>
          <w:shd w:val="clear" w:color="auto" w:fill="FFFFFF"/>
        </w:rPr>
        <w:t>段目标任务落到实处取得实效。坚持高位推动普查机构组建，建立高效联动工作机制</w:t>
      </w:r>
      <w:r>
        <w:rPr>
          <w:rFonts w:hint="eastAsia" w:ascii="Times New Roman" w:hAnsi="Times New Roman" w:eastAsia="仿宋_GB2312" w:cs="Times New Roman"/>
          <w:snapToGrid w:val="0"/>
          <w:kern w:val="0"/>
          <w:sz w:val="32"/>
          <w:szCs w:val="32"/>
          <w:shd w:val="clear" w:color="auto" w:fill="FFFFFF"/>
        </w:rPr>
        <w:t>，创造条件做好普查保障，确保人员、经费、物资“三个到位”，聚焦</w:t>
      </w:r>
      <w:r>
        <w:rPr>
          <w:rFonts w:ascii="Times New Roman" w:hAnsi="Times New Roman" w:eastAsia="仿宋_GB2312" w:cs="Times New Roman"/>
          <w:snapToGrid w:val="0"/>
          <w:kern w:val="0"/>
          <w:sz w:val="32"/>
          <w:szCs w:val="32"/>
          <w:shd w:val="clear" w:color="auto" w:fill="FFFFFF"/>
        </w:rPr>
        <w:t>重点查准找全单位，精心组织投入产出调查。机构组建、经费安排</w:t>
      </w:r>
      <w:r>
        <w:rPr>
          <w:rFonts w:hint="eastAsia" w:ascii="Times New Roman" w:hAnsi="Times New Roman" w:eastAsia="仿宋_GB2312" w:cs="Times New Roman"/>
          <w:snapToGrid w:val="0"/>
          <w:kern w:val="0"/>
          <w:sz w:val="32"/>
          <w:szCs w:val="32"/>
          <w:shd w:val="clear" w:color="auto" w:fill="FFFFFF"/>
        </w:rPr>
        <w:t>、“两员”选聘</w:t>
      </w:r>
      <w:r>
        <w:rPr>
          <w:rFonts w:ascii="Times New Roman" w:hAnsi="Times New Roman" w:eastAsia="仿宋_GB2312" w:cs="Times New Roman"/>
          <w:snapToGrid w:val="0"/>
          <w:kern w:val="0"/>
          <w:sz w:val="32"/>
          <w:szCs w:val="32"/>
          <w:shd w:val="clear" w:color="auto" w:fill="FFFFFF"/>
        </w:rPr>
        <w:t>、小区划分、综合试点、清查业务培训等普查登记前的各项准备工作均在规定的时间内完成。严格按照要求，组织好对所有普查对象</w:t>
      </w:r>
      <w:r>
        <w:rPr>
          <w:rFonts w:hint="eastAsia" w:ascii="Times New Roman" w:hAnsi="Times New Roman" w:eastAsia="仿宋_GB2312" w:cs="Times New Roman"/>
          <w:snapToGrid w:val="0"/>
          <w:kern w:val="0"/>
          <w:sz w:val="32"/>
          <w:szCs w:val="32"/>
          <w:shd w:val="clear" w:color="auto" w:fill="FFFFFF"/>
        </w:rPr>
        <w:t>的“地毯式”普查登记，确保普查数据全面准确客观真实，确保不虚报、不瞒报、不漏报、不迟报，严把数据质量关。</w:t>
      </w:r>
    </w:p>
    <w:p>
      <w:pPr>
        <w:overflowPunct w:val="0"/>
        <w:topLinePunct/>
        <w:adjustRightInd w:val="0"/>
        <w:snapToGrid w:val="0"/>
        <w:spacing w:line="592" w:lineRule="atLeast"/>
        <w:ind w:firstLine="640" w:firstLineChars="200"/>
        <w:rPr>
          <w:rFonts w:ascii="Times New Roman" w:hAnsi="Times New Roman" w:eastAsia="仿宋_GB2312" w:cs="Times New Roman"/>
          <w:snapToGrid w:val="0"/>
          <w:kern w:val="0"/>
          <w:sz w:val="32"/>
          <w:szCs w:val="32"/>
          <w:shd w:val="clear" w:color="auto" w:fill="FFFFFF"/>
        </w:rPr>
      </w:pPr>
      <w:r>
        <w:rPr>
          <w:rFonts w:ascii="Times New Roman" w:hAnsi="Times New Roman" w:eastAsia="仿宋_GB2312" w:cs="Times New Roman"/>
          <w:snapToGrid w:val="0"/>
          <w:kern w:val="0"/>
          <w:sz w:val="32"/>
          <w:szCs w:val="24"/>
        </w:rPr>
        <w:t>（3）立足主职主业，深抓统计服务质效。</w:t>
      </w:r>
      <w:r>
        <w:rPr>
          <w:rFonts w:ascii="Times New Roman" w:hAnsi="Times New Roman" w:eastAsia="仿宋_GB2312" w:cs="Times New Roman"/>
          <w:snapToGrid w:val="0"/>
          <w:kern w:val="0"/>
          <w:sz w:val="32"/>
          <w:szCs w:val="32"/>
          <w:shd w:val="clear" w:color="auto" w:fill="FFFFFF"/>
        </w:rPr>
        <w:t>加强分析研判，关注地区生产总值，工业增加值、固定资产投资等重点统计数据，用全面、客观、真实、准确的数据反映益阳高质量发展成就；优化统计服务，认真研究全省高质量发展绩效评价指标体系，优化统计服务，提高指标监测水平，及时反映高质量发展阶段性成效和不足，确保我市高质量发展水平不断提高；开展预警监测，针对我市装备制造业、食品行业、纺织服装业等重点产业，围绕指标数据，强化动态监测，深入分析研究，及时预警预测，为市委、市政府决策提供及时准确的信息服务。</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黑体" w:cs="Times New Roman"/>
          <w:bCs/>
          <w:snapToGrid w:val="0"/>
          <w:color w:val="000000"/>
          <w:sz w:val="32"/>
          <w:szCs w:val="32"/>
        </w:rPr>
      </w:pPr>
      <w:r>
        <w:rPr>
          <w:rFonts w:ascii="Times New Roman" w:hAnsi="Times New Roman" w:eastAsia="黑体" w:cs="Times New Roman"/>
          <w:bCs/>
          <w:snapToGrid w:val="0"/>
          <w:color w:val="000000"/>
          <w:sz w:val="32"/>
          <w:szCs w:val="32"/>
        </w:rPr>
        <w:t>七、存在的问题及原因分析</w:t>
      </w:r>
    </w:p>
    <w:p>
      <w:pPr>
        <w:shd w:val="clear" w:color="auto" w:fill="FFFFFF"/>
        <w:overflowPunct w:val="0"/>
        <w:topLinePunct/>
        <w:adjustRightInd w:val="0"/>
        <w:snapToGrid w:val="0"/>
        <w:spacing w:line="592" w:lineRule="atLeas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shd w:val="clear" w:color="auto" w:fill="FFFFFF"/>
        </w:rPr>
        <w:t>我局在编制年度预算时，严格按职能职责和相关规定进行编制，但是在2023年度预算执行过程中，仍然存在预算控制率偏高的问题，2023年年初一般公共</w:t>
      </w:r>
      <w:r>
        <w:rPr>
          <w:rFonts w:ascii="Times New Roman" w:hAnsi="Times New Roman" w:eastAsia="仿宋_GB2312" w:cs="Times New Roman"/>
          <w:snapToGrid w:val="0"/>
          <w:kern w:val="0"/>
          <w:sz w:val="32"/>
          <w:szCs w:val="32"/>
          <w:shd w:val="clear" w:color="auto" w:fill="FFFFFF"/>
        </w:rPr>
        <w:t>预算</w:t>
      </w:r>
      <w:r>
        <w:rPr>
          <w:rFonts w:ascii="Times New Roman" w:hAnsi="Times New Roman" w:eastAsia="仿宋_GB2312" w:cs="Times New Roman"/>
          <w:snapToGrid w:val="0"/>
          <w:kern w:val="0"/>
          <w:sz w:val="32"/>
          <w:szCs w:val="32"/>
        </w:rPr>
        <w:t>1157.29</w:t>
      </w:r>
      <w:r>
        <w:rPr>
          <w:rFonts w:ascii="Times New Roman" w:hAnsi="Times New Roman" w:eastAsia="仿宋_GB2312" w:cs="Times New Roman"/>
          <w:snapToGrid w:val="0"/>
          <w:kern w:val="0"/>
          <w:sz w:val="32"/>
          <w:szCs w:val="32"/>
          <w:shd w:val="clear" w:color="auto" w:fill="FFFFFF"/>
        </w:rPr>
        <w:t>万元，调整追加预算309.22万元（调增人员经费137.55万元，核减人员经费19.11万元，核减公用经费19.22万元，调增各项奖励30万元，增加项目经费180万元），全年一般公共预算收入1466.51万元，预算控制率为26.72%</w:t>
      </w:r>
      <w:r>
        <w:rPr>
          <w:rFonts w:hint="eastAsia" w:ascii="Times New Roman" w:hAnsi="Times New Roman" w:eastAsia="仿宋_GB2312" w:cs="Times New Roman"/>
          <w:snapToGrid w:val="0"/>
          <w:kern w:val="0"/>
          <w:sz w:val="32"/>
          <w:szCs w:val="32"/>
          <w:shd w:val="clear" w:color="auto" w:fill="FFFFFF"/>
        </w:rPr>
        <w:t>，增</w:t>
      </w:r>
      <w:r>
        <w:rPr>
          <w:rFonts w:ascii="Times New Roman" w:hAnsi="Times New Roman" w:eastAsia="仿宋_GB2312" w:cs="Times New Roman"/>
          <w:snapToGrid w:val="0"/>
          <w:kern w:val="0"/>
          <w:sz w:val="32"/>
          <w:szCs w:val="32"/>
          <w:shd w:val="clear" w:color="auto" w:fill="FFFFFF"/>
        </w:rPr>
        <w:t>加的预算主要是</w:t>
      </w:r>
      <w:r>
        <w:rPr>
          <w:rFonts w:ascii="Times New Roman" w:hAnsi="Times New Roman" w:eastAsia="仿宋_GB2312" w:cs="Times New Roman"/>
          <w:snapToGrid w:val="0"/>
          <w:color w:val="000000"/>
          <w:kern w:val="0"/>
          <w:sz w:val="32"/>
          <w:szCs w:val="32"/>
          <w:shd w:val="clear" w:color="auto" w:fill="FFFFFF"/>
        </w:rPr>
        <w:t>绩效考核奖励、抚恤费、人才补贴、第五次全国经济普查工作经费、</w:t>
      </w:r>
      <w:r>
        <w:rPr>
          <w:rFonts w:hint="eastAsia" w:ascii="Times New Roman" w:hAnsi="Times New Roman" w:eastAsia="仿宋_GB2312" w:cs="Times New Roman"/>
          <w:snapToGrid w:val="0"/>
          <w:color w:val="000000"/>
          <w:kern w:val="0"/>
          <w:sz w:val="32"/>
          <w:szCs w:val="32"/>
          <w:shd w:val="clear" w:color="auto" w:fill="FFFFFF"/>
        </w:rPr>
        <w:t>“五好”园</w:t>
      </w:r>
      <w:r>
        <w:rPr>
          <w:rFonts w:ascii="Times New Roman" w:hAnsi="Times New Roman" w:eastAsia="仿宋_GB2312" w:cs="Times New Roman"/>
          <w:snapToGrid w:val="0"/>
          <w:color w:val="000000"/>
          <w:kern w:val="0"/>
          <w:sz w:val="32"/>
          <w:szCs w:val="32"/>
          <w:shd w:val="clear" w:color="auto" w:fill="FFFFFF"/>
        </w:rPr>
        <w:t>区产业发展考核奖励、真抓实干奖励金等。</w:t>
      </w:r>
      <w:r>
        <w:rPr>
          <w:rFonts w:ascii="Times New Roman" w:hAnsi="Times New Roman" w:eastAsia="仿宋_GB2312" w:cs="Times New Roman"/>
          <w:snapToGrid w:val="0"/>
          <w:color w:val="C00000"/>
          <w:kern w:val="0"/>
          <w:sz w:val="32"/>
          <w:szCs w:val="32"/>
        </w:rPr>
        <w:t xml:space="preserve">  </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黑体" w:cs="Times New Roman"/>
          <w:bCs/>
          <w:snapToGrid w:val="0"/>
          <w:color w:val="000000"/>
          <w:sz w:val="32"/>
          <w:szCs w:val="32"/>
        </w:rPr>
      </w:pPr>
      <w:r>
        <w:rPr>
          <w:rFonts w:ascii="Times New Roman" w:hAnsi="Times New Roman" w:eastAsia="黑体" w:cs="Times New Roman"/>
          <w:bCs/>
          <w:snapToGrid w:val="0"/>
          <w:color w:val="000000"/>
          <w:sz w:val="32"/>
          <w:szCs w:val="32"/>
        </w:rPr>
        <w:t>八、下一步改进措施</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snapToGrid w:val="0"/>
          <w:color w:val="000000"/>
          <w:sz w:val="32"/>
          <w:szCs w:val="32"/>
        </w:rPr>
        <w:t>针对上述存在的问题及我局预算管理工作的需要，今后工作中要严格按照《会计法》《预算法》等相关规定，参考近年来的预算执行实际情况，结合年度收支计划，严格预算执行，尽力提高资金使用效率。</w:t>
      </w:r>
    </w:p>
    <w:p>
      <w:pPr>
        <w:shd w:val="clear" w:color="auto" w:fill="FFFFFF"/>
        <w:overflowPunct w:val="0"/>
        <w:topLinePunct/>
        <w:adjustRightInd w:val="0"/>
        <w:snapToGrid w:val="0"/>
        <w:spacing w:line="592" w:lineRule="atLeast"/>
        <w:ind w:firstLine="640" w:firstLineChars="200"/>
        <w:rPr>
          <w:rFonts w:ascii="Times New Roman" w:hAnsi="Times New Roman" w:eastAsia="仿宋_GB2312" w:cs="Times New Roman"/>
          <w:snapToGrid w:val="0"/>
          <w:color w:val="000000"/>
          <w:kern w:val="0"/>
          <w:sz w:val="32"/>
          <w:szCs w:val="32"/>
          <w:shd w:val="clear" w:color="auto" w:fill="FFFFFF"/>
        </w:rPr>
      </w:pPr>
      <w:r>
        <w:rPr>
          <w:rFonts w:ascii="Times New Roman" w:hAnsi="Times New Roman" w:eastAsia="楷体_GB2312" w:cs="Times New Roman"/>
          <w:bCs/>
          <w:snapToGrid w:val="0"/>
          <w:color w:val="000000"/>
          <w:kern w:val="0"/>
          <w:sz w:val="32"/>
          <w:szCs w:val="32"/>
          <w:shd w:val="clear" w:color="auto" w:fill="FFFFFF"/>
        </w:rPr>
        <w:t>（一）加强队伍建设。</w:t>
      </w:r>
      <w:r>
        <w:rPr>
          <w:rFonts w:ascii="Times New Roman" w:hAnsi="Times New Roman" w:eastAsia="仿宋_GB2312" w:cs="Times New Roman"/>
          <w:snapToGrid w:val="0"/>
          <w:color w:val="000000"/>
          <w:kern w:val="0"/>
          <w:sz w:val="32"/>
          <w:szCs w:val="32"/>
          <w:shd w:val="clear" w:color="auto" w:fill="FFFFFF"/>
        </w:rPr>
        <w:t>抓好绩效评价管理部门的队伍建设和业务指导，多组织学习培训，加强绩效评价管理人员的思想认识。</w:t>
      </w:r>
    </w:p>
    <w:p>
      <w:pPr>
        <w:shd w:val="clear" w:color="auto" w:fill="FFFFFF"/>
        <w:overflowPunct w:val="0"/>
        <w:topLinePunct/>
        <w:adjustRightInd w:val="0"/>
        <w:snapToGrid w:val="0"/>
        <w:spacing w:line="592" w:lineRule="atLeast"/>
        <w:ind w:firstLine="640" w:firstLineChars="200"/>
        <w:rPr>
          <w:rFonts w:ascii="Times New Roman" w:hAnsi="Times New Roman" w:eastAsia="仿宋_GB2312" w:cs="Times New Roman"/>
          <w:snapToGrid w:val="0"/>
          <w:kern w:val="0"/>
        </w:rPr>
      </w:pPr>
      <w:r>
        <w:rPr>
          <w:rFonts w:ascii="Times New Roman" w:hAnsi="Times New Roman" w:eastAsia="楷体_GB2312" w:cs="Times New Roman"/>
          <w:bCs/>
          <w:snapToGrid w:val="0"/>
          <w:color w:val="000000"/>
          <w:kern w:val="0"/>
          <w:sz w:val="32"/>
          <w:szCs w:val="32"/>
          <w:shd w:val="clear" w:color="auto" w:fill="FFFFFF"/>
        </w:rPr>
        <w:t>（二）建立长效机制。</w:t>
      </w:r>
      <w:r>
        <w:rPr>
          <w:rFonts w:ascii="Times New Roman" w:hAnsi="Times New Roman" w:eastAsia="仿宋_GB2312" w:cs="Times New Roman"/>
          <w:snapToGrid w:val="0"/>
          <w:color w:val="000000"/>
          <w:kern w:val="0"/>
          <w:sz w:val="32"/>
          <w:szCs w:val="32"/>
          <w:shd w:val="clear" w:color="auto" w:fill="FFFFFF"/>
        </w:rPr>
        <w:t>把绩效评价工作计入各科室的日常工作,建立绩效评价管理工作长效机制。</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b/>
          <w:bCs/>
          <w:snapToGrid w:val="0"/>
          <w:color w:val="000000"/>
          <w:sz w:val="32"/>
          <w:szCs w:val="32"/>
        </w:rPr>
      </w:pPr>
      <w:r>
        <w:rPr>
          <w:rFonts w:ascii="Times New Roman" w:hAnsi="Times New Roman" w:eastAsia="楷体_GB2312" w:cs="Times New Roman"/>
          <w:bCs/>
          <w:snapToGrid w:val="0"/>
          <w:color w:val="000000"/>
          <w:sz w:val="32"/>
          <w:szCs w:val="32"/>
          <w:shd w:val="clear" w:color="auto" w:fill="FFFFFF"/>
        </w:rPr>
        <w:t>（三）严格监督管理。</w:t>
      </w:r>
      <w:r>
        <w:rPr>
          <w:rFonts w:ascii="Times New Roman" w:hAnsi="Times New Roman" w:eastAsia="仿宋_GB2312" w:cs="Times New Roman"/>
          <w:snapToGrid w:val="0"/>
          <w:sz w:val="32"/>
          <w:szCs w:val="32"/>
        </w:rPr>
        <w:t>对本单位预算资金的实时使用情况加以监督，确保资金的流向及使用符合预算目标，对出现的偏差及时加以纠正。</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黑体" w:cs="Times New Roman"/>
          <w:bCs/>
          <w:snapToGrid w:val="0"/>
          <w:color w:val="000000"/>
          <w:sz w:val="32"/>
          <w:szCs w:val="32"/>
        </w:rPr>
      </w:pPr>
      <w:r>
        <w:rPr>
          <w:rFonts w:ascii="Times New Roman" w:hAnsi="Times New Roman" w:eastAsia="黑体" w:cs="Times New Roman"/>
          <w:bCs/>
          <w:snapToGrid w:val="0"/>
          <w:color w:val="000000"/>
          <w:sz w:val="32"/>
          <w:szCs w:val="32"/>
        </w:rPr>
        <w:t>九、绩效自评结果拟应用和公开情况</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1.反馈整改。我局将对部门整体支出绩效自查自评中发现的问题及时进行督促整改。</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2.考核通报。我局将此次绩效自评工作情况汇总后报市财政局。</w:t>
      </w:r>
      <w:bookmarkStart w:id="0" w:name="_GoBack"/>
      <w:bookmarkEnd w:id="0"/>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 w:cs="Times New Roman"/>
          <w:snapToGrid w:val="0"/>
          <w:color w:val="000000"/>
          <w:sz w:val="32"/>
          <w:szCs w:val="32"/>
        </w:rPr>
      </w:pPr>
      <w:r>
        <w:rPr>
          <w:rFonts w:ascii="Times New Roman" w:hAnsi="Times New Roman" w:eastAsia="仿宋" w:cs="Times New Roman"/>
          <w:snapToGrid w:val="0"/>
          <w:color w:val="000000"/>
          <w:sz w:val="32"/>
          <w:szCs w:val="32"/>
        </w:rPr>
        <w:t>3.公开结果。除涉密信息外，我局将在门户网站全面公开2023年度部门整体支出绩效自评报告，接受社会监督。</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黑体" w:cs="Times New Roman"/>
          <w:bCs/>
          <w:snapToGrid w:val="0"/>
          <w:color w:val="000000"/>
          <w:sz w:val="32"/>
          <w:szCs w:val="32"/>
        </w:rPr>
      </w:pPr>
      <w:r>
        <w:rPr>
          <w:rFonts w:ascii="Times New Roman" w:hAnsi="Times New Roman" w:eastAsia="黑体" w:cs="Times New Roman"/>
          <w:bCs/>
          <w:snapToGrid w:val="0"/>
          <w:color w:val="000000"/>
          <w:sz w:val="32"/>
          <w:szCs w:val="32"/>
        </w:rPr>
        <w:t>十、其他需要说明的情况</w:t>
      </w:r>
    </w:p>
    <w:p>
      <w:pPr>
        <w:pStyle w:val="11"/>
        <w:widowControl w:val="0"/>
        <w:shd w:val="clear" w:color="auto" w:fill="FFFFFF"/>
        <w:overflowPunct w:val="0"/>
        <w:topLinePunct/>
        <w:adjustRightInd w:val="0"/>
        <w:snapToGrid w:val="0"/>
        <w:spacing w:before="0" w:beforeAutospacing="0" w:after="0" w:afterAutospacing="0" w:line="592" w:lineRule="atLeast"/>
        <w:ind w:firstLine="640" w:firstLineChars="200"/>
        <w:jc w:val="both"/>
        <w:rPr>
          <w:rFonts w:ascii="Times New Roman" w:hAnsi="Times New Roman" w:eastAsia="仿宋" w:cs="Times New Roman"/>
          <w:snapToGrid w:val="0"/>
          <w:color w:val="000000"/>
          <w:sz w:val="32"/>
          <w:szCs w:val="32"/>
        </w:rPr>
      </w:pPr>
      <w:r>
        <w:rPr>
          <w:rFonts w:ascii="Times New Roman" w:hAnsi="Times New Roman" w:eastAsia="仿宋" w:cs="Times New Roman"/>
          <w:snapToGrid w:val="0"/>
          <w:color w:val="000000"/>
          <w:sz w:val="32"/>
          <w:szCs w:val="32"/>
        </w:rPr>
        <w:t>无</w:t>
      </w:r>
    </w:p>
    <w:p>
      <w:pPr>
        <w:overflowPunct w:val="0"/>
        <w:topLinePunct/>
        <w:adjustRightInd w:val="0"/>
        <w:snapToGrid w:val="0"/>
        <w:spacing w:line="592" w:lineRule="atLeast"/>
        <w:ind w:firstLine="640" w:firstLineChars="200"/>
        <w:rPr>
          <w:rFonts w:ascii="Times New Roman" w:hAnsi="Times New Roman" w:eastAsia="仿宋" w:cs="Times New Roman"/>
          <w:snapToGrid w:val="0"/>
          <w:kern w:val="0"/>
          <w:sz w:val="32"/>
          <w:szCs w:val="32"/>
        </w:rPr>
      </w:pPr>
    </w:p>
    <w:p>
      <w:pPr>
        <w:overflowPunct w:val="0"/>
        <w:topLinePunct/>
        <w:adjustRightInd w:val="0"/>
        <w:snapToGrid w:val="0"/>
        <w:spacing w:line="592" w:lineRule="atLeas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附件：</w:t>
      </w:r>
    </w:p>
    <w:p>
      <w:pPr>
        <w:pStyle w:val="2"/>
        <w:numPr>
          <w:ilvl w:val="0"/>
          <w:numId w:val="1"/>
        </w:numPr>
        <w:overflowPunct w:val="0"/>
        <w:topLinePunct/>
        <w:adjustRightInd w:val="0"/>
        <w:snapToGrid w:val="0"/>
        <w:spacing w:after="0" w:line="592" w:lineRule="atLeast"/>
        <w:ind w:firstLine="640" w:firstLineChars="20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lang w:val="en-US" w:eastAsia="zh-CN"/>
        </w:rPr>
        <w:t>2023年度</w:t>
      </w:r>
      <w:r>
        <w:rPr>
          <w:rFonts w:ascii="Times New Roman" w:hAnsi="Times New Roman" w:eastAsia="仿宋_GB2312"/>
          <w:snapToGrid w:val="0"/>
          <w:kern w:val="0"/>
          <w:sz w:val="32"/>
          <w:szCs w:val="32"/>
        </w:rPr>
        <w:t>部门整体支出绩效评价基础数据表</w:t>
      </w:r>
    </w:p>
    <w:p>
      <w:pPr>
        <w:pStyle w:val="2"/>
        <w:numPr>
          <w:ilvl w:val="0"/>
          <w:numId w:val="1"/>
        </w:numPr>
        <w:overflowPunct w:val="0"/>
        <w:topLinePunct/>
        <w:adjustRightInd w:val="0"/>
        <w:snapToGrid w:val="0"/>
        <w:spacing w:after="0" w:line="592" w:lineRule="atLeast"/>
        <w:ind w:firstLine="640" w:firstLineChars="20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lang w:val="en-US" w:eastAsia="zh-CN"/>
        </w:rPr>
        <w:t>2023年度</w:t>
      </w:r>
      <w:r>
        <w:rPr>
          <w:rFonts w:ascii="Times New Roman" w:hAnsi="Times New Roman" w:eastAsia="仿宋_GB2312"/>
          <w:snapToGrid w:val="0"/>
          <w:kern w:val="0"/>
          <w:sz w:val="32"/>
          <w:szCs w:val="32"/>
        </w:rPr>
        <w:t>部门整体支出绩效自评表</w:t>
      </w:r>
    </w:p>
    <w:p>
      <w:pPr>
        <w:rPr>
          <w:rFonts w:ascii="Times New Roman" w:hAnsi="Times New Roman" w:eastAsia="仿宋" w:cs="Times New Roman"/>
          <w:sz w:val="32"/>
          <w:szCs w:val="32"/>
        </w:rPr>
      </w:pPr>
    </w:p>
    <w:sectPr>
      <w:footerReference r:id="rId3" w:type="default"/>
      <w:pgSz w:w="11906" w:h="16838"/>
      <w:pgMar w:top="2041"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127356"/>
      <w:docPartObj>
        <w:docPartGallery w:val="AutoText"/>
      </w:docPartObj>
    </w:sdtPr>
    <w:sdtEndPr>
      <w:rPr>
        <w:rFonts w:ascii="宋体" w:hAnsi="宋体" w:eastAsia="宋体"/>
        <w:sz w:val="28"/>
        <w:szCs w:val="28"/>
      </w:rPr>
    </w:sdtEndPr>
    <w:sdtContent>
      <w:p>
        <w:pPr>
          <w:pStyle w:val="9"/>
          <w:jc w:val="center"/>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6 -</w:t>
        </w:r>
        <w:r>
          <w:rPr>
            <w:rFonts w:ascii="宋体" w:hAnsi="宋体" w:eastAsia="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293625"/>
    <w:multiLevelType w:val="singleLevel"/>
    <w:tmpl w:val="E229362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ViOWI0NjViYWI2MzhlYzM4ZTcyNGEyYzBhNzExOGEifQ=="/>
  </w:docVars>
  <w:rsids>
    <w:rsidRoot w:val="00620C73"/>
    <w:rsid w:val="000151B5"/>
    <w:rsid w:val="0006086D"/>
    <w:rsid w:val="00066277"/>
    <w:rsid w:val="00073DFA"/>
    <w:rsid w:val="000A532F"/>
    <w:rsid w:val="000A5BF5"/>
    <w:rsid w:val="000B0E2D"/>
    <w:rsid w:val="000C3982"/>
    <w:rsid w:val="000D4BB4"/>
    <w:rsid w:val="000F440A"/>
    <w:rsid w:val="000F6EB9"/>
    <w:rsid w:val="00110333"/>
    <w:rsid w:val="00125B05"/>
    <w:rsid w:val="00126F92"/>
    <w:rsid w:val="00130B81"/>
    <w:rsid w:val="0013795F"/>
    <w:rsid w:val="00154F41"/>
    <w:rsid w:val="00192E39"/>
    <w:rsid w:val="001A5B76"/>
    <w:rsid w:val="001A6CCC"/>
    <w:rsid w:val="001B1F2A"/>
    <w:rsid w:val="001B6076"/>
    <w:rsid w:val="001B6827"/>
    <w:rsid w:val="001F0C0F"/>
    <w:rsid w:val="001F3911"/>
    <w:rsid w:val="00210A80"/>
    <w:rsid w:val="002160B0"/>
    <w:rsid w:val="00217CD1"/>
    <w:rsid w:val="002210E6"/>
    <w:rsid w:val="002625A6"/>
    <w:rsid w:val="00264A57"/>
    <w:rsid w:val="002801B4"/>
    <w:rsid w:val="00284002"/>
    <w:rsid w:val="0028561B"/>
    <w:rsid w:val="0028736E"/>
    <w:rsid w:val="002A1548"/>
    <w:rsid w:val="002A246E"/>
    <w:rsid w:val="002B6E02"/>
    <w:rsid w:val="002C44EF"/>
    <w:rsid w:val="002D0CA1"/>
    <w:rsid w:val="002D5FED"/>
    <w:rsid w:val="002D6148"/>
    <w:rsid w:val="002E5C30"/>
    <w:rsid w:val="002F1047"/>
    <w:rsid w:val="002F28E3"/>
    <w:rsid w:val="0030272F"/>
    <w:rsid w:val="00304EF9"/>
    <w:rsid w:val="00331135"/>
    <w:rsid w:val="003402DE"/>
    <w:rsid w:val="00356504"/>
    <w:rsid w:val="0037396E"/>
    <w:rsid w:val="00376865"/>
    <w:rsid w:val="00380B67"/>
    <w:rsid w:val="00384F4E"/>
    <w:rsid w:val="003877D2"/>
    <w:rsid w:val="003A7D7B"/>
    <w:rsid w:val="003B5BD8"/>
    <w:rsid w:val="003C7A7A"/>
    <w:rsid w:val="003D1762"/>
    <w:rsid w:val="003E7D31"/>
    <w:rsid w:val="003F13BF"/>
    <w:rsid w:val="003F6CC1"/>
    <w:rsid w:val="004064BB"/>
    <w:rsid w:val="004074AD"/>
    <w:rsid w:val="00413FF0"/>
    <w:rsid w:val="00420344"/>
    <w:rsid w:val="00436FD3"/>
    <w:rsid w:val="00437DD6"/>
    <w:rsid w:val="0045728A"/>
    <w:rsid w:val="00464AF8"/>
    <w:rsid w:val="00466BD6"/>
    <w:rsid w:val="004762E8"/>
    <w:rsid w:val="004860F8"/>
    <w:rsid w:val="004913C0"/>
    <w:rsid w:val="00491E16"/>
    <w:rsid w:val="004A2B49"/>
    <w:rsid w:val="004C13F1"/>
    <w:rsid w:val="004C47B6"/>
    <w:rsid w:val="004C7102"/>
    <w:rsid w:val="004F1381"/>
    <w:rsid w:val="00500229"/>
    <w:rsid w:val="0052713A"/>
    <w:rsid w:val="00535A84"/>
    <w:rsid w:val="00541465"/>
    <w:rsid w:val="005527F4"/>
    <w:rsid w:val="00572D05"/>
    <w:rsid w:val="00581F21"/>
    <w:rsid w:val="005876A5"/>
    <w:rsid w:val="005B48D9"/>
    <w:rsid w:val="005B4EDB"/>
    <w:rsid w:val="005C13F7"/>
    <w:rsid w:val="005D31B8"/>
    <w:rsid w:val="005D5358"/>
    <w:rsid w:val="005E6CC1"/>
    <w:rsid w:val="006125E1"/>
    <w:rsid w:val="006203B2"/>
    <w:rsid w:val="00620C73"/>
    <w:rsid w:val="00623307"/>
    <w:rsid w:val="00626C5C"/>
    <w:rsid w:val="006329E6"/>
    <w:rsid w:val="0063395A"/>
    <w:rsid w:val="00635670"/>
    <w:rsid w:val="0063740D"/>
    <w:rsid w:val="00656FC9"/>
    <w:rsid w:val="006625DE"/>
    <w:rsid w:val="0066391D"/>
    <w:rsid w:val="006656FC"/>
    <w:rsid w:val="006657CB"/>
    <w:rsid w:val="00672570"/>
    <w:rsid w:val="00682032"/>
    <w:rsid w:val="006968BE"/>
    <w:rsid w:val="006C2643"/>
    <w:rsid w:val="006C4933"/>
    <w:rsid w:val="006C72FC"/>
    <w:rsid w:val="006E6EDA"/>
    <w:rsid w:val="006F0BB6"/>
    <w:rsid w:val="006F1AC7"/>
    <w:rsid w:val="006F5D0B"/>
    <w:rsid w:val="006F5FE6"/>
    <w:rsid w:val="00706D8E"/>
    <w:rsid w:val="00713669"/>
    <w:rsid w:val="00746DD4"/>
    <w:rsid w:val="00760578"/>
    <w:rsid w:val="007733F9"/>
    <w:rsid w:val="007768A0"/>
    <w:rsid w:val="00777EA1"/>
    <w:rsid w:val="007A3204"/>
    <w:rsid w:val="007B6EEB"/>
    <w:rsid w:val="007C0728"/>
    <w:rsid w:val="007C36E7"/>
    <w:rsid w:val="007C6167"/>
    <w:rsid w:val="007D4106"/>
    <w:rsid w:val="007F4B35"/>
    <w:rsid w:val="007F5DAF"/>
    <w:rsid w:val="00805B53"/>
    <w:rsid w:val="00817B1D"/>
    <w:rsid w:val="00822E84"/>
    <w:rsid w:val="0082304D"/>
    <w:rsid w:val="008259C9"/>
    <w:rsid w:val="00833C57"/>
    <w:rsid w:val="00854F73"/>
    <w:rsid w:val="00863226"/>
    <w:rsid w:val="008633FD"/>
    <w:rsid w:val="00870973"/>
    <w:rsid w:val="00870E14"/>
    <w:rsid w:val="00880A40"/>
    <w:rsid w:val="00892FB6"/>
    <w:rsid w:val="008A5B65"/>
    <w:rsid w:val="008D3BE6"/>
    <w:rsid w:val="008D3E7A"/>
    <w:rsid w:val="008E09E3"/>
    <w:rsid w:val="008E23B0"/>
    <w:rsid w:val="008E3C7E"/>
    <w:rsid w:val="00922B6C"/>
    <w:rsid w:val="00924113"/>
    <w:rsid w:val="009338ED"/>
    <w:rsid w:val="00952BAF"/>
    <w:rsid w:val="009719A3"/>
    <w:rsid w:val="00975F94"/>
    <w:rsid w:val="0098673A"/>
    <w:rsid w:val="00987A46"/>
    <w:rsid w:val="009A2670"/>
    <w:rsid w:val="009D6ADB"/>
    <w:rsid w:val="009D6CA2"/>
    <w:rsid w:val="009F37DE"/>
    <w:rsid w:val="009F5438"/>
    <w:rsid w:val="00A02DF0"/>
    <w:rsid w:val="00A03C0D"/>
    <w:rsid w:val="00A17E4F"/>
    <w:rsid w:val="00A42231"/>
    <w:rsid w:val="00A51B8E"/>
    <w:rsid w:val="00A54CB4"/>
    <w:rsid w:val="00A65FBF"/>
    <w:rsid w:val="00A832D8"/>
    <w:rsid w:val="00A957FE"/>
    <w:rsid w:val="00AA283A"/>
    <w:rsid w:val="00AB1E3A"/>
    <w:rsid w:val="00AC2481"/>
    <w:rsid w:val="00AD4722"/>
    <w:rsid w:val="00AD514A"/>
    <w:rsid w:val="00AD791C"/>
    <w:rsid w:val="00B04D03"/>
    <w:rsid w:val="00B065B0"/>
    <w:rsid w:val="00B24FA0"/>
    <w:rsid w:val="00B3345D"/>
    <w:rsid w:val="00B43F7B"/>
    <w:rsid w:val="00B47D06"/>
    <w:rsid w:val="00B5131B"/>
    <w:rsid w:val="00B90A38"/>
    <w:rsid w:val="00B95D2C"/>
    <w:rsid w:val="00BB2D95"/>
    <w:rsid w:val="00BC6B2D"/>
    <w:rsid w:val="00BD754B"/>
    <w:rsid w:val="00BE4F5B"/>
    <w:rsid w:val="00BF1B66"/>
    <w:rsid w:val="00BF2DCC"/>
    <w:rsid w:val="00BF4EED"/>
    <w:rsid w:val="00BF7651"/>
    <w:rsid w:val="00C06328"/>
    <w:rsid w:val="00C06872"/>
    <w:rsid w:val="00C21697"/>
    <w:rsid w:val="00C30195"/>
    <w:rsid w:val="00C33E82"/>
    <w:rsid w:val="00C34991"/>
    <w:rsid w:val="00C41595"/>
    <w:rsid w:val="00C45A2F"/>
    <w:rsid w:val="00C764AD"/>
    <w:rsid w:val="00CC2638"/>
    <w:rsid w:val="00CC7D98"/>
    <w:rsid w:val="00CD0573"/>
    <w:rsid w:val="00D11010"/>
    <w:rsid w:val="00D179DE"/>
    <w:rsid w:val="00D251EC"/>
    <w:rsid w:val="00D27351"/>
    <w:rsid w:val="00D408BE"/>
    <w:rsid w:val="00D410EF"/>
    <w:rsid w:val="00D44B60"/>
    <w:rsid w:val="00D5284E"/>
    <w:rsid w:val="00D57D76"/>
    <w:rsid w:val="00D64F4F"/>
    <w:rsid w:val="00D652DF"/>
    <w:rsid w:val="00D77567"/>
    <w:rsid w:val="00D837E3"/>
    <w:rsid w:val="00D858AA"/>
    <w:rsid w:val="00D95B51"/>
    <w:rsid w:val="00DA1FA8"/>
    <w:rsid w:val="00DB3731"/>
    <w:rsid w:val="00DC478A"/>
    <w:rsid w:val="00DC548F"/>
    <w:rsid w:val="00DE1251"/>
    <w:rsid w:val="00DE2CFE"/>
    <w:rsid w:val="00E041A0"/>
    <w:rsid w:val="00E06D95"/>
    <w:rsid w:val="00E13BBB"/>
    <w:rsid w:val="00E20FE5"/>
    <w:rsid w:val="00E24F74"/>
    <w:rsid w:val="00E31E78"/>
    <w:rsid w:val="00E5520A"/>
    <w:rsid w:val="00E57DA0"/>
    <w:rsid w:val="00E7172A"/>
    <w:rsid w:val="00E76001"/>
    <w:rsid w:val="00EA00A2"/>
    <w:rsid w:val="00EA14D8"/>
    <w:rsid w:val="00EB0A50"/>
    <w:rsid w:val="00EC3B31"/>
    <w:rsid w:val="00EE21CA"/>
    <w:rsid w:val="00EE5785"/>
    <w:rsid w:val="00EE5DFA"/>
    <w:rsid w:val="00F302A7"/>
    <w:rsid w:val="00FA05C0"/>
    <w:rsid w:val="00FB3C45"/>
    <w:rsid w:val="00FB616A"/>
    <w:rsid w:val="00FC0FF4"/>
    <w:rsid w:val="00FD083C"/>
    <w:rsid w:val="00FD703B"/>
    <w:rsid w:val="00FD718B"/>
    <w:rsid w:val="00FF03C4"/>
    <w:rsid w:val="048272F3"/>
    <w:rsid w:val="04C0022C"/>
    <w:rsid w:val="0631736A"/>
    <w:rsid w:val="063B5B0E"/>
    <w:rsid w:val="11E662DA"/>
    <w:rsid w:val="1835104A"/>
    <w:rsid w:val="1D90796E"/>
    <w:rsid w:val="25115838"/>
    <w:rsid w:val="39877CAA"/>
    <w:rsid w:val="3E254B00"/>
    <w:rsid w:val="46F079C7"/>
    <w:rsid w:val="4C3D12F7"/>
    <w:rsid w:val="4C4607C0"/>
    <w:rsid w:val="4F9357B9"/>
    <w:rsid w:val="52DA1F70"/>
    <w:rsid w:val="55241825"/>
    <w:rsid w:val="556B4D79"/>
    <w:rsid w:val="5CD70CB9"/>
    <w:rsid w:val="5DF9094F"/>
    <w:rsid w:val="67F671E7"/>
    <w:rsid w:val="6E634231"/>
    <w:rsid w:val="6F0A2187"/>
    <w:rsid w:val="72750F15"/>
    <w:rsid w:val="795D3587"/>
    <w:rsid w:val="7B626ED9"/>
    <w:rsid w:val="7EE564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8"/>
    <w:qFormat/>
    <w:uiPriority w:val="99"/>
    <w:pPr>
      <w:spacing w:after="120"/>
    </w:pPr>
    <w:rPr>
      <w:rFonts w:ascii="Calibri" w:hAnsi="Calibri" w:eastAsia="宋体" w:cs="Times New Roman"/>
      <w:szCs w:val="24"/>
    </w:rPr>
  </w:style>
  <w:style w:type="paragraph" w:styleId="3">
    <w:name w:val="toc 5"/>
    <w:basedOn w:val="1"/>
    <w:next w:val="1"/>
    <w:qFormat/>
    <w:uiPriority w:val="39"/>
    <w:pPr>
      <w:ind w:left="1680" w:leftChars="800"/>
    </w:pPr>
  </w:style>
  <w:style w:type="paragraph" w:styleId="4">
    <w:name w:val="Normal Indent"/>
    <w:basedOn w:val="1"/>
    <w:qFormat/>
    <w:uiPriority w:val="0"/>
    <w:pPr>
      <w:ind w:firstLine="420"/>
    </w:pPr>
    <w:rPr>
      <w:rFonts w:ascii="Calibri" w:hAnsi="Calibri"/>
    </w:rPr>
  </w:style>
  <w:style w:type="paragraph" w:styleId="5">
    <w:name w:val="Body Text Indent"/>
    <w:basedOn w:val="1"/>
    <w:unhideWhenUsed/>
    <w:qFormat/>
    <w:uiPriority w:val="99"/>
    <w:pPr>
      <w:spacing w:after="120"/>
      <w:ind w:left="420" w:leftChars="200"/>
    </w:pPr>
  </w:style>
  <w:style w:type="paragraph" w:styleId="6">
    <w:name w:val="Date"/>
    <w:basedOn w:val="1"/>
    <w:next w:val="1"/>
    <w:link w:val="22"/>
    <w:semiHidden/>
    <w:unhideWhenUsed/>
    <w:qFormat/>
    <w:uiPriority w:val="99"/>
    <w:pPr>
      <w:ind w:left="100" w:leftChars="2500"/>
    </w:pPr>
  </w:style>
  <w:style w:type="paragraph" w:styleId="7">
    <w:name w:val="Body Text Indent 2"/>
    <w:basedOn w:val="1"/>
    <w:qFormat/>
    <w:uiPriority w:val="0"/>
    <w:pPr>
      <w:spacing w:line="480" w:lineRule="auto"/>
      <w:ind w:left="420" w:leftChars="200"/>
    </w:pPr>
  </w:style>
  <w:style w:type="paragraph" w:styleId="8">
    <w:name w:val="Balloon Text"/>
    <w:basedOn w:val="1"/>
    <w:link w:val="19"/>
    <w:autoRedefine/>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2"/>
    <w:basedOn w:val="5"/>
    <w:unhideWhenUsed/>
    <w:qFormat/>
    <w:uiPriority w:val="99"/>
    <w:pPr>
      <w:spacing w:after="0"/>
      <w:ind w:left="0" w:leftChars="0" w:firstLine="420" w:firstLineChars="200"/>
    </w:pPr>
    <w:rPr>
      <w:sz w:val="30"/>
      <w:szCs w:val="30"/>
    </w:rPr>
  </w:style>
  <w:style w:type="character" w:styleId="15">
    <w:name w:val="Strong"/>
    <w:qFormat/>
    <w:uiPriority w:val="0"/>
    <w:rPr>
      <w:b/>
      <w:bCs/>
    </w:rPr>
  </w:style>
  <w:style w:type="character" w:customStyle="1" w:styleId="16">
    <w:name w:val="页眉 Char"/>
    <w:basedOn w:val="14"/>
    <w:link w:val="10"/>
    <w:qFormat/>
    <w:uiPriority w:val="99"/>
    <w:rPr>
      <w:sz w:val="18"/>
      <w:szCs w:val="18"/>
    </w:rPr>
  </w:style>
  <w:style w:type="character" w:customStyle="1" w:styleId="17">
    <w:name w:val="页脚 Char"/>
    <w:basedOn w:val="14"/>
    <w:link w:val="9"/>
    <w:qFormat/>
    <w:uiPriority w:val="99"/>
    <w:rPr>
      <w:sz w:val="18"/>
      <w:szCs w:val="18"/>
    </w:rPr>
  </w:style>
  <w:style w:type="character" w:customStyle="1" w:styleId="18">
    <w:name w:val="正文文本 Char"/>
    <w:basedOn w:val="14"/>
    <w:link w:val="2"/>
    <w:qFormat/>
    <w:uiPriority w:val="99"/>
    <w:rPr>
      <w:rFonts w:ascii="Calibri" w:hAnsi="Calibri" w:eastAsia="宋体" w:cs="Times New Roman"/>
      <w:szCs w:val="24"/>
    </w:rPr>
  </w:style>
  <w:style w:type="character" w:customStyle="1" w:styleId="19">
    <w:name w:val="批注框文本 Char"/>
    <w:basedOn w:val="14"/>
    <w:link w:val="8"/>
    <w:semiHidden/>
    <w:qFormat/>
    <w:uiPriority w:val="99"/>
    <w:rPr>
      <w:sz w:val="18"/>
      <w:szCs w:val="18"/>
    </w:rPr>
  </w:style>
  <w:style w:type="paragraph" w:styleId="20">
    <w:name w:val="List Paragraph"/>
    <w:basedOn w:val="1"/>
    <w:autoRedefine/>
    <w:qFormat/>
    <w:uiPriority w:val="34"/>
    <w:pPr>
      <w:ind w:firstLine="420" w:firstLineChars="200"/>
    </w:pPr>
  </w:style>
  <w:style w:type="paragraph" w:customStyle="1" w:styleId="21">
    <w:name w:val="排版"/>
    <w:basedOn w:val="1"/>
    <w:qFormat/>
    <w:uiPriority w:val="0"/>
    <w:pPr>
      <w:spacing w:before="300" w:after="150" w:line="580" w:lineRule="exact"/>
      <w:ind w:firstLine="200" w:firstLineChars="200"/>
    </w:pPr>
    <w:rPr>
      <w:rFonts w:ascii="仿宋_GB2312" w:hAnsi="仿宋" w:eastAsia="仿宋_GB2312" w:cs="仿宋"/>
      <w:color w:val="000000"/>
      <w:sz w:val="32"/>
      <w:szCs w:val="32"/>
    </w:rPr>
  </w:style>
  <w:style w:type="character" w:customStyle="1" w:styleId="22">
    <w:name w:val="日期 Char"/>
    <w:basedOn w:val="14"/>
    <w:link w:val="6"/>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5631</Words>
  <Characters>5861</Characters>
  <Lines>42</Lines>
  <Paragraphs>12</Paragraphs>
  <TotalTime>18</TotalTime>
  <ScaleCrop>false</ScaleCrop>
  <LinksUpToDate>false</LinksUpToDate>
  <CharactersWithSpaces>5865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2024-05-29T07:46:00Z</dcterms:created>
  <dc:creator>Windows 用户</dc:creator>
  <cp:lastModifiedBy>Administrator</cp:lastModifiedBy>
  <cp:lastPrinted>2023-03-20T01:46:00Z</cp:lastPrinted>
  <dcterms:modified xsi:type="dcterms:W3CDTF">2024-05-30T02:33:06Z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EEA5F0920F764C3C91EE42D6E362E128</vt:lpwstr>
  </property>
</Properties>
</file>