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EB1F9">
      <w:pPr>
        <w:pStyle w:val="3"/>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70" w:lineRule="exact"/>
        <w:ind w:left="0" w:leftChars="0" w:right="0"/>
        <w:jc w:val="center"/>
        <w:textAlignment w:val="auto"/>
        <w:outlineLvl w:val="9"/>
        <w:rPr>
          <w:rFonts w:hint="eastAsia" w:ascii="方正小标宋简体" w:hAnsi="方正小标宋简体" w:eastAsia="方正小标宋简体" w:cs="方正小标宋简体"/>
          <w:b w:val="0"/>
          <w:bCs w:val="0"/>
          <w:i w:val="0"/>
          <w:iCs w:val="0"/>
          <w:caps w:val="0"/>
          <w:color w:val="000000"/>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shd w:val="clear" w:color="0A0000" w:fill="FFFFFF"/>
        </w:rPr>
        <w:t>益阳</w:t>
      </w:r>
      <w:r>
        <w:rPr>
          <w:rFonts w:hint="eastAsia" w:ascii="方正小标宋简体" w:hAnsi="方正小标宋简体" w:eastAsia="方正小标宋简体" w:cs="方正小标宋简体"/>
          <w:b w:val="0"/>
          <w:bCs w:val="0"/>
          <w:i w:val="0"/>
          <w:iCs w:val="0"/>
          <w:caps w:val="0"/>
          <w:color w:val="000000"/>
          <w:spacing w:val="0"/>
          <w:sz w:val="44"/>
          <w:szCs w:val="44"/>
          <w:shd w:val="clear" w:color="0A0000" w:fill="FFFFFF"/>
          <w:lang w:val="en-US" w:eastAsia="zh-CN"/>
        </w:rPr>
        <w:t>高新区</w:t>
      </w:r>
      <w:r>
        <w:rPr>
          <w:rFonts w:hint="eastAsia" w:ascii="方正小标宋简体" w:hAnsi="方正小标宋简体" w:eastAsia="方正小标宋简体" w:cs="方正小标宋简体"/>
          <w:b w:val="0"/>
          <w:bCs w:val="0"/>
          <w:i w:val="0"/>
          <w:iCs w:val="0"/>
          <w:caps w:val="0"/>
          <w:color w:val="000000"/>
          <w:spacing w:val="0"/>
          <w:sz w:val="44"/>
          <w:szCs w:val="44"/>
          <w:shd w:val="clear" w:color="0A0000" w:fill="FFFFFF"/>
        </w:rPr>
        <w:t>招商引资中介奖励办法</w:t>
      </w:r>
    </w:p>
    <w:bookmarkEnd w:id="0"/>
    <w:p w14:paraId="36816588">
      <w:pPr>
        <w:pStyle w:val="3"/>
        <w:widowControl w:val="0"/>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70" w:lineRule="exact"/>
        <w:ind w:right="0"/>
        <w:jc w:val="center"/>
        <w:textAlignment w:val="auto"/>
        <w:outlineLvl w:val="9"/>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shd w:val="clear" w:color="080000" w:fill="FFFFFF"/>
          <w:lang w:eastAsia="zh-CN"/>
        </w:rPr>
        <w:t>（</w:t>
      </w:r>
      <w:r>
        <w:rPr>
          <w:rFonts w:hint="eastAsia" w:ascii="楷体" w:hAnsi="楷体" w:eastAsia="楷体" w:cs="楷体"/>
          <w:i w:val="0"/>
          <w:iCs w:val="0"/>
          <w:caps w:val="0"/>
          <w:color w:val="000000"/>
          <w:spacing w:val="0"/>
          <w:sz w:val="32"/>
          <w:szCs w:val="32"/>
          <w:shd w:val="clear" w:color="080000" w:fill="FFFFFF"/>
          <w:lang w:val="en-US" w:eastAsia="zh-CN"/>
        </w:rPr>
        <w:t>试行）</w:t>
      </w:r>
    </w:p>
    <w:p w14:paraId="351805B3">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为鼓励社会各方面力量、各种社会资源参与招商引资，扩大招商引资成果，促进经济和社会加快发展，结合我区实际，制定本办法。</w:t>
      </w:r>
    </w:p>
    <w:p w14:paraId="6D043DD8">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一、奖励对象</w:t>
      </w:r>
    </w:p>
    <w:p w14:paraId="705017BF">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本办法所指招商引资中介是指直接引荐益阳市域以外的投资者来益阳高新区投资，与我区招商部门建立联系，并最终促成投资成功，经投资方和招商部门共同确认的社会组织（包括专业招商机构、中介组织、各商协会）或个人。国家公职人员、项目投资方和实际控制人不列入中介人奖励范围。</w:t>
      </w:r>
    </w:p>
    <w:p w14:paraId="6391B27B">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二、认定原则</w:t>
      </w:r>
    </w:p>
    <w:p w14:paraId="2D6EF4D5">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招商中介机构实行委托备案制，个人实行项目洽谈阶段申报制。其中，中介机构经区经济合作局确定，接受委托及备案登记后，代表益阳高新区开展招商引资工作。招商中介机构应当具备一定的企业资源，有从事专业招商的工作人员，熟悉国际惯例和我国经济法律法规及我区区情，具有一定招商引资能力和业绩。</w:t>
      </w:r>
    </w:p>
    <w:p w14:paraId="4E860DAF">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按照“第一对接、第一引荐”原则，项目前期洽谈阶段，牵线搭桥，最先向我区招商部门提供信息、引荐项目，组织协调和参与项目洽谈，并协助该项目成功落户益阳高新区，在投资方正式签定项目合同时，投资方和招商部门共同确定项目中介机构或个人。同一项目有多个中介机构或个人的，委托一方申请奖励，中介机构或个人之间有争议的，须自行协商一致再申请奖励。</w:t>
      </w:r>
    </w:p>
    <w:p w14:paraId="74E17536">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三、奖励范围</w:t>
      </w:r>
    </w:p>
    <w:p w14:paraId="746357BB">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楷体_GB2312" w:hAnsi="楷体_GB2312" w:eastAsia="楷体_GB2312" w:cs="楷体_GB2312"/>
          <w:i w:val="0"/>
          <w:iCs w:val="0"/>
          <w:caps w:val="0"/>
          <w:color w:val="000000"/>
          <w:spacing w:val="0"/>
          <w:sz w:val="32"/>
          <w:szCs w:val="32"/>
          <w:shd w:val="clear" w:color="080000" w:fill="FFFFFF"/>
        </w:rPr>
      </w:pPr>
      <w:r>
        <w:rPr>
          <w:rFonts w:hint="eastAsia" w:ascii="楷体_GB2312" w:hAnsi="楷体_GB2312" w:eastAsia="楷体_GB2312" w:cs="楷体_GB2312"/>
          <w:i w:val="0"/>
          <w:iCs w:val="0"/>
          <w:caps w:val="0"/>
          <w:color w:val="000000"/>
          <w:spacing w:val="0"/>
          <w:sz w:val="32"/>
          <w:szCs w:val="32"/>
          <w:shd w:val="clear" w:color="080000" w:fill="FFFFFF"/>
        </w:rPr>
        <w:t>（一）奖励起点</w:t>
      </w:r>
    </w:p>
    <w:p w14:paraId="58995C06">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通过中介招商在高新区新设立的具有独立法人资格的企业，从企业注册成立之日起2年内，征地建设项目实际到位市域外资金5000万元及以上并形成等值固定资产，租赁厂房的实际到位市域外资金2000万元以上并形成等值固定资产投资，总部经济项目实缴注册资本5000万元以上。项目固定资产投资额应剔除我区给予的招商奖扶资金、我区基金投资部分。企业流动资金不计入计奖基数。</w:t>
      </w:r>
    </w:p>
    <w:p w14:paraId="164FE2C4">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color="080000" w:fill="FFFFFF"/>
          <w:lang w:eastAsia="zh-CN"/>
        </w:rPr>
        <w:t>（</w:t>
      </w:r>
      <w:r>
        <w:rPr>
          <w:rFonts w:hint="eastAsia" w:ascii="楷体_GB2312" w:hAnsi="楷体_GB2312" w:eastAsia="楷体_GB2312" w:cs="楷体_GB2312"/>
          <w:i w:val="0"/>
          <w:iCs w:val="0"/>
          <w:caps w:val="0"/>
          <w:color w:val="000000"/>
          <w:spacing w:val="0"/>
          <w:sz w:val="32"/>
          <w:szCs w:val="32"/>
          <w:shd w:val="clear" w:color="080000" w:fill="FFFFFF"/>
          <w:lang w:val="en-US" w:eastAsia="zh-CN"/>
        </w:rPr>
        <w:t>二</w:t>
      </w:r>
      <w:r>
        <w:rPr>
          <w:rFonts w:hint="eastAsia" w:ascii="楷体_GB2312" w:hAnsi="楷体_GB2312" w:eastAsia="楷体_GB2312" w:cs="楷体_GB2312"/>
          <w:i w:val="0"/>
          <w:iCs w:val="0"/>
          <w:caps w:val="0"/>
          <w:color w:val="000000"/>
          <w:spacing w:val="0"/>
          <w:sz w:val="32"/>
          <w:szCs w:val="32"/>
          <w:shd w:val="clear" w:color="080000" w:fill="FFFFFF"/>
          <w:lang w:eastAsia="zh-CN"/>
        </w:rPr>
        <w:t>）</w:t>
      </w:r>
      <w:r>
        <w:rPr>
          <w:rFonts w:hint="eastAsia" w:ascii="楷体_GB2312" w:hAnsi="楷体_GB2312" w:eastAsia="楷体_GB2312" w:cs="楷体_GB2312"/>
          <w:i w:val="0"/>
          <w:iCs w:val="0"/>
          <w:caps w:val="0"/>
          <w:color w:val="000000"/>
          <w:spacing w:val="0"/>
          <w:sz w:val="32"/>
          <w:szCs w:val="32"/>
          <w:shd w:val="clear" w:color="080000" w:fill="FFFFFF"/>
        </w:rPr>
        <w:t>奖励类别</w:t>
      </w:r>
    </w:p>
    <w:p w14:paraId="3ED106AE">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工业制造业项目，酒店、商贸物流、电子商务、文化旅游等现代服务业项目，总部经济项目。</w:t>
      </w:r>
    </w:p>
    <w:p w14:paraId="053D8926">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以上项目均应符合国家产业政策发展方向和高新区产业布局规划，投资强度、环保、安全等达到国家有关法规、政策要求。项目如已享受市级招商引资中介奖励，则不重复享受区级奖励，但可按就高不就低原则享受差额奖励。</w:t>
      </w:r>
    </w:p>
    <w:p w14:paraId="45F57FE7">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四、计奖标准</w:t>
      </w:r>
    </w:p>
    <w:p w14:paraId="3E44D527">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080000" w:fill="FFFFFF"/>
        </w:rPr>
        <w:t>（一）工业类项目</w:t>
      </w:r>
    </w:p>
    <w:p w14:paraId="5E9D097F">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1．所引进项目为世界500强企业、中国500强企业、国内民营500强、央企、上市公司、国内同行业龙头企业（前10名以内）的，按固定资产实际投入的5‰奖励（其中设备资产按3‰计奖）。</w:t>
      </w:r>
    </w:p>
    <w:p w14:paraId="585FE73A">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2．引进市域外非上述类别企业，按引进市域外资金完成固定资产实际投入的4‰奖励（其中设备资产按2‰计奖）。</w:t>
      </w:r>
    </w:p>
    <w:p w14:paraId="66C2D0C8">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（二）商贸物流、文化旅游、电子商务、酒店等现代服务业项目，按引进市域外资金形成固定资产实际投入的1‰奖励。</w:t>
      </w:r>
    </w:p>
    <w:p w14:paraId="56398252">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default"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（三）总部经济项目（含区域总部）按照首个会计年度纳税总额的5%给予一次性奖励。总部经济项目的认定，按照省级出台的相关文件予以认定。</w:t>
      </w:r>
    </w:p>
    <w:p w14:paraId="3E11E114">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（四）单个项目奖励最高不超过300万元。</w:t>
      </w:r>
    </w:p>
    <w:p w14:paraId="3BC24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（五）</w:t>
      </w:r>
      <w:r>
        <w:rPr>
          <w:rFonts w:hint="eastAsia" w:ascii="华文仿宋" w:hAnsi="华文仿宋" w:eastAsia="华文仿宋" w:cs="华文仿宋"/>
          <w:kern w:val="2"/>
          <w:sz w:val="32"/>
          <w:szCs w:val="32"/>
          <w:lang w:val="en-US" w:eastAsia="zh-CN" w:bidi="ar"/>
        </w:rPr>
        <w:t>引进固定资产投资10亿元以上的重大项目，以及外资重大项目，经党工委会议研究，可采取“一事一议”方式确定奖金。</w:t>
      </w:r>
    </w:p>
    <w:p w14:paraId="6A18F2D1">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五、奖励时限</w:t>
      </w:r>
    </w:p>
    <w:p w14:paraId="1985B1A7">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（一）中介机构或个人须在所引荐项目竣工投产或依法取得运营资格且正式运营后方可享受中介奖励。</w:t>
      </w:r>
    </w:p>
    <w:p w14:paraId="3A834B97">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二）中介机构或个人引荐的征地建设项目其投资方在合同约定投产或运营之日超过六个月未投产或未运营的，取消中介奖励；租赁厂房项目其投资方在合同约定投产或运营之日起超过三个月未投产或未运营的，取消中介奖励。</w:t>
      </w:r>
    </w:p>
    <w:p w14:paraId="65EA97F0">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（三）中介奖励发放之日起，项目后续固定资产投入不再列入中介奖励范围。</w:t>
      </w:r>
    </w:p>
    <w:p w14:paraId="549A61D6">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六、奖金来源</w:t>
      </w:r>
    </w:p>
    <w:p w14:paraId="44CA3827">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rPr>
      </w:pPr>
      <w:r>
        <w:rPr>
          <w:rFonts w:hint="eastAsia" w:ascii="华文仿宋" w:hAnsi="华文仿宋" w:eastAsia="华文仿宋" w:cs="华文仿宋"/>
          <w:color w:val="auto"/>
          <w:kern w:val="2"/>
          <w:sz w:val="32"/>
          <w:szCs w:val="32"/>
          <w:lang w:val="en-US" w:eastAsia="zh-CN" w:bidi="ar-SA"/>
        </w:rPr>
        <w:t>招商引资中介奖金由高新区财政承担。</w:t>
      </w:r>
    </w:p>
    <w:p w14:paraId="3F6CED1F">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kern w:val="0"/>
          <w:sz w:val="32"/>
          <w:szCs w:val="32"/>
          <w:shd w:val="clear" w:color="090000" w:fill="FFFFFF"/>
          <w:lang w:val="en-US" w:eastAsia="zh-CN"/>
        </w:rPr>
        <w:t>七、</w:t>
      </w:r>
      <w:r>
        <w:rPr>
          <w:rFonts w:hint="eastAsia" w:ascii="黑体" w:hAnsi="黑体" w:eastAsia="黑体" w:cs="黑体"/>
          <w:i w:val="0"/>
          <w:iCs w:val="0"/>
          <w:caps w:val="0"/>
          <w:color w:val="000000"/>
          <w:spacing w:val="0"/>
          <w:sz w:val="32"/>
          <w:szCs w:val="32"/>
          <w:shd w:val="clear" w:color="080000" w:fill="FFFFFF"/>
        </w:rPr>
        <w:t>奖励程序</w:t>
      </w:r>
    </w:p>
    <w:p w14:paraId="31D4725B">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color="080000" w:fill="FFFFFF"/>
        </w:rPr>
        <w:t>（一）奖励申报</w:t>
      </w:r>
    </w:p>
    <w:p w14:paraId="41449200">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中介机构或个人引荐项目签定正式合同之日起三个月内，到区经济合作局填报《益阳高新区招商引资中介奖励申请表》进行备案，并提交一份承诺书，承诺其提交的所有资料真实、合法、有效，且注明自身不是政府工作人员和项目投资方。中介机构或个人若为两个及以上的，必须明确其中一方为委托申请人，受委托申请人应提交一份经各方签字（盖章）确认的奖金比例分配的说明材料。</w:t>
      </w:r>
    </w:p>
    <w:p w14:paraId="3A379D71">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2.项目竣工投产或正式运营后，中介机构或个人应在三个月之内到区经济合作局申请兑现中介奖励。项目投产运营后超过六个月时限未申请视为主动放弃奖励。</w:t>
      </w:r>
    </w:p>
    <w:p w14:paraId="18670687">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3.中介机构或个人申报兑现奖励时，需提供以下材料：</w:t>
      </w:r>
    </w:p>
    <w:p w14:paraId="5C637D93">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（1）投资方出具的中介证明材料；</w:t>
      </w:r>
    </w:p>
    <w:p w14:paraId="046D8FAB">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（2）中介机构营业执照或个人身份证复印件；</w:t>
      </w:r>
    </w:p>
    <w:p w14:paraId="03AC2BB8">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（3）投资方营业执照或投资自然人身份证复印件；</w:t>
      </w:r>
    </w:p>
    <w:p w14:paraId="6F66F532">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（4）项目合同，新企业的工商营业执照和税务登记证复印件；</w:t>
      </w:r>
    </w:p>
    <w:p w14:paraId="063ED5D0">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（5）资金到位证明、固定资产评估报告（或固定资产投入清单），或其他有效证明材料；</w:t>
      </w:r>
    </w:p>
    <w:p w14:paraId="6A25B568">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（6）引进设备的，属国内全新设备的，提供购货发票；属二手设备的，需持有资产评估报告；属进口设备的，需持有报关单、商检鉴定单等；</w:t>
      </w:r>
    </w:p>
    <w:p w14:paraId="2563B59B">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（7）中介招商引资过程的文字说明及相关资料。</w:t>
      </w:r>
    </w:p>
    <w:p w14:paraId="75A056F8">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color="080000" w:fill="FFFFFF"/>
        </w:rPr>
        <w:t>（二）奖励审核</w:t>
      </w:r>
    </w:p>
    <w:p w14:paraId="6824CA6D">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区经济合作局负责受理奖励申报事项，认定中介身份，牵头组织实施奖励评审、报批；财政部门负责对项目实际固定资产投资额进行审核，提出奖励方案及审批后拨付资金。</w:t>
      </w:r>
    </w:p>
    <w:p w14:paraId="78058AF9">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中介奖励事项每年底区经济合作局、区财政局组织联合评审，审批结果在益阳高新区管委会政府网站进行公示。</w:t>
      </w:r>
    </w:p>
    <w:p w14:paraId="38EBCE7B">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color="080000" w:fill="FFFFFF"/>
        </w:rPr>
        <w:t>（三）奖励发放</w:t>
      </w:r>
    </w:p>
    <w:p w14:paraId="3023193F">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经公示一周无异议后，财政部门30个工作日内兑付奖励。中介奖励的发放，由区财政局依法代扣个人所得税后，将税后中介奖金拨付至中介机构、个人或者委托申请人指定银行账户。</w:t>
      </w:r>
    </w:p>
    <w:p w14:paraId="2C3CFCD5">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从公示之日起2个月内，区经济合作局会同区财政局将中介奖励情况汇总，分别报送市商务局和市财政局备案。</w:t>
      </w:r>
    </w:p>
    <w:p w14:paraId="1578D9AD">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八、不属于奖励范围</w:t>
      </w:r>
      <w:r>
        <w:rPr>
          <w:rFonts w:hint="eastAsia" w:ascii="黑体" w:hAnsi="黑体" w:eastAsia="黑体" w:cs="黑体"/>
          <w:i w:val="0"/>
          <w:iCs w:val="0"/>
          <w:caps w:val="0"/>
          <w:color w:val="000000"/>
          <w:spacing w:val="0"/>
          <w:sz w:val="32"/>
          <w:szCs w:val="32"/>
          <w:shd w:val="clear" w:color="080000" w:fill="FFFFFF"/>
          <w:lang w:eastAsia="zh-CN"/>
        </w:rPr>
        <w:t>的</w:t>
      </w:r>
      <w:r>
        <w:rPr>
          <w:rFonts w:hint="eastAsia" w:ascii="黑体" w:hAnsi="黑体" w:eastAsia="黑体" w:cs="黑体"/>
          <w:i w:val="0"/>
          <w:iCs w:val="0"/>
          <w:caps w:val="0"/>
          <w:color w:val="000000"/>
          <w:spacing w:val="0"/>
          <w:sz w:val="32"/>
          <w:szCs w:val="32"/>
          <w:shd w:val="clear" w:color="080000" w:fill="FFFFFF"/>
        </w:rPr>
        <w:t>情形</w:t>
      </w:r>
    </w:p>
    <w:p w14:paraId="0E6720C4">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（一）合同签订后未正式启动建设的项目；</w:t>
      </w:r>
    </w:p>
    <w:p w14:paraId="589CE6BD">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（二）未在益阳市办理工商注册和税务登记的项目；</w:t>
      </w:r>
    </w:p>
    <w:p w14:paraId="0B2CA026">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三）政府特许经营权项目（包括城市供水、供气、供热，污水处理、垃圾处理，城市轨道交通和其他公共交通，水电、火电、风电、太阳能发电等能源类项目以及矿产资源开采项目等），城市综合体和房地产开发项目、股权转让和增资扩股类项目，不纳入本规定奖励范围。</w:t>
      </w:r>
    </w:p>
    <w:p w14:paraId="10376BB4">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30" w:lineRule="exact"/>
        <w:ind w:left="0" w:leftChars="0" w:right="0" w:firstLine="640" w:firstLineChars="200"/>
        <w:jc w:val="both"/>
        <w:textAlignment w:val="auto"/>
        <w:outlineLvl w:val="9"/>
        <w:rPr>
          <w:rFonts w:hint="eastAsia" w:ascii="黑体" w:hAnsi="黑体" w:eastAsia="黑体" w:cs="黑体"/>
          <w:i w:val="0"/>
          <w:iCs w:val="0"/>
          <w:caps w:val="0"/>
          <w:color w:val="000000"/>
          <w:spacing w:val="0"/>
          <w:sz w:val="32"/>
          <w:szCs w:val="32"/>
          <w:shd w:val="clear" w:color="080000" w:fill="FFFFFF"/>
          <w:lang w:val="en-US" w:eastAsia="zh-CN"/>
        </w:rPr>
      </w:pPr>
      <w:r>
        <w:rPr>
          <w:rFonts w:hint="eastAsia" w:ascii="黑体" w:hAnsi="黑体" w:eastAsia="黑体" w:cs="黑体"/>
          <w:i w:val="0"/>
          <w:iCs w:val="0"/>
          <w:caps w:val="0"/>
          <w:color w:val="000000"/>
          <w:spacing w:val="0"/>
          <w:sz w:val="32"/>
          <w:szCs w:val="32"/>
          <w:shd w:val="clear" w:color="080000" w:fill="FFFFFF"/>
          <w:lang w:val="en-US" w:eastAsia="zh-CN"/>
        </w:rPr>
        <w:t>九、附则</w:t>
      </w:r>
    </w:p>
    <w:p w14:paraId="697E27E1">
      <w:pPr>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640" w:firstLineChars="200"/>
        <w:textAlignment w:val="auto"/>
        <w:outlineLvl w:val="9"/>
        <w:rPr>
          <w:rFonts w:hint="eastAsia" w:ascii="华文仿宋" w:hAnsi="华文仿宋" w:eastAsia="华文仿宋" w:cs="华文仿宋"/>
          <w:color w:val="auto"/>
          <w:kern w:val="2"/>
          <w:sz w:val="32"/>
          <w:szCs w:val="32"/>
          <w:lang w:val="en-US" w:eastAsia="zh-CN" w:bidi="ar-SA"/>
        </w:rPr>
      </w:pPr>
      <w:r>
        <w:rPr>
          <w:rFonts w:hint="eastAsia" w:ascii="华文仿宋" w:hAnsi="华文仿宋" w:eastAsia="华文仿宋" w:cs="华文仿宋"/>
          <w:color w:val="auto"/>
          <w:kern w:val="2"/>
          <w:sz w:val="32"/>
          <w:szCs w:val="32"/>
          <w:lang w:val="en-US" w:eastAsia="zh-CN" w:bidi="ar-SA"/>
        </w:rPr>
        <w:t>（一）对违反本办法规定骗取奖励的，由有关部门追回奖金，并追究有关单位和当事人的责任；涉嫌犯罪的，移送司法机关依法追究其刑事责任。</w:t>
      </w:r>
    </w:p>
    <w:p w14:paraId="0CFBB974">
      <w:pPr>
        <w:ind w:firstLine="640" w:firstLineChars="200"/>
      </w:pPr>
      <w:r>
        <w:rPr>
          <w:rFonts w:hint="eastAsia" w:ascii="华文仿宋" w:hAnsi="华文仿宋" w:eastAsia="华文仿宋" w:cs="华文仿宋"/>
          <w:color w:val="auto"/>
          <w:kern w:val="2"/>
          <w:sz w:val="32"/>
          <w:szCs w:val="32"/>
          <w:lang w:val="en-US" w:eastAsia="zh-CN" w:bidi="ar-SA"/>
        </w:rPr>
        <w:t>（二）本试行办法自发布之日起实施，有效期限两年。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C4F6A1-D85F-4CC8-998F-7449EE1387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6B8285-A8B4-47B4-B4FF-870EF8B5CEFC}"/>
  </w:font>
  <w:font w:name="方正小标宋简体">
    <w:panose1 w:val="02000000000000000000"/>
    <w:charset w:val="86"/>
    <w:family w:val="auto"/>
    <w:pitch w:val="default"/>
    <w:sig w:usb0="A00002BF" w:usb1="184F6CFA" w:usb2="00000012" w:usb3="00000000" w:csb0="00040001" w:csb1="00000000"/>
    <w:embedRegular r:id="rId3" w:fontKey="{84465C60-9E52-41F1-8270-95C0102F9A15}"/>
  </w:font>
  <w:font w:name="楷体">
    <w:panose1 w:val="02010609060101010101"/>
    <w:charset w:val="86"/>
    <w:family w:val="auto"/>
    <w:pitch w:val="default"/>
    <w:sig w:usb0="800002BF" w:usb1="38CF7CFA" w:usb2="00000016" w:usb3="00000000" w:csb0="00040001" w:csb1="00000000"/>
    <w:embedRegular r:id="rId4" w:fontKey="{7F89780D-823C-43FD-9751-419229CFC3FD}"/>
  </w:font>
  <w:font w:name="华文仿宋">
    <w:panose1 w:val="02010600040101010101"/>
    <w:charset w:val="86"/>
    <w:family w:val="auto"/>
    <w:pitch w:val="default"/>
    <w:sig w:usb0="00000287" w:usb1="080F0000" w:usb2="00000000" w:usb3="00000000" w:csb0="0004009F" w:csb1="DFD70000"/>
    <w:embedRegular r:id="rId5" w:fontKey="{1DB4370D-D8E8-49B6-99CE-7F62BDC9BBA1}"/>
  </w:font>
  <w:font w:name="楷体_GB2312">
    <w:altName w:val="楷体"/>
    <w:panose1 w:val="02010609030101010101"/>
    <w:charset w:val="86"/>
    <w:family w:val="auto"/>
    <w:pitch w:val="default"/>
    <w:sig w:usb0="00000000" w:usb1="00000000" w:usb2="00000000" w:usb3="00000000" w:csb0="00040000" w:csb1="00000000"/>
    <w:embedRegular r:id="rId6" w:fontKey="{EC7FBB5E-7237-461F-95AF-ADB6DD23F690}"/>
  </w:font>
  <w:font w:name="仿宋_GB2312">
    <w:panose1 w:val="02010609030101010101"/>
    <w:charset w:val="86"/>
    <w:family w:val="auto"/>
    <w:pitch w:val="default"/>
    <w:sig w:usb0="00000001" w:usb1="080E0000" w:usb2="00000000" w:usb3="00000000" w:csb0="00040000" w:csb1="00000000"/>
    <w:embedRegular r:id="rId7" w:fontKey="{93453F9A-CDC6-4ED9-AA5D-EC237C4CD1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ZTcyM2Q5NTViODhjYmNkNzljNTZlYzgxOWUxOGMifQ=="/>
  </w:docVars>
  <w:rsids>
    <w:rsidRoot w:val="3C0D2F4C"/>
    <w:rsid w:val="3C0D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Normal (Web)"/>
    <w:basedOn w:val="1"/>
    <w:unhideWhenUsed/>
    <w:uiPriority w:val="99"/>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2024-07-25T01:24:00Z</dcterms:created>
  <dc:creator>FAN</dc:creator>
  <cp:lastModifiedBy>FAN</cp:lastModifiedBy>
  <dcterms:modified xsi:type="dcterms:W3CDTF">2024-07-25T01:25:25Z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7C3EB50920974F839B156967B4D52497_11</vt:lpwstr>
  </property>
</Properties>
</file>