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益阳市城市管理和综合执法局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i w:val="0"/>
          <w:caps w:val="0"/>
          <w:color w:val="000000"/>
          <w:spacing w:val="0"/>
          <w:sz w:val="32"/>
          <w:szCs w:val="32"/>
          <w:shd w:val="clear" w:fill="FFFFFF"/>
        </w:rPr>
      </w:pPr>
      <w:r>
        <w:rPr>
          <w:rFonts w:hint="eastAsia" w:ascii="方正小标宋简体" w:hAnsi="方正小标宋简体" w:eastAsia="方正小标宋简体" w:cs="方正小标宋简体"/>
          <w:b/>
          <w:bCs/>
          <w:sz w:val="44"/>
          <w:szCs w:val="44"/>
          <w:lang w:val="en-US" w:eastAsia="zh-CN"/>
        </w:rPr>
        <w:t>2022年度整体支出绩效自评报告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i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i w:val="0"/>
          <w:caps w:val="0"/>
          <w:color w:val="000000"/>
          <w:spacing w:val="0"/>
          <w:sz w:val="32"/>
          <w:szCs w:val="32"/>
          <w:shd w:val="clear" w:fill="FFFFFF"/>
        </w:rPr>
        <w:t>为了</w:t>
      </w:r>
      <w:r>
        <w:rPr>
          <w:rFonts w:hint="eastAsia" w:ascii="方正仿宋简体" w:hAnsi="方正仿宋简体" w:eastAsia="方正仿宋简体" w:cs="方正仿宋简体"/>
          <w:i w:val="0"/>
          <w:caps w:val="0"/>
          <w:color w:val="000000"/>
          <w:spacing w:val="0"/>
          <w:sz w:val="32"/>
          <w:szCs w:val="32"/>
          <w:shd w:val="clear" w:fill="FFFFFF"/>
          <w:lang w:eastAsia="zh-CN"/>
        </w:rPr>
        <w:t>进一步规范</w:t>
      </w:r>
      <w:r>
        <w:rPr>
          <w:rFonts w:hint="eastAsia" w:ascii="方正仿宋简体" w:hAnsi="方正仿宋简体" w:eastAsia="方正仿宋简体" w:cs="方正仿宋简体"/>
          <w:i w:val="0"/>
          <w:caps w:val="0"/>
          <w:color w:val="000000"/>
          <w:spacing w:val="0"/>
          <w:sz w:val="32"/>
          <w:szCs w:val="32"/>
          <w:shd w:val="clear" w:fill="FFFFFF"/>
        </w:rPr>
        <w:t>财政资金管理，</w:t>
      </w:r>
      <w:r>
        <w:rPr>
          <w:rFonts w:hint="eastAsia" w:ascii="方正仿宋简体" w:hAnsi="方正仿宋简体" w:eastAsia="方正仿宋简体" w:cs="方正仿宋简体"/>
          <w:i w:val="0"/>
          <w:caps w:val="0"/>
          <w:color w:val="000000"/>
          <w:spacing w:val="0"/>
          <w:sz w:val="32"/>
          <w:szCs w:val="32"/>
          <w:shd w:val="clear" w:fill="FFFFFF"/>
          <w:lang w:eastAsia="zh-CN"/>
        </w:rPr>
        <w:t>切实</w:t>
      </w:r>
      <w:r>
        <w:rPr>
          <w:rFonts w:hint="eastAsia" w:ascii="方正仿宋简体" w:hAnsi="方正仿宋简体" w:eastAsia="方正仿宋简体" w:cs="方正仿宋简体"/>
          <w:i w:val="0"/>
          <w:caps w:val="0"/>
          <w:color w:val="000000"/>
          <w:spacing w:val="0"/>
          <w:sz w:val="32"/>
          <w:szCs w:val="32"/>
          <w:shd w:val="clear" w:fill="FFFFFF"/>
        </w:rPr>
        <w:t>提高资金使用效益，根据《湖南省委办公厅湖南省人民政府办公厅关于全面实施预算绩效管理的实施意见》（湘办发〔2019〕10号）精神</w:t>
      </w:r>
      <w:r>
        <w:rPr>
          <w:rFonts w:hint="eastAsia" w:ascii="方正仿宋简体" w:hAnsi="方正仿宋简体" w:eastAsia="方正仿宋简体" w:cs="方正仿宋简体"/>
          <w:i w:val="0"/>
          <w:caps w:val="0"/>
          <w:color w:val="000000"/>
          <w:spacing w:val="0"/>
          <w:sz w:val="32"/>
          <w:szCs w:val="32"/>
          <w:shd w:val="clear" w:fill="FFFFFF"/>
          <w:lang w:val="en-US" w:eastAsia="zh-CN"/>
        </w:rPr>
        <w:t>,</w:t>
      </w:r>
      <w:r>
        <w:rPr>
          <w:rFonts w:hint="eastAsia" w:ascii="方正仿宋简体" w:hAnsi="方正仿宋简体" w:eastAsia="方正仿宋简体" w:cs="方正仿宋简体"/>
          <w:i w:val="0"/>
          <w:caps w:val="0"/>
          <w:color w:val="000000"/>
          <w:spacing w:val="0"/>
          <w:sz w:val="32"/>
          <w:szCs w:val="32"/>
          <w:shd w:val="clear" w:fill="FFFFFF"/>
        </w:rPr>
        <w:t>按照《益阳市财政局关于开展</w:t>
      </w:r>
      <w:r>
        <w:rPr>
          <w:rFonts w:hint="eastAsia" w:ascii="方正仿宋简体" w:hAnsi="方正仿宋简体" w:eastAsia="方正仿宋简体" w:cs="方正仿宋简体"/>
          <w:i w:val="0"/>
          <w:caps w:val="0"/>
          <w:color w:val="000000"/>
          <w:spacing w:val="0"/>
          <w:sz w:val="32"/>
          <w:szCs w:val="32"/>
          <w:shd w:val="clear" w:fill="FFFFFF"/>
          <w:lang w:val="en-US" w:eastAsia="zh-CN"/>
        </w:rPr>
        <w:t>2022</w:t>
      </w:r>
      <w:r>
        <w:rPr>
          <w:rFonts w:hint="eastAsia" w:ascii="方正仿宋简体" w:hAnsi="方正仿宋简体" w:eastAsia="方正仿宋简体" w:cs="方正仿宋简体"/>
          <w:i w:val="0"/>
          <w:caps w:val="0"/>
          <w:color w:val="000000"/>
          <w:spacing w:val="0"/>
          <w:sz w:val="32"/>
          <w:szCs w:val="32"/>
          <w:shd w:val="clear" w:fill="FFFFFF"/>
        </w:rPr>
        <w:t>年度</w:t>
      </w:r>
      <w:r>
        <w:rPr>
          <w:rFonts w:hint="eastAsia" w:ascii="方正仿宋简体" w:hAnsi="方正仿宋简体" w:eastAsia="方正仿宋简体" w:cs="方正仿宋简体"/>
          <w:i w:val="0"/>
          <w:caps w:val="0"/>
          <w:color w:val="000000"/>
          <w:spacing w:val="0"/>
          <w:sz w:val="32"/>
          <w:szCs w:val="32"/>
          <w:shd w:val="clear" w:fill="FFFFFF"/>
          <w:lang w:eastAsia="zh-CN"/>
        </w:rPr>
        <w:t>部门</w:t>
      </w:r>
      <w:r>
        <w:rPr>
          <w:rFonts w:hint="eastAsia" w:ascii="方正仿宋简体" w:hAnsi="方正仿宋简体" w:eastAsia="方正仿宋简体" w:cs="方正仿宋简体"/>
          <w:i w:val="0"/>
          <w:caps w:val="0"/>
          <w:color w:val="000000"/>
          <w:spacing w:val="0"/>
          <w:sz w:val="32"/>
          <w:szCs w:val="32"/>
          <w:shd w:val="clear" w:fill="FFFFFF"/>
        </w:rPr>
        <w:t>绩效自评工作的通知》要求，我局认真组织开展了</w:t>
      </w:r>
      <w:r>
        <w:rPr>
          <w:rFonts w:hint="eastAsia" w:ascii="方正仿宋简体" w:hAnsi="方正仿宋简体" w:eastAsia="方正仿宋简体" w:cs="方正仿宋简体"/>
          <w:i w:val="0"/>
          <w:caps w:val="0"/>
          <w:color w:val="000000"/>
          <w:spacing w:val="0"/>
          <w:sz w:val="32"/>
          <w:szCs w:val="32"/>
          <w:shd w:val="clear" w:fill="FFFFFF"/>
          <w:lang w:val="en-US" w:eastAsia="zh-CN"/>
        </w:rPr>
        <w:t>2022</w:t>
      </w:r>
      <w:r>
        <w:rPr>
          <w:rFonts w:hint="eastAsia" w:ascii="方正仿宋简体" w:hAnsi="方正仿宋简体" w:eastAsia="方正仿宋简体" w:cs="方正仿宋简体"/>
          <w:i w:val="0"/>
          <w:caps w:val="0"/>
          <w:color w:val="000000"/>
          <w:spacing w:val="0"/>
          <w:sz w:val="32"/>
          <w:szCs w:val="32"/>
          <w:shd w:val="clear" w:fill="FFFFFF"/>
        </w:rPr>
        <w:t>年整体支出绩效自评工作。现将有关情况报告如下：</w:t>
      </w:r>
    </w:p>
    <w:p>
      <w:pPr>
        <w:keepNext w:val="0"/>
        <w:keepLines w:val="0"/>
        <w:pageBreakBefore w:val="0"/>
        <w:numPr>
          <w:ilvl w:val="0"/>
          <w:numId w:val="1"/>
        </w:numPr>
        <w:kinsoku/>
        <w:wordWrap/>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单位基本情况</w:t>
      </w:r>
    </w:p>
    <w:p>
      <w:pPr>
        <w:keepNext w:val="0"/>
        <w:keepLines w:val="0"/>
        <w:pageBreakBefore w:val="0"/>
        <w:kinsoku/>
        <w:wordWrap/>
        <w:topLinePunct w:val="0"/>
        <w:autoSpaceDE/>
        <w:autoSpaceDN/>
        <w:bidi w:val="0"/>
        <w:adjustRightInd/>
        <w:snapToGrid w:val="0"/>
        <w:spacing w:line="60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益阳市城市管理和综合执法局是市政府工作部门，为正处级</w:t>
      </w:r>
      <w:r>
        <w:rPr>
          <w:rFonts w:hint="eastAsia" w:ascii="方正仿宋简体" w:hAnsi="方正仿宋简体" w:eastAsia="方正仿宋简体" w:cs="方正仿宋简体"/>
          <w:b w:val="0"/>
          <w:bCs w:val="0"/>
          <w:sz w:val="32"/>
          <w:szCs w:val="32"/>
          <w:lang w:eastAsia="zh-CN"/>
        </w:rPr>
        <w:t>机构</w:t>
      </w:r>
      <w:r>
        <w:rPr>
          <w:rFonts w:hint="eastAsia" w:ascii="方正仿宋简体" w:hAnsi="方正仿宋简体" w:eastAsia="方正仿宋简体" w:cs="方正仿宋简体"/>
          <w:b w:val="0"/>
          <w:bCs w:val="0"/>
          <w:sz w:val="32"/>
          <w:szCs w:val="32"/>
        </w:rPr>
        <w:t>。</w:t>
      </w:r>
      <w:r>
        <w:rPr>
          <w:rFonts w:hint="eastAsia" w:ascii="方正仿宋简体" w:hAnsi="方正仿宋简体" w:eastAsia="方正仿宋简体" w:cs="方正仿宋简体"/>
          <w:b w:val="0"/>
          <w:bCs w:val="0"/>
          <w:sz w:val="32"/>
          <w:szCs w:val="32"/>
          <w:lang w:eastAsia="zh-CN"/>
        </w:rPr>
        <w:t>主要职责是</w:t>
      </w:r>
      <w:r>
        <w:rPr>
          <w:rFonts w:hint="eastAsia" w:ascii="方正仿宋简体" w:hAnsi="方正仿宋简体" w:eastAsia="方正仿宋简体" w:cs="方正仿宋简体"/>
          <w:b w:val="0"/>
          <w:bCs w:val="0"/>
          <w:sz w:val="32"/>
          <w:szCs w:val="32"/>
        </w:rPr>
        <w:t>贯彻落实党中央关于城市管理和综合执法工作的方针政策和决策部署，全面落实省委、市委关于城市管理和综合执法工作的部署要求，在履行职责过程中坚持和加强党对城市管理和综合执法工作的集中统一领导。</w:t>
      </w:r>
    </w:p>
    <w:p>
      <w:pPr>
        <w:keepNext w:val="0"/>
        <w:keepLines w:val="0"/>
        <w:pageBreakBefore w:val="0"/>
        <w:kinsoku/>
        <w:wordWrap/>
        <w:topLinePunct w:val="0"/>
        <w:autoSpaceDE/>
        <w:autoSpaceDN/>
        <w:bidi w:val="0"/>
        <w:adjustRightInd/>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局本级编制232名</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lang w:val="en-US" w:eastAsia="zh-CN"/>
        </w:rPr>
        <w:t>22</w:t>
      </w:r>
      <w:r>
        <w:rPr>
          <w:rFonts w:hint="eastAsia" w:ascii="方正仿宋简体" w:hAnsi="方正仿宋简体" w:eastAsia="方正仿宋简体" w:cs="方正仿宋简体"/>
          <w:sz w:val="32"/>
          <w:szCs w:val="32"/>
        </w:rPr>
        <w:t>年年末实有人数</w:t>
      </w:r>
      <w:r>
        <w:rPr>
          <w:rFonts w:hint="eastAsia" w:ascii="方正仿宋简体" w:hAnsi="方正仿宋简体" w:eastAsia="方正仿宋简体" w:cs="方正仿宋简体"/>
          <w:sz w:val="32"/>
          <w:szCs w:val="32"/>
          <w:lang w:val="en-US" w:eastAsia="zh-CN"/>
        </w:rPr>
        <w:t>200</w:t>
      </w:r>
      <w:r>
        <w:rPr>
          <w:rFonts w:hint="eastAsia" w:ascii="方正仿宋简体" w:hAnsi="方正仿宋简体" w:eastAsia="方正仿宋简体" w:cs="方正仿宋简体"/>
          <w:sz w:val="32"/>
          <w:szCs w:val="32"/>
        </w:rPr>
        <w:t>人，退休</w:t>
      </w:r>
      <w:r>
        <w:rPr>
          <w:rFonts w:hint="eastAsia" w:ascii="方正仿宋简体" w:hAnsi="方正仿宋简体" w:eastAsia="方正仿宋简体" w:cs="方正仿宋简体"/>
          <w:sz w:val="32"/>
          <w:szCs w:val="32"/>
          <w:lang w:val="en-US" w:eastAsia="zh-CN"/>
        </w:rPr>
        <w:t>49</w:t>
      </w:r>
      <w:r>
        <w:rPr>
          <w:rFonts w:hint="eastAsia" w:ascii="方正仿宋简体" w:hAnsi="方正仿宋简体" w:eastAsia="方正仿宋简体" w:cs="方正仿宋简体"/>
          <w:sz w:val="32"/>
          <w:szCs w:val="32"/>
        </w:rPr>
        <w:t>人。</w:t>
      </w:r>
    </w:p>
    <w:p>
      <w:pPr>
        <w:spacing w:line="556" w:lineRule="exact"/>
        <w:ind w:left="-181" w:leftChars="-86" w:right="210" w:rightChars="100" w:firstLine="656" w:firstLineChars="205"/>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中共益阳市委办公室</w:t>
      </w:r>
      <w:r>
        <w:rPr>
          <w:rFonts w:hint="eastAsia" w:ascii="Times New Roman" w:hAnsi="Times New Roman" w:eastAsia="方正仿宋简体" w:cs="Times New Roman"/>
          <w:sz w:val="32"/>
          <w:szCs w:val="32"/>
          <w:lang w:val="en-US" w:eastAsia="zh-CN"/>
        </w:rPr>
        <w:t xml:space="preserve"> 益阳市人民政府办公室关于印发《益阳市城市管理和综合执法局职能配置、内设机构和人员编制规定》的通知</w:t>
      </w:r>
      <w:r>
        <w:rPr>
          <w:rFonts w:ascii="Times New Roman" w:hAnsi="Times New Roman" w:eastAsia="方正仿宋简体" w:cs="Times New Roman"/>
          <w:sz w:val="32"/>
          <w:szCs w:val="32"/>
        </w:rPr>
        <w:t>》（益办〔</w:t>
      </w:r>
      <w:r>
        <w:rPr>
          <w:rFonts w:hint="eastAsia" w:ascii="Times New Roman" w:hAnsi="Times New Roman" w:eastAsia="方正仿宋简体" w:cs="Times New Roman"/>
          <w:sz w:val="32"/>
          <w:szCs w:val="32"/>
          <w:lang w:val="en-US" w:eastAsia="zh-CN"/>
        </w:rPr>
        <w:t>2019</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60</w:t>
      </w:r>
      <w:r>
        <w:rPr>
          <w:rFonts w:ascii="Times New Roman" w:hAnsi="Times New Roman" w:eastAsia="方正仿宋简体" w:cs="Times New Roman"/>
          <w:sz w:val="32"/>
          <w:szCs w:val="32"/>
        </w:rPr>
        <w:t>号），机关内设办公室、法规科、</w:t>
      </w:r>
      <w:r>
        <w:rPr>
          <w:rFonts w:hint="eastAsia" w:ascii="Times New Roman" w:hAnsi="Times New Roman" w:eastAsia="方正仿宋简体" w:cs="Times New Roman"/>
          <w:sz w:val="32"/>
          <w:szCs w:val="32"/>
          <w:lang w:eastAsia="zh-CN"/>
        </w:rPr>
        <w:t>和行政审批改革科（政务服务协调科）、</w:t>
      </w:r>
      <w:r>
        <w:rPr>
          <w:rFonts w:ascii="Times New Roman" w:hAnsi="Times New Roman" w:eastAsia="方正仿宋简体" w:cs="Times New Roman"/>
          <w:sz w:val="32"/>
          <w:szCs w:val="32"/>
        </w:rPr>
        <w:t>市容科、</w:t>
      </w:r>
      <w:r>
        <w:rPr>
          <w:rFonts w:hint="eastAsia" w:ascii="Times New Roman" w:hAnsi="Times New Roman" w:eastAsia="方正仿宋简体" w:cs="Times New Roman"/>
          <w:sz w:val="32"/>
          <w:szCs w:val="32"/>
          <w:lang w:eastAsia="zh-CN"/>
        </w:rPr>
        <w:t>市政设施科、园林绿化科、城市管理科、</w:t>
      </w:r>
      <w:r>
        <w:rPr>
          <w:rFonts w:ascii="Times New Roman" w:hAnsi="Times New Roman" w:eastAsia="方正仿宋简体" w:cs="Times New Roman"/>
          <w:sz w:val="32"/>
          <w:szCs w:val="32"/>
        </w:rPr>
        <w:t>督察科、人事科、财务科</w:t>
      </w:r>
      <w:r>
        <w:rPr>
          <w:rFonts w:hint="eastAsia" w:ascii="Times New Roman" w:hAnsi="Times New Roman" w:eastAsia="方正仿宋简体" w:cs="Times New Roman"/>
          <w:sz w:val="32"/>
          <w:szCs w:val="32"/>
          <w:lang w:eastAsia="zh-CN"/>
        </w:rPr>
        <w:t>、党委办</w:t>
      </w:r>
      <w:r>
        <w:rPr>
          <w:rFonts w:hint="eastAsia" w:ascii="Times New Roman" w:hAnsi="Times New Roman" w:eastAsia="方正仿宋简体" w:cs="Times New Roman"/>
          <w:sz w:val="32"/>
          <w:szCs w:val="32"/>
          <w:lang w:val="en-US" w:eastAsia="zh-CN"/>
        </w:rPr>
        <w:t>11</w:t>
      </w:r>
      <w:r>
        <w:rPr>
          <w:rFonts w:ascii="Times New Roman" w:hAnsi="Times New Roman" w:eastAsia="方正仿宋简体" w:cs="Times New Roman"/>
          <w:sz w:val="32"/>
          <w:szCs w:val="32"/>
        </w:rPr>
        <w:t>个正科级职能科室，下设</w:t>
      </w:r>
      <w:r>
        <w:rPr>
          <w:rFonts w:hint="eastAsia" w:ascii="Times New Roman" w:hAnsi="Times New Roman" w:eastAsia="方正仿宋简体" w:cs="Times New Roman"/>
          <w:sz w:val="32"/>
          <w:szCs w:val="32"/>
          <w:lang w:eastAsia="zh-CN"/>
        </w:rPr>
        <w:t>七</w:t>
      </w:r>
      <w:r>
        <w:rPr>
          <w:rFonts w:ascii="Times New Roman" w:hAnsi="Times New Roman" w:eastAsia="方正仿宋简体" w:cs="Times New Roman"/>
          <w:sz w:val="32"/>
          <w:szCs w:val="32"/>
        </w:rPr>
        <w:t>个直属大队（一、二、三、四、五</w:t>
      </w:r>
      <w:r>
        <w:rPr>
          <w:rFonts w:hint="eastAsia" w:ascii="Times New Roman" w:hAnsi="Times New Roman" w:eastAsia="方正仿宋简体" w:cs="Times New Roman"/>
          <w:sz w:val="32"/>
          <w:szCs w:val="32"/>
          <w:lang w:eastAsia="zh-CN"/>
        </w:rPr>
        <w:t>、六、七</w:t>
      </w:r>
      <w:r>
        <w:rPr>
          <w:rFonts w:ascii="Times New Roman" w:hAnsi="Times New Roman" w:eastAsia="方正仿宋简体" w:cs="Times New Roman"/>
          <w:sz w:val="32"/>
          <w:szCs w:val="32"/>
        </w:rPr>
        <w:t>大队）、市城市管理指挥中心、市城区资江风貌带</w:t>
      </w:r>
      <w:r>
        <w:rPr>
          <w:rFonts w:hint="eastAsia" w:ascii="Times New Roman" w:hAnsi="Times New Roman" w:eastAsia="方正仿宋简体" w:cs="Times New Roman"/>
          <w:sz w:val="32"/>
          <w:szCs w:val="32"/>
          <w:lang w:eastAsia="zh-CN"/>
        </w:rPr>
        <w:t>综合执法大队、市市政工程服务中心、市大桥服务中心、市路灯灯饰服务中心、市西流湾电排管理站、市城市防洪管理处和市梓山村水库管理处</w:t>
      </w:r>
      <w:r>
        <w:rPr>
          <w:rFonts w:ascii="Times New Roman" w:hAnsi="Times New Roman" w:eastAsia="方正仿宋简体" w:cs="Times New Roman"/>
          <w:sz w:val="32"/>
          <w:szCs w:val="32"/>
        </w:rPr>
        <w:t>等</w:t>
      </w:r>
      <w:r>
        <w:rPr>
          <w:rFonts w:hint="eastAsia" w:ascii="Times New Roman" w:hAnsi="Times New Roman" w:eastAsia="方正仿宋简体" w:cs="Times New Roman"/>
          <w:sz w:val="32"/>
          <w:szCs w:val="32"/>
          <w:lang w:val="en-US" w:eastAsia="zh-CN"/>
        </w:rPr>
        <w:t>15</w:t>
      </w:r>
      <w:r>
        <w:rPr>
          <w:rFonts w:ascii="Times New Roman" w:hAnsi="Times New Roman" w:eastAsia="方正仿宋简体" w:cs="Times New Roman"/>
          <w:sz w:val="32"/>
          <w:szCs w:val="32"/>
        </w:rPr>
        <w:t>个正科级单位和市环境卫生</w:t>
      </w:r>
      <w:r>
        <w:rPr>
          <w:rFonts w:hint="eastAsia" w:ascii="Times New Roman" w:hAnsi="Times New Roman" w:eastAsia="方正仿宋简体" w:cs="Times New Roman"/>
          <w:sz w:val="32"/>
          <w:szCs w:val="32"/>
          <w:lang w:eastAsia="zh-CN"/>
        </w:rPr>
        <w:t>服务中心</w:t>
      </w:r>
      <w:r>
        <w:rPr>
          <w:rFonts w:ascii="Times New Roman" w:hAnsi="Times New Roman" w:eastAsia="方正仿宋简体" w:cs="Times New Roman"/>
          <w:sz w:val="32"/>
          <w:szCs w:val="32"/>
        </w:rPr>
        <w:t>、市规划</w:t>
      </w:r>
      <w:r>
        <w:rPr>
          <w:rFonts w:hint="eastAsia" w:ascii="Times New Roman" w:hAnsi="Times New Roman" w:eastAsia="方正仿宋简体" w:cs="Times New Roman"/>
          <w:sz w:val="32"/>
          <w:szCs w:val="32"/>
          <w:lang w:eastAsia="zh-CN"/>
        </w:rPr>
        <w:t>行政</w:t>
      </w:r>
      <w:r>
        <w:rPr>
          <w:rFonts w:ascii="Times New Roman" w:hAnsi="Times New Roman" w:eastAsia="方正仿宋简体" w:cs="Times New Roman"/>
          <w:sz w:val="32"/>
          <w:szCs w:val="32"/>
        </w:rPr>
        <w:t>执法支队</w:t>
      </w:r>
      <w:r>
        <w:rPr>
          <w:rFonts w:hint="eastAsia" w:ascii="Times New Roman" w:hAnsi="Times New Roman" w:eastAsia="方正仿宋简体" w:cs="Times New Roman"/>
          <w:sz w:val="32"/>
          <w:szCs w:val="32"/>
          <w:lang w:eastAsia="zh-CN"/>
        </w:rPr>
        <w:t>和、市园林绿化服务中心</w:t>
      </w:r>
      <w:r>
        <w:rPr>
          <w:rFonts w:hint="eastAsia" w:ascii="Times New Roman" w:hAnsi="Times New Roman" w:eastAsia="方正仿宋简体" w:cs="Times New Roman"/>
          <w:sz w:val="32"/>
          <w:szCs w:val="32"/>
          <w:lang w:val="en-US" w:eastAsia="zh-CN"/>
        </w:rPr>
        <w:t>3</w:t>
      </w:r>
      <w:r>
        <w:rPr>
          <w:rFonts w:ascii="Times New Roman" w:hAnsi="Times New Roman" w:eastAsia="方正仿宋简体" w:cs="Times New Roman"/>
          <w:sz w:val="32"/>
          <w:szCs w:val="32"/>
        </w:rPr>
        <w:t>个副处级单位</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其中</w:t>
      </w:r>
      <w:r>
        <w:rPr>
          <w:rFonts w:hint="eastAsia" w:ascii="Times New Roman" w:hAnsi="Times New Roman" w:eastAsia="方正仿宋简体" w:cs="Times New Roman"/>
          <w:sz w:val="32"/>
          <w:szCs w:val="32"/>
          <w:lang w:eastAsia="zh-CN"/>
        </w:rPr>
        <w:t>七</w:t>
      </w:r>
      <w:r>
        <w:rPr>
          <w:rFonts w:ascii="Times New Roman" w:hAnsi="Times New Roman" w:eastAsia="方正仿宋简体" w:cs="Times New Roman"/>
          <w:sz w:val="32"/>
          <w:szCs w:val="32"/>
        </w:rPr>
        <w:t>个直属大队、市城市管理指挥中心、市城区资江风貌带</w:t>
      </w:r>
      <w:r>
        <w:rPr>
          <w:rFonts w:hint="eastAsia" w:ascii="Times New Roman" w:hAnsi="Times New Roman" w:eastAsia="方正仿宋简体" w:cs="Times New Roman"/>
          <w:sz w:val="32"/>
          <w:szCs w:val="32"/>
          <w:lang w:eastAsia="zh-CN"/>
        </w:rPr>
        <w:t>综合执法大队为非独立核算单位，市市政工程服务中心、市大桥服务中心、市路灯灯饰服务中心、</w:t>
      </w:r>
      <w:r>
        <w:rPr>
          <w:rFonts w:ascii="Times New Roman" w:hAnsi="Times New Roman" w:eastAsia="方正仿宋简体" w:cs="Times New Roman"/>
          <w:sz w:val="32"/>
          <w:szCs w:val="32"/>
        </w:rPr>
        <w:t>市环境卫生</w:t>
      </w:r>
      <w:r>
        <w:rPr>
          <w:rFonts w:hint="eastAsia" w:ascii="Times New Roman" w:hAnsi="Times New Roman" w:eastAsia="方正仿宋简体" w:cs="Times New Roman"/>
          <w:sz w:val="32"/>
          <w:szCs w:val="32"/>
          <w:lang w:eastAsia="zh-CN"/>
        </w:rPr>
        <w:t>服务中心</w:t>
      </w:r>
      <w:r>
        <w:rPr>
          <w:rFonts w:ascii="Times New Roman" w:hAnsi="Times New Roman" w:eastAsia="方正仿宋简体" w:cs="Times New Roman"/>
          <w:sz w:val="32"/>
          <w:szCs w:val="32"/>
        </w:rPr>
        <w:t>、市规划</w:t>
      </w:r>
      <w:r>
        <w:rPr>
          <w:rFonts w:hint="eastAsia" w:ascii="Times New Roman" w:hAnsi="Times New Roman" w:eastAsia="方正仿宋简体" w:cs="Times New Roman"/>
          <w:sz w:val="32"/>
          <w:szCs w:val="32"/>
          <w:lang w:eastAsia="zh-CN"/>
        </w:rPr>
        <w:t>行政</w:t>
      </w:r>
      <w:r>
        <w:rPr>
          <w:rFonts w:ascii="Times New Roman" w:hAnsi="Times New Roman" w:eastAsia="方正仿宋简体" w:cs="Times New Roman"/>
          <w:sz w:val="32"/>
          <w:szCs w:val="32"/>
        </w:rPr>
        <w:t>执法支队</w:t>
      </w:r>
      <w:r>
        <w:rPr>
          <w:rFonts w:hint="eastAsia" w:ascii="Times New Roman" w:hAnsi="Times New Roman" w:eastAsia="方正仿宋简体" w:cs="Times New Roman"/>
          <w:sz w:val="32"/>
          <w:szCs w:val="32"/>
          <w:lang w:eastAsia="zh-CN"/>
        </w:rPr>
        <w:t>、市园林绿化服务中心、市西流湾电排管理站、市城市防洪管理处和市梓山村水库管理处为独立核算单位。</w:t>
      </w:r>
    </w:p>
    <w:p>
      <w:pPr>
        <w:spacing w:line="556" w:lineRule="exact"/>
        <w:ind w:left="-181" w:leftChars="-86" w:right="210" w:rightChars="100" w:firstLine="656" w:firstLineChars="205"/>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纳入编制范围的预算单位包括：益阳市城市管理和综合执法局本级。</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二、一般公共预算支出情况 </w:t>
      </w:r>
    </w:p>
    <w:p>
      <w:pPr>
        <w:keepNext w:val="0"/>
        <w:keepLines w:val="0"/>
        <w:pageBreakBefore w:val="0"/>
        <w:numPr>
          <w:ilvl w:val="0"/>
          <w:numId w:val="2"/>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一般公共预算基本支出情况</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ascii="仿宋" w:hAnsi="仿宋" w:eastAsia="仿宋" w:cs="仿宋"/>
          <w:i w:val="0"/>
          <w:caps w:val="0"/>
          <w:color w:val="000000"/>
          <w:spacing w:val="0"/>
          <w:sz w:val="32"/>
          <w:szCs w:val="32"/>
          <w:shd w:val="clear" w:fill="FFFFFF"/>
        </w:rPr>
        <w:t>基本支出是指用于保障机构正常运转、完成日常工作任务而发生的各项支出，包括在职和离退休人员基本工资、津贴补贴等人员经费以及办公费、印刷费、水电费、办公设备购置等日常公用经费。</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2022年局本级一般公共预算财政拨款基本支出4051.92万元，其中工资福利支出3162.41万元，占总支出的78.05%；商品服务支出737.29万元，占总支出的18.2%；对个人和家庭的补助130.95万元，占总支出的3.23%；资本性支出21.27万元，占总支出的0.52%。</w:t>
      </w:r>
    </w:p>
    <w:p>
      <w:pPr>
        <w:keepNext w:val="0"/>
        <w:keepLines w:val="0"/>
        <w:pageBreakBefore w:val="0"/>
        <w:numPr>
          <w:ilvl w:val="0"/>
          <w:numId w:val="2"/>
        </w:numPr>
        <w:kinsoku/>
        <w:wordWrap/>
        <w:topLinePunct w:val="0"/>
        <w:autoSpaceDE/>
        <w:autoSpaceDN/>
        <w:bidi w:val="0"/>
        <w:adjustRightInd/>
        <w:spacing w:line="600" w:lineRule="exact"/>
        <w:ind w:left="0"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一般公共预算项目支出情况</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ascii="仿宋" w:hAnsi="仿宋" w:eastAsia="仿宋" w:cs="仿宋"/>
          <w:i w:val="0"/>
          <w:caps w:val="0"/>
          <w:color w:val="000000"/>
          <w:spacing w:val="0"/>
          <w:sz w:val="32"/>
          <w:szCs w:val="32"/>
          <w:shd w:val="clear" w:fill="FFFFFF"/>
        </w:rPr>
        <w:t>项目支出是指为完成</w:t>
      </w:r>
      <w:r>
        <w:rPr>
          <w:rFonts w:hint="eastAsia" w:ascii="仿宋" w:hAnsi="仿宋" w:eastAsia="仿宋" w:cs="仿宋"/>
          <w:i w:val="0"/>
          <w:caps w:val="0"/>
          <w:color w:val="000000"/>
          <w:spacing w:val="0"/>
          <w:sz w:val="32"/>
          <w:szCs w:val="32"/>
          <w:shd w:val="clear" w:fill="FFFFFF"/>
          <w:lang w:eastAsia="zh-CN"/>
        </w:rPr>
        <w:t>城市</w:t>
      </w:r>
      <w:r>
        <w:rPr>
          <w:rFonts w:ascii="仿宋" w:hAnsi="仿宋" w:eastAsia="仿宋" w:cs="仿宋"/>
          <w:i w:val="0"/>
          <w:caps w:val="0"/>
          <w:color w:val="000000"/>
          <w:spacing w:val="0"/>
          <w:sz w:val="32"/>
          <w:szCs w:val="32"/>
          <w:shd w:val="clear" w:fill="FFFFFF"/>
        </w:rPr>
        <w:t>管理工作而发生的支出，主要用于</w:t>
      </w:r>
      <w:r>
        <w:rPr>
          <w:rFonts w:hint="eastAsia" w:ascii="仿宋" w:hAnsi="仿宋" w:eastAsia="仿宋" w:cs="仿宋"/>
          <w:i w:val="0"/>
          <w:caps w:val="0"/>
          <w:color w:val="000000"/>
          <w:spacing w:val="0"/>
          <w:sz w:val="32"/>
          <w:szCs w:val="32"/>
          <w:shd w:val="clear" w:fill="FFFFFF"/>
          <w:lang w:eastAsia="zh-CN"/>
        </w:rPr>
        <w:t>违章棚亭拆除和户外广告拆除、渣土管理、“牛皮癣”治理、餐饮油烟污染治理、风貌带长效</w:t>
      </w:r>
      <w:r>
        <w:rPr>
          <w:rFonts w:ascii="仿宋" w:hAnsi="仿宋" w:eastAsia="仿宋" w:cs="仿宋"/>
          <w:i w:val="0"/>
          <w:caps w:val="0"/>
          <w:color w:val="000000"/>
          <w:spacing w:val="0"/>
          <w:sz w:val="32"/>
          <w:szCs w:val="32"/>
          <w:shd w:val="clear" w:fill="FFFFFF"/>
        </w:rPr>
        <w:t>管理</w:t>
      </w:r>
      <w:r>
        <w:rPr>
          <w:rFonts w:hint="eastAsia" w:ascii="仿宋" w:hAnsi="仿宋" w:eastAsia="仿宋" w:cs="仿宋"/>
          <w:i w:val="0"/>
          <w:caps w:val="0"/>
          <w:color w:val="000000"/>
          <w:spacing w:val="0"/>
          <w:sz w:val="32"/>
          <w:szCs w:val="32"/>
          <w:shd w:val="clear" w:fill="FFFFFF"/>
          <w:lang w:eastAsia="zh-CN"/>
        </w:rPr>
        <w:t>维护</w:t>
      </w:r>
      <w:r>
        <w:rPr>
          <w:rFonts w:ascii="仿宋" w:hAnsi="仿宋" w:eastAsia="仿宋" w:cs="仿宋"/>
          <w:i w:val="0"/>
          <w:caps w:val="0"/>
          <w:color w:val="000000"/>
          <w:spacing w:val="0"/>
          <w:sz w:val="32"/>
          <w:szCs w:val="32"/>
          <w:shd w:val="clear" w:fill="FFFFFF"/>
        </w:rPr>
        <w:t>等方面。</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2022年局本级一般公共预算财政拨款项目支出1805.77万元，其中商品服务支出1660.59万元，占总支出的91.96%；资本性支出145.18万元，占总支出的8.04%。</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三、政府性基金预算支出情况 </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2022年政府性基金财政拨款支出1555.27万元，全部为项目支出。其中按科目分，</w:t>
      </w:r>
      <w:r>
        <w:rPr>
          <w:rFonts w:hint="eastAsia" w:ascii="方正仿宋简体" w:hAnsi="方正仿宋简体" w:eastAsia="方正仿宋简体" w:cs="方正仿宋简体"/>
          <w:sz w:val="32"/>
          <w:szCs w:val="32"/>
          <w:lang w:val="en-US" w:eastAsia="zh-CN"/>
        </w:rPr>
        <w:t>其他城市基础设施配套费安排的支出</w:t>
      </w:r>
      <w:r>
        <w:rPr>
          <w:rFonts w:hint="eastAsia" w:ascii="方正仿宋简体" w:hAnsi="方正仿宋简体" w:eastAsia="方正仿宋简体" w:cs="方正仿宋简体"/>
          <w:sz w:val="32"/>
          <w:szCs w:val="32"/>
        </w:rPr>
        <w:t>决算</w:t>
      </w:r>
      <w:r>
        <w:rPr>
          <w:rFonts w:hint="eastAsia" w:ascii="方正仿宋简体" w:hAnsi="方正仿宋简体" w:eastAsia="方正仿宋简体" w:cs="方正仿宋简体"/>
          <w:sz w:val="32"/>
          <w:szCs w:val="32"/>
          <w:lang w:eastAsia="zh-CN"/>
        </w:rPr>
        <w:t>支出</w:t>
      </w:r>
      <w:r>
        <w:rPr>
          <w:rFonts w:hint="eastAsia" w:ascii="方正仿宋简体" w:hAnsi="方正仿宋简体" w:eastAsia="方正仿宋简体" w:cs="方正仿宋简体"/>
          <w:sz w:val="32"/>
          <w:szCs w:val="32"/>
          <w:lang w:val="en-US" w:eastAsia="zh-CN"/>
        </w:rPr>
        <w:t>1103.76万元，占总支出70.97%；其他国有土地使用权出让收入安排的支出451.51万元，占总支出29.03%。</w:t>
      </w:r>
    </w:p>
    <w:p>
      <w:pPr>
        <w:keepNext w:val="0"/>
        <w:keepLines w:val="0"/>
        <w:pageBreakBefore w:val="0"/>
        <w:numPr>
          <w:ilvl w:val="0"/>
          <w:numId w:val="0"/>
        </w:numPr>
        <w:kinsoku/>
        <w:wordWrap/>
        <w:topLinePunct w:val="0"/>
        <w:autoSpaceDE/>
        <w:autoSpaceDN/>
        <w:bidi w:val="0"/>
        <w:adjustRightInd/>
        <w:spacing w:line="600" w:lineRule="exact"/>
        <w:ind w:leftChars="200" w:firstLine="320" w:firstLineChars="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四、国有资本经营预算支出情况</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我单位无国有资本经营预算支出。</w:t>
      </w:r>
    </w:p>
    <w:p>
      <w:pPr>
        <w:keepNext w:val="0"/>
        <w:keepLines w:val="0"/>
        <w:pageBreakBefore w:val="0"/>
        <w:numPr>
          <w:ilvl w:val="0"/>
          <w:numId w:val="3"/>
        </w:numPr>
        <w:kinsoku/>
        <w:wordWrap/>
        <w:topLinePunct w:val="0"/>
        <w:autoSpaceDE/>
        <w:autoSpaceDN/>
        <w:bidi w:val="0"/>
        <w:adjustRightInd/>
        <w:spacing w:line="600" w:lineRule="exact"/>
        <w:ind w:left="-10" w:leftChars="0" w:firstLine="64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社会保险基金预算支出情况</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我单位无社会保险基金预算支出。</w:t>
      </w:r>
    </w:p>
    <w:p>
      <w:pPr>
        <w:keepNext w:val="0"/>
        <w:keepLines w:val="0"/>
        <w:pageBreakBefore w:val="0"/>
        <w:numPr>
          <w:ilvl w:val="0"/>
          <w:numId w:val="3"/>
        </w:numPr>
        <w:kinsoku/>
        <w:wordWrap/>
        <w:topLinePunct w:val="0"/>
        <w:autoSpaceDE/>
        <w:autoSpaceDN/>
        <w:bidi w:val="0"/>
        <w:adjustRightInd/>
        <w:spacing w:line="600" w:lineRule="exact"/>
        <w:ind w:left="-10" w:leftChars="0" w:firstLine="64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部门整体支出绩效情况</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（一）预算执行方面</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2022年年初预算3529.73万元，年中调整预算收入7868.83万元，</w:t>
      </w:r>
      <w:r>
        <w:rPr>
          <w:rFonts w:hint="default" w:ascii="方正仿宋简体" w:hAnsi="方正仿宋简体" w:eastAsia="方正仿宋简体" w:cs="方正仿宋简体"/>
          <w:sz w:val="32"/>
          <w:szCs w:val="32"/>
          <w:lang w:val="en-US" w:eastAsia="zh-CN"/>
        </w:rPr>
        <w:t>20</w:t>
      </w:r>
      <w:r>
        <w:rPr>
          <w:rFonts w:hint="eastAsia" w:ascii="方正仿宋简体" w:hAnsi="方正仿宋简体" w:eastAsia="方正仿宋简体" w:cs="方正仿宋简体"/>
          <w:sz w:val="32"/>
          <w:szCs w:val="32"/>
          <w:lang w:val="en-US" w:eastAsia="zh-CN"/>
        </w:rPr>
        <w:t>22年实际完成预算7868.83万元，预算执行率100</w:t>
      </w:r>
      <w:r>
        <w:rPr>
          <w:rFonts w:hint="default"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eastAsia="zh-CN"/>
        </w:rPr>
        <w:t> </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仿宋" w:hAnsi="仿宋" w:eastAsia="仿宋" w:cs="仿宋"/>
          <w:i w:val="0"/>
          <w:caps w:val="0"/>
          <w:color w:val="000000"/>
          <w:spacing w:val="0"/>
          <w:sz w:val="32"/>
          <w:szCs w:val="32"/>
          <w:shd w:val="clear" w:fill="FFFFFF"/>
        </w:rPr>
      </w:pPr>
      <w:r>
        <w:rPr>
          <w:rFonts w:hint="eastAsia" w:ascii="方正仿宋简体" w:hAnsi="方正仿宋简体" w:eastAsia="方正仿宋简体" w:cs="方正仿宋简体"/>
          <w:sz w:val="32"/>
          <w:szCs w:val="32"/>
          <w:lang w:val="en-US" w:eastAsia="zh-CN"/>
        </w:rPr>
        <w:t>2022年“三公经费”预算批复数145万元，全年实际支出“三公经费”110.84万元，“三公经费”控制率76.44</w:t>
      </w:r>
      <w:r>
        <w:rPr>
          <w:rFonts w:hint="default"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CN"/>
        </w:rPr>
        <w:t>。</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lang w:eastAsia="zh-CN"/>
        </w:rPr>
        <w:t>（二）预算管理方面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ascii="仿宋" w:hAnsi="仿宋" w:eastAsia="仿宋" w:cs="仿宋"/>
          <w:i w:val="0"/>
          <w:caps w:val="0"/>
          <w:color w:val="000000"/>
          <w:spacing w:val="0"/>
          <w:sz w:val="32"/>
          <w:szCs w:val="32"/>
          <w:shd w:val="clear" w:fill="FFFFFF"/>
        </w:rPr>
      </w:pPr>
      <w:r>
        <w:rPr>
          <w:rFonts w:ascii="仿宋" w:hAnsi="仿宋" w:eastAsia="仿宋" w:cs="仿宋"/>
          <w:i w:val="0"/>
          <w:caps w:val="0"/>
          <w:color w:val="000000"/>
          <w:spacing w:val="0"/>
          <w:sz w:val="32"/>
          <w:szCs w:val="32"/>
          <w:shd w:val="clear" w:fill="FFFFFF"/>
        </w:rPr>
        <w:t>始终坚持“先预算后支出，无预算不支出”</w:t>
      </w:r>
      <w:r>
        <w:rPr>
          <w:rFonts w:hint="eastAsia" w:ascii="仿宋" w:hAnsi="仿宋" w:eastAsia="仿宋" w:cs="仿宋"/>
          <w:i w:val="0"/>
          <w:caps w:val="0"/>
          <w:color w:val="000000"/>
          <w:spacing w:val="0"/>
          <w:sz w:val="32"/>
          <w:szCs w:val="32"/>
          <w:shd w:val="clear" w:fill="FFFFFF"/>
          <w:lang w:eastAsia="zh-CN"/>
        </w:rPr>
        <w:t>，“先评审后采购、先预算后采购”的原则，严格经费</w:t>
      </w:r>
      <w:r>
        <w:rPr>
          <w:rFonts w:ascii="仿宋" w:hAnsi="仿宋" w:eastAsia="仿宋" w:cs="仿宋"/>
          <w:i w:val="0"/>
          <w:caps w:val="0"/>
          <w:color w:val="000000"/>
          <w:spacing w:val="0"/>
          <w:sz w:val="32"/>
          <w:szCs w:val="32"/>
          <w:shd w:val="clear" w:fill="FFFFFF"/>
        </w:rPr>
        <w:t>支出标准、范围和程序的审核</w:t>
      </w:r>
      <w:r>
        <w:rPr>
          <w:rFonts w:hint="eastAsia" w:ascii="仿宋" w:hAnsi="仿宋" w:eastAsia="仿宋" w:cs="仿宋"/>
          <w:i w:val="0"/>
          <w:caps w:val="0"/>
          <w:color w:val="000000"/>
          <w:spacing w:val="0"/>
          <w:sz w:val="32"/>
          <w:szCs w:val="32"/>
          <w:shd w:val="clear" w:fill="FFFFFF"/>
          <w:lang w:eastAsia="zh-CN"/>
        </w:rPr>
        <w:t>，开展节约型机关建设，</w:t>
      </w:r>
      <w:r>
        <w:rPr>
          <w:rFonts w:ascii="仿宋" w:hAnsi="仿宋" w:eastAsia="仿宋" w:cs="仿宋"/>
          <w:i w:val="0"/>
          <w:caps w:val="0"/>
          <w:color w:val="000000"/>
          <w:spacing w:val="0"/>
          <w:sz w:val="32"/>
          <w:szCs w:val="32"/>
          <w:shd w:val="clear" w:fill="FFFFFF"/>
        </w:rPr>
        <w:t>节约机关运行成本</w:t>
      </w:r>
      <w:r>
        <w:rPr>
          <w:rFonts w:hint="eastAsia" w:ascii="仿宋" w:hAnsi="仿宋" w:eastAsia="仿宋" w:cs="仿宋"/>
          <w:i w:val="0"/>
          <w:caps w:val="0"/>
          <w:color w:val="000000"/>
          <w:spacing w:val="0"/>
          <w:sz w:val="32"/>
          <w:szCs w:val="32"/>
          <w:shd w:val="clear" w:fill="FFFFFF"/>
          <w:lang w:eastAsia="zh-CN"/>
        </w:rPr>
        <w:t>，</w:t>
      </w:r>
      <w:r>
        <w:rPr>
          <w:rFonts w:ascii="仿宋" w:hAnsi="仿宋" w:eastAsia="仿宋" w:cs="仿宋"/>
          <w:i w:val="0"/>
          <w:caps w:val="0"/>
          <w:color w:val="000000"/>
          <w:spacing w:val="0"/>
          <w:sz w:val="32"/>
          <w:szCs w:val="32"/>
          <w:shd w:val="clear" w:fill="FFFFFF"/>
        </w:rPr>
        <w:t>提高资金使用效益。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lang w:eastAsia="zh-CN"/>
        </w:rPr>
        <w:t>严控“三公经费”，确保“三公经费”不超标。公务接待严格按照公务接待的标准和要求，先审批后接待，不存在公款吃喝和高消费娱乐等情况；公务用车运行严格按照公务用车管理办法，建立用车管理台账，杜绝公车私用，私车公养的现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lang w:eastAsia="zh-CN"/>
        </w:rPr>
        <w:t>严格执行政府采购制度，按照政府采购内部控制管理制度进行采购，不断规范采购行为，提高采购效率。</w:t>
      </w:r>
    </w:p>
    <w:p>
      <w:pPr>
        <w:keepNext w:val="0"/>
        <w:keepLines w:val="0"/>
        <w:pageBreakBefore w:val="0"/>
        <w:numPr>
          <w:ilvl w:val="0"/>
          <w:numId w:val="0"/>
        </w:numPr>
        <w:kinsoku/>
        <w:wordWrap/>
        <w:topLinePunct w:val="0"/>
        <w:autoSpaceDE/>
        <w:autoSpaceDN/>
        <w:bidi w:val="0"/>
        <w:adjustRightInd/>
        <w:spacing w:line="600" w:lineRule="exact"/>
        <w:ind w:firstLine="640" w:firstLineChars="200"/>
        <w:jc w:val="both"/>
        <w:textAlignment w:val="auto"/>
        <w:rPr>
          <w:rFonts w:hint="default" w:ascii="Times New Roman" w:hAnsi="Times New Roman" w:eastAsia="宋体" w:cs="Times New Roman"/>
          <w:i w:val="0"/>
          <w:caps w:val="0"/>
          <w:color w:val="000000"/>
          <w:spacing w:val="0"/>
          <w:sz w:val="32"/>
          <w:szCs w:val="32"/>
          <w:shd w:val="clear" w:fill="FFFFFF"/>
        </w:rPr>
      </w:pPr>
      <w:r>
        <w:rPr>
          <w:rFonts w:ascii="仿宋" w:hAnsi="仿宋" w:eastAsia="仿宋" w:cs="仿宋"/>
          <w:i w:val="0"/>
          <w:caps w:val="0"/>
          <w:color w:val="000000"/>
          <w:spacing w:val="0"/>
          <w:sz w:val="32"/>
          <w:szCs w:val="32"/>
          <w:shd w:val="clear" w:fill="FFFFFF"/>
        </w:rPr>
        <w:t>部门预决算信息透明</w:t>
      </w:r>
      <w:r>
        <w:rPr>
          <w:rFonts w:hint="eastAsia" w:ascii="仿宋" w:hAnsi="仿宋" w:eastAsia="仿宋" w:cs="仿宋"/>
          <w:i w:val="0"/>
          <w:caps w:val="0"/>
          <w:color w:val="000000"/>
          <w:spacing w:val="0"/>
          <w:sz w:val="32"/>
          <w:szCs w:val="32"/>
          <w:shd w:val="clear" w:fill="FFFFFF"/>
          <w:lang w:eastAsia="zh-CN"/>
        </w:rPr>
        <w:t>、公开。</w:t>
      </w:r>
      <w:r>
        <w:rPr>
          <w:rFonts w:ascii="仿宋" w:hAnsi="仿宋" w:eastAsia="仿宋" w:cs="仿宋"/>
          <w:i w:val="0"/>
          <w:caps w:val="0"/>
          <w:color w:val="000000"/>
          <w:spacing w:val="0"/>
          <w:sz w:val="32"/>
          <w:szCs w:val="32"/>
          <w:shd w:val="clear" w:fill="FFFFFF"/>
        </w:rPr>
        <w:t>编制部门预算和决算</w:t>
      </w:r>
      <w:r>
        <w:rPr>
          <w:rFonts w:hint="eastAsia" w:ascii="仿宋" w:hAnsi="仿宋" w:eastAsia="仿宋" w:cs="仿宋"/>
          <w:i w:val="0"/>
          <w:caps w:val="0"/>
          <w:color w:val="000000"/>
          <w:spacing w:val="0"/>
          <w:sz w:val="32"/>
          <w:szCs w:val="32"/>
          <w:shd w:val="clear" w:fill="FFFFFF"/>
          <w:lang w:eastAsia="zh-CN"/>
        </w:rPr>
        <w:t>，并</w:t>
      </w:r>
      <w:r>
        <w:rPr>
          <w:rFonts w:ascii="仿宋" w:hAnsi="仿宋" w:eastAsia="仿宋" w:cs="仿宋"/>
          <w:i w:val="0"/>
          <w:caps w:val="0"/>
          <w:color w:val="000000"/>
          <w:spacing w:val="0"/>
          <w:sz w:val="32"/>
          <w:szCs w:val="32"/>
          <w:shd w:val="clear" w:fill="FFFFFF"/>
        </w:rPr>
        <w:t>按规定时限和规定内容公开部门预算、部门决算以及绩效自评报告。</w:t>
      </w:r>
      <w:r>
        <w:rPr>
          <w:rFonts w:hint="default" w:ascii="Times New Roman" w:hAnsi="Times New Roman" w:eastAsia="宋体" w:cs="Times New Roman"/>
          <w:i w:val="0"/>
          <w:caps w:val="0"/>
          <w:color w:val="000000"/>
          <w:spacing w:val="0"/>
          <w:sz w:val="32"/>
          <w:szCs w:val="32"/>
          <w:shd w:val="clear" w:fill="FFFFFF"/>
        </w:rPr>
        <w:t> </w:t>
      </w:r>
    </w:p>
    <w:p>
      <w:pPr>
        <w:keepNext w:val="0"/>
        <w:keepLines w:val="0"/>
        <w:pageBreakBefore w:val="0"/>
        <w:numPr>
          <w:ilvl w:val="0"/>
          <w:numId w:val="0"/>
        </w:numPr>
        <w:kinsoku/>
        <w:wordWrap/>
        <w:topLinePunct w:val="0"/>
        <w:autoSpaceDE/>
        <w:autoSpaceDN/>
        <w:bidi w:val="0"/>
        <w:adjustRightInd/>
        <w:spacing w:line="600" w:lineRule="exact"/>
        <w:ind w:leftChars="0" w:firstLine="640" w:firstLineChars="200"/>
        <w:jc w:val="both"/>
        <w:textAlignment w:val="auto"/>
        <w:rPr>
          <w:rFonts w:hint="eastAsia" w:ascii="Times New Roman" w:hAnsi="Times New Roman" w:eastAsia="宋体" w:cs="Times New Roman"/>
          <w:i w:val="0"/>
          <w:caps w:val="0"/>
          <w:color w:val="000000"/>
          <w:spacing w:val="0"/>
          <w:sz w:val="32"/>
          <w:szCs w:val="32"/>
          <w:shd w:val="clear" w:fill="FFFFFF"/>
          <w:lang w:eastAsia="zh-CN"/>
        </w:rPr>
      </w:pPr>
      <w:r>
        <w:rPr>
          <w:rFonts w:hint="eastAsia" w:ascii="方正仿宋简体" w:hAnsi="方正仿宋简体" w:eastAsia="方正仿宋简体" w:cs="方正仿宋简体"/>
          <w:b w:val="0"/>
          <w:bCs w:val="0"/>
          <w:sz w:val="32"/>
          <w:szCs w:val="32"/>
          <w:lang w:val="en-US" w:eastAsia="zh-CN"/>
        </w:rPr>
        <w:t>（三）资产管理方面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ascii="Calibri" w:hAnsi="Calibri" w:cs="Calibri"/>
          <w:i w:val="0"/>
          <w:caps w:val="0"/>
          <w:color w:val="333333"/>
          <w:spacing w:val="0"/>
          <w:sz w:val="24"/>
          <w:szCs w:val="24"/>
        </w:rPr>
      </w:pPr>
      <w:r>
        <w:rPr>
          <w:rFonts w:ascii="仿宋" w:hAnsi="仿宋" w:eastAsia="仿宋" w:cs="仿宋"/>
          <w:i w:val="0"/>
          <w:caps w:val="0"/>
          <w:color w:val="000000"/>
          <w:spacing w:val="0"/>
          <w:sz w:val="32"/>
          <w:szCs w:val="32"/>
          <w:shd w:val="clear" w:fill="FFFFFF"/>
        </w:rPr>
        <w:t>严格落实</w:t>
      </w:r>
      <w:r>
        <w:rPr>
          <w:rFonts w:hint="eastAsia" w:ascii="仿宋" w:hAnsi="仿宋" w:eastAsia="仿宋" w:cs="仿宋"/>
          <w:i w:val="0"/>
          <w:caps w:val="0"/>
          <w:color w:val="000000"/>
          <w:spacing w:val="0"/>
          <w:sz w:val="32"/>
          <w:szCs w:val="32"/>
          <w:shd w:val="clear" w:fill="FFFFFF"/>
          <w:lang w:eastAsia="zh-CN"/>
        </w:rPr>
        <w:t>固定资产管理制度，</w:t>
      </w:r>
      <w:r>
        <w:rPr>
          <w:rFonts w:ascii="仿宋" w:hAnsi="仿宋" w:eastAsia="仿宋" w:cs="仿宋"/>
          <w:i w:val="0"/>
          <w:caps w:val="0"/>
          <w:color w:val="000000"/>
          <w:spacing w:val="0"/>
          <w:sz w:val="32"/>
          <w:szCs w:val="32"/>
          <w:shd w:val="clear" w:fill="FFFFFF"/>
        </w:rPr>
        <w:t>资产购置实行事前审批，按照年初部门预算以及实际工作需要、资产购置标准</w:t>
      </w:r>
      <w:r>
        <w:rPr>
          <w:rFonts w:hint="eastAsia" w:ascii="仿宋" w:hAnsi="仿宋" w:eastAsia="仿宋" w:cs="仿宋"/>
          <w:i w:val="0"/>
          <w:caps w:val="0"/>
          <w:color w:val="000000"/>
          <w:spacing w:val="0"/>
          <w:sz w:val="32"/>
          <w:szCs w:val="32"/>
          <w:shd w:val="clear" w:fill="FFFFFF"/>
          <w:lang w:eastAsia="zh-CN"/>
        </w:rPr>
        <w:t>等要求</w:t>
      </w:r>
      <w:r>
        <w:rPr>
          <w:rFonts w:ascii="仿宋" w:hAnsi="仿宋" w:eastAsia="仿宋" w:cs="仿宋"/>
          <w:i w:val="0"/>
          <w:caps w:val="0"/>
          <w:color w:val="000000"/>
          <w:spacing w:val="0"/>
          <w:sz w:val="32"/>
          <w:szCs w:val="32"/>
          <w:shd w:val="clear" w:fill="FFFFFF"/>
        </w:rPr>
        <w:t>进行统一配置。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Calibri" w:hAnsi="Calibri" w:cs="Calibri"/>
          <w:i w:val="0"/>
          <w:caps w:val="0"/>
          <w:color w:val="333333"/>
          <w:spacing w:val="0"/>
          <w:sz w:val="24"/>
          <w:szCs w:val="24"/>
        </w:rPr>
      </w:pPr>
      <w:r>
        <w:rPr>
          <w:rFonts w:hint="eastAsia" w:ascii="仿宋" w:hAnsi="仿宋" w:eastAsia="仿宋" w:cs="仿宋"/>
          <w:i w:val="0"/>
          <w:caps w:val="0"/>
          <w:color w:val="000000"/>
          <w:spacing w:val="0"/>
          <w:sz w:val="32"/>
          <w:szCs w:val="32"/>
          <w:shd w:val="clear" w:fill="FFFFFF"/>
        </w:rPr>
        <w:t>提高固定资产利用率，尽量避免资产闲置浪费</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资产及时入账销账，严格按照有关程序处置资产，确保资产保存完整、使用合规、账实相符。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方正仿宋简体" w:hAnsi="方正仿宋简体" w:eastAsia="方正仿宋简体" w:cs="方正仿宋简体"/>
          <w:i w:val="0"/>
          <w:caps w:val="0"/>
          <w:color w:val="333333"/>
          <w:spacing w:val="0"/>
          <w:sz w:val="32"/>
          <w:szCs w:val="32"/>
        </w:rPr>
      </w:pPr>
      <w:r>
        <w:rPr>
          <w:rFonts w:hint="eastAsia" w:ascii="方正仿宋简体" w:hAnsi="方正仿宋简体" w:eastAsia="方正仿宋简体" w:cs="方正仿宋简体"/>
          <w:b w:val="0"/>
          <w:i w:val="0"/>
          <w:caps w:val="0"/>
          <w:color w:val="000000"/>
          <w:spacing w:val="0"/>
          <w:sz w:val="32"/>
          <w:szCs w:val="32"/>
          <w:shd w:val="clear" w:fill="FFFFFF"/>
          <w:lang w:eastAsia="zh-CN"/>
        </w:rPr>
        <w:t>（四）</w:t>
      </w:r>
      <w:r>
        <w:rPr>
          <w:rFonts w:hint="eastAsia" w:ascii="方正仿宋简体" w:hAnsi="方正仿宋简体" w:eastAsia="方正仿宋简体" w:cs="方正仿宋简体"/>
          <w:b w:val="0"/>
          <w:i w:val="0"/>
          <w:caps w:val="0"/>
          <w:color w:val="000000"/>
          <w:spacing w:val="0"/>
          <w:sz w:val="32"/>
          <w:szCs w:val="32"/>
          <w:shd w:val="clear" w:fill="FFFFFF"/>
        </w:rPr>
        <w:t>职责履行和履职效益方面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1.规范城市管理标准，城市管理更加精细。一是创文攻坚勇当“主力军”。常态严打城市“十乱”现象，</w:t>
      </w:r>
      <w:r>
        <w:rPr>
          <w:rFonts w:hint="eastAsia" w:ascii="方正仿宋简体" w:hAnsi="方正仿宋简体" w:eastAsia="方正仿宋简体" w:cs="方正仿宋简体"/>
          <w:sz w:val="32"/>
          <w:szCs w:val="32"/>
          <w:lang w:val="en-US" w:eastAsia="zh-CN"/>
        </w:rPr>
        <w:t>打造20条创文样板街；落实“八冲八洗”，“城市家具”天天见底色；强化市政设施养护，修补路面5.4万平方米，疏浚窨井6万余座，342条背街小巷路灯空中管线整改到位。二是创建国园实现“新跨越”。编制专项规划8个，建设口袋</w:t>
      </w:r>
      <w:r>
        <w:rPr>
          <w:rFonts w:hint="eastAsia" w:ascii="方正仿宋简体" w:hAnsi="方正仿宋简体" w:eastAsia="方正仿宋简体" w:cs="方正仿宋简体"/>
          <w:b w:val="0"/>
          <w:bCs w:val="0"/>
          <w:sz w:val="32"/>
          <w:szCs w:val="32"/>
          <w:lang w:val="en-US" w:eastAsia="zh-CN"/>
        </w:rPr>
        <w:t>公园、绿化活动场地60个，基本实现“300米见绿、500米见园”城市绿地均衡布局，我市以93分全省第一的好成绩通过省初检取得创建“入场券”。三是垃圾分类引领“新风尚”。新建3个大型宣教基地，分类设施居民小区、公共场所、公共机构覆盖率分别为90%、75%、100%；生活垃圾无害化处理逐步实现全市覆盖，建筑垃圾资源化综合利用率40%以上。住建部垃圾分类考核排名从全国第85名上升至第51名，全省考核排名跃居第4。四是整治违建再创“新佳绩”。</w:t>
      </w:r>
      <w:r>
        <w:rPr>
          <w:rFonts w:hint="eastAsia" w:ascii="方正仿宋简体" w:hAnsi="方正仿宋简体" w:eastAsia="方正仿宋简体" w:cs="方正仿宋简体"/>
          <w:sz w:val="32"/>
          <w:szCs w:val="32"/>
          <w:lang w:eastAsia="zh-CN"/>
        </w:rPr>
        <w:t>深入开展整治违法建设三年专项行动，累计拆除新发违建246处</w:t>
      </w:r>
      <w:r>
        <w:rPr>
          <w:rFonts w:hint="eastAsia" w:ascii="方正仿宋简体" w:hAnsi="方正仿宋简体" w:eastAsia="方正仿宋简体" w:cs="方正仿宋简体"/>
          <w:sz w:val="32"/>
          <w:szCs w:val="32"/>
          <w:lang w:val="en-US" w:eastAsia="zh-CN"/>
        </w:rPr>
        <w:t>1.8万</w:t>
      </w:r>
      <w:r>
        <w:rPr>
          <w:rFonts w:hint="eastAsia" w:ascii="方正仿宋简体" w:hAnsi="方正仿宋简体" w:eastAsia="方正仿宋简体" w:cs="方正仿宋简体"/>
          <w:sz w:val="32"/>
          <w:szCs w:val="32"/>
          <w:lang w:eastAsia="zh-CN"/>
        </w:rPr>
        <w:t>平方米，拆除存量违建1858处</w:t>
      </w:r>
      <w:r>
        <w:rPr>
          <w:rFonts w:hint="eastAsia" w:ascii="方正仿宋简体" w:hAnsi="方正仿宋简体" w:eastAsia="方正仿宋简体" w:cs="方正仿宋简体"/>
          <w:sz w:val="32"/>
          <w:szCs w:val="32"/>
          <w:lang w:val="en-US" w:eastAsia="zh-CN"/>
        </w:rPr>
        <w:t>16万</w:t>
      </w:r>
      <w:r>
        <w:rPr>
          <w:rFonts w:hint="eastAsia" w:ascii="方正仿宋简体" w:hAnsi="方正仿宋简体" w:eastAsia="方正仿宋简体" w:cs="方正仿宋简体"/>
          <w:sz w:val="32"/>
          <w:szCs w:val="32"/>
          <w:lang w:eastAsia="zh-CN"/>
        </w:rPr>
        <w:t>平方米。通过拆违治乱、拆违添景等措施建设口袋公园8处，增加停车位12处。</w:t>
      </w:r>
      <w:r>
        <w:rPr>
          <w:rFonts w:hint="eastAsia" w:ascii="方正仿宋简体" w:hAnsi="方正仿宋简体" w:eastAsia="方正仿宋简体" w:cs="方正仿宋简体"/>
          <w:sz w:val="32"/>
          <w:szCs w:val="32"/>
          <w:lang w:val="en-US" w:eastAsia="zh-CN"/>
        </w:rPr>
        <w:t>五是停车管理实现“新突破”。</w:t>
      </w:r>
      <w:r>
        <w:rPr>
          <w:rFonts w:hint="eastAsia" w:ascii="方正仿宋简体" w:hAnsi="方正仿宋简体" w:eastAsia="方正仿宋简体" w:cs="方正仿宋简体"/>
          <w:color w:val="auto"/>
          <w:kern w:val="2"/>
          <w:sz w:val="32"/>
          <w:szCs w:val="32"/>
          <w:lang w:val="en-US" w:eastAsia="zh-CN" w:bidi="ar-SA"/>
        </w:rPr>
        <w:t>推进机关单位内部停车场应开尽开，新施划停车位11000余个，强化共享电动车联合监管和精准停车技术应用，全年采集违停信息11万余条，静态停车管理水平明显提升。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sz w:val="32"/>
          <w:szCs w:val="32"/>
          <w:lang w:val="en-US" w:eastAsia="zh-CN"/>
        </w:rPr>
        <w:t>2.加强城管执法立法，城市管理更加法治。</w:t>
      </w:r>
      <w:r>
        <w:rPr>
          <w:rFonts w:hint="eastAsia" w:ascii="方正仿宋简体" w:hAnsi="方正仿宋简体" w:eastAsia="方正仿宋简体" w:cs="方正仿宋简体"/>
          <w:color w:val="auto"/>
          <w:sz w:val="32"/>
          <w:szCs w:val="32"/>
          <w:lang w:val="en-US" w:eastAsia="zh-CN"/>
        </w:rPr>
        <w:t>高质量完成全市生活垃圾分类立法任务，制定城市绿化管理办法等规范性文件3件。全年办理普通程序行政处罚案件174宗，简易程序案件178件。开设“曝光台”专栏，发布以案释法案例25个，组织开展普法活动40余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3.深化城管平台建设，城市管理更加智慧。</w:t>
      </w:r>
      <w:r>
        <w:rPr>
          <w:rFonts w:hint="eastAsia" w:ascii="方正仿宋简体" w:hAnsi="方正仿宋简体" w:eastAsia="方正仿宋简体" w:cs="方正仿宋简体"/>
          <w:color w:val="auto"/>
          <w:sz w:val="32"/>
          <w:szCs w:val="32"/>
          <w:lang w:val="en-US" w:eastAsia="zh-CN"/>
        </w:rPr>
        <w:t>“智慧城管”平台共采集收集各类城市管理事（部）件问题15.8万件，一次性办结率98.7%，较前一年增长4.14%。</w:t>
      </w:r>
      <w:r>
        <w:rPr>
          <w:rFonts w:hint="eastAsia" w:ascii="方正仿宋简体" w:hAnsi="方正仿宋简体" w:eastAsia="方正仿宋简体" w:cs="方正仿宋简体"/>
          <w:sz w:val="32"/>
          <w:szCs w:val="32"/>
          <w:lang w:val="en-US" w:eastAsia="zh-CN"/>
        </w:rPr>
        <w:t>推进“基层吹哨、部门报到”线上模式，全年解决社区群众诉求2430件。进一步拓展系统覆盖领域，建成智慧园林平台、对讲机指挥调度平台及城管视频会议系统；拓展系统覆盖领域，将智慧渣管、油烟在线监测、智慧路灯、桥梁监测等系统接入智慧城管平台，基本形成“一平台运行、一张图呈现、多场景应用”的城市综合管理服务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践行为民服务宗旨，城市管理更加惠民。扎实推进优化营商环境攻坚行动，公布优化营商环境局长举报热线，印制发放政商联系卡20000份，定期入企、入社区、入门店走访。持续深化“放管服”改革，所有涉企经营行政许可项目按要求在法定办事时限基础上压缩80%，全年受理行政许可206件，满意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sz w:val="32"/>
          <w:szCs w:val="32"/>
          <w:lang w:val="en-US" w:eastAsia="zh-CN"/>
        </w:rPr>
        <w:t>5.强化应急安全工作，城市运行更加有序。加强城管领域应急调度，有效应对3次强降水强冰冻灾害。加强市政园林设施管养，滨江路、长春路、银城大道全面整修升级，完成窨井盖防坠网检修加固约4000个。抓实森林防灭火工作，成功承办2022年国际减灾日演练活动，获得各级领导和省防灾委充分肯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七、存在的问题及原因分析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eastAsia="zh-CN"/>
        </w:rPr>
        <w:t>（一）预算编制准确性仍需加强。</w:t>
      </w:r>
      <w:r>
        <w:rPr>
          <w:rFonts w:hint="eastAsia" w:ascii="方正仿宋简体" w:hAnsi="方正仿宋简体" w:eastAsia="方正仿宋简体" w:cs="方正仿宋简体"/>
          <w:b w:val="0"/>
          <w:bCs w:val="0"/>
          <w:sz w:val="32"/>
          <w:szCs w:val="32"/>
          <w:lang w:val="en-US" w:eastAsia="zh-CN"/>
        </w:rPr>
        <w:t xml:space="preserve">预算调整率较高的主要原因一是城市维护资金计划单独编制，未在年初部门预算系统体现；二是绩效奖励和增人增资等未纳入年初预算范围，影响了整体预算编制的准确率。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（二）绩效目标和绩效指标设定的科学性需要进一步加强。对绩效管理缺乏充分的认识和理解，因此对部门整体绩效的年度目标和指标设置不够全面。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400" w:right="0" w:righ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八、下一步的改进措施</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600" w:lineRule="exact"/>
        <w:ind w:left="0" w:leftChars="0" w:right="0" w:firstLine="641" w:firstLineChars="0"/>
        <w:jc w:val="left"/>
        <w:textAlignment w:val="auto"/>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sz w:val="32"/>
          <w:szCs w:val="32"/>
          <w:lang w:eastAsia="zh-CN"/>
        </w:rPr>
        <w:t>严格预算管理，增强预算控制意识。加强预算编制的前瞻性，按照新《预算法》及其实施条例的相关规定，结合上一年度预算执行情况和本年度预算收支变化因素，科学、合理地编制本年预算草案。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仿宋" w:hAnsi="仿宋" w:eastAsia="仿宋" w:cs="仿宋"/>
          <w:i w:val="0"/>
          <w:caps w:val="0"/>
          <w:color w:val="000000"/>
          <w:spacing w:val="0"/>
          <w:sz w:val="32"/>
          <w:szCs w:val="32"/>
          <w:shd w:val="clear" w:fill="FFFFFF"/>
          <w:lang w:eastAsia="zh-CN"/>
        </w:rPr>
      </w:pPr>
      <w:r>
        <w:rPr>
          <w:rFonts w:hint="eastAsia" w:ascii="方正仿宋简体" w:hAnsi="方正仿宋简体" w:eastAsia="方正仿宋简体" w:cs="方正仿宋简体"/>
          <w:b w:val="0"/>
          <w:bCs w:val="0"/>
          <w:sz w:val="32"/>
          <w:szCs w:val="32"/>
          <w:lang w:eastAsia="zh-CN"/>
        </w:rPr>
        <w:t>（二）加强学习培训，提高绩效管理水平。加强预算绩效管理方面的学习培训，提高预算绩效目标的编制水平，更加合理的制定绩效目标和绩效指标，增强绩效管理的科学性。</w:t>
      </w:r>
    </w:p>
    <w:p>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部门整体支出绩效自评结果拟应用和公开情况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right="0" w:rightChars="0" w:firstLine="640" w:firstLineChars="200"/>
        <w:jc w:val="left"/>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本单位部门整体支出绩效自评结果将在益阳市城市管理和综合执法局门户网公开。</w:t>
      </w:r>
    </w:p>
    <w:p>
      <w:pPr>
        <w:pStyle w:val="2"/>
        <w:rPr>
          <w:rFonts w:hint="eastAsia" w:ascii="仿宋" w:hAnsi="仿宋" w:eastAsia="仿宋" w:cs="仿宋"/>
          <w:i w:val="0"/>
          <w:caps w:val="0"/>
          <w:color w:val="000000"/>
          <w:spacing w:val="0"/>
          <w:sz w:val="32"/>
          <w:szCs w:val="32"/>
          <w:shd w:val="clear" w:fill="FFFFFF"/>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right="0" w:rightChars="0" w:firstLine="640" w:firstLineChars="200"/>
        <w:jc w:val="left"/>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附件1.2022年度部门整体支出绩效评价基础数据表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right="0" w:rightChars="0" w:firstLine="640"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附件2.2022年度部门整体支出绩效自评表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740" w:leftChars="0" w:right="0" w:rightChars="0"/>
        <w:jc w:val="left"/>
        <w:textAlignment w:val="auto"/>
        <w:rPr>
          <w:rFonts w:hint="default" w:ascii="仿宋" w:hAnsi="仿宋" w:eastAsia="仿宋" w:cs="仿宋"/>
          <w:i w:val="0"/>
          <w:caps w:val="0"/>
          <w:color w:val="000000"/>
          <w:spacing w:val="0"/>
          <w:sz w:val="32"/>
          <w:szCs w:val="32"/>
          <w:shd w:val="clear" w:fill="FFFFFF"/>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right="0" w:rightChars="0"/>
        <w:jc w:val="right"/>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益阳市城市管理和综合执法局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right="0" w:rightChars="0"/>
        <w:jc w:val="center"/>
        <w:textAlignment w:val="auto"/>
        <w:rPr>
          <w:rFonts w:hint="eastAsia" w:ascii="方正仿宋简体" w:hAnsi="方正仿宋简体" w:eastAsia="方正仿宋简体" w:cs="方正仿宋简体"/>
          <w:b w:val="0"/>
          <w:bCs w:val="0"/>
          <w:sz w:val="32"/>
          <w:szCs w:val="32"/>
          <w:lang w:val="en-US" w:eastAsia="zh-CN"/>
        </w:rPr>
      </w:pPr>
      <w:r>
        <w:rPr>
          <w:rFonts w:hint="eastAsia" w:ascii="仿宋" w:hAnsi="仿宋" w:eastAsia="仿宋" w:cs="仿宋"/>
          <w:i w:val="0"/>
          <w:caps w:val="0"/>
          <w:color w:val="000000"/>
          <w:spacing w:val="0"/>
          <w:sz w:val="32"/>
          <w:szCs w:val="32"/>
          <w:shd w:val="clear" w:fill="FFFFFF"/>
          <w:lang w:val="en-US" w:eastAsia="zh-CN"/>
        </w:rPr>
        <w:t xml:space="preserve">                          2023年3月10日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left"/>
        <w:textAlignment w:val="auto"/>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 xml:space="preserve"> </w:t>
      </w:r>
    </w:p>
    <w:p>
      <w:pPr>
        <w:pStyle w:val="2"/>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w:t>
      </w:r>
    </w:p>
    <w:p>
      <w:pPr>
        <w:rPr>
          <w:rFonts w:hint="eastAsia" w:ascii="方正仿宋简体" w:hAnsi="方正仿宋简体" w:eastAsia="方正仿宋简体" w:cs="方正仿宋简体"/>
          <w:b w:val="0"/>
          <w:bCs w:val="0"/>
          <w:sz w:val="32"/>
          <w:szCs w:val="32"/>
          <w:lang w:val="en-US" w:eastAsia="zh-CN"/>
        </w:rPr>
      </w:pPr>
    </w:p>
    <w:p>
      <w:pPr>
        <w:pStyle w:val="2"/>
        <w:rPr>
          <w:rFonts w:hint="eastAsia" w:ascii="方正仿宋简体" w:hAnsi="方正仿宋简体" w:eastAsia="方正仿宋简体" w:cs="方正仿宋简体"/>
          <w:b w:val="0"/>
          <w:bCs w:val="0"/>
          <w:sz w:val="32"/>
          <w:szCs w:val="32"/>
          <w:lang w:val="en-US" w:eastAsia="zh-CN"/>
        </w:rPr>
      </w:pPr>
    </w:p>
    <w:p>
      <w:pPr>
        <w:rPr>
          <w:rFonts w:hint="eastAsia" w:ascii="方正仿宋简体" w:hAnsi="方正仿宋简体" w:eastAsia="方正仿宋简体" w:cs="方正仿宋简体"/>
          <w:b w:val="0"/>
          <w:bCs w:val="0"/>
          <w:sz w:val="32"/>
          <w:szCs w:val="32"/>
          <w:lang w:val="en-US" w:eastAsia="zh-CN"/>
        </w:rPr>
      </w:pPr>
    </w:p>
    <w:p>
      <w:pPr>
        <w:pStyle w:val="2"/>
        <w:rPr>
          <w:rFonts w:hint="eastAsia" w:ascii="方正仿宋简体" w:hAnsi="方正仿宋简体" w:eastAsia="方正仿宋简体" w:cs="方正仿宋简体"/>
          <w:b w:val="0"/>
          <w:bCs w:val="0"/>
          <w:sz w:val="32"/>
          <w:szCs w:val="32"/>
          <w:lang w:val="en-US" w:eastAsia="zh-CN"/>
        </w:rPr>
      </w:pPr>
    </w:p>
    <w:p>
      <w:pPr>
        <w:rPr>
          <w:rFonts w:hint="eastAsia" w:ascii="方正仿宋简体" w:hAnsi="方正仿宋简体" w:eastAsia="方正仿宋简体" w:cs="方正仿宋简体"/>
          <w:b w:val="0"/>
          <w:bCs w:val="0"/>
          <w:sz w:val="32"/>
          <w:szCs w:val="32"/>
          <w:lang w:val="en-US" w:eastAsia="zh-CN"/>
        </w:rPr>
      </w:pPr>
    </w:p>
    <w:p>
      <w:pPr>
        <w:pStyle w:val="2"/>
        <w:rPr>
          <w:rFonts w:hint="eastAsia" w:ascii="方正仿宋简体" w:hAnsi="方正仿宋简体" w:eastAsia="方正仿宋简体" w:cs="方正仿宋简体"/>
          <w:b w:val="0"/>
          <w:bCs w:val="0"/>
          <w:sz w:val="32"/>
          <w:szCs w:val="32"/>
          <w:lang w:val="en-US" w:eastAsia="zh-CN"/>
        </w:rPr>
      </w:pPr>
    </w:p>
    <w:p>
      <w:pPr>
        <w:rPr>
          <w:rFonts w:hint="eastAsia" w:ascii="方正仿宋简体" w:hAnsi="方正仿宋简体" w:eastAsia="方正仿宋简体" w:cs="方正仿宋简体"/>
          <w:b w:val="0"/>
          <w:bCs w:val="0"/>
          <w:sz w:val="32"/>
          <w:szCs w:val="32"/>
          <w:lang w:val="en-US" w:eastAsia="zh-CN"/>
        </w:rPr>
      </w:pPr>
    </w:p>
    <w:p>
      <w:pPr>
        <w:pStyle w:val="2"/>
        <w:rPr>
          <w:rFonts w:hint="eastAsia" w:ascii="方正仿宋简体" w:hAnsi="方正仿宋简体" w:eastAsia="方正仿宋简体" w:cs="方正仿宋简体"/>
          <w:b w:val="0"/>
          <w:bCs w:val="0"/>
          <w:sz w:val="32"/>
          <w:szCs w:val="32"/>
          <w:lang w:val="en-US" w:eastAsia="zh-CN"/>
        </w:rPr>
      </w:pPr>
    </w:p>
    <w:p>
      <w:pPr>
        <w:rPr>
          <w:rFonts w:hint="eastAsia" w:ascii="方正仿宋简体" w:hAnsi="方正仿宋简体" w:eastAsia="方正仿宋简体" w:cs="方正仿宋简体"/>
          <w:b w:val="0"/>
          <w:bCs w:val="0"/>
          <w:sz w:val="32"/>
          <w:szCs w:val="32"/>
          <w:lang w:val="en-US" w:eastAsia="zh-CN"/>
        </w:rPr>
      </w:pPr>
    </w:p>
    <w:p>
      <w:pPr>
        <w:pStyle w:val="2"/>
        <w:rPr>
          <w:rFonts w:hint="eastAsia" w:ascii="方正仿宋简体" w:hAnsi="方正仿宋简体" w:eastAsia="方正仿宋简体" w:cs="方正仿宋简体"/>
          <w:b w:val="0"/>
          <w:bCs w:val="0"/>
          <w:sz w:val="32"/>
          <w:szCs w:val="32"/>
          <w:lang w:val="en-US" w:eastAsia="zh-CN"/>
        </w:rPr>
      </w:pPr>
    </w:p>
    <w:p>
      <w:pPr>
        <w:rPr>
          <w:rFonts w:hint="eastAsia" w:ascii="方正仿宋简体" w:hAnsi="方正仿宋简体" w:eastAsia="方正仿宋简体" w:cs="方正仿宋简体"/>
          <w:b w:val="0"/>
          <w:bCs w:val="0"/>
          <w:sz w:val="32"/>
          <w:szCs w:val="32"/>
          <w:lang w:val="en-US" w:eastAsia="zh-CN"/>
        </w:rPr>
      </w:pPr>
    </w:p>
    <w:p>
      <w:pPr>
        <w:pStyle w:val="2"/>
        <w:rPr>
          <w:rFonts w:hint="eastAsia" w:ascii="方正仿宋简体" w:hAnsi="方正仿宋简体" w:eastAsia="方正仿宋简体" w:cs="方正仿宋简体"/>
          <w:b w:val="0"/>
          <w:bCs w:val="0"/>
          <w:sz w:val="32"/>
          <w:szCs w:val="32"/>
          <w:lang w:val="en-US" w:eastAsia="zh-CN"/>
        </w:rPr>
      </w:pPr>
    </w:p>
    <w:p>
      <w:pPr>
        <w:rPr>
          <w:rFonts w:hint="eastAsia" w:ascii="方正仿宋简体" w:hAnsi="方正仿宋简体" w:eastAsia="方正仿宋简体" w:cs="方正仿宋简体"/>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小标宋_GBK"/>
          <w:kern w:val="0"/>
          <w:sz w:val="36"/>
          <w:szCs w:val="36"/>
        </w:rPr>
      </w:pPr>
      <w:r>
        <w:rPr>
          <w:rFonts w:eastAsia="方正小标宋_GBK"/>
          <w:kern w:val="0"/>
          <w:sz w:val="36"/>
          <w:szCs w:val="36"/>
        </w:rPr>
        <w:t>202</w:t>
      </w:r>
      <w:r>
        <w:rPr>
          <w:rFonts w:hint="eastAsia" w:eastAsia="方正小标宋_GBK"/>
          <w:kern w:val="0"/>
          <w:sz w:val="36"/>
          <w:szCs w:val="36"/>
          <w:lang w:val="en-US" w:eastAsia="zh-CN"/>
        </w:rPr>
        <w:t>2</w:t>
      </w:r>
      <w:r>
        <w:rPr>
          <w:rFonts w:eastAsia="方正小标宋_GBK"/>
          <w:kern w:val="0"/>
          <w:sz w:val="36"/>
          <w:szCs w:val="36"/>
        </w:rPr>
        <w:t>年度部门整体支出绩效评价基础数据表</w:t>
      </w:r>
    </w:p>
    <w:tbl>
      <w:tblPr>
        <w:tblStyle w:val="6"/>
        <w:tblW w:w="9695" w:type="dxa"/>
        <w:jc w:val="center"/>
        <w:tblLayout w:type="fixed"/>
        <w:tblCellMar>
          <w:top w:w="0" w:type="dxa"/>
          <w:left w:w="108" w:type="dxa"/>
          <w:bottom w:w="0" w:type="dxa"/>
          <w:right w:w="108" w:type="dxa"/>
        </w:tblCellMar>
      </w:tblPr>
      <w:tblGrid>
        <w:gridCol w:w="3214"/>
        <w:gridCol w:w="1200"/>
        <w:gridCol w:w="1125"/>
        <w:gridCol w:w="1080"/>
        <w:gridCol w:w="1140"/>
        <w:gridCol w:w="960"/>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编制数</w:t>
            </w:r>
          </w:p>
        </w:tc>
        <w:tc>
          <w:tcPr>
            <w:tcW w:w="22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ascii="Times New Roman" w:hAnsi="Times New Roman" w:cs="Times New Roman"/>
                <w:b/>
                <w:bCs/>
                <w:kern w:val="0"/>
                <w:sz w:val="21"/>
                <w:szCs w:val="21"/>
                <w:lang w:val="en-US" w:eastAsia="zh-CN"/>
              </w:rPr>
              <w:t>2</w:t>
            </w:r>
            <w:r>
              <w:rPr>
                <w:rFonts w:ascii="Times New Roman" w:hAnsi="Times New Roman" w:eastAsia="仿宋_GB2312" w:cs="Times New Roman"/>
                <w:b/>
                <w:bCs/>
                <w:kern w:val="0"/>
                <w:sz w:val="21"/>
                <w:szCs w:val="21"/>
              </w:rPr>
              <w:t>年实际在职人数</w:t>
            </w:r>
          </w:p>
        </w:tc>
        <w:tc>
          <w:tcPr>
            <w:tcW w:w="19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p>
        </w:tc>
        <w:tc>
          <w:tcPr>
            <w:tcW w:w="23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val="en-US" w:eastAsia="zh-CN"/>
              </w:rPr>
              <w:t>232</w:t>
            </w: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val="en-US" w:eastAsia="zh-CN"/>
              </w:rPr>
              <w:t>200</w:t>
            </w: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val="en-US" w:eastAsia="zh-CN"/>
              </w:rPr>
              <w:t>100%</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w:t>
            </w:r>
            <w:r>
              <w:rPr>
                <w:rFonts w:hint="eastAsia" w:ascii="Times New Roman" w:hAnsi="Times New Roman" w:cs="Times New Roman"/>
                <w:b/>
                <w:bCs/>
                <w:kern w:val="0"/>
                <w:sz w:val="21"/>
                <w:szCs w:val="21"/>
                <w:lang w:val="en-US" w:eastAsia="zh-CN"/>
              </w:rPr>
              <w:t>21</w:t>
            </w:r>
            <w:r>
              <w:rPr>
                <w:rFonts w:ascii="Times New Roman" w:hAnsi="Times New Roman" w:eastAsia="仿宋_GB2312" w:cs="Times New Roman"/>
                <w:b/>
                <w:bCs/>
                <w:kern w:val="0"/>
                <w:sz w:val="21"/>
                <w:szCs w:val="21"/>
              </w:rPr>
              <w:t>年决算数</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ascii="Times New Roman" w:hAnsi="Times New Roman" w:cs="Times New Roman"/>
                <w:b/>
                <w:bCs/>
                <w:kern w:val="0"/>
                <w:sz w:val="21"/>
                <w:szCs w:val="21"/>
                <w:lang w:val="en-US" w:eastAsia="zh-CN"/>
              </w:rPr>
              <w:t>2</w:t>
            </w:r>
            <w:r>
              <w:rPr>
                <w:rFonts w:ascii="Times New Roman" w:hAnsi="Times New Roman" w:eastAsia="仿宋_GB2312" w:cs="Times New Roman"/>
                <w:b/>
                <w:bCs/>
                <w:kern w:val="0"/>
                <w:sz w:val="21"/>
                <w:szCs w:val="21"/>
              </w:rPr>
              <w:t>年预算数</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ascii="Times New Roman" w:hAnsi="Times New Roman" w:cs="Times New Roman"/>
                <w:b/>
                <w:bCs/>
                <w:kern w:val="0"/>
                <w:sz w:val="21"/>
                <w:szCs w:val="21"/>
                <w:lang w:val="en-US" w:eastAsia="zh-CN"/>
              </w:rPr>
              <w:t>2</w:t>
            </w:r>
            <w:r>
              <w:rPr>
                <w:rFonts w:ascii="Times New Roman" w:hAnsi="Times New Roman" w:eastAsia="仿宋_GB2312" w:cs="Times New Roman"/>
                <w:b/>
                <w:bCs/>
                <w:kern w:val="0"/>
                <w:sz w:val="21"/>
                <w:szCs w:val="21"/>
              </w:rPr>
              <w:t>年决算数</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hint="eastAsia" w:ascii="Times New Roman" w:hAnsi="Times New Roman" w:cs="Times New Roman"/>
                <w:b/>
                <w:bCs/>
                <w:kern w:val="0"/>
                <w:sz w:val="21"/>
                <w:szCs w:val="21"/>
                <w:lang w:eastAsia="zh-CN"/>
              </w:rPr>
              <w:t>支出总额</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ascii="Times New Roman" w:hAnsi="Times New Roman" w:cs="Times New Roman"/>
                <w:b/>
                <w:bCs/>
                <w:kern w:val="0"/>
                <w:sz w:val="21"/>
                <w:szCs w:val="21"/>
                <w:lang w:val="en-US" w:eastAsia="zh-CN"/>
              </w:rPr>
              <w:t>7568.14</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ascii="Times New Roman" w:hAnsi="Times New Roman" w:cs="Times New Roman"/>
                <w:b/>
                <w:bCs/>
                <w:kern w:val="0"/>
                <w:sz w:val="21"/>
                <w:szCs w:val="21"/>
                <w:lang w:val="en-US" w:eastAsia="zh-CN"/>
              </w:rPr>
              <w:t>3529.73</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ascii="Times New Roman" w:hAnsi="Times New Roman" w:cs="Times New Roman"/>
                <w:b/>
                <w:bCs/>
                <w:kern w:val="0"/>
                <w:sz w:val="21"/>
                <w:szCs w:val="21"/>
                <w:lang w:val="en-US" w:eastAsia="zh-CN"/>
              </w:rPr>
              <w:t>7868.83</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cs="Times New Roman"/>
                <w:b/>
                <w:bCs/>
                <w:kern w:val="0"/>
                <w:sz w:val="21"/>
                <w:szCs w:val="21"/>
                <w:lang w:eastAsia="zh-CN"/>
              </w:rPr>
              <w:t>基本支出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3437.2</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2723.73</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4217.68</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其中：</w:t>
            </w:r>
            <w:r>
              <w:rPr>
                <w:rFonts w:hint="eastAsia" w:ascii="Times New Roman" w:hAnsi="Times New Roman" w:cs="Times New Roman"/>
                <w:kern w:val="0"/>
                <w:sz w:val="21"/>
                <w:szCs w:val="21"/>
                <w:lang w:eastAsia="zh-CN"/>
              </w:rPr>
              <w:t>公用</w:t>
            </w:r>
            <w:r>
              <w:rPr>
                <w:rFonts w:ascii="Times New Roman" w:hAnsi="Times New Roman" w:eastAsia="仿宋_GB2312" w:cs="Times New Roman"/>
                <w:kern w:val="0"/>
                <w:sz w:val="21"/>
                <w:szCs w:val="21"/>
              </w:rPr>
              <w:t>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439.94</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796.76</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742.29</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b/>
                <w:bCs/>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4130.94</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806</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3651.15</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
                <w:bCs/>
                <w:kern w:val="0"/>
                <w:sz w:val="21"/>
                <w:szCs w:val="21"/>
                <w:lang w:val="en-US" w:eastAsia="zh-CN"/>
              </w:rPr>
            </w:pPr>
            <w:r>
              <w:rPr>
                <w:rFonts w:ascii="Times New Roman" w:hAnsi="Times New Roman" w:eastAsia="仿宋_GB2312" w:cs="Times New Roman"/>
                <w:kern w:val="0"/>
                <w:sz w:val="21"/>
                <w:szCs w:val="21"/>
              </w:rPr>
              <w:t xml:space="preserve"> </w:t>
            </w:r>
            <w:r>
              <w:rPr>
                <w:rFonts w:hint="eastAsia" w:ascii="Times New Roman" w:hAnsi="Times New Roman" w:cs="Times New Roman"/>
                <w:kern w:val="0"/>
                <w:sz w:val="21"/>
                <w:szCs w:val="21"/>
                <w:lang w:val="en-US" w:eastAsia="zh-CN"/>
              </w:rPr>
              <w:t xml:space="preserve">   </w:t>
            </w:r>
            <w:r>
              <w:rPr>
                <w:rFonts w:hint="eastAsia" w:ascii="Times New Roman" w:hAnsi="Times New Roman" w:cs="Times New Roman"/>
                <w:kern w:val="0"/>
                <w:sz w:val="21"/>
                <w:szCs w:val="21"/>
                <w:lang w:eastAsia="zh-CN"/>
              </w:rPr>
              <w:t>其中：</w:t>
            </w:r>
            <w:r>
              <w:rPr>
                <w:rFonts w:hint="eastAsia" w:ascii="Times New Roman" w:hAnsi="Times New Roman" w:cs="Times New Roman"/>
                <w:kern w:val="0"/>
                <w:sz w:val="21"/>
                <w:szCs w:val="21"/>
                <w:lang w:val="en-US" w:eastAsia="zh-CN"/>
              </w:rPr>
              <w:t>1、综合专项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928.52</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806</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416.29</w:t>
            </w:r>
          </w:p>
        </w:tc>
      </w:tr>
      <w:tr>
        <w:tblPrEx>
          <w:tblCellMar>
            <w:top w:w="0" w:type="dxa"/>
            <w:left w:w="108" w:type="dxa"/>
            <w:bottom w:w="0" w:type="dxa"/>
            <w:right w:w="108" w:type="dxa"/>
          </w:tblCellMar>
        </w:tblPrEx>
        <w:trPr>
          <w:trHeight w:val="58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s="Times New Roman"/>
                <w:kern w:val="0"/>
                <w:sz w:val="21"/>
                <w:szCs w:val="21"/>
                <w:lang w:val="en-US" w:eastAsia="zh-CN" w:bidi="ar-SA"/>
              </w:rPr>
            </w:pPr>
            <w:r>
              <w:rPr>
                <w:rFonts w:hint="eastAsia" w:ascii="Times New Roman" w:hAnsi="Times New Roman" w:cs="Times New Roman"/>
                <w:kern w:val="0"/>
                <w:sz w:val="21"/>
                <w:szCs w:val="21"/>
                <w:lang w:val="en-US" w:eastAsia="zh-CN"/>
              </w:rPr>
              <w:t xml:space="preserve"> 2、</w:t>
            </w:r>
            <w:r>
              <w:rPr>
                <w:rFonts w:hint="eastAsia" w:ascii="Times New Roman" w:hAnsi="Times New Roman" w:cs="Times New Roman"/>
                <w:kern w:val="0"/>
                <w:sz w:val="21"/>
                <w:szCs w:val="21"/>
                <w:lang w:eastAsia="zh-CN"/>
              </w:rPr>
              <w:t>城市维护资金专项</w:t>
            </w:r>
            <w:r>
              <w:rPr>
                <w:rFonts w:ascii="Times New Roman" w:hAnsi="Times New Roman" w:eastAsia="仿宋_GB2312" w:cs="Times New Roman"/>
                <w:kern w:val="0"/>
                <w:sz w:val="21"/>
                <w:szCs w:val="21"/>
              </w:rPr>
              <w:t xml:space="preserve"> </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3202.42</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0"/>
                <w:sz w:val="21"/>
                <w:szCs w:val="21"/>
              </w:rPr>
            </w:pP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2037.69</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hint="eastAsia" w:ascii="Times New Roman" w:hAnsi="Times New Roman" w:cs="Times New Roman"/>
                <w:kern w:val="0"/>
                <w:sz w:val="21"/>
                <w:szCs w:val="21"/>
                <w:lang w:val="en-US" w:eastAsia="zh-CN"/>
              </w:rPr>
              <w:t xml:space="preserve"> 3、城市生活垃圾分类专项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cs="Times New Roman"/>
                <w:kern w:val="0"/>
                <w:sz w:val="21"/>
                <w:szCs w:val="21"/>
                <w:lang w:val="en-US" w:eastAsia="zh-CN"/>
              </w:rPr>
              <w:t>400</w:t>
            </w:r>
          </w:p>
        </w:tc>
      </w:tr>
      <w:tr>
        <w:tblPrEx>
          <w:tblCellMar>
            <w:top w:w="0" w:type="dxa"/>
            <w:left w:w="108" w:type="dxa"/>
            <w:bottom w:w="0" w:type="dxa"/>
            <w:right w:w="108" w:type="dxa"/>
          </w:tblCellMar>
        </w:tblPrEx>
        <w:trPr>
          <w:trHeight w:val="49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4、创文提质改造专项经费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cs="Times New Roman"/>
                <w:kern w:val="0"/>
                <w:sz w:val="21"/>
                <w:szCs w:val="21"/>
                <w:lang w:val="en-US" w:eastAsia="zh-CN"/>
              </w:rPr>
              <w:t>42.4</w:t>
            </w:r>
          </w:p>
        </w:tc>
      </w:tr>
      <w:tr>
        <w:tblPrEx>
          <w:tblCellMar>
            <w:top w:w="0" w:type="dxa"/>
            <w:left w:w="108" w:type="dxa"/>
            <w:bottom w:w="0" w:type="dxa"/>
            <w:right w:w="108" w:type="dxa"/>
          </w:tblCellMar>
        </w:tblPrEx>
        <w:trPr>
          <w:trHeight w:val="49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5、餐厨垃圾无害化处置PPP项目</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751.51</w:t>
            </w:r>
          </w:p>
        </w:tc>
      </w:tr>
      <w:tr>
        <w:tblPrEx>
          <w:tblCellMar>
            <w:top w:w="0" w:type="dxa"/>
            <w:left w:w="108" w:type="dxa"/>
            <w:bottom w:w="0" w:type="dxa"/>
            <w:right w:w="108" w:type="dxa"/>
          </w:tblCellMar>
        </w:tblPrEx>
        <w:trPr>
          <w:trHeight w:val="49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6、国卫复审办专项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3.26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b/>
                <w:bCs/>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rPr>
            </w:pPr>
            <w:r>
              <w:rPr>
                <w:rFonts w:hint="eastAsia" w:ascii="Times New Roman" w:hAnsi="Times New Roman" w:cs="Times New Roman"/>
                <w:kern w:val="0"/>
                <w:sz w:val="21"/>
                <w:szCs w:val="21"/>
                <w:lang w:val="en-US" w:eastAsia="zh-CN"/>
              </w:rPr>
              <w:t>111.43</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val="en-US" w:eastAsia="zh-CN"/>
              </w:rPr>
              <w:t>145</w:t>
            </w: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val="en-US" w:eastAsia="zh-CN"/>
              </w:rPr>
              <w:t>110.84</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109.41</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126.5</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109.22</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cs="Times New Roman"/>
                <w:kern w:val="0"/>
                <w:sz w:val="21"/>
                <w:szCs w:val="21"/>
                <w:lang w:val="en-US" w:eastAsia="zh-CN"/>
              </w:rPr>
              <w:t>44.34</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cs="Times New Roman"/>
                <w:kern w:val="0"/>
                <w:sz w:val="21"/>
                <w:szCs w:val="21"/>
                <w:lang w:val="en-US" w:eastAsia="zh-CN"/>
              </w:rPr>
              <w:t>40.05</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cs="Times New Roman"/>
                <w:kern w:val="0"/>
                <w:sz w:val="21"/>
                <w:szCs w:val="21"/>
                <w:lang w:val="en-US" w:eastAsia="zh-CN"/>
              </w:rPr>
              <w:t>39.06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65.07</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86</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cs="Times New Roman"/>
                <w:kern w:val="0"/>
                <w:sz w:val="21"/>
                <w:szCs w:val="21"/>
                <w:lang w:val="en-US" w:eastAsia="zh-CN"/>
              </w:rPr>
              <w:t>70.16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2、出国经费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val="en-US" w:eastAsia="zh-CN"/>
              </w:rPr>
              <w:t>0</w:t>
            </w: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cs="Times New Roman"/>
                <w:kern w:val="0"/>
                <w:sz w:val="21"/>
                <w:szCs w:val="21"/>
                <w:lang w:val="en-US" w:eastAsia="zh-CN"/>
              </w:rPr>
              <w:t>3</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cs="Times New Roman"/>
                <w:kern w:val="0"/>
                <w:sz w:val="21"/>
                <w:szCs w:val="21"/>
                <w:lang w:val="en-US" w:eastAsia="zh-CN"/>
              </w:rPr>
              <w:t>0</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3、公务接待</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auto"/>
                <w:kern w:val="0"/>
                <w:sz w:val="21"/>
                <w:szCs w:val="21"/>
              </w:rPr>
            </w:pPr>
            <w:r>
              <w:rPr>
                <w:rFonts w:hint="eastAsia" w:ascii="Times New Roman" w:hAnsi="Times New Roman" w:cs="Times New Roman"/>
                <w:color w:val="auto"/>
                <w:kern w:val="0"/>
                <w:sz w:val="21"/>
                <w:szCs w:val="21"/>
                <w:lang w:val="en-US" w:eastAsia="zh-CN"/>
              </w:rPr>
              <w:t>2.02</w:t>
            </w:r>
            <w:r>
              <w:rPr>
                <w:rFonts w:ascii="Times New Roman" w:hAnsi="Times New Roman" w:eastAsia="仿宋_GB2312" w:cs="Times New Roman"/>
                <w:color w:val="auto"/>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1"/>
                <w:szCs w:val="21"/>
                <w:lang w:val="en-US" w:eastAsia="zh-CN"/>
              </w:rPr>
            </w:pPr>
            <w:r>
              <w:rPr>
                <w:rFonts w:ascii="Times New Roman" w:hAnsi="Times New Roman" w:eastAsia="仿宋_GB2312" w:cs="Times New Roman"/>
                <w:color w:val="auto"/>
                <w:kern w:val="0"/>
                <w:sz w:val="21"/>
                <w:szCs w:val="21"/>
              </w:rPr>
              <w:t>　</w:t>
            </w:r>
            <w:r>
              <w:rPr>
                <w:rFonts w:hint="eastAsia" w:ascii="Times New Roman" w:hAnsi="Times New Roman" w:cs="Times New Roman"/>
                <w:color w:val="auto"/>
                <w:kern w:val="0"/>
                <w:sz w:val="21"/>
                <w:szCs w:val="21"/>
                <w:lang w:val="en-US" w:eastAsia="zh-CN"/>
              </w:rPr>
              <w:t>15.5</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FF0000"/>
                <w:kern w:val="0"/>
                <w:sz w:val="21"/>
                <w:szCs w:val="21"/>
              </w:rPr>
            </w:pPr>
            <w:r>
              <w:rPr>
                <w:rFonts w:hint="eastAsia" w:ascii="Times New Roman" w:hAnsi="Times New Roman" w:cs="Times New Roman"/>
                <w:color w:val="auto"/>
                <w:kern w:val="0"/>
                <w:sz w:val="21"/>
                <w:szCs w:val="21"/>
                <w:lang w:val="en-US" w:eastAsia="zh-CN"/>
              </w:rPr>
              <w:t>1.62</w:t>
            </w:r>
            <w:r>
              <w:rPr>
                <w:rFonts w:ascii="Times New Roman" w:hAnsi="Times New Roman" w:eastAsia="仿宋_GB2312" w:cs="Times New Roman"/>
                <w:color w:val="FF0000"/>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b/>
                <w:bCs/>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cs="Times New Roman"/>
                <w:kern w:val="0"/>
                <w:sz w:val="21"/>
                <w:szCs w:val="21"/>
                <w:lang w:val="en-US" w:eastAsia="zh-CN"/>
              </w:rPr>
              <w:t>2293.05</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val="en-US" w:eastAsia="zh-CN"/>
              </w:rPr>
              <w:t>621.39</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630"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楼堂馆所控制情况</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（202</w:t>
            </w:r>
            <w:r>
              <w:rPr>
                <w:rFonts w:hint="eastAsia" w:ascii="Times New Roman" w:hAnsi="Times New Roman" w:cs="Times New Roman"/>
                <w:kern w:val="0"/>
                <w:sz w:val="21"/>
                <w:szCs w:val="21"/>
                <w:lang w:val="en-US" w:eastAsia="zh-CN"/>
              </w:rPr>
              <w:t>2</w:t>
            </w:r>
            <w:r>
              <w:rPr>
                <w:rFonts w:ascii="Times New Roman" w:hAnsi="Times New Roman" w:eastAsia="仿宋_GB2312" w:cs="Times New Roman"/>
                <w:kern w:val="0"/>
                <w:sz w:val="21"/>
                <w:szCs w:val="21"/>
              </w:rPr>
              <w:t>年完工项目）</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批复规模</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实际规模（㎡）</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规模控制率</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预算投资（万元）</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投资概算控制率</w:t>
            </w:r>
          </w:p>
        </w:tc>
      </w:tr>
      <w:tr>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1026"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厉行节约保障措施</w:t>
            </w:r>
          </w:p>
        </w:tc>
        <w:tc>
          <w:tcPr>
            <w:tcW w:w="6481"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ascii="Times New Roman" w:hAnsi="Times New Roman" w:cs="Times New Roman"/>
                <w:kern w:val="0"/>
                <w:sz w:val="21"/>
                <w:szCs w:val="21"/>
                <w:lang w:eastAsia="zh-CN"/>
              </w:rPr>
              <w:t>严格执行公务接待相关规定，强化公车管理，严控三公经费支出；开展节约型机关建设，引导干部养成绿色低碳的生活和工作方式。</w:t>
            </w:r>
            <w:r>
              <w:rPr>
                <w:rFonts w:ascii="Times New Roman" w:hAnsi="Times New Roman" w:eastAsia="仿宋_GB2312" w:cs="Times New Roman"/>
                <w:kern w:val="0"/>
                <w:sz w:val="21"/>
                <w:szCs w:val="21"/>
              </w:rPr>
              <w:t>　</w:t>
            </w:r>
          </w:p>
        </w:tc>
      </w:tr>
    </w:tbl>
    <w:p>
      <w:pPr>
        <w:rPr>
          <w:rFonts w:eastAsia="仿宋_GB2312"/>
          <w:kern w:val="0"/>
          <w:sz w:val="22"/>
          <w:szCs w:val="24"/>
        </w:rPr>
      </w:pPr>
    </w:p>
    <w:p>
      <w:pPr>
        <w:rPr>
          <w:rFonts w:eastAsia="仿宋_GB2312"/>
          <w:kern w:val="0"/>
          <w:sz w:val="22"/>
          <w:szCs w:val="24"/>
        </w:rPr>
      </w:pPr>
      <w:r>
        <w:rPr>
          <w:rFonts w:eastAsia="仿宋_GB2312"/>
          <w:kern w:val="0"/>
          <w:sz w:val="22"/>
          <w:szCs w:val="24"/>
        </w:rPr>
        <w:t>填表人：</w:t>
      </w:r>
      <w:r>
        <w:rPr>
          <w:rFonts w:hint="eastAsia"/>
          <w:kern w:val="0"/>
          <w:sz w:val="22"/>
          <w:szCs w:val="24"/>
          <w:lang w:eastAsia="zh-CN"/>
        </w:rPr>
        <w:t>匡婵</w:t>
      </w:r>
      <w:r>
        <w:rPr>
          <w:rFonts w:eastAsia="仿宋_GB2312"/>
          <w:kern w:val="0"/>
          <w:sz w:val="22"/>
          <w:szCs w:val="24"/>
        </w:rPr>
        <w:t xml:space="preserve"> 填报日期：</w:t>
      </w:r>
      <w:r>
        <w:rPr>
          <w:rFonts w:hint="eastAsia"/>
          <w:kern w:val="0"/>
          <w:sz w:val="22"/>
          <w:szCs w:val="24"/>
          <w:lang w:val="en-US" w:eastAsia="zh-CN"/>
        </w:rPr>
        <w:t>2023.3.10</w:t>
      </w:r>
      <w:r>
        <w:rPr>
          <w:rFonts w:eastAsia="仿宋_GB2312"/>
          <w:kern w:val="0"/>
          <w:sz w:val="22"/>
          <w:szCs w:val="24"/>
        </w:rPr>
        <w:t xml:space="preserve"> 联系电话：</w:t>
      </w:r>
      <w:r>
        <w:rPr>
          <w:rFonts w:hint="eastAsia"/>
          <w:kern w:val="0"/>
          <w:sz w:val="22"/>
          <w:szCs w:val="24"/>
          <w:lang w:val="en-US" w:eastAsia="zh-CN"/>
        </w:rPr>
        <w:t>6800335</w:t>
      </w:r>
      <w:r>
        <w:rPr>
          <w:rFonts w:eastAsia="仿宋_GB2312"/>
          <w:kern w:val="0"/>
          <w:sz w:val="22"/>
          <w:szCs w:val="24"/>
        </w:rPr>
        <w:t xml:space="preserve"> 单位负责人签字：</w:t>
      </w:r>
    </w:p>
    <w:p>
      <w:pPr>
        <w:pStyle w:val="2"/>
        <w:rPr>
          <w:rFonts w:eastAsia="仿宋_GB2312"/>
          <w:kern w:val="0"/>
          <w:sz w:val="22"/>
          <w:szCs w:val="24"/>
        </w:rPr>
      </w:pPr>
    </w:p>
    <w:p>
      <w:pPr>
        <w:rPr>
          <w:rFonts w:eastAsia="仿宋_GB2312"/>
          <w:kern w:val="0"/>
          <w:sz w:val="22"/>
          <w:szCs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2</w:t>
      </w:r>
      <w:r>
        <w:rPr>
          <w:rFonts w:ascii="Times New Roman" w:hAnsi="Times New Roman" w:eastAsia="方正小标宋_GBK" w:cs="Times New Roman"/>
          <w:color w:val="000000"/>
          <w:kern w:val="0"/>
          <w:sz w:val="36"/>
          <w:szCs w:val="36"/>
        </w:rPr>
        <w:t>年度部门整体支出绩效自评表</w:t>
      </w:r>
    </w:p>
    <w:tbl>
      <w:tblPr>
        <w:tblStyle w:val="6"/>
        <w:tblW w:w="9993" w:type="dxa"/>
        <w:jc w:val="center"/>
        <w:tblLayout w:type="autofit"/>
        <w:tblCellMar>
          <w:top w:w="0" w:type="dxa"/>
          <w:left w:w="108" w:type="dxa"/>
          <w:bottom w:w="0" w:type="dxa"/>
          <w:right w:w="108" w:type="dxa"/>
        </w:tblCellMar>
      </w:tblPr>
      <w:tblGrid>
        <w:gridCol w:w="1080"/>
        <w:gridCol w:w="1080"/>
        <w:gridCol w:w="953"/>
        <w:gridCol w:w="1256"/>
        <w:gridCol w:w="95"/>
        <w:gridCol w:w="1200"/>
        <w:gridCol w:w="1276"/>
        <w:gridCol w:w="812"/>
        <w:gridCol w:w="889"/>
        <w:gridCol w:w="1352"/>
      </w:tblGrid>
      <w:tr>
        <w:tblPrEx>
          <w:tblCellMar>
            <w:top w:w="0" w:type="dxa"/>
            <w:left w:w="108" w:type="dxa"/>
            <w:bottom w:w="0" w:type="dxa"/>
            <w:right w:w="108" w:type="dxa"/>
          </w:tblCellMar>
        </w:tblPrEx>
        <w:trPr>
          <w:trHeight w:val="32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预算部门</w:t>
            </w:r>
          </w:p>
        </w:tc>
        <w:tc>
          <w:tcPr>
            <w:tcW w:w="8913"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益阳市城市管理和综合执法局</w:t>
            </w: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算申请</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（万元）</w:t>
            </w:r>
          </w:p>
        </w:tc>
        <w:tc>
          <w:tcPr>
            <w:tcW w:w="20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p>
        </w:tc>
        <w:tc>
          <w:tcPr>
            <w:tcW w:w="12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预算数</w:t>
            </w:r>
          </w:p>
        </w:tc>
        <w:tc>
          <w:tcPr>
            <w:tcW w:w="129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全年预算数</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全年执行数</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20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color w:val="000000"/>
                <w:kern w:val="0"/>
                <w:sz w:val="21"/>
                <w:szCs w:val="21"/>
              </w:rPr>
              <w:t>年度资金总额</w:t>
            </w:r>
          </w:p>
        </w:tc>
        <w:tc>
          <w:tcPr>
            <w:tcW w:w="12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3529.73</w:t>
            </w:r>
          </w:p>
        </w:tc>
        <w:tc>
          <w:tcPr>
            <w:tcW w:w="129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7868.83</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7868.83</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1"/>
                <w:szCs w:val="21"/>
                <w:lang w:eastAsia="zh-CN"/>
              </w:rPr>
            </w:pPr>
            <w:r>
              <w:rPr>
                <w:rFonts w:ascii="Times New Roman" w:hAnsi="Times New Roman" w:eastAsia="仿宋_GB2312" w:cs="Times New Roman"/>
                <w:sz w:val="21"/>
                <w:szCs w:val="21"/>
              </w:rPr>
              <w:t>10</w:t>
            </w:r>
            <w:r>
              <w:rPr>
                <w:rFonts w:hint="eastAsia" w:ascii="Times New Roman" w:hAnsi="Times New Roman" w:cs="Times New Roman"/>
                <w:sz w:val="21"/>
                <w:szCs w:val="21"/>
                <w:lang w:eastAsia="zh-CN"/>
              </w:rPr>
              <w:t>分</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100%</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10分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按收入性质分：</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xml:space="preserve">  其中：  一般公共预算：</w:t>
            </w:r>
            <w:r>
              <w:rPr>
                <w:rFonts w:hint="eastAsia" w:ascii="Times New Roman" w:hAnsi="Times New Roman" w:cs="Times New Roman"/>
                <w:color w:val="000000"/>
                <w:kern w:val="0"/>
                <w:sz w:val="21"/>
                <w:szCs w:val="21"/>
                <w:lang w:val="en-US" w:eastAsia="zh-CN"/>
              </w:rPr>
              <w:t>5857.69</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其中：基本支出：</w:t>
            </w:r>
            <w:r>
              <w:rPr>
                <w:rFonts w:hint="eastAsia" w:ascii="Times New Roman" w:hAnsi="Times New Roman" w:cs="Times New Roman"/>
                <w:color w:val="000000"/>
                <w:kern w:val="0"/>
                <w:sz w:val="21"/>
                <w:szCs w:val="21"/>
                <w:lang w:val="en-US" w:eastAsia="zh-CN"/>
              </w:rPr>
              <w:t>4217.68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840" w:firstLineChars="400"/>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政府性基金拨款：</w:t>
            </w:r>
            <w:r>
              <w:rPr>
                <w:rFonts w:hint="eastAsia" w:ascii="Times New Roman" w:hAnsi="Times New Roman" w:cs="Times New Roman"/>
                <w:color w:val="000000"/>
                <w:kern w:val="0"/>
                <w:sz w:val="21"/>
                <w:szCs w:val="21"/>
                <w:lang w:val="en-US" w:eastAsia="zh-CN"/>
              </w:rPr>
              <w:t>1555.27</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30" w:firstLineChars="300"/>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项目支出：</w:t>
            </w:r>
            <w:r>
              <w:rPr>
                <w:rFonts w:hint="eastAsia" w:ascii="Times New Roman" w:hAnsi="Times New Roman" w:cs="Times New Roman"/>
                <w:color w:val="000000"/>
                <w:kern w:val="0"/>
                <w:sz w:val="21"/>
                <w:szCs w:val="21"/>
                <w:lang w:val="en-US" w:eastAsia="zh-CN"/>
              </w:rPr>
              <w:t>3651.15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纳入专户管理的非税收入拨款：</w:t>
            </w:r>
            <w:r>
              <w:rPr>
                <w:rFonts w:hint="eastAsia" w:ascii="Times New Roman" w:hAnsi="Times New Roman" w:cs="Times New Roman"/>
                <w:color w:val="000000"/>
                <w:kern w:val="0"/>
                <w:sz w:val="21"/>
                <w:szCs w:val="21"/>
                <w:lang w:val="en-US" w:eastAsia="zh-CN"/>
              </w:rPr>
              <w:t>0</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1470" w:firstLineChars="700"/>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其他资金：</w:t>
            </w:r>
            <w:r>
              <w:rPr>
                <w:rFonts w:hint="eastAsia" w:ascii="Times New Roman" w:hAnsi="Times New Roman" w:cs="Times New Roman"/>
                <w:color w:val="000000"/>
                <w:kern w:val="0"/>
                <w:sz w:val="21"/>
                <w:szCs w:val="21"/>
                <w:lang w:val="en-US" w:eastAsia="zh-CN"/>
              </w:rPr>
              <w:t>455.87</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58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32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rPr>
              <w:t>坚持“人民城市人民建”的指导思想、用好城市创建抓手、打造智慧城管平台、用好依法管理武器、加强党建引领保障、强化“大城管”工作机制，完善党委领导、政府负责、社会协同、公众参与、法治保障的城市管理体系。推动城市管理理念、管理手段、管理模式创新，全力实现打造一座有魅力、有气质、有品位城市的工作目标。</w:t>
            </w:r>
          </w:p>
        </w:tc>
        <w:tc>
          <w:tcPr>
            <w:tcW w:w="432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default" w:ascii="Times New Roman" w:hAnsi="Times New Roman" w:eastAsia="仿宋_GB2312" w:cs="Times New Roman"/>
                <w:color w:val="000000"/>
                <w:kern w:val="0"/>
                <w:sz w:val="21"/>
                <w:szCs w:val="21"/>
                <w:lang w:val="en-US" w:eastAsia="zh-CN"/>
              </w:rPr>
              <w:t>创建国园实现“新跨越”</w:t>
            </w:r>
            <w:r>
              <w:rPr>
                <w:rFonts w:hint="eastAsia" w:ascii="Times New Roman" w:hAnsi="Times New Roman" w:cs="Times New Roman"/>
                <w:color w:val="000000"/>
                <w:kern w:val="0"/>
                <w:sz w:val="21"/>
                <w:szCs w:val="21"/>
                <w:lang w:val="en-US" w:eastAsia="zh-CN"/>
              </w:rPr>
              <w:t>，</w:t>
            </w:r>
            <w:r>
              <w:rPr>
                <w:rFonts w:hint="default" w:ascii="Times New Roman" w:hAnsi="Times New Roman" w:eastAsia="仿宋_GB2312" w:cs="Times New Roman"/>
                <w:color w:val="000000"/>
                <w:kern w:val="0"/>
                <w:sz w:val="21"/>
                <w:szCs w:val="21"/>
                <w:lang w:val="en-US" w:eastAsia="zh-CN"/>
              </w:rPr>
              <w:t>基本实现“300米见绿、500米见园”城市绿地均衡布局</w:t>
            </w:r>
            <w:r>
              <w:rPr>
                <w:rFonts w:hint="eastAsia" w:ascii="Times New Roman" w:hAnsi="Times New Roman" w:eastAsia="仿宋_GB2312" w:cs="Times New Roman"/>
                <w:color w:val="000000"/>
                <w:kern w:val="0"/>
                <w:sz w:val="21"/>
                <w:szCs w:val="21"/>
                <w:lang w:val="en-US" w:eastAsia="zh-CN"/>
              </w:rPr>
              <w:t>。</w:t>
            </w:r>
            <w:r>
              <w:rPr>
                <w:rFonts w:hint="default" w:ascii="Times New Roman" w:hAnsi="Times New Roman" w:eastAsia="仿宋_GB2312" w:cs="Times New Roman"/>
                <w:color w:val="000000"/>
                <w:kern w:val="0"/>
                <w:sz w:val="21"/>
                <w:szCs w:val="21"/>
                <w:lang w:val="en-US" w:eastAsia="zh-CN"/>
              </w:rPr>
              <w:t>新建</w:t>
            </w:r>
            <w:r>
              <w:rPr>
                <w:rFonts w:hint="eastAsia" w:ascii="Times New Roman" w:hAnsi="Times New Roman" w:eastAsia="仿宋_GB2312" w:cs="Times New Roman"/>
                <w:color w:val="000000"/>
                <w:kern w:val="0"/>
                <w:sz w:val="21"/>
                <w:szCs w:val="21"/>
                <w:lang w:val="en-US" w:eastAsia="zh-CN"/>
              </w:rPr>
              <w:t>垃圾分类</w:t>
            </w:r>
            <w:r>
              <w:rPr>
                <w:rFonts w:hint="default" w:ascii="Times New Roman" w:hAnsi="Times New Roman" w:eastAsia="仿宋_GB2312" w:cs="Times New Roman"/>
                <w:color w:val="000000"/>
                <w:kern w:val="0"/>
                <w:sz w:val="21"/>
                <w:szCs w:val="21"/>
                <w:lang w:val="en-US" w:eastAsia="zh-CN"/>
              </w:rPr>
              <w:t>3个大型宣教基地，分类设施居民小区、公共场所、公共机构覆盖率分别为90%、75%、100%；新施划停车位11000余个，强化共享电动车联合监管和精准停车技术应用</w:t>
            </w:r>
            <w:r>
              <w:rPr>
                <w:rFonts w:hint="eastAsia" w:ascii="Times New Roman" w:hAnsi="Times New Roman" w:cs="Times New Roman"/>
                <w:color w:val="000000"/>
                <w:kern w:val="0"/>
                <w:sz w:val="21"/>
                <w:szCs w:val="21"/>
                <w:lang w:val="en-US" w:eastAsia="zh-CN"/>
              </w:rPr>
              <w:t>，</w:t>
            </w:r>
            <w:r>
              <w:rPr>
                <w:rFonts w:hint="default" w:ascii="Times New Roman" w:hAnsi="Times New Roman" w:eastAsia="仿宋_GB2312" w:cs="Times New Roman"/>
                <w:color w:val="000000"/>
                <w:kern w:val="0"/>
                <w:sz w:val="21"/>
                <w:szCs w:val="21"/>
                <w:lang w:val="en-US" w:eastAsia="zh-CN"/>
              </w:rPr>
              <w:t>静态停车管理水平明显提升</w:t>
            </w:r>
            <w:r>
              <w:rPr>
                <w:rFonts w:hint="eastAsia" w:ascii="Times New Roman" w:hAnsi="Times New Roman" w:eastAsia="仿宋_GB2312" w:cs="Times New Roman"/>
                <w:color w:val="000000"/>
                <w:kern w:val="0"/>
                <w:sz w:val="21"/>
                <w:szCs w:val="21"/>
                <w:lang w:val="en-US" w:eastAsia="zh-CN"/>
              </w:rPr>
              <w:t>。</w:t>
            </w:r>
            <w:r>
              <w:rPr>
                <w:rFonts w:hint="eastAsia" w:ascii="Times New Roman" w:hAnsi="Times New Roman" w:cs="Times New Roman"/>
                <w:color w:val="000000"/>
                <w:kern w:val="0"/>
                <w:sz w:val="21"/>
                <w:szCs w:val="21"/>
                <w:lang w:val="en-US" w:eastAsia="zh-CN"/>
              </w:rPr>
              <w:t>，</w:t>
            </w:r>
            <w:r>
              <w:rPr>
                <w:rFonts w:hint="eastAsia" w:ascii="Times New Roman" w:hAnsi="Times New Roman" w:eastAsia="仿宋_GB2312" w:cs="Times New Roman"/>
                <w:color w:val="000000"/>
                <w:kern w:val="0"/>
                <w:sz w:val="21"/>
                <w:szCs w:val="21"/>
                <w:lang w:val="en-US" w:eastAsia="zh-CN"/>
              </w:rPr>
              <w:t>加强城市管理立法，完成</w:t>
            </w:r>
            <w:r>
              <w:rPr>
                <w:rFonts w:hint="default" w:ascii="Times New Roman" w:hAnsi="Times New Roman" w:eastAsia="仿宋_GB2312" w:cs="Times New Roman"/>
                <w:color w:val="000000"/>
                <w:kern w:val="0"/>
                <w:sz w:val="21"/>
                <w:szCs w:val="21"/>
                <w:lang w:val="en-US" w:eastAsia="zh-CN"/>
              </w:rPr>
              <w:t>全市生活垃圾分类立法任务，制定城市绿化管理办法等规范性文件3件</w:t>
            </w:r>
            <w:r>
              <w:rPr>
                <w:rFonts w:hint="eastAsia" w:ascii="Times New Roman" w:hAnsi="Times New Roman" w:eastAsia="仿宋_GB2312" w:cs="Times New Roman"/>
                <w:color w:val="000000"/>
                <w:kern w:val="0"/>
                <w:sz w:val="21"/>
                <w:szCs w:val="21"/>
                <w:lang w:val="en-US" w:eastAsia="zh-CN"/>
              </w:rPr>
              <w:t>；深化平台建设，</w:t>
            </w:r>
            <w:r>
              <w:rPr>
                <w:rFonts w:hint="default" w:ascii="Times New Roman" w:hAnsi="Times New Roman" w:eastAsia="仿宋_GB2312" w:cs="Times New Roman"/>
                <w:color w:val="000000"/>
                <w:kern w:val="0"/>
                <w:sz w:val="21"/>
                <w:szCs w:val="21"/>
                <w:lang w:val="en-US" w:eastAsia="zh-CN"/>
              </w:rPr>
              <w:t>进一步拓展系统覆盖领域，建成智慧园林平台、对讲机指挥调度平台及城管视频会议系统；新建渣土运输</w:t>
            </w:r>
            <w:bookmarkStart w:id="0" w:name="_GoBack"/>
            <w:bookmarkEnd w:id="0"/>
            <w:r>
              <w:rPr>
                <w:rFonts w:hint="default" w:ascii="Times New Roman" w:hAnsi="Times New Roman" w:eastAsia="仿宋_GB2312" w:cs="Times New Roman"/>
                <w:color w:val="000000"/>
                <w:kern w:val="0"/>
                <w:sz w:val="21"/>
                <w:szCs w:val="21"/>
                <w:lang w:val="en-US" w:eastAsia="zh-CN"/>
              </w:rPr>
              <w:t>视频监控点位21处。</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9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3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实际完成值</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3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清理更新户外公益广告</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仿宋_GB2312" w:hAnsi="仿宋_GB2312" w:eastAsia="仿宋_GB2312" w:cs="仿宋_GB2312"/>
                <w:color w:val="000000"/>
                <w:sz w:val="18"/>
                <w:szCs w:val="18"/>
              </w:rPr>
              <w:t>≥</w:t>
            </w:r>
            <w:r>
              <w:rPr>
                <w:rFonts w:hint="eastAsia" w:ascii="仿宋_GB2312" w:hAnsi="仿宋_GB2312" w:cs="仿宋_GB2312"/>
                <w:color w:val="000000"/>
                <w:sz w:val="18"/>
                <w:szCs w:val="18"/>
                <w:lang w:val="en-US" w:eastAsia="zh-CN"/>
              </w:rPr>
              <w:t>100处</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3300处</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开展铁锤治渣专项行动</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仿宋_GB2312" w:hAnsi="仿宋_GB2312" w:eastAsia="仿宋_GB2312" w:cs="仿宋_GB2312"/>
                <w:color w:val="000000"/>
                <w:sz w:val="18"/>
                <w:szCs w:val="18"/>
              </w:rPr>
              <w:t>≥</w:t>
            </w:r>
            <w:r>
              <w:rPr>
                <w:rFonts w:hint="eastAsia" w:ascii="仿宋_GB2312" w:hAnsi="仿宋_GB2312" w:cs="仿宋_GB2312"/>
                <w:color w:val="000000"/>
                <w:sz w:val="18"/>
                <w:szCs w:val="18"/>
                <w:lang w:val="en-US" w:eastAsia="zh-CN"/>
              </w:rPr>
              <w:t>30次</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31次</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增加城区机动车停车位</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rPr>
            </w:pPr>
            <w:r>
              <w:rPr>
                <w:rFonts w:ascii="Times New Roman" w:hAnsi="Times New Roman" w:eastAsia="仿宋_GB2312" w:cs="Times New Roman"/>
                <w:color w:val="000000"/>
                <w:kern w:val="0"/>
                <w:sz w:val="21"/>
                <w:szCs w:val="21"/>
              </w:rPr>
              <w:t>　</w:t>
            </w:r>
            <w:r>
              <w:rPr>
                <w:rFonts w:hint="eastAsia" w:ascii="仿宋_GB2312" w:hAnsi="仿宋_GB2312" w:eastAsia="仿宋_GB2312" w:cs="仿宋_GB2312"/>
                <w:color w:val="000000"/>
                <w:sz w:val="18"/>
                <w:szCs w:val="18"/>
              </w:rPr>
              <w:t>≥</w:t>
            </w:r>
            <w:r>
              <w:rPr>
                <w:rFonts w:hint="eastAsia" w:ascii="仿宋_GB2312" w:hAnsi="仿宋_GB2312" w:cs="仿宋_GB2312"/>
                <w:color w:val="000000"/>
                <w:sz w:val="18"/>
                <w:szCs w:val="18"/>
                <w:lang w:val="en-US" w:eastAsia="zh-CN"/>
              </w:rPr>
              <w:t>300个</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11000个</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开展烟花禁放专项行动</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180" w:firstLineChars="100"/>
              <w:jc w:val="left"/>
              <w:textAlignment w:val="auto"/>
              <w:rPr>
                <w:rFonts w:hint="default" w:ascii="Times New Roman" w:hAnsi="Times New Roman" w:eastAsia="仿宋_GB2312" w:cs="Times New Roman"/>
                <w:color w:val="000000"/>
                <w:kern w:val="0"/>
                <w:sz w:val="21"/>
                <w:szCs w:val="21"/>
                <w:lang w:val="en-US"/>
              </w:rPr>
            </w:pPr>
            <w:r>
              <w:rPr>
                <w:rFonts w:hint="eastAsia" w:ascii="仿宋_GB2312" w:hAnsi="仿宋_GB2312" w:eastAsia="仿宋_GB2312" w:cs="仿宋_GB2312"/>
                <w:color w:val="000000"/>
                <w:sz w:val="18"/>
                <w:szCs w:val="18"/>
              </w:rPr>
              <w:t>≥</w:t>
            </w:r>
            <w:r>
              <w:rPr>
                <w:rFonts w:hint="eastAsia" w:ascii="仿宋_GB2312" w:hAnsi="仿宋_GB2312" w:cs="仿宋_GB2312"/>
                <w:color w:val="000000"/>
                <w:sz w:val="18"/>
                <w:szCs w:val="18"/>
                <w:lang w:val="en-US" w:eastAsia="zh-CN"/>
              </w:rPr>
              <w:t>10次</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20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开展餐饮油烟检测</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仿宋_GB2312" w:hAnsi="仿宋_GB2312" w:eastAsia="仿宋_GB2312" w:cs="仿宋_GB2312"/>
                <w:color w:val="000000"/>
                <w:sz w:val="18"/>
                <w:szCs w:val="18"/>
              </w:rPr>
              <w:t>≥</w:t>
            </w:r>
            <w:r>
              <w:rPr>
                <w:rFonts w:hint="eastAsia" w:ascii="仿宋_GB2312" w:hAnsi="仿宋_GB2312" w:cs="仿宋_GB2312"/>
                <w:color w:val="000000"/>
                <w:sz w:val="18"/>
                <w:szCs w:val="18"/>
                <w:lang w:val="en-US" w:eastAsia="zh-CN"/>
              </w:rPr>
              <w:t>10次</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13次</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开展执法人员培训，规范执法行为</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完成率</w:t>
            </w:r>
            <w:r>
              <w:rPr>
                <w:rFonts w:hint="eastAsia" w:ascii="Times New Roman" w:hAnsi="Times New Roman" w:cs="Times New Roman"/>
                <w:color w:val="000000"/>
                <w:kern w:val="0"/>
                <w:sz w:val="21"/>
                <w:szCs w:val="21"/>
                <w:lang w:val="en-US" w:eastAsia="zh-CN"/>
              </w:rPr>
              <w:t>100%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深化智慧城管平台建设</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整合、优化、升级</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58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部门预决算按时公开</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按时</w:t>
            </w:r>
          </w:p>
        </w:tc>
        <w:tc>
          <w:tcPr>
            <w:tcW w:w="1276"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100%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三公经费控制率</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仿宋_GB2312" w:hAnsi="仿宋_GB2312" w:eastAsia="仿宋_GB2312" w:cs="仿宋_GB2312"/>
                <w:color w:val="000000"/>
                <w:sz w:val="18"/>
                <w:szCs w:val="18"/>
                <w:lang w:val="en-US" w:eastAsia="zh-CN"/>
              </w:rPr>
              <w:t>≤100%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8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人员控制率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仿宋_GB2312" w:hAnsi="仿宋_GB2312" w:eastAsia="仿宋_GB2312" w:cs="仿宋_GB2312"/>
                <w:color w:val="000000"/>
                <w:sz w:val="18"/>
                <w:szCs w:val="18"/>
                <w:lang w:val="en-US" w:eastAsia="zh-CN"/>
              </w:rPr>
              <w:t>　=100%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5</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方正仿宋简体" w:hAnsi="方正仿宋简体" w:eastAsia="方正仿宋简体" w:cs="方正仿宋简体"/>
                <w:sz w:val="21"/>
                <w:szCs w:val="15"/>
                <w:lang w:val="en-US" w:eastAsia="zh-CN"/>
              </w:rPr>
              <w:t>停车秩序不断规范，停车难问题不断缓解</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缓解</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13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方正仿宋简体" w:hAnsi="方正仿宋简体" w:eastAsia="方正仿宋简体" w:cs="方正仿宋简体"/>
                <w:sz w:val="21"/>
                <w:szCs w:val="15"/>
              </w:rPr>
              <w:t>城市市容和环境卫生</w:t>
            </w:r>
            <w:r>
              <w:rPr>
                <w:rFonts w:hint="eastAsia" w:ascii="方正仿宋简体" w:hAnsi="方正仿宋简体" w:eastAsia="方正仿宋简体" w:cs="方正仿宋简体"/>
                <w:sz w:val="21"/>
                <w:szCs w:val="15"/>
                <w:lang w:eastAsia="zh-CN"/>
              </w:rPr>
              <w:t>不断提高</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提高</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空气质量不断改善</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 xml:space="preserve"> 改善</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8</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市民居住环境</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不断改善</w:t>
            </w:r>
            <w:r>
              <w:rPr>
                <w:rFonts w:ascii="Times New Roman" w:hAnsi="Times New Roman" w:eastAsia="仿宋_GB2312" w:cs="Times New Roman"/>
                <w:color w:val="000000"/>
                <w:kern w:val="0"/>
                <w:sz w:val="21"/>
                <w:szCs w:val="21"/>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不断改善</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社会公众满意度</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仿宋_GB2312" w:hAnsi="仿宋_GB2312" w:eastAsia="仿宋_GB2312" w:cs="仿宋_GB2312"/>
                <w:color w:val="000000"/>
                <w:sz w:val="18"/>
                <w:szCs w:val="18"/>
              </w:rPr>
              <w:t>≥95%</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8</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pPr>
        <w:rPr>
          <w:rFonts w:ascii="Times New Roman" w:hAnsi="Times New Roman" w:eastAsia="仿宋_GB2312" w:cs="Times New Roman"/>
          <w:kern w:val="0"/>
          <w:sz w:val="21"/>
          <w:szCs w:val="21"/>
        </w:rPr>
      </w:pPr>
    </w:p>
    <w:p>
      <w:r>
        <w:rPr>
          <w:rFonts w:ascii="Times New Roman" w:hAnsi="Times New Roman" w:eastAsia="仿宋_GB2312" w:cs="Times New Roman"/>
          <w:kern w:val="0"/>
          <w:sz w:val="21"/>
          <w:szCs w:val="21"/>
        </w:rPr>
        <w:t xml:space="preserve">填表人： </w:t>
      </w:r>
      <w:r>
        <w:rPr>
          <w:rFonts w:hint="eastAsia" w:ascii="Times New Roman" w:hAnsi="Times New Roman" w:cs="Times New Roman"/>
          <w:kern w:val="0"/>
          <w:sz w:val="21"/>
          <w:szCs w:val="21"/>
          <w:lang w:eastAsia="zh-CN"/>
        </w:rPr>
        <w:t>匡婵</w:t>
      </w:r>
      <w:r>
        <w:rPr>
          <w:rFonts w:ascii="Times New Roman" w:hAnsi="Times New Roman" w:eastAsia="仿宋_GB2312" w:cs="Times New Roman"/>
          <w:kern w:val="0"/>
          <w:sz w:val="21"/>
          <w:szCs w:val="21"/>
        </w:rPr>
        <w:t xml:space="preserve"> 填报日期：</w:t>
      </w:r>
      <w:r>
        <w:rPr>
          <w:rFonts w:hint="eastAsia" w:ascii="Times New Roman" w:hAnsi="Times New Roman" w:cs="Times New Roman"/>
          <w:kern w:val="0"/>
          <w:sz w:val="21"/>
          <w:szCs w:val="21"/>
          <w:lang w:val="en-US" w:eastAsia="zh-CN"/>
        </w:rPr>
        <w:t>2023.3.10</w:t>
      </w:r>
      <w:r>
        <w:rPr>
          <w:rFonts w:ascii="Times New Roman" w:hAnsi="Times New Roman" w:eastAsia="仿宋_GB2312" w:cs="Times New Roman"/>
          <w:kern w:val="0"/>
          <w:sz w:val="21"/>
          <w:szCs w:val="21"/>
        </w:rPr>
        <w:t>联系电话：</w:t>
      </w:r>
      <w:r>
        <w:rPr>
          <w:rFonts w:hint="eastAsia" w:ascii="Times New Roman" w:hAnsi="Times New Roman" w:cs="Times New Roman"/>
          <w:kern w:val="0"/>
          <w:sz w:val="21"/>
          <w:szCs w:val="21"/>
          <w:lang w:val="en-US" w:eastAsia="zh-CN"/>
        </w:rPr>
        <w:t>6800335</w:t>
      </w:r>
      <w:r>
        <w:rPr>
          <w:rFonts w:ascii="Times New Roman" w:hAnsi="Times New Roman" w:eastAsia="仿宋_GB2312" w:cs="Times New Roman"/>
          <w:kern w:val="0"/>
          <w:sz w:val="21"/>
          <w:szCs w:val="21"/>
        </w:rPr>
        <w:t xml:space="preserve">  单位负责人签字：</w:t>
      </w:r>
    </w:p>
    <w:p>
      <w:pPr>
        <w:pStyle w:val="2"/>
      </w:pPr>
    </w:p>
    <w:p>
      <w:pPr>
        <w:pStyle w:val="2"/>
        <w:rPr>
          <w:rFonts w:hint="eastAsia" w:ascii="方正仿宋简体" w:hAnsi="方正仿宋简体" w:eastAsia="方正仿宋简体" w:cs="方正仿宋简体"/>
          <w:b w:val="0"/>
          <w:bCs w:val="0"/>
          <w:sz w:val="32"/>
          <w:szCs w:val="32"/>
          <w:lang w:val="en-US" w:eastAsia="zh-CN"/>
        </w:rPr>
      </w:pPr>
    </w:p>
    <w:p>
      <w:pPr>
        <w:rPr>
          <w:rFonts w:hint="eastAsia" w:ascii="方正仿宋简体" w:hAnsi="方正仿宋简体" w:eastAsia="方正仿宋简体" w:cs="方正仿宋简体"/>
          <w:b w:val="0"/>
          <w:bCs w:val="0"/>
          <w:sz w:val="32"/>
          <w:szCs w:val="32"/>
          <w:lang w:val="en-US" w:eastAsia="zh-CN"/>
        </w:rPr>
      </w:pPr>
    </w:p>
    <w:p>
      <w:pPr>
        <w:pStyle w:val="2"/>
        <w:rPr>
          <w:rFonts w:hint="eastAsia" w:ascii="方正仿宋简体" w:hAnsi="方正仿宋简体" w:eastAsia="方正仿宋简体" w:cs="方正仿宋简体"/>
          <w:b w:val="0"/>
          <w:bCs w:val="0"/>
          <w:sz w:val="32"/>
          <w:szCs w:val="32"/>
          <w:lang w:val="en-US" w:eastAsia="zh-CN"/>
        </w:rPr>
      </w:pPr>
    </w:p>
    <w:p>
      <w:pPr>
        <w:rPr>
          <w:rFonts w:hint="eastAsia" w:ascii="方正仿宋简体" w:hAnsi="方正仿宋简体" w:eastAsia="方正仿宋简体" w:cs="方正仿宋简体"/>
          <w:b w:val="0"/>
          <w:bCs w:val="0"/>
          <w:sz w:val="32"/>
          <w:szCs w:val="32"/>
          <w:lang w:val="en-US" w:eastAsia="zh-CN"/>
        </w:rPr>
      </w:pPr>
    </w:p>
    <w:p>
      <w:pPr>
        <w:pStyle w:val="2"/>
        <w:rPr>
          <w:rFonts w:hint="eastAsia" w:ascii="方正仿宋简体" w:hAnsi="方正仿宋简体" w:eastAsia="方正仿宋简体" w:cs="方正仿宋简体"/>
          <w:b w:val="0"/>
          <w:bCs w:val="0"/>
          <w:sz w:val="32"/>
          <w:szCs w:val="32"/>
          <w:lang w:val="en-US" w:eastAsia="zh-CN"/>
        </w:rPr>
      </w:pPr>
    </w:p>
    <w:p>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7BC1A"/>
    <w:multiLevelType w:val="singleLevel"/>
    <w:tmpl w:val="8227BC1A"/>
    <w:lvl w:ilvl="0" w:tentative="0">
      <w:start w:val="9"/>
      <w:numFmt w:val="chineseCounting"/>
      <w:suff w:val="nothing"/>
      <w:lvlText w:val="%1、"/>
      <w:lvlJc w:val="left"/>
      <w:rPr>
        <w:rFonts w:hint="eastAsia"/>
      </w:rPr>
    </w:lvl>
  </w:abstractNum>
  <w:abstractNum w:abstractNumId="1">
    <w:nsid w:val="AC26CA07"/>
    <w:multiLevelType w:val="singleLevel"/>
    <w:tmpl w:val="AC26CA07"/>
    <w:lvl w:ilvl="0" w:tentative="0">
      <w:start w:val="1"/>
      <w:numFmt w:val="chineseCounting"/>
      <w:suff w:val="nothing"/>
      <w:lvlText w:val="（%1）"/>
      <w:lvlJc w:val="left"/>
      <w:pPr>
        <w:ind w:left="200"/>
      </w:pPr>
      <w:rPr>
        <w:rFonts w:hint="eastAsia"/>
      </w:rPr>
    </w:lvl>
  </w:abstractNum>
  <w:abstractNum w:abstractNumId="2">
    <w:nsid w:val="B6841CBA"/>
    <w:multiLevelType w:val="singleLevel"/>
    <w:tmpl w:val="B6841CBA"/>
    <w:lvl w:ilvl="0" w:tentative="0">
      <w:start w:val="1"/>
      <w:numFmt w:val="chineseCounting"/>
      <w:suff w:val="nothing"/>
      <w:lvlText w:val="（%1）"/>
      <w:lvlJc w:val="left"/>
      <w:rPr>
        <w:rFonts w:hint="eastAsia"/>
      </w:rPr>
    </w:lvl>
  </w:abstractNum>
  <w:abstractNum w:abstractNumId="3">
    <w:nsid w:val="6D932CC3"/>
    <w:multiLevelType w:val="singleLevel"/>
    <w:tmpl w:val="6D932CC3"/>
    <w:lvl w:ilvl="0" w:tentative="0">
      <w:start w:val="5"/>
      <w:numFmt w:val="chineseCounting"/>
      <w:suff w:val="nothing"/>
      <w:lvlText w:val="%1、"/>
      <w:lvlJc w:val="left"/>
      <w:pPr>
        <w:ind w:left="-10"/>
      </w:pPr>
      <w:rPr>
        <w:rFonts w:hint="eastAsia"/>
      </w:rPr>
    </w:lvl>
  </w:abstractNum>
  <w:abstractNum w:abstractNumId="4">
    <w:nsid w:val="6F66DD55"/>
    <w:multiLevelType w:val="singleLevel"/>
    <w:tmpl w:val="6F66DD55"/>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00000000"/>
    <w:rsid w:val="006F6B5B"/>
    <w:rsid w:val="01C075D1"/>
    <w:rsid w:val="03C548C9"/>
    <w:rsid w:val="079B131C"/>
    <w:rsid w:val="0AF71D1F"/>
    <w:rsid w:val="0DEE4C33"/>
    <w:rsid w:val="0E8042DE"/>
    <w:rsid w:val="0F67692D"/>
    <w:rsid w:val="10EC391A"/>
    <w:rsid w:val="10F05693"/>
    <w:rsid w:val="124826EE"/>
    <w:rsid w:val="1283439D"/>
    <w:rsid w:val="13073556"/>
    <w:rsid w:val="19173CA7"/>
    <w:rsid w:val="1A68422A"/>
    <w:rsid w:val="1A78230D"/>
    <w:rsid w:val="1ADC29C2"/>
    <w:rsid w:val="1AED0820"/>
    <w:rsid w:val="1C237E18"/>
    <w:rsid w:val="1E193E07"/>
    <w:rsid w:val="1EB677C6"/>
    <w:rsid w:val="236A1E05"/>
    <w:rsid w:val="24A80C6A"/>
    <w:rsid w:val="27083E64"/>
    <w:rsid w:val="27F417F3"/>
    <w:rsid w:val="2B2D22CA"/>
    <w:rsid w:val="2D717867"/>
    <w:rsid w:val="2E6F192C"/>
    <w:rsid w:val="2F837332"/>
    <w:rsid w:val="31D067FB"/>
    <w:rsid w:val="35292D5D"/>
    <w:rsid w:val="355C38F7"/>
    <w:rsid w:val="39645B13"/>
    <w:rsid w:val="3DD57980"/>
    <w:rsid w:val="3E1E60C4"/>
    <w:rsid w:val="3E1F1BAE"/>
    <w:rsid w:val="4001747B"/>
    <w:rsid w:val="45285397"/>
    <w:rsid w:val="48CD4351"/>
    <w:rsid w:val="4AA64A44"/>
    <w:rsid w:val="4B1361DA"/>
    <w:rsid w:val="530C53D8"/>
    <w:rsid w:val="542F59BA"/>
    <w:rsid w:val="54981135"/>
    <w:rsid w:val="55580A4D"/>
    <w:rsid w:val="565E5C5D"/>
    <w:rsid w:val="59381167"/>
    <w:rsid w:val="5A285AF1"/>
    <w:rsid w:val="5B5143F4"/>
    <w:rsid w:val="5DA64068"/>
    <w:rsid w:val="5E5B4785"/>
    <w:rsid w:val="5FB54AC7"/>
    <w:rsid w:val="6242031E"/>
    <w:rsid w:val="65111E86"/>
    <w:rsid w:val="655E5172"/>
    <w:rsid w:val="68C80CF1"/>
    <w:rsid w:val="6ACD532A"/>
    <w:rsid w:val="6B9068DC"/>
    <w:rsid w:val="6C816027"/>
    <w:rsid w:val="6DFB3F5C"/>
    <w:rsid w:val="6F3E0091"/>
    <w:rsid w:val="6F5E2EDC"/>
    <w:rsid w:val="707700B0"/>
    <w:rsid w:val="711865D1"/>
    <w:rsid w:val="71623BF6"/>
    <w:rsid w:val="72B80AF6"/>
    <w:rsid w:val="74856EAC"/>
    <w:rsid w:val="78C73B5B"/>
    <w:rsid w:val="79446280"/>
    <w:rsid w:val="796E1A86"/>
    <w:rsid w:val="7A9F4B1C"/>
    <w:rsid w:val="7CB47B26"/>
    <w:rsid w:val="7D2E553C"/>
    <w:rsid w:val="7D4E25B4"/>
    <w:rsid w:val="7DC87C7E"/>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cs="宋体"/>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3414</Words>
  <Characters>3680</Characters>
  <Lines>0</Lines>
  <Paragraphs>0</Paragraphs>
  <TotalTime>2</TotalTime>
  <ScaleCrop>false</ScaleCrop>
  <LinksUpToDate>false</LinksUpToDate>
  <CharactersWithSpaces>3719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2021-03-22T03:46:00Z</dcterms:created>
  <dc:creator>Administrator</dc:creator>
  <cp:lastModifiedBy>Administrator</cp:lastModifiedBy>
  <cp:lastPrinted>2023-03-16T07:47:00Z</cp:lastPrinted>
  <dcterms:modified xsi:type="dcterms:W3CDTF">2023-03-20T06:25:01Z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38F70F1CD1234AB0A445CDFBF85FA0D3</vt:lpwstr>
  </property>
  <property fmtid="{D5CDD505-2E9C-101B-9397-08002B2CF9AE}" pid="4" name="commondata">
    <vt:lpwstr>eyJoZGlkIjoiMTljZDAwMzk2OGMxNzAzNWE1NzNjNGIzN2IyMjFjYTgifQ==</vt:lpwstr>
  </property>
</Properties>
</file>