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0"/>
          <w:szCs w:val="40"/>
        </w:rPr>
      </w:pPr>
    </w:p>
    <w:p>
      <w:pPr>
        <w:jc w:val="center"/>
        <w:rPr>
          <w:rFonts w:ascii="方正小标宋简体" w:eastAsia="方正小标宋简体"/>
          <w:sz w:val="40"/>
          <w:szCs w:val="40"/>
        </w:rPr>
      </w:pPr>
    </w:p>
    <w:p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2021年船舶污染治理配套经费绩效自评报告</w:t>
      </w:r>
    </w:p>
    <w:p/>
    <w:p>
      <w:pPr>
        <w:rPr>
          <w:rFonts w:ascii="方正黑体简体" w:eastAsia="方正黑体简体"/>
        </w:rPr>
      </w:pPr>
      <w:r>
        <w:rPr>
          <w:rFonts w:hint="eastAsia" w:ascii="方正黑体简体" w:eastAsia="方正黑体简体"/>
        </w:rPr>
        <w:t xml:space="preserve">    一、项目概况</w:t>
      </w:r>
    </w:p>
    <w:p>
      <w:pPr>
        <w:ind w:firstLine="630"/>
        <w:rPr>
          <w:b/>
        </w:rPr>
      </w:pPr>
      <w:r>
        <w:rPr>
          <w:rFonts w:hint="eastAsia"/>
          <w:b/>
        </w:rPr>
        <w:t>（一）项目单位基本概况</w:t>
      </w:r>
    </w:p>
    <w:p>
      <w:pPr>
        <w:ind w:firstLine="640" w:firstLineChars="200"/>
      </w:pPr>
      <w:r>
        <w:rPr>
          <w:rFonts w:hint="eastAsia"/>
        </w:rPr>
        <w:t>益阳市水运事务中心为副处级全额拨款事业单位，隶属于市交通运输局二级机构，承担市区（资阳、赫山、高新区）的水路运输（含水路运输辅助业）行业管理的事务性工作，</w:t>
      </w:r>
      <w:r>
        <w:rPr>
          <w:rFonts w:hint="eastAsia"/>
          <w:kern w:val="0"/>
        </w:rPr>
        <w:t>负责全市水路交通从业人员专业培训、船员适任考试、考核等事务性工作；负责市管航道、航道设施及与通航相关设施的建设、管理和养护工作；负责权限内新造及改造船舶技术图纸的审查工作，承担辖区内船舶的法定检验工作；负责全市水路运输行业安全监管工作；负责水路运输行业节能减排和污染防治工作；协助主管部门拟定全市港口、航道、水运发展规划、相关专项规划和年度计划。</w:t>
      </w:r>
    </w:p>
    <w:p>
      <w:pPr>
        <w:ind w:firstLine="630" w:firstLineChars="196"/>
        <w:rPr>
          <w:b/>
        </w:rPr>
      </w:pPr>
      <w:r>
        <w:rPr>
          <w:rFonts w:hint="eastAsia"/>
          <w:b/>
        </w:rPr>
        <w:t>（二）项目年度绩效目标</w:t>
      </w:r>
    </w:p>
    <w:p>
      <w:pPr>
        <w:spacing w:line="600" w:lineRule="exact"/>
        <w:ind w:firstLine="640" w:firstLineChars="200"/>
        <w:rPr>
          <w:szCs w:val="21"/>
        </w:rPr>
      </w:pPr>
      <w:r>
        <w:rPr>
          <w:rFonts w:hint="eastAsia"/>
          <w:szCs w:val="21"/>
        </w:rPr>
        <w:t>船舶污染治理配套经费是指为保护水资源环境治理、加强船舶污染治理等工作需要安排的资金。通过开展船舶污染治理日常监管工作，加强洞庭湖生态环境专项整治船舶污染治理建设，加快船舶水污染物联合监管与服务信息系统（船</w:t>
      </w:r>
      <w:r>
        <w:rPr>
          <w:szCs w:val="21"/>
        </w:rPr>
        <w:t>E</w:t>
      </w:r>
      <w:r>
        <w:rPr>
          <w:rFonts w:hint="eastAsia"/>
          <w:szCs w:val="21"/>
        </w:rPr>
        <w:t>行）推广应用，提高群众保护水资源环境意识。</w:t>
      </w:r>
    </w:p>
    <w:p>
      <w:pPr>
        <w:ind w:firstLine="630"/>
        <w:rPr>
          <w:rFonts w:ascii="方正黑体简体" w:eastAsia="方正黑体简体"/>
        </w:rPr>
      </w:pPr>
      <w:r>
        <w:rPr>
          <w:rFonts w:hint="eastAsia" w:ascii="方正黑体简体" w:eastAsia="方正黑体简体"/>
        </w:rPr>
        <w:t>二、绩效自评开展情况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宋体" w:cs="宋体"/>
        </w:rPr>
      </w:pPr>
      <w:r>
        <w:rPr>
          <w:rFonts w:hint="eastAsia" w:ascii="宋体" w:hAnsi="宋体" w:cs="Arial"/>
          <w:kern w:val="0"/>
        </w:rPr>
        <w:t>市水运事务中心成立了绩效</w:t>
      </w:r>
      <w:r>
        <w:rPr>
          <w:rFonts w:ascii="仿宋_GB2312" w:hAnsi="仿宋"/>
        </w:rPr>
        <w:t>评价工作组</w:t>
      </w:r>
      <w:r>
        <w:rPr>
          <w:rFonts w:hint="eastAsia" w:ascii="仿宋_GB2312" w:hAnsi="宋体" w:cs="宋体"/>
        </w:rPr>
        <w:t>，</w:t>
      </w:r>
      <w:r>
        <w:rPr>
          <w:rFonts w:hint="eastAsia" w:ascii="宋体" w:hAnsi="宋体" w:cs="Arial"/>
          <w:kern w:val="0"/>
        </w:rPr>
        <w:t>由财务分管领导任组长，安全科、运输科、航道科、船检科、船员科、财务科科长为成员</w:t>
      </w:r>
      <w:r>
        <w:rPr>
          <w:rFonts w:hint="eastAsia" w:ascii="仿宋_GB2312" w:hAnsi="仿宋"/>
        </w:rPr>
        <w:t>，组织对2</w:t>
      </w:r>
      <w:r>
        <w:rPr>
          <w:rFonts w:ascii="仿宋_GB2312" w:hAnsi="仿宋"/>
        </w:rPr>
        <w:t>02</w:t>
      </w:r>
      <w:r>
        <w:rPr>
          <w:rFonts w:hint="eastAsia" w:ascii="仿宋_GB2312" w:hAnsi="仿宋"/>
        </w:rPr>
        <w:t>1年度船舶污染治理配套经费的使用管理进行了自评。主要</w:t>
      </w:r>
      <w:r>
        <w:rPr>
          <w:rFonts w:hint="eastAsia" w:ascii="仿宋_GB2312" w:hAnsi="宋体" w:cs="宋体"/>
        </w:rPr>
        <w:t>从以下几点进行自评：一是资金预算情况；二是资金拨付情况；三是绩效目标完成情况；四是绩效产出效益情况。根据绩效自评情况，客观计算出自评分，并对所存在的问题进行整改。</w:t>
      </w:r>
    </w:p>
    <w:p>
      <w:pPr>
        <w:ind w:firstLine="630"/>
        <w:rPr>
          <w:rFonts w:ascii="方正黑体简体" w:hAnsi="宋体" w:eastAsia="方正黑体简体" w:cs="宋体"/>
        </w:rPr>
      </w:pPr>
      <w:r>
        <w:rPr>
          <w:rFonts w:hint="eastAsia" w:ascii="方正黑体简体" w:hAnsi="宋体" w:eastAsia="方正黑体简体" w:cs="宋体"/>
        </w:rPr>
        <w:t>三、综合评价结论</w:t>
      </w:r>
    </w:p>
    <w:p>
      <w:pPr>
        <w:ind w:firstLine="630"/>
        <w:rPr>
          <w:rFonts w:ascii="仿宋_GB2312" w:hAnsi="宋体" w:cs="宋体"/>
        </w:rPr>
      </w:pPr>
      <w:r>
        <w:rPr>
          <w:rFonts w:hint="eastAsia" w:ascii="仿宋_GB2312" w:hAnsi="宋体" w:cs="宋体"/>
        </w:rPr>
        <w:t>通过绩效自评领导小组自评得出该项目自评分99.90分，为优秀等级。</w:t>
      </w:r>
    </w:p>
    <w:p>
      <w:pPr>
        <w:ind w:firstLine="630"/>
        <w:rPr>
          <w:rFonts w:ascii="方正黑体简体" w:eastAsia="方正黑体简体"/>
        </w:rPr>
      </w:pPr>
      <w:r>
        <w:rPr>
          <w:rFonts w:hint="eastAsia" w:ascii="方正黑体简体" w:eastAsia="方正黑体简体"/>
        </w:rPr>
        <w:t>四、绩效目标实现情况分析</w:t>
      </w:r>
    </w:p>
    <w:p>
      <w:pPr>
        <w:widowControl/>
        <w:spacing w:line="600" w:lineRule="exact"/>
        <w:ind w:firstLine="643" w:firstLineChars="200"/>
        <w:rPr>
          <w:rFonts w:ascii="仿宋_GB2312" w:hAnsi="仿宋"/>
          <w:b/>
        </w:rPr>
      </w:pPr>
      <w:r>
        <w:rPr>
          <w:rFonts w:hint="eastAsia" w:ascii="仿宋_GB2312" w:hAnsi="仿宋"/>
          <w:b/>
        </w:rPr>
        <w:t>（一）项目资金使用及管理情况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/>
        </w:rPr>
      </w:pPr>
      <w:r>
        <w:rPr>
          <w:rFonts w:hint="eastAsia" w:ascii="仿宋_GB2312" w:hAnsi="仿宋"/>
        </w:rPr>
        <w:t>1、项目资金安排落实、总投入等情况分析。</w:t>
      </w:r>
    </w:p>
    <w:p>
      <w:pPr>
        <w:ind w:firstLine="640" w:firstLineChars="200"/>
        <w:rPr>
          <w:rFonts w:ascii="仿宋_GB2312"/>
        </w:rPr>
      </w:pPr>
      <w:r>
        <w:rPr>
          <w:rFonts w:hint="eastAsia"/>
        </w:rPr>
        <w:t>2021年船舶污染治理配套经费全年收入140万元，其中上年结转40万元，年初预算100万元，当年支出140万元，完成率100%，完成情况良好。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/>
        </w:rPr>
      </w:pPr>
      <w:r>
        <w:rPr>
          <w:rFonts w:hint="eastAsia" w:ascii="仿宋_GB2312" w:hAnsi="仿宋"/>
        </w:rPr>
        <w:t>2、项目资金实际使用情况分析。</w:t>
      </w:r>
    </w:p>
    <w:p>
      <w:pPr>
        <w:ind w:firstLine="640" w:firstLineChars="200"/>
        <w:rPr>
          <w:rFonts w:ascii="仿宋_GB2312"/>
        </w:rPr>
      </w:pPr>
      <w:r>
        <w:rPr>
          <w:rFonts w:hint="eastAsia"/>
        </w:rPr>
        <w:t>2021年船舶污染治理配套经费全年实际支出140万元，完成率100%。其中新建趸船、工作艇购置78.93万元（趸船移交给市交通运输综合行政执法支队使用），专项差旅费、专用燃料费、船舶租赁、船舶维修等61.07万元。</w:t>
      </w:r>
    </w:p>
    <w:p>
      <w:pPr>
        <w:widowControl/>
        <w:spacing w:line="600" w:lineRule="exact"/>
        <w:ind w:firstLine="643" w:firstLineChars="200"/>
        <w:rPr>
          <w:rFonts w:ascii="仿宋_GB2312" w:hAnsi="仿宋"/>
          <w:b/>
        </w:rPr>
      </w:pPr>
      <w:r>
        <w:rPr>
          <w:rFonts w:hint="eastAsia" w:ascii="仿宋_GB2312" w:hAnsi="仿宋"/>
          <w:b/>
        </w:rPr>
        <w:t>（二）总体绩效目标完成情况分析</w:t>
      </w:r>
    </w:p>
    <w:p>
      <w:pPr>
        <w:spacing w:line="600" w:lineRule="exact"/>
        <w:ind w:firstLine="640" w:firstLineChars="200"/>
        <w:rPr>
          <w:color w:val="000000"/>
        </w:rPr>
      </w:pPr>
      <w:r>
        <w:rPr>
          <w:rFonts w:hint="eastAsia"/>
          <w:color w:val="000000"/>
        </w:rPr>
        <w:t>1、全年</w:t>
      </w:r>
      <w:r>
        <w:rPr>
          <w:color w:val="000000"/>
        </w:rPr>
        <w:t>累计出动巡</w:t>
      </w:r>
      <w:r>
        <w:rPr>
          <w:rFonts w:hint="eastAsia"/>
          <w:color w:val="000000"/>
        </w:rPr>
        <w:t>逻</w:t>
      </w:r>
      <w:r>
        <w:rPr>
          <w:color w:val="000000"/>
        </w:rPr>
        <w:t>艇260艘次，车辆192台次，人员2036人次，组织力量或协助船舶脱险18艘次。</w:t>
      </w:r>
    </w:p>
    <w:p>
      <w:pPr>
        <w:spacing w:line="600" w:lineRule="exact"/>
        <w:ind w:firstLine="640" w:firstLineChars="200"/>
        <w:rPr>
          <w:bCs/>
          <w:color w:val="000000"/>
        </w:rPr>
      </w:pPr>
      <w:r>
        <w:rPr>
          <w:rFonts w:hint="eastAsia"/>
          <w:color w:val="000000"/>
        </w:rPr>
        <w:t>2、</w:t>
      </w:r>
      <w:r>
        <w:rPr>
          <w:bCs/>
          <w:color w:val="000000"/>
        </w:rPr>
        <w:t>对全市水域内船舶进行全面排查，督促辖区内客、渡船，旅游船安装免冲洗打包式马桶8艘，封闭厕所19艘，安装生活污水柜48艘。</w:t>
      </w:r>
      <w:r>
        <w:rPr>
          <w:rFonts w:hint="eastAsia"/>
          <w:bCs/>
          <w:color w:val="000000"/>
        </w:rPr>
        <w:t>全年</w:t>
      </w:r>
      <w:r>
        <w:t>未发生任何港口安全及水域环境污染等事故，确保了港口安全及区域水域环境的保护。</w:t>
      </w:r>
    </w:p>
    <w:p>
      <w:pPr>
        <w:spacing w:line="600" w:lineRule="exact"/>
        <w:ind w:firstLine="640" w:firstLineChars="200"/>
        <w:rPr>
          <w:color w:val="000000"/>
        </w:rPr>
      </w:pPr>
      <w:r>
        <w:rPr>
          <w:rFonts w:hint="eastAsia"/>
        </w:rPr>
        <w:t>3、2021年共</w:t>
      </w:r>
      <w:r>
        <w:t>完成船舶建造检验发证</w:t>
      </w:r>
      <w:r>
        <w:rPr>
          <w:rFonts w:hint="eastAsia"/>
        </w:rPr>
        <w:t>413</w:t>
      </w:r>
      <w:r>
        <w:t>艘次、</w:t>
      </w:r>
      <w:r>
        <w:rPr>
          <w:rFonts w:hint="eastAsia"/>
        </w:rPr>
        <w:t>19.88万</w:t>
      </w:r>
      <w:r>
        <w:t>总吨</w:t>
      </w:r>
      <w:r>
        <w:rPr>
          <w:rFonts w:hint="eastAsia"/>
        </w:rPr>
        <w:t>；</w:t>
      </w:r>
      <w:r>
        <w:t>营运检验</w:t>
      </w:r>
      <w:r>
        <w:rPr>
          <w:rFonts w:hint="eastAsia"/>
        </w:rPr>
        <w:t>1377</w:t>
      </w:r>
      <w:r>
        <w:t>艘次、</w:t>
      </w:r>
      <w:r>
        <w:rPr>
          <w:rFonts w:hint="eastAsia"/>
        </w:rPr>
        <w:t>133.24万</w:t>
      </w:r>
      <w:r>
        <w:t>总吨、</w:t>
      </w:r>
      <w:r>
        <w:rPr>
          <w:rFonts w:hint="eastAsia"/>
        </w:rPr>
        <w:t>152.58万</w:t>
      </w:r>
      <w:r>
        <w:t>载重吨，</w:t>
      </w:r>
      <w:r>
        <w:rPr>
          <w:rFonts w:hint="eastAsia"/>
        </w:rPr>
        <w:t>其中转出船舶43艘，转入船舶112艘。</w:t>
      </w:r>
      <w:r>
        <w:t>完成设计图纸审查</w:t>
      </w:r>
      <w:r>
        <w:rPr>
          <w:rFonts w:hint="eastAsia"/>
        </w:rPr>
        <w:t>207</w:t>
      </w:r>
      <w:r>
        <w:t>套</w:t>
      </w:r>
      <w:r>
        <w:rPr>
          <w:rFonts w:hint="eastAsia"/>
        </w:rPr>
        <w:t>、</w:t>
      </w:r>
      <w:r>
        <w:t>船用产品检验</w:t>
      </w:r>
      <w:r>
        <w:rPr>
          <w:rFonts w:hint="eastAsia"/>
        </w:rPr>
        <w:t>4007</w:t>
      </w:r>
      <w:r>
        <w:t>套。</w:t>
      </w:r>
    </w:p>
    <w:p>
      <w:pPr>
        <w:widowControl/>
        <w:spacing w:line="600" w:lineRule="exact"/>
        <w:ind w:firstLine="640" w:firstLineChars="200"/>
        <w:jc w:val="left"/>
        <w:rPr>
          <w:rFonts w:ascii="楷体_GB2312" w:hAnsi="仿宋" w:eastAsia="楷体_GB2312"/>
        </w:rPr>
      </w:pPr>
      <w:r>
        <w:rPr>
          <w:rFonts w:hint="eastAsia" w:ascii="楷体_GB2312" w:hAnsi="仿宋" w:eastAsia="楷体_GB2312"/>
        </w:rPr>
        <w:t>（三）绩效指标完成情况分析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"/>
        </w:rPr>
      </w:pPr>
      <w:r>
        <w:rPr>
          <w:rFonts w:ascii="仿宋_GB2312" w:hAnsi="仿宋"/>
        </w:rPr>
        <w:t>经济性</w:t>
      </w:r>
      <w:r>
        <w:rPr>
          <w:rFonts w:hint="eastAsia" w:ascii="仿宋_GB2312" w:hAnsi="仿宋"/>
        </w:rPr>
        <w:t>分析：2</w:t>
      </w:r>
      <w:r>
        <w:rPr>
          <w:rFonts w:ascii="仿宋_GB2312" w:hAnsi="仿宋"/>
        </w:rPr>
        <w:t>02</w:t>
      </w:r>
      <w:r>
        <w:rPr>
          <w:rFonts w:hint="eastAsia" w:ascii="仿宋_GB2312" w:hAnsi="仿宋"/>
        </w:rPr>
        <w:t>1年，</w:t>
      </w:r>
      <w:r>
        <w:rPr>
          <w:rFonts w:hint="eastAsia" w:ascii="宋体" w:hAnsi="宋体" w:cs="Arial"/>
          <w:kern w:val="0"/>
        </w:rPr>
        <w:t>船舶污染治理配套资金全年收入140万元，支出140万元，完成率100%，通过</w:t>
      </w:r>
      <w:r>
        <w:rPr>
          <w:rFonts w:hint="eastAsia" w:ascii="仿宋_GB2312" w:hAnsi="仿宋"/>
          <w:color w:val="222222"/>
          <w:kern w:val="0"/>
        </w:rPr>
        <w:t>科学分配，统筹协调，基本满足了船舶污染治理的需求。</w:t>
      </w:r>
    </w:p>
    <w:p>
      <w:pPr>
        <w:widowControl/>
        <w:spacing w:line="600" w:lineRule="exact"/>
        <w:ind w:firstLine="640" w:firstLineChars="200"/>
        <w:jc w:val="left"/>
        <w:rPr>
          <w:rFonts w:ascii="楷体_GB2312" w:hAnsi="仿宋" w:eastAsia="楷体_GB2312"/>
        </w:rPr>
      </w:pPr>
      <w:r>
        <w:rPr>
          <w:rFonts w:ascii="仿宋_GB2312" w:hAnsi="仿宋"/>
        </w:rPr>
        <w:t>效率性分析</w:t>
      </w:r>
      <w:r>
        <w:rPr>
          <w:rFonts w:hint="eastAsia" w:ascii="仿宋_GB2312" w:hAnsi="仿宋"/>
        </w:rPr>
        <w:t>：我中心</w:t>
      </w:r>
      <w:r>
        <w:rPr>
          <w:rFonts w:hint="eastAsia" w:ascii="仿宋_GB2312" w:hAnsi="仿宋"/>
          <w:color w:val="222222"/>
          <w:kern w:val="0"/>
        </w:rPr>
        <w:t>严格遵守专款专用、优先保证的原则保障资金的合理安排。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hAnsi="仿宋"/>
        </w:rPr>
      </w:pPr>
      <w:r>
        <w:rPr>
          <w:rFonts w:ascii="仿宋_GB2312" w:hAnsi="仿宋"/>
        </w:rPr>
        <w:t>有效性分析</w:t>
      </w:r>
      <w:r>
        <w:rPr>
          <w:rFonts w:hint="eastAsia" w:ascii="仿宋_GB2312" w:hAnsi="仿宋"/>
        </w:rPr>
        <w:t>：</w:t>
      </w:r>
      <w:r>
        <w:rPr>
          <w:rFonts w:ascii="仿宋_GB2312" w:hAnsi="仿宋"/>
        </w:rPr>
        <w:t>202</w:t>
      </w:r>
      <w:r>
        <w:rPr>
          <w:rFonts w:hint="eastAsia" w:ascii="仿宋_GB2312" w:hAnsi="仿宋"/>
        </w:rPr>
        <w:t>1年度船舶污染治理</w:t>
      </w:r>
      <w:r>
        <w:rPr>
          <w:rFonts w:hint="eastAsia" w:ascii="宋体" w:hAnsi="宋体" w:cs="Arial"/>
          <w:kern w:val="0"/>
        </w:rPr>
        <w:t>配套资金</w:t>
      </w:r>
      <w:r>
        <w:rPr>
          <w:rFonts w:hint="eastAsia" w:ascii="仿宋_GB2312" w:hAnsi="仿宋"/>
        </w:rPr>
        <w:t>支出合理，在科学的分配下，</w:t>
      </w:r>
      <w:r>
        <w:rPr>
          <w:rFonts w:hint="eastAsia" w:ascii="仿宋_GB2312"/>
          <w:color w:val="000000"/>
        </w:rPr>
        <w:t>突出重点，促进生态环境修复。</w:t>
      </w:r>
      <w:r>
        <w:rPr>
          <w:rFonts w:hint="eastAsia" w:ascii="仿宋_GB2312"/>
          <w:bCs/>
          <w:color w:val="000000"/>
        </w:rPr>
        <w:t>我中心以船舶和码头渡口为重点，坚持以流域生态环境改善为核心，实施治</w:t>
      </w:r>
      <w:r>
        <w:rPr>
          <w:bCs/>
          <w:color w:val="000000"/>
        </w:rPr>
        <w:t>污战略。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/>
        </w:rPr>
      </w:pPr>
      <w:r>
        <w:rPr>
          <w:rFonts w:hint="eastAsia" w:ascii="方正黑体简体" w:eastAsia="方正黑体简体"/>
        </w:rPr>
        <w:t>五、</w:t>
      </w:r>
      <w:r>
        <w:rPr>
          <w:rFonts w:hint="eastAsia" w:ascii="黑体" w:hAnsi="黑体" w:eastAsia="黑体"/>
        </w:rPr>
        <w:t>存在的问题和改进措施</w:t>
      </w:r>
    </w:p>
    <w:p>
      <w:pPr>
        <w:spacing w:line="600" w:lineRule="exact"/>
        <w:ind w:firstLine="640" w:firstLineChars="200"/>
        <w:jc w:val="left"/>
        <w:rPr>
          <w:rFonts w:ascii="仿宋_GB2312"/>
          <w:color w:val="000000"/>
        </w:rPr>
      </w:pPr>
      <w:r>
        <w:rPr>
          <w:rFonts w:hint="eastAsia" w:ascii="仿宋_GB2312"/>
          <w:bCs/>
          <w:color w:val="000000"/>
        </w:rPr>
        <w:t>水域环境保护工作任道重远。</w:t>
      </w:r>
      <w:r>
        <w:rPr>
          <w:rFonts w:hint="eastAsia" w:ascii="仿宋_GB2312"/>
          <w:color w:val="000000"/>
        </w:rPr>
        <w:t>虽然船舶污染接收转运处置工作体系已建立，但我市集约绿色发展水平低、港口自身环境保护设施薄弱，水运硬件基础设施条件不充分，尤其是油污水上岸后，没有本地公司进行分解提炼，接收处置更难。</w:t>
      </w:r>
    </w:p>
    <w:p>
      <w:pPr>
        <w:spacing w:line="600" w:lineRule="exact"/>
        <w:ind w:firstLine="640" w:firstLineChars="200"/>
        <w:jc w:val="left"/>
        <w:rPr>
          <w:rFonts w:ascii="仿宋_GB2312"/>
          <w:color w:val="000000"/>
        </w:rPr>
      </w:pPr>
      <w:r>
        <w:rPr>
          <w:rFonts w:hint="eastAsia" w:ascii="仿宋_GB2312"/>
          <w:bCs/>
          <w:color w:val="000000"/>
        </w:rPr>
        <w:t>改进措施：进一步加强水运污染防治，推进绿色水运发展。</w:t>
      </w:r>
      <w:r>
        <w:rPr>
          <w:rFonts w:hint="eastAsia" w:ascii="仿宋_GB2312"/>
          <w:color w:val="000000"/>
        </w:rPr>
        <w:t>加快船舶污水垃圾处理、岸电、生活用水配给、船舶配件行业服务的锚地建设，完善船舶污染垃圾回收站配套设施建设。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六、绩效自评结果拟应用和公开情况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hAnsi="黑体"/>
        </w:rPr>
      </w:pPr>
      <w:r>
        <w:rPr>
          <w:rFonts w:hint="eastAsia" w:ascii="仿宋_GB2312" w:hAnsi="黑体"/>
        </w:rPr>
        <w:t>绩效自评结果将在益阳市交通运输局官网进行公开。</w:t>
      </w:r>
    </w:p>
    <w:p>
      <w:pPr>
        <w:ind w:firstLine="630"/>
      </w:pPr>
      <w:r>
        <w:rPr>
          <w:rFonts w:hint="eastAsia"/>
        </w:rPr>
        <w:t xml:space="preserve">                         </w:t>
      </w:r>
    </w:p>
    <w:p>
      <w:pPr>
        <w:ind w:firstLine="630"/>
      </w:pPr>
    </w:p>
    <w:p>
      <w:pPr>
        <w:ind w:firstLine="4624" w:firstLineChars="1445"/>
      </w:pPr>
      <w:r>
        <w:rPr>
          <w:rFonts w:hint="eastAsia"/>
        </w:rPr>
        <w:t>益阳市水运事务中心</w:t>
      </w:r>
    </w:p>
    <w:p>
      <w:pPr>
        <w:ind w:firstLine="630"/>
      </w:pPr>
      <w:r>
        <w:rPr>
          <w:rFonts w:hint="eastAsia"/>
        </w:rPr>
        <w:t xml:space="preserve">                           2021年4月18日</w:t>
      </w:r>
    </w:p>
    <w:p>
      <w:pPr>
        <w:ind w:firstLine="630"/>
      </w:pPr>
    </w:p>
    <w:p>
      <w:pPr>
        <w:ind w:firstLine="630"/>
      </w:pPr>
    </w:p>
    <w:p>
      <w:pPr>
        <w:ind w:firstLine="630"/>
      </w:pPr>
    </w:p>
    <w:p>
      <w:pPr>
        <w:ind w:firstLine="630"/>
      </w:pPr>
    </w:p>
    <w:p>
      <w:pPr>
        <w:ind w:firstLine="630"/>
      </w:pPr>
    </w:p>
    <w:p>
      <w:pPr>
        <w:ind w:firstLine="630"/>
      </w:pPr>
    </w:p>
    <w:p>
      <w:pPr>
        <w:ind w:firstLine="630"/>
      </w:pPr>
    </w:p>
    <w:p>
      <w:pPr>
        <w:ind w:firstLine="630"/>
      </w:pPr>
    </w:p>
    <w:p>
      <w:pPr>
        <w:widowControl/>
        <w:jc w:val="left"/>
        <w:rPr>
          <w:rFonts w:eastAsia="黑体"/>
        </w:rPr>
      </w:pPr>
      <w:r>
        <w:rPr>
          <w:rFonts w:eastAsia="黑体"/>
        </w:rPr>
        <w:t>附件</w:t>
      </w:r>
      <w:r>
        <w:rPr>
          <w:rFonts w:hint="eastAsia" w:eastAsia="黑体"/>
        </w:rPr>
        <w:t>3</w:t>
      </w:r>
    </w:p>
    <w:p>
      <w:pPr>
        <w:widowControl/>
        <w:spacing w:line="4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202</w:t>
      </w:r>
      <w:r>
        <w:rPr>
          <w:rFonts w:hint="eastAsia" w:eastAsia="方正小标宋_GBK"/>
          <w:color w:val="000000"/>
          <w:kern w:val="0"/>
          <w:sz w:val="36"/>
          <w:szCs w:val="36"/>
        </w:rPr>
        <w:t>1</w:t>
      </w:r>
      <w:r>
        <w:rPr>
          <w:rFonts w:eastAsia="方正小标宋_GBK"/>
          <w:color w:val="000000"/>
          <w:kern w:val="0"/>
          <w:sz w:val="36"/>
          <w:szCs w:val="36"/>
        </w:rPr>
        <w:t>年度项目支出绩效自评表</w:t>
      </w:r>
    </w:p>
    <w:tbl>
      <w:tblPr>
        <w:tblStyle w:val="5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939"/>
        <w:gridCol w:w="13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船舶污染治理配套经费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益阳市交通运输局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益阳市水运事务中心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项目资金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年初</w:t>
            </w:r>
          </w:p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全年</w:t>
            </w:r>
          </w:p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全年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分值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执行率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140.00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140.00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140.00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0分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100.00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100.00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100.00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30" w:firstLineChars="300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 xml:space="preserve"> 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 xml:space="preserve"> 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 xml:space="preserve"> 40.00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30" w:firstLineChars="300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绩</w:t>
            </w:r>
          </w:p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效</w:t>
            </w:r>
          </w:p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指</w:t>
            </w:r>
          </w:p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标</w:t>
            </w:r>
          </w:p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分值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得分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产出指标</w:t>
            </w:r>
          </w:p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宣贯《长江保护法》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每季度完成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10次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指导安装“船E行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”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APP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≥15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18次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船舶污染专项整治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100艘次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累计出动海巡艇260艘次、车辆192台次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中央环保督查组检查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通过验收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已通过验收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船舶和港口污染物问题及收集转运报表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每月13份报表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每月按时完成上报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完成船舶岸电使用清理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1200吨以上船舶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51艘船舶的加装岸电设备已经完成检验并颁发检验证书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项目预算控制数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140万元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140万元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效益指标</w:t>
            </w:r>
          </w:p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color w:val="000000"/>
                <w:kern w:val="0"/>
                <w:sz w:val="21"/>
                <w:szCs w:val="21"/>
              </w:rPr>
              <w:t>0分）</w:t>
            </w:r>
          </w:p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经济效</w:t>
            </w:r>
          </w:p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维护水域清洁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辖区水域不出现船舶污染物、污染水体事件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未发生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社会效</w:t>
            </w:r>
          </w:p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接警后及时处置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水域污染、市民求助等及时应急处置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及时处置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生态效</w:t>
            </w:r>
          </w:p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提升船舶水污染防治保护的能力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强化港口码头污染防治能力，让河流更清洁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提升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9.90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指标1：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船舶污染监管力度、应急救援能力满意率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≧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≧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90%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100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分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99.90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　</w:t>
            </w:r>
          </w:p>
        </w:tc>
      </w:tr>
    </w:tbl>
    <w:p>
      <w:r>
        <w:rPr>
          <w:kern w:val="0"/>
          <w:sz w:val="21"/>
          <w:szCs w:val="21"/>
        </w:rPr>
        <w:t>填表人：</w:t>
      </w:r>
      <w:r>
        <w:rPr>
          <w:rFonts w:hint="eastAsia"/>
          <w:kern w:val="0"/>
          <w:sz w:val="21"/>
          <w:szCs w:val="21"/>
        </w:rPr>
        <w:t>莫益红</w:t>
      </w:r>
      <w:r>
        <w:rPr>
          <w:kern w:val="0"/>
          <w:sz w:val="21"/>
          <w:szCs w:val="21"/>
        </w:rPr>
        <w:t xml:space="preserve">     填报日期：</w:t>
      </w:r>
      <w:r>
        <w:rPr>
          <w:rFonts w:hint="eastAsia"/>
          <w:kern w:val="0"/>
          <w:sz w:val="21"/>
          <w:szCs w:val="21"/>
          <w:lang w:val="en-US" w:eastAsia="zh-CN"/>
        </w:rPr>
        <w:t>2022年4月22日</w:t>
      </w:r>
      <w:r>
        <w:rPr>
          <w:kern w:val="0"/>
          <w:sz w:val="21"/>
          <w:szCs w:val="21"/>
        </w:rPr>
        <w:t xml:space="preserve">  联系电话：</w:t>
      </w:r>
      <w:r>
        <w:rPr>
          <w:rFonts w:hint="eastAsia"/>
          <w:kern w:val="0"/>
          <w:sz w:val="21"/>
          <w:szCs w:val="21"/>
          <w:lang w:val="en-US" w:eastAsia="zh-CN"/>
        </w:rPr>
        <w:t>0737-2223017</w:t>
      </w:r>
      <w:r>
        <w:rPr>
          <w:kern w:val="0"/>
          <w:sz w:val="21"/>
          <w:szCs w:val="21"/>
        </w:rPr>
        <w:t xml:space="preserve"> </w:t>
      </w:r>
      <w:bookmarkStart w:id="0" w:name="_GoBack"/>
      <w:bookmarkEnd w:id="0"/>
      <w:r>
        <w:rPr>
          <w:kern w:val="0"/>
          <w:sz w:val="21"/>
          <w:szCs w:val="21"/>
        </w:rPr>
        <w:t>单位负责人签字：</w:t>
      </w:r>
    </w:p>
    <w:p>
      <w:pPr>
        <w:ind w:firstLine="630"/>
      </w:pPr>
    </w:p>
    <w:sectPr>
      <w:footerReference r:id="rId3" w:type="default"/>
      <w:pgSz w:w="11906" w:h="16838"/>
      <w:pgMar w:top="1701" w:right="1588" w:bottom="1701" w:left="1588" w:header="851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039371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7255"/>
    <w:rsid w:val="00004D42"/>
    <w:rsid w:val="00004FA3"/>
    <w:rsid w:val="00034220"/>
    <w:rsid w:val="00046C18"/>
    <w:rsid w:val="000472DC"/>
    <w:rsid w:val="00062B82"/>
    <w:rsid w:val="0007371A"/>
    <w:rsid w:val="0008146E"/>
    <w:rsid w:val="0009282D"/>
    <w:rsid w:val="001124F0"/>
    <w:rsid w:val="00134FB8"/>
    <w:rsid w:val="00156A41"/>
    <w:rsid w:val="00167255"/>
    <w:rsid w:val="0017000F"/>
    <w:rsid w:val="001710AA"/>
    <w:rsid w:val="00194A0A"/>
    <w:rsid w:val="001B122C"/>
    <w:rsid w:val="001D0B57"/>
    <w:rsid w:val="0022688D"/>
    <w:rsid w:val="00231592"/>
    <w:rsid w:val="0025606A"/>
    <w:rsid w:val="002A1575"/>
    <w:rsid w:val="002B4947"/>
    <w:rsid w:val="002B5951"/>
    <w:rsid w:val="003327D6"/>
    <w:rsid w:val="00332AC0"/>
    <w:rsid w:val="00362A75"/>
    <w:rsid w:val="003708B5"/>
    <w:rsid w:val="003D1635"/>
    <w:rsid w:val="003D36C5"/>
    <w:rsid w:val="003E3C41"/>
    <w:rsid w:val="003F2D60"/>
    <w:rsid w:val="003F6F67"/>
    <w:rsid w:val="0042450B"/>
    <w:rsid w:val="004247E5"/>
    <w:rsid w:val="004349BC"/>
    <w:rsid w:val="004523AA"/>
    <w:rsid w:val="00460DD7"/>
    <w:rsid w:val="004665B1"/>
    <w:rsid w:val="004D2D28"/>
    <w:rsid w:val="004F0A5E"/>
    <w:rsid w:val="00514218"/>
    <w:rsid w:val="005803F9"/>
    <w:rsid w:val="005B4050"/>
    <w:rsid w:val="005D279A"/>
    <w:rsid w:val="005D3AD7"/>
    <w:rsid w:val="005D7F86"/>
    <w:rsid w:val="00627FB7"/>
    <w:rsid w:val="0063158B"/>
    <w:rsid w:val="00654F3D"/>
    <w:rsid w:val="0068008C"/>
    <w:rsid w:val="00686CB8"/>
    <w:rsid w:val="006A2F94"/>
    <w:rsid w:val="006D2CE9"/>
    <w:rsid w:val="00746ED9"/>
    <w:rsid w:val="007C3936"/>
    <w:rsid w:val="007F63DA"/>
    <w:rsid w:val="007F7882"/>
    <w:rsid w:val="00800751"/>
    <w:rsid w:val="0081666A"/>
    <w:rsid w:val="008426D8"/>
    <w:rsid w:val="008700BE"/>
    <w:rsid w:val="00896A91"/>
    <w:rsid w:val="008C1593"/>
    <w:rsid w:val="008D01F3"/>
    <w:rsid w:val="00930393"/>
    <w:rsid w:val="00942BFC"/>
    <w:rsid w:val="00995505"/>
    <w:rsid w:val="009D146F"/>
    <w:rsid w:val="009E705E"/>
    <w:rsid w:val="00A26F2C"/>
    <w:rsid w:val="00A33E0B"/>
    <w:rsid w:val="00AD3CD5"/>
    <w:rsid w:val="00AF6189"/>
    <w:rsid w:val="00B1757E"/>
    <w:rsid w:val="00B40D14"/>
    <w:rsid w:val="00B46330"/>
    <w:rsid w:val="00B85C34"/>
    <w:rsid w:val="00B96671"/>
    <w:rsid w:val="00BD60C1"/>
    <w:rsid w:val="00BD6839"/>
    <w:rsid w:val="00BE1D18"/>
    <w:rsid w:val="00C00241"/>
    <w:rsid w:val="00C23BBB"/>
    <w:rsid w:val="00C32D18"/>
    <w:rsid w:val="00C86133"/>
    <w:rsid w:val="00C874B1"/>
    <w:rsid w:val="00C9442C"/>
    <w:rsid w:val="00CB57F8"/>
    <w:rsid w:val="00D0255B"/>
    <w:rsid w:val="00D24A68"/>
    <w:rsid w:val="00D53667"/>
    <w:rsid w:val="00D87543"/>
    <w:rsid w:val="00DB68C7"/>
    <w:rsid w:val="00DC34A7"/>
    <w:rsid w:val="00DD0CEF"/>
    <w:rsid w:val="00DD7562"/>
    <w:rsid w:val="00DE569E"/>
    <w:rsid w:val="00E20FDF"/>
    <w:rsid w:val="00E53474"/>
    <w:rsid w:val="00E61AC8"/>
    <w:rsid w:val="00E706CC"/>
    <w:rsid w:val="00EB499D"/>
    <w:rsid w:val="00EC2A09"/>
    <w:rsid w:val="00ED72BD"/>
    <w:rsid w:val="00F424E7"/>
    <w:rsid w:val="00F462AB"/>
    <w:rsid w:val="00F56DD3"/>
    <w:rsid w:val="00F930C6"/>
    <w:rsid w:val="00F97812"/>
    <w:rsid w:val="00FA7BC8"/>
    <w:rsid w:val="13E618E5"/>
    <w:rsid w:val="62135FFD"/>
    <w:rsid w:val="7D60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iPriority w:val="0"/>
    <w:pPr>
      <w:ind w:left="100" w:leftChars="2500"/>
    </w:p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eastAsia="仿宋_GB2312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eastAsia="仿宋_GB2312"/>
      <w:kern w:val="2"/>
      <w:sz w:val="18"/>
      <w:szCs w:val="18"/>
    </w:rPr>
  </w:style>
  <w:style w:type="character" w:customStyle="1" w:styleId="9">
    <w:name w:val="日期 Char"/>
    <w:basedOn w:val="6"/>
    <w:link w:val="2"/>
    <w:uiPriority w:val="0"/>
    <w:rPr>
      <w:rFonts w:eastAsia="仿宋_GB2312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2135</Words>
  <Characters>2334</Characters>
  <Lines>21</Lines>
  <Paragraphs>5</Paragraphs>
  <TotalTime>308</TotalTime>
  <ScaleCrop>false</ScaleCrop>
  <LinksUpToDate>false</LinksUpToDate>
  <CharactersWithSpaces>2585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2021-01-19T06:30:00Z</dcterms:created>
  <dc:creator>User</dc:creator>
  <cp:lastModifiedBy>Lemonade</cp:lastModifiedBy>
  <cp:lastPrinted>2021-04-20T07:09:00Z</cp:lastPrinted>
  <dcterms:modified xsi:type="dcterms:W3CDTF">2022-04-25T06:39:53Z</dcterms:modified>
  <dc:title>2018年交通运输事业发展专项资金绩效报告（市区水运）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eyJoZGlkIjoiOWJlNDdiM2M3ZTBkNDZkNjk1ZDJjZTFlYWEyMzBjMWEifQ==</vt:lpwstr>
  </property>
  <property fmtid="{D5CDD505-2E9C-101B-9397-08002B2CF9AE}" pid="4" name="ICV">
    <vt:lpwstr>53F045AB17F34EB1B934D08F7B042756</vt:lpwstr>
  </property>
</Properties>
</file>