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50" w:type="pct"/>
        <w:tblInd w:w="5" w:type="dxa"/>
        <w:tblLayout w:type="fixed"/>
        <w:tblCellMar>
          <w:left w:w="0" w:type="dxa"/>
          <w:right w:w="0" w:type="dxa"/>
        </w:tblCellMar>
        <w:tblLook w:val="0000"/>
      </w:tblPr>
      <w:tblGrid>
        <w:gridCol w:w="513"/>
        <w:gridCol w:w="535"/>
        <w:gridCol w:w="660"/>
        <w:gridCol w:w="562"/>
        <w:gridCol w:w="2651"/>
        <w:gridCol w:w="3494"/>
      </w:tblGrid>
      <w:tr w:rsidR="00FE3C4F" w:rsidTr="00FE3C4F">
        <w:trPr>
          <w:tblHeader/>
        </w:trPr>
        <w:tc>
          <w:tcPr>
            <w:tcW w:w="5000" w:type="pct"/>
            <w:gridSpan w:val="6"/>
            <w:tcBorders>
              <w:bottom w:val="single" w:sz="4" w:space="0" w:color="auto"/>
            </w:tcBorders>
            <w:tcMar>
              <w:top w:w="10" w:type="dxa"/>
              <w:left w:w="10" w:type="dxa"/>
              <w:bottom w:w="0" w:type="dxa"/>
              <w:right w:w="10" w:type="dxa"/>
            </w:tcMar>
            <w:vAlign w:val="center"/>
          </w:tcPr>
          <w:p w:rsidR="00FE3C4F" w:rsidRDefault="00FE3C4F" w:rsidP="00D618D2">
            <w:pPr>
              <w:jc w:val="center"/>
              <w:rPr>
                <w:rFonts w:ascii="黑体" w:eastAsia="黑体"/>
                <w:bCs/>
                <w:sz w:val="36"/>
                <w:szCs w:val="36"/>
              </w:rPr>
            </w:pPr>
            <w:r>
              <w:rPr>
                <w:rFonts w:ascii="黑体" w:eastAsia="黑体" w:hint="eastAsia"/>
                <w:bCs/>
                <w:sz w:val="36"/>
                <w:szCs w:val="36"/>
              </w:rPr>
              <w:t>2019年度部门整体支出绩效自评指标计分表</w:t>
            </w:r>
          </w:p>
          <w:p w:rsidR="00FE3C4F" w:rsidRDefault="00FE3C4F" w:rsidP="00D618D2">
            <w:pPr>
              <w:jc w:val="center"/>
              <w:rPr>
                <w:rFonts w:ascii="仿宋_GB2312"/>
                <w:bCs/>
                <w:sz w:val="21"/>
                <w:szCs w:val="21"/>
              </w:rPr>
            </w:pPr>
          </w:p>
        </w:tc>
      </w:tr>
      <w:tr w:rsidR="00FE3C4F" w:rsidTr="00FE3C4F">
        <w:trPr>
          <w:trHeight w:val="567"/>
          <w:tblHeader/>
        </w:trPr>
        <w:tc>
          <w:tcPr>
            <w:tcW w:w="30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bCs/>
                <w:sz w:val="21"/>
                <w:szCs w:val="21"/>
              </w:rPr>
            </w:pPr>
            <w:r>
              <w:rPr>
                <w:rFonts w:ascii="仿宋_GB2312" w:hint="eastAsia"/>
                <w:bCs/>
                <w:sz w:val="21"/>
                <w:szCs w:val="21"/>
              </w:rPr>
              <w:t>一级</w:t>
            </w:r>
            <w:r>
              <w:rPr>
                <w:rFonts w:ascii="仿宋_GB2312" w:hint="eastAsia"/>
                <w:bCs/>
                <w:sz w:val="21"/>
                <w:szCs w:val="21"/>
              </w:rPr>
              <w:br/>
              <w:t>指标</w:t>
            </w:r>
          </w:p>
        </w:tc>
        <w:tc>
          <w:tcPr>
            <w:tcW w:w="318"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bCs/>
                <w:sz w:val="21"/>
                <w:szCs w:val="21"/>
              </w:rPr>
            </w:pPr>
            <w:r>
              <w:rPr>
                <w:rFonts w:ascii="仿宋_GB2312" w:hint="eastAsia"/>
                <w:bCs/>
                <w:sz w:val="21"/>
                <w:szCs w:val="21"/>
              </w:rPr>
              <w:t>二级指标</w:t>
            </w:r>
          </w:p>
        </w:tc>
        <w:tc>
          <w:tcPr>
            <w:tcW w:w="392"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bCs/>
                <w:sz w:val="21"/>
                <w:szCs w:val="21"/>
              </w:rPr>
            </w:pPr>
            <w:r>
              <w:rPr>
                <w:rFonts w:ascii="仿宋_GB2312" w:hint="eastAsia"/>
                <w:bCs/>
                <w:sz w:val="21"/>
                <w:szCs w:val="21"/>
              </w:rPr>
              <w:t>三级指标</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bCs/>
                <w:sz w:val="21"/>
                <w:szCs w:val="21"/>
              </w:rPr>
            </w:pPr>
            <w:r>
              <w:rPr>
                <w:rFonts w:ascii="仿宋_GB2312" w:hint="eastAsia"/>
                <w:bCs/>
                <w:sz w:val="21"/>
                <w:szCs w:val="21"/>
              </w:rPr>
              <w:t>自评分</w:t>
            </w:r>
          </w:p>
        </w:tc>
        <w:tc>
          <w:tcPr>
            <w:tcW w:w="15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bCs/>
                <w:sz w:val="21"/>
                <w:szCs w:val="21"/>
              </w:rPr>
            </w:pPr>
            <w:r>
              <w:rPr>
                <w:rFonts w:ascii="仿宋_GB2312" w:hint="eastAsia"/>
                <w:bCs/>
                <w:sz w:val="21"/>
                <w:szCs w:val="21"/>
              </w:rPr>
              <w:t>指标解释</w:t>
            </w:r>
          </w:p>
        </w:tc>
        <w:tc>
          <w:tcPr>
            <w:tcW w:w="2076"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bCs/>
                <w:sz w:val="21"/>
                <w:szCs w:val="21"/>
              </w:rPr>
            </w:pPr>
            <w:r>
              <w:rPr>
                <w:rFonts w:ascii="仿宋_GB2312" w:hint="eastAsia"/>
                <w:bCs/>
                <w:sz w:val="21"/>
                <w:szCs w:val="21"/>
              </w:rPr>
              <w:t>指标说明</w:t>
            </w:r>
          </w:p>
        </w:tc>
      </w:tr>
      <w:tr w:rsidR="00FE3C4F" w:rsidTr="00FE3C4F">
        <w:trPr>
          <w:trHeight w:val="567"/>
        </w:trPr>
        <w:tc>
          <w:tcPr>
            <w:tcW w:w="305" w:type="pct"/>
            <w:vMerge w:val="restart"/>
            <w:tcBorders>
              <w:top w:val="nil"/>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投   入（20分）</w:t>
            </w:r>
          </w:p>
        </w:tc>
        <w:tc>
          <w:tcPr>
            <w:tcW w:w="318" w:type="pct"/>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目标</w:t>
            </w:r>
            <w:r>
              <w:rPr>
                <w:rFonts w:ascii="仿宋_GB2312" w:hint="eastAsia"/>
                <w:sz w:val="21"/>
                <w:szCs w:val="21"/>
              </w:rPr>
              <w:br/>
              <w:t>设定（5分）</w:t>
            </w: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绩效目标合理性（2分）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2</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部门所设立的整体绩效目标依据是否充分，是否符合客观实际，用以反映和考核部门整体绩效目标与部门履职、年度工作任务的相符性情况。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①符合国家法律法规、国民经济和社会发展总体规划计1分；②符合部门“三定”方案确定的职责计0.5分；③是否符合部门制定的中长期实施规划计0.5分。</w:t>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绩效指标明确性（3分）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3</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部门依据整体绩效目标所设定的绩效指标是否清晰、细化、可衡量，用以反映和考核部门整体绩效目标的明细化情况。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预算</w:t>
            </w:r>
            <w:r>
              <w:rPr>
                <w:rFonts w:ascii="仿宋_GB2312" w:hint="eastAsia"/>
                <w:sz w:val="21"/>
                <w:szCs w:val="21"/>
              </w:rPr>
              <w:br/>
              <w:t>配置（15分）</w:t>
            </w: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在职人员控制率（5分）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3</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部门本年度实际在职人员数与编制数的比率，用以反映和考核部门对人员成本的控制程度。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“三公经费”</w:t>
            </w:r>
          </w:p>
          <w:p w:rsidR="00FE3C4F" w:rsidRDefault="00FE3C4F" w:rsidP="00D618D2">
            <w:pPr>
              <w:spacing w:line="240" w:lineRule="exact"/>
              <w:jc w:val="center"/>
              <w:rPr>
                <w:rFonts w:ascii="仿宋_GB2312"/>
                <w:sz w:val="21"/>
                <w:szCs w:val="21"/>
              </w:rPr>
            </w:pPr>
            <w:r>
              <w:rPr>
                <w:rFonts w:ascii="仿宋_GB2312" w:hint="eastAsia"/>
                <w:sz w:val="21"/>
                <w:szCs w:val="21"/>
              </w:rPr>
              <w:t>变动率（5分）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5</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部门本年度“三公经费”预算数与上年度“三公经费”预算数的变动比率，用以反映和考核部门对控制重点行政成本的努力程度。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重点支出安排率（5分）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5</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部门本年度预算安排的重点项目支出与部门项目总支出的比率，用以反映和考核部门对履行主要职责或完成重点任务的保障程度。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FE3C4F" w:rsidTr="00FE3C4F">
        <w:trPr>
          <w:trHeight w:val="567"/>
        </w:trPr>
        <w:tc>
          <w:tcPr>
            <w:tcW w:w="305" w:type="pct"/>
            <w:vMerge w:val="restart"/>
            <w:tcBorders>
              <w:top w:val="nil"/>
              <w:left w:val="single" w:sz="4" w:space="0" w:color="auto"/>
              <w:right w:val="single" w:sz="4" w:space="0" w:color="auto"/>
            </w:tcBorders>
            <w:noWrap/>
            <w:tcMar>
              <w:top w:w="10" w:type="dxa"/>
              <w:left w:w="10" w:type="dxa"/>
              <w:bottom w:w="0" w:type="dxa"/>
              <w:right w:w="10" w:type="dxa"/>
            </w:tcMar>
            <w:textDirection w:val="tbRlV"/>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过             程（30分）</w:t>
            </w:r>
          </w:p>
        </w:tc>
        <w:tc>
          <w:tcPr>
            <w:tcW w:w="318" w:type="pct"/>
            <w:vMerge w:val="restart"/>
            <w:tcBorders>
              <w:top w:val="nil"/>
              <w:left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预算</w:t>
            </w:r>
            <w:r>
              <w:rPr>
                <w:rFonts w:ascii="仿宋_GB2312" w:hint="eastAsia"/>
                <w:sz w:val="21"/>
                <w:szCs w:val="21"/>
              </w:rPr>
              <w:br/>
              <w:t>执行</w:t>
            </w:r>
          </w:p>
          <w:p w:rsidR="00FE3C4F" w:rsidRDefault="00FE3C4F" w:rsidP="00D618D2">
            <w:pPr>
              <w:spacing w:line="240" w:lineRule="exact"/>
              <w:jc w:val="center"/>
              <w:rPr>
                <w:rFonts w:ascii="仿宋_GB2312"/>
                <w:sz w:val="21"/>
                <w:szCs w:val="21"/>
              </w:rPr>
            </w:pPr>
            <w:r>
              <w:rPr>
                <w:rFonts w:ascii="仿宋_GB2312" w:hint="eastAsia"/>
                <w:sz w:val="21"/>
                <w:szCs w:val="21"/>
              </w:rPr>
              <w:t>（20分）</w:t>
            </w: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预算完成率（4分）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4</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部门本年度预算完成数与预算数的比率，用以反映和考核部门预算完成程度。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预算完成率=（预算完成数/预算数）×100%。完成年初预算计4分，未完成年初预算按比例扣减，预算完成数：部门本年度实际完成的预算数。预算数：财政部门批复的本年度部门预算数。</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预算调整率（2分）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2</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部门本年度预算调整数与预算数的比率，用以反映和考核部门预算的调整程度。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支付进度率（2分）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2</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部门实际支付进度与既定支付进度的比率，用以反映和考核部门预算执行的及时性和均衡性程度。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w:t>
            </w:r>
            <w:r>
              <w:rPr>
                <w:rFonts w:ascii="仿宋_GB2312" w:hint="eastAsia"/>
                <w:sz w:val="21"/>
                <w:szCs w:val="21"/>
              </w:rPr>
              <w:lastRenderedPageBreak/>
              <w:t>进度（比率）。</w:t>
            </w:r>
          </w:p>
        </w:tc>
      </w:tr>
      <w:tr w:rsidR="00FE3C4F" w:rsidTr="00FE3C4F">
        <w:trPr>
          <w:trHeight w:val="567"/>
        </w:trPr>
        <w:tc>
          <w:tcPr>
            <w:tcW w:w="305" w:type="pct"/>
            <w:vMerge/>
            <w:tcBorders>
              <w:left w:val="single" w:sz="4" w:space="0" w:color="auto"/>
              <w:right w:val="single" w:sz="4" w:space="0" w:color="auto"/>
            </w:tcBorders>
            <w:noWrap/>
            <w:tcMar>
              <w:top w:w="10" w:type="dxa"/>
              <w:left w:w="10" w:type="dxa"/>
              <w:bottom w:w="0" w:type="dxa"/>
              <w:right w:w="10" w:type="dxa"/>
            </w:tcMar>
            <w:textDirection w:val="tbRlV"/>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p>
        </w:tc>
        <w:tc>
          <w:tcPr>
            <w:tcW w:w="392"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结转结余控制率（4分）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sz w:val="21"/>
                <w:szCs w:val="21"/>
              </w:rPr>
              <w:t>3</w:t>
            </w:r>
          </w:p>
        </w:tc>
        <w:tc>
          <w:tcPr>
            <w:tcW w:w="15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部门本年度结转结余总额与上年结转结余总额增减比例，用以反映和考核部门对存量资金的实际控制程度。</w:t>
            </w:r>
          </w:p>
        </w:tc>
        <w:tc>
          <w:tcPr>
            <w:tcW w:w="2076"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公用经费</w:t>
            </w:r>
          </w:p>
          <w:p w:rsidR="00FE3C4F" w:rsidRDefault="00FE3C4F" w:rsidP="00D618D2">
            <w:pPr>
              <w:spacing w:line="240" w:lineRule="exact"/>
              <w:jc w:val="center"/>
              <w:rPr>
                <w:rFonts w:ascii="仿宋_GB2312"/>
                <w:sz w:val="21"/>
                <w:szCs w:val="21"/>
              </w:rPr>
            </w:pPr>
            <w:r>
              <w:rPr>
                <w:rFonts w:ascii="仿宋_GB2312" w:hint="eastAsia"/>
                <w:sz w:val="21"/>
                <w:szCs w:val="21"/>
              </w:rPr>
              <w:t>控制率（2分）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2</w:t>
            </w:r>
          </w:p>
        </w:tc>
        <w:tc>
          <w:tcPr>
            <w:tcW w:w="15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部门本年度实际支出的公用经费总额与预算安排的公用经费总额的比率，用以反映和考核部门对机构运转成本的实际控制程度。</w:t>
            </w:r>
          </w:p>
        </w:tc>
        <w:tc>
          <w:tcPr>
            <w:tcW w:w="2076"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公用经费控制率=（实际支出公用经费总额/预算安排公用经费总额）×100%。为100%的计2分，每超过1个百分点扣0.1分，扣完为止。</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“三公经费”控制率（2分）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2</w:t>
            </w:r>
          </w:p>
        </w:tc>
        <w:tc>
          <w:tcPr>
            <w:tcW w:w="15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部门本年度“三公经费”实际支出数与预算安排数的比率，用以反映和考核部门对“三公经费”的实际控制程度。</w:t>
            </w:r>
          </w:p>
        </w:tc>
        <w:tc>
          <w:tcPr>
            <w:tcW w:w="2076"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“三公经费”控制率=（“三公经费”实际支出数/“三公经费”预算安排数）×100%。为100%的计2分，每超过1个百分点扣0.5分，扣完为止。</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政府采购</w:t>
            </w:r>
          </w:p>
          <w:p w:rsidR="00FE3C4F" w:rsidRDefault="00FE3C4F" w:rsidP="00D618D2">
            <w:pPr>
              <w:spacing w:line="240" w:lineRule="exact"/>
              <w:jc w:val="center"/>
              <w:rPr>
                <w:rFonts w:ascii="仿宋_GB2312"/>
                <w:sz w:val="21"/>
                <w:szCs w:val="21"/>
              </w:rPr>
            </w:pPr>
            <w:r>
              <w:rPr>
                <w:rFonts w:ascii="仿宋_GB2312" w:hint="eastAsia"/>
                <w:sz w:val="21"/>
                <w:szCs w:val="21"/>
              </w:rPr>
              <w:t>执行率（4分）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4</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部门本年度实际政府采购金额与年初政府采购预算的比率，用以反映和考核部门政府采购预算执行情况。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预算</w:t>
            </w:r>
          </w:p>
          <w:p w:rsidR="00FE3C4F" w:rsidRDefault="00FE3C4F" w:rsidP="00D618D2">
            <w:pPr>
              <w:spacing w:line="240" w:lineRule="exact"/>
              <w:jc w:val="center"/>
              <w:rPr>
                <w:rFonts w:ascii="仿宋_GB2312"/>
                <w:sz w:val="21"/>
                <w:szCs w:val="21"/>
              </w:rPr>
            </w:pPr>
            <w:r>
              <w:rPr>
                <w:rFonts w:ascii="仿宋_GB2312" w:hint="eastAsia"/>
                <w:sz w:val="21"/>
                <w:szCs w:val="21"/>
              </w:rPr>
              <w:t>管理</w:t>
            </w:r>
          </w:p>
          <w:p w:rsidR="00FE3C4F" w:rsidRDefault="00FE3C4F" w:rsidP="00D618D2">
            <w:pPr>
              <w:spacing w:line="240" w:lineRule="exact"/>
              <w:jc w:val="center"/>
              <w:rPr>
                <w:rFonts w:ascii="仿宋_GB2312"/>
                <w:sz w:val="21"/>
                <w:szCs w:val="21"/>
              </w:rPr>
            </w:pPr>
            <w:r>
              <w:rPr>
                <w:rFonts w:ascii="仿宋_GB2312" w:hint="eastAsia"/>
                <w:sz w:val="21"/>
                <w:szCs w:val="21"/>
              </w:rPr>
              <w:t>（5分）</w:t>
            </w: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管理制度</w:t>
            </w:r>
          </w:p>
          <w:p w:rsidR="00FE3C4F" w:rsidRDefault="00FE3C4F" w:rsidP="00D618D2">
            <w:pPr>
              <w:spacing w:line="240" w:lineRule="exact"/>
              <w:jc w:val="center"/>
              <w:rPr>
                <w:rFonts w:ascii="仿宋_GB2312"/>
                <w:sz w:val="21"/>
                <w:szCs w:val="21"/>
              </w:rPr>
            </w:pPr>
            <w:r>
              <w:rPr>
                <w:rFonts w:ascii="仿宋_GB2312" w:hint="eastAsia"/>
                <w:sz w:val="21"/>
                <w:szCs w:val="21"/>
              </w:rPr>
              <w:t>健全性（2分）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sz w:val="21"/>
                <w:szCs w:val="21"/>
              </w:rPr>
              <w:t>1.5</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部门为加强预算管理、规范财务行为而制定的管理制度是否健全完整，用以反映和考核部门预算管理制度对完成主要职责或促进事业发展的保障情况。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已制定或具有预算资金管理办法、内部财务管理制度、会计核算制度等管理制度计1分；相关管理制度合法、合规、完整计0.5分；相关管理制度得到有效执行计0.5分。</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资金使用</w:t>
            </w:r>
          </w:p>
          <w:p w:rsidR="00FE3C4F" w:rsidRDefault="00FE3C4F" w:rsidP="00D618D2">
            <w:pPr>
              <w:spacing w:line="240" w:lineRule="exact"/>
              <w:jc w:val="center"/>
              <w:rPr>
                <w:rFonts w:ascii="仿宋_GB2312"/>
                <w:sz w:val="21"/>
                <w:szCs w:val="21"/>
              </w:rPr>
            </w:pPr>
            <w:r>
              <w:rPr>
                <w:rFonts w:ascii="仿宋_GB2312" w:hint="eastAsia"/>
                <w:sz w:val="21"/>
                <w:szCs w:val="21"/>
              </w:rPr>
              <w:t>合规性（1分）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1</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部门使用预算资金是否符合相关的预算财务管理制度的规定，用以反映和考核部门预算资金的规范运行情况。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预决算信</w:t>
            </w:r>
          </w:p>
          <w:p w:rsidR="00FE3C4F" w:rsidRDefault="00FE3C4F" w:rsidP="00D618D2">
            <w:pPr>
              <w:spacing w:line="240" w:lineRule="exact"/>
              <w:jc w:val="center"/>
              <w:rPr>
                <w:rFonts w:ascii="仿宋_GB2312"/>
                <w:sz w:val="21"/>
                <w:szCs w:val="21"/>
              </w:rPr>
            </w:pPr>
            <w:r>
              <w:rPr>
                <w:rFonts w:ascii="仿宋_GB2312" w:hint="eastAsia"/>
                <w:sz w:val="21"/>
                <w:szCs w:val="21"/>
              </w:rPr>
              <w:t>息公开性（1分）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1</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部门是否按照政府信息公开有关规定公开相关预决算信息，用以反映和考核部门预决算管理的公开透明情况。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①按规定内容公开预决算信息计0.5分；②按规定时限公开预决算信息计0.5分。预决算信息是指与部门预算、执行、决算、监督、绩效等管理相关的信息。</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基础信息</w:t>
            </w:r>
          </w:p>
          <w:p w:rsidR="00FE3C4F" w:rsidRDefault="00FE3C4F" w:rsidP="00D618D2">
            <w:pPr>
              <w:spacing w:line="240" w:lineRule="exact"/>
              <w:jc w:val="center"/>
              <w:rPr>
                <w:rFonts w:ascii="仿宋_GB2312"/>
                <w:sz w:val="21"/>
                <w:szCs w:val="21"/>
              </w:rPr>
            </w:pPr>
            <w:r>
              <w:rPr>
                <w:rFonts w:ascii="仿宋_GB2312" w:hint="eastAsia"/>
                <w:sz w:val="21"/>
                <w:szCs w:val="21"/>
              </w:rPr>
              <w:t>完善性（1分）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1</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部门基础信息是否完善，用以反映和考核基础信息对预算管理工作的支撑情况。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①基础数据信息和会计信息资料真实计0.4分；②基础数据信息和会计信息资料完整计0.3分；③基础数据信息和会计信息资料准确计0.3分。</w:t>
            </w:r>
          </w:p>
        </w:tc>
      </w:tr>
      <w:tr w:rsidR="00FE3C4F" w:rsidTr="00FE3C4F">
        <w:trPr>
          <w:trHeight w:val="567"/>
        </w:trPr>
        <w:tc>
          <w:tcPr>
            <w:tcW w:w="305" w:type="pct"/>
            <w:vMerge/>
            <w:tcBorders>
              <w:left w:val="single" w:sz="4" w:space="0" w:color="auto"/>
              <w:right w:val="single" w:sz="4" w:space="0" w:color="auto"/>
            </w:tcBorders>
            <w:noWrap/>
            <w:tcMar>
              <w:top w:w="10" w:type="dxa"/>
              <w:left w:w="10" w:type="dxa"/>
              <w:bottom w:w="0" w:type="dxa"/>
              <w:right w:w="10" w:type="dxa"/>
            </w:tcMar>
            <w:textDirection w:val="tbRlV"/>
            <w:vAlign w:val="center"/>
          </w:tcPr>
          <w:p w:rsidR="00FE3C4F" w:rsidRDefault="00FE3C4F" w:rsidP="00D618D2">
            <w:pPr>
              <w:spacing w:line="240" w:lineRule="exact"/>
              <w:jc w:val="center"/>
              <w:rPr>
                <w:rFonts w:ascii="仿宋_GB2312"/>
                <w:sz w:val="21"/>
                <w:szCs w:val="21"/>
              </w:rPr>
            </w:pPr>
          </w:p>
        </w:tc>
        <w:tc>
          <w:tcPr>
            <w:tcW w:w="318" w:type="pct"/>
            <w:vMerge w:val="restart"/>
            <w:tcBorders>
              <w:top w:val="nil"/>
              <w:left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资产</w:t>
            </w:r>
            <w:r>
              <w:rPr>
                <w:rFonts w:ascii="仿宋_GB2312" w:hint="eastAsia"/>
                <w:sz w:val="21"/>
                <w:szCs w:val="21"/>
              </w:rPr>
              <w:br/>
              <w:t>管理</w:t>
            </w:r>
          </w:p>
          <w:p w:rsidR="00FE3C4F" w:rsidRDefault="00FE3C4F" w:rsidP="00D618D2">
            <w:pPr>
              <w:spacing w:line="240" w:lineRule="exact"/>
              <w:jc w:val="center"/>
              <w:rPr>
                <w:rFonts w:ascii="仿宋_GB2312"/>
                <w:sz w:val="21"/>
                <w:szCs w:val="21"/>
              </w:rPr>
            </w:pPr>
            <w:r>
              <w:rPr>
                <w:rFonts w:ascii="仿宋_GB2312" w:hint="eastAsia"/>
                <w:sz w:val="21"/>
                <w:szCs w:val="21"/>
              </w:rPr>
              <w:t>（5分）</w:t>
            </w: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管理制度</w:t>
            </w:r>
          </w:p>
          <w:p w:rsidR="00FE3C4F" w:rsidRDefault="00FE3C4F" w:rsidP="00D618D2">
            <w:pPr>
              <w:spacing w:line="240" w:lineRule="exact"/>
              <w:jc w:val="center"/>
              <w:rPr>
                <w:rFonts w:ascii="仿宋_GB2312"/>
                <w:sz w:val="21"/>
                <w:szCs w:val="21"/>
              </w:rPr>
            </w:pPr>
            <w:r>
              <w:rPr>
                <w:rFonts w:ascii="仿宋_GB2312" w:hint="eastAsia"/>
                <w:sz w:val="21"/>
                <w:szCs w:val="21"/>
              </w:rPr>
              <w:t>健全性（2</w:t>
            </w:r>
            <w:r>
              <w:rPr>
                <w:rFonts w:ascii="仿宋_GB2312" w:hint="eastAsia"/>
                <w:sz w:val="21"/>
                <w:szCs w:val="21"/>
              </w:rPr>
              <w:lastRenderedPageBreak/>
              <w:t>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lastRenderedPageBreak/>
              <w:t>1</w:t>
            </w:r>
            <w:r>
              <w:rPr>
                <w:rFonts w:ascii="仿宋_GB2312"/>
                <w:sz w:val="21"/>
                <w:szCs w:val="21"/>
              </w:rPr>
              <w:t>.5</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部门为加强资产管理、规范资产管理行为而制定的管理制度是否健全完整，用以反映和考核部门资产管理制度对完</w:t>
            </w:r>
            <w:r>
              <w:rPr>
                <w:rFonts w:ascii="仿宋_GB2312" w:hint="eastAsia"/>
                <w:sz w:val="21"/>
                <w:szCs w:val="21"/>
              </w:rPr>
              <w:lastRenderedPageBreak/>
              <w:t>成主要职责或促进社会发展的保障情况。</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lastRenderedPageBreak/>
              <w:t>①制定或具有资产管理制度计1分；②相关资金管理制度合法、合规、完整计0.5分；③相关资产管理制度得到有效执行计0.5分。</w:t>
            </w:r>
          </w:p>
        </w:tc>
      </w:tr>
      <w:tr w:rsidR="00FE3C4F" w:rsidTr="00FE3C4F">
        <w:trPr>
          <w:trHeight w:val="567"/>
        </w:trPr>
        <w:tc>
          <w:tcPr>
            <w:tcW w:w="305"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资产管理</w:t>
            </w:r>
          </w:p>
          <w:p w:rsidR="00FE3C4F" w:rsidRDefault="00FE3C4F" w:rsidP="00D618D2">
            <w:pPr>
              <w:spacing w:line="240" w:lineRule="exact"/>
              <w:jc w:val="center"/>
              <w:rPr>
                <w:rFonts w:ascii="仿宋_GB2312"/>
                <w:sz w:val="21"/>
                <w:szCs w:val="21"/>
              </w:rPr>
            </w:pPr>
            <w:r>
              <w:rPr>
                <w:rFonts w:ascii="仿宋_GB2312" w:hint="eastAsia"/>
                <w:sz w:val="21"/>
                <w:szCs w:val="21"/>
              </w:rPr>
              <w:t>安全性（2分）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761"/>
                <w:tab w:val="left" w:pos="2604"/>
              </w:tabs>
              <w:spacing w:line="240" w:lineRule="exact"/>
              <w:jc w:val="center"/>
              <w:rPr>
                <w:rFonts w:ascii="仿宋_GB2312"/>
                <w:sz w:val="21"/>
                <w:szCs w:val="21"/>
              </w:rPr>
            </w:pPr>
            <w:r>
              <w:rPr>
                <w:rFonts w:ascii="仿宋_GB2312" w:hint="eastAsia"/>
                <w:sz w:val="21"/>
                <w:szCs w:val="21"/>
              </w:rPr>
              <w:t>2</w:t>
            </w:r>
          </w:p>
        </w:tc>
        <w:tc>
          <w:tcPr>
            <w:tcW w:w="15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761"/>
                <w:tab w:val="left" w:pos="2604"/>
              </w:tabs>
              <w:spacing w:line="240" w:lineRule="exact"/>
              <w:rPr>
                <w:rFonts w:ascii="仿宋_GB2312"/>
                <w:sz w:val="21"/>
                <w:szCs w:val="21"/>
              </w:rPr>
            </w:pPr>
            <w:r>
              <w:rPr>
                <w:rFonts w:ascii="仿宋_GB2312" w:hint="eastAsia"/>
                <w:sz w:val="21"/>
                <w:szCs w:val="21"/>
              </w:rPr>
              <w:t>部门的资产是否保存完整、使用合规、配置合理、处置规范、收入及时足额上缴，用以反映和考核部门资产安全运行情况。</w:t>
            </w:r>
          </w:p>
        </w:tc>
        <w:tc>
          <w:tcPr>
            <w:tcW w:w="2076"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①资产保存完整计0.4分；②资产配置合理计0.4分；③资产处置规范计0.4分；④资产账务管理合规、帐实相符计0.4分；⑤资产有偿使用及处置收入及时足额上缴计0.4分。</w:t>
            </w:r>
          </w:p>
        </w:tc>
      </w:tr>
      <w:tr w:rsidR="00FE3C4F" w:rsidTr="00FE3C4F">
        <w:trPr>
          <w:trHeight w:val="567"/>
        </w:trPr>
        <w:tc>
          <w:tcPr>
            <w:tcW w:w="305" w:type="pct"/>
            <w:vMerge/>
            <w:tcBorders>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固定资产</w:t>
            </w:r>
          </w:p>
          <w:p w:rsidR="00FE3C4F" w:rsidRDefault="00FE3C4F" w:rsidP="00D618D2">
            <w:pPr>
              <w:spacing w:line="240" w:lineRule="exact"/>
              <w:jc w:val="center"/>
              <w:rPr>
                <w:rFonts w:ascii="仿宋_GB2312"/>
                <w:sz w:val="21"/>
                <w:szCs w:val="21"/>
              </w:rPr>
            </w:pPr>
            <w:r>
              <w:rPr>
                <w:rFonts w:ascii="仿宋_GB2312" w:hint="eastAsia"/>
                <w:sz w:val="21"/>
                <w:szCs w:val="21"/>
              </w:rPr>
              <w:t>利用率（1分）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sz w:val="21"/>
                <w:szCs w:val="21"/>
              </w:rPr>
              <w:t>0.8</w:t>
            </w:r>
          </w:p>
        </w:tc>
        <w:tc>
          <w:tcPr>
            <w:tcW w:w="1575" w:type="pc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部门实际在用固定资产总额与所有固定资产总额的比率，用以反映和考核部门固定资产使用效率程度。</w:t>
            </w:r>
          </w:p>
        </w:tc>
        <w:tc>
          <w:tcPr>
            <w:tcW w:w="2076"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固定资产利用率=（实际在用固定资产总额/所有固定资产总额）×100%。利用率为100%的计1分，每降1个百分点扣0.1分，扣完为止。</w:t>
            </w:r>
          </w:p>
        </w:tc>
      </w:tr>
      <w:tr w:rsidR="00FE3C4F" w:rsidTr="00FE3C4F">
        <w:trPr>
          <w:trHeight w:val="567"/>
        </w:trPr>
        <w:tc>
          <w:tcPr>
            <w:tcW w:w="305" w:type="pct"/>
            <w:vMerge w:val="restart"/>
            <w:tcBorders>
              <w:top w:val="nil"/>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产   出（30分）</w:t>
            </w:r>
          </w:p>
        </w:tc>
        <w:tc>
          <w:tcPr>
            <w:tcW w:w="318" w:type="pct"/>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职责</w:t>
            </w:r>
            <w:r>
              <w:rPr>
                <w:rFonts w:ascii="仿宋_GB2312" w:hint="eastAsia"/>
                <w:sz w:val="21"/>
                <w:szCs w:val="21"/>
              </w:rPr>
              <w:br/>
              <w:t>履行</w:t>
            </w: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实际完成率（8分）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8</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部门履行职责而实际完成工作数与计划工作数的比率，用以反映和考核部门履职工作任务目标的实现程度。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实际完成率得分=完成市委市政府绩效考核得分或上级主管部门考核指标得分/指标分值*8分</w:t>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完成及时率（4分）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4</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部门在规定时限内及时完成的实际工作数与计划工作数的比率,用以反映和考核部门履职时效目标的实现程度。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完成及时率=（及时完成实际工作数/计划工作数）×100%。1-4季度各得1分</w:t>
            </w:r>
            <w:r>
              <w:rPr>
                <w:rFonts w:ascii="仿宋_GB2312" w:hint="eastAsia"/>
                <w:sz w:val="21"/>
                <w:szCs w:val="21"/>
              </w:rPr>
              <w:br/>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质量达标率（8分）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8</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达到质量标准（绩效标准值）的实际工作数与计划工作数的比率,用以反映和考核部门履职质量目标的实现程度。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质量达标率=（质量达标实际工作数/计划工作数）×100%。实际得分=达标率*8分</w:t>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重点工作</w:t>
            </w:r>
          </w:p>
          <w:p w:rsidR="00FE3C4F" w:rsidRDefault="00FE3C4F" w:rsidP="00D618D2">
            <w:pPr>
              <w:spacing w:line="240" w:lineRule="exact"/>
              <w:jc w:val="center"/>
              <w:rPr>
                <w:rFonts w:ascii="仿宋_GB2312"/>
                <w:sz w:val="21"/>
                <w:szCs w:val="21"/>
              </w:rPr>
            </w:pPr>
            <w:r>
              <w:rPr>
                <w:rFonts w:ascii="仿宋_GB2312" w:hint="eastAsia"/>
                <w:sz w:val="21"/>
                <w:szCs w:val="21"/>
              </w:rPr>
              <w:t>办结率（10分）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10</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部门年度重点工作实际完成数与交办或下达数的比率，用以反映部门对重点工作的办理落实程度。</w:t>
            </w: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int="eastAsia"/>
                <w:sz w:val="21"/>
                <w:szCs w:val="21"/>
              </w:rPr>
              <w:t>重点工作办结率=（重点工作实际完成数/交办或下达数）×100%。实际得分=办结率*10分</w:t>
            </w:r>
          </w:p>
        </w:tc>
      </w:tr>
      <w:tr w:rsidR="00FE3C4F" w:rsidTr="00FE3C4F">
        <w:trPr>
          <w:trHeight w:val="567"/>
        </w:trPr>
        <w:tc>
          <w:tcPr>
            <w:tcW w:w="305" w:type="pct"/>
            <w:vMerge w:val="restart"/>
            <w:tcBorders>
              <w:top w:val="nil"/>
              <w:left w:val="single" w:sz="4" w:space="0" w:color="auto"/>
              <w:bottom w:val="single" w:sz="4" w:space="0" w:color="auto"/>
              <w:right w:val="single" w:sz="4" w:space="0" w:color="auto"/>
            </w:tcBorders>
            <w:noWrap/>
            <w:tcMar>
              <w:top w:w="10" w:type="dxa"/>
              <w:left w:w="10" w:type="dxa"/>
              <w:bottom w:w="0" w:type="dxa"/>
              <w:right w:w="10" w:type="dxa"/>
            </w:tcMar>
            <w:textDirection w:val="tbRlV"/>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效   果（20分）</w:t>
            </w:r>
          </w:p>
        </w:tc>
        <w:tc>
          <w:tcPr>
            <w:tcW w:w="318" w:type="pct"/>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履职</w:t>
            </w:r>
            <w:r>
              <w:rPr>
                <w:rFonts w:ascii="仿宋_GB2312" w:hint="eastAsia"/>
                <w:sz w:val="21"/>
                <w:szCs w:val="21"/>
              </w:rPr>
              <w:br/>
              <w:t>效益（20分）</w:t>
            </w: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经济效益（5分）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5</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部门履行职责对经济发展所带来的直接或间接影响。</w:t>
            </w:r>
          </w:p>
        </w:tc>
        <w:tc>
          <w:tcPr>
            <w:tcW w:w="2076" w:type="pct"/>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Ansi="宋体" w:cs="宋体" w:hint="eastAsia"/>
                <w:kern w:val="0"/>
                <w:sz w:val="21"/>
                <w:szCs w:val="21"/>
              </w:rPr>
              <w:t>按经济效益实现程度计算得分（5分）；按社会效益实现程度计算得分（5分）；按生态效益实现程度计算得分（5分）</w:t>
            </w: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社会效益（5分）</w:t>
            </w:r>
          </w:p>
        </w:tc>
        <w:tc>
          <w:tcPr>
            <w:tcW w:w="334" w:type="pct"/>
            <w:tcBorders>
              <w:top w:val="single" w:sz="4" w:space="0" w:color="auto"/>
              <w:left w:val="nil"/>
              <w:bottom w:val="single" w:sz="4" w:space="0" w:color="auto"/>
              <w:right w:val="single" w:sz="4" w:space="0" w:color="auto"/>
            </w:tcBorders>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5</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部门履行职责对社会发展所带来的直接或间接影响。</w:t>
            </w:r>
          </w:p>
        </w:tc>
        <w:tc>
          <w:tcPr>
            <w:tcW w:w="2076"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rPr>
                <w:rFonts w:ascii="仿宋_GB2312"/>
                <w:sz w:val="21"/>
                <w:szCs w:val="21"/>
              </w:rPr>
            </w:pPr>
          </w:p>
        </w:tc>
      </w:tr>
      <w:tr w:rsidR="00FE3C4F" w:rsidTr="00FE3C4F">
        <w:trPr>
          <w:trHeight w:val="567"/>
        </w:trPr>
        <w:tc>
          <w:tcPr>
            <w:tcW w:w="305"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生态效益（5分）</w:t>
            </w:r>
          </w:p>
        </w:tc>
        <w:tc>
          <w:tcPr>
            <w:tcW w:w="334" w:type="pct"/>
            <w:tcBorders>
              <w:top w:val="single" w:sz="4" w:space="0" w:color="auto"/>
              <w:left w:val="nil"/>
              <w:bottom w:val="single" w:sz="4" w:space="0" w:color="auto"/>
              <w:right w:val="single" w:sz="4" w:space="0" w:color="auto"/>
            </w:tcBorders>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5</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部门履行职责对生态环境所带来的直接或间接影响。</w:t>
            </w:r>
          </w:p>
        </w:tc>
        <w:tc>
          <w:tcPr>
            <w:tcW w:w="2076" w:type="pct"/>
            <w:vMerge/>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rPr>
                <w:rFonts w:ascii="仿宋_GB2312"/>
                <w:sz w:val="21"/>
                <w:szCs w:val="21"/>
              </w:rPr>
            </w:pPr>
          </w:p>
        </w:tc>
      </w:tr>
      <w:tr w:rsidR="00FE3C4F" w:rsidTr="00FE3C4F">
        <w:trPr>
          <w:trHeight w:val="1520"/>
        </w:trPr>
        <w:tc>
          <w:tcPr>
            <w:tcW w:w="305" w:type="pct"/>
            <w:vMerge/>
            <w:tcBorders>
              <w:top w:val="nil"/>
              <w:left w:val="single" w:sz="4" w:space="0" w:color="auto"/>
              <w:bottom w:val="nil"/>
              <w:right w:val="single" w:sz="4" w:space="0" w:color="auto"/>
            </w:tcBorders>
            <w:vAlign w:val="center"/>
          </w:tcPr>
          <w:p w:rsidR="00FE3C4F" w:rsidRDefault="00FE3C4F" w:rsidP="00D618D2">
            <w:pPr>
              <w:spacing w:line="240" w:lineRule="exact"/>
              <w:jc w:val="center"/>
              <w:rPr>
                <w:rFonts w:ascii="仿宋_GB2312"/>
                <w:sz w:val="21"/>
                <w:szCs w:val="21"/>
              </w:rPr>
            </w:pPr>
          </w:p>
        </w:tc>
        <w:tc>
          <w:tcPr>
            <w:tcW w:w="318" w:type="pct"/>
            <w:vMerge/>
            <w:tcBorders>
              <w:top w:val="nil"/>
              <w:left w:val="single" w:sz="4" w:space="0" w:color="auto"/>
              <w:bottom w:val="nil"/>
              <w:right w:val="single" w:sz="4" w:space="0" w:color="auto"/>
            </w:tcBorders>
            <w:vAlign w:val="center"/>
          </w:tcPr>
          <w:p w:rsidR="00FE3C4F" w:rsidRDefault="00FE3C4F" w:rsidP="00D618D2">
            <w:pPr>
              <w:spacing w:line="240" w:lineRule="exact"/>
              <w:jc w:val="center"/>
              <w:rPr>
                <w:rFonts w:ascii="仿宋_GB2312"/>
                <w:sz w:val="21"/>
                <w:szCs w:val="21"/>
              </w:rPr>
            </w:pPr>
          </w:p>
        </w:tc>
        <w:tc>
          <w:tcPr>
            <w:tcW w:w="392" w:type="pct"/>
            <w:tcBorders>
              <w:top w:val="nil"/>
              <w:left w:val="nil"/>
              <w:bottom w:val="nil"/>
              <w:right w:val="single" w:sz="4" w:space="0" w:color="auto"/>
            </w:tcBorders>
            <w:tcMar>
              <w:top w:w="10" w:type="dxa"/>
              <w:left w:w="10" w:type="dxa"/>
              <w:bottom w:w="0" w:type="dxa"/>
              <w:right w:w="10" w:type="dxa"/>
            </w:tcMar>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社会公众</w:t>
            </w:r>
          </w:p>
          <w:p w:rsidR="00FE3C4F" w:rsidRDefault="00FE3C4F" w:rsidP="00D618D2">
            <w:pPr>
              <w:spacing w:line="240" w:lineRule="exact"/>
              <w:jc w:val="center"/>
              <w:rPr>
                <w:rFonts w:ascii="仿宋_GB2312"/>
                <w:sz w:val="21"/>
                <w:szCs w:val="21"/>
              </w:rPr>
            </w:pPr>
            <w:r>
              <w:rPr>
                <w:rFonts w:ascii="仿宋_GB2312" w:hint="eastAsia"/>
                <w:sz w:val="21"/>
                <w:szCs w:val="21"/>
              </w:rPr>
              <w:t>或服务对</w:t>
            </w:r>
          </w:p>
          <w:p w:rsidR="00FE3C4F" w:rsidRDefault="00FE3C4F" w:rsidP="00D618D2">
            <w:pPr>
              <w:spacing w:line="240" w:lineRule="exact"/>
              <w:jc w:val="center"/>
              <w:rPr>
                <w:rFonts w:ascii="仿宋_GB2312"/>
                <w:sz w:val="21"/>
                <w:szCs w:val="21"/>
              </w:rPr>
            </w:pPr>
            <w:r>
              <w:rPr>
                <w:rFonts w:ascii="仿宋_GB2312" w:hint="eastAsia"/>
                <w:sz w:val="21"/>
                <w:szCs w:val="21"/>
              </w:rPr>
              <w:t>象满意度（5分）</w:t>
            </w:r>
          </w:p>
        </w:tc>
        <w:tc>
          <w:tcPr>
            <w:tcW w:w="334" w:type="pct"/>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5</w:t>
            </w:r>
          </w:p>
        </w:tc>
        <w:tc>
          <w:tcPr>
            <w:tcW w:w="1575" w:type="pct"/>
            <w:tcBorders>
              <w:top w:val="nil"/>
              <w:left w:val="single" w:sz="4" w:space="0" w:color="auto"/>
              <w:bottom w:val="nil"/>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r>
              <w:rPr>
                <w:rFonts w:ascii="仿宋_GB2312" w:hint="eastAsia"/>
                <w:sz w:val="21"/>
                <w:szCs w:val="21"/>
              </w:rPr>
              <w:t>社会公众或部门的服务对象对部门履职效果的满意程度。</w:t>
            </w:r>
          </w:p>
        </w:tc>
        <w:tc>
          <w:tcPr>
            <w:tcW w:w="2076" w:type="pct"/>
            <w:tcBorders>
              <w:top w:val="nil"/>
              <w:left w:val="nil"/>
              <w:bottom w:val="nil"/>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sz w:val="21"/>
                <w:szCs w:val="21"/>
              </w:rPr>
            </w:pPr>
            <w:r>
              <w:rPr>
                <w:rFonts w:ascii="仿宋_GB2312" w:hAnsi="宋体" w:cs="宋体" w:hint="eastAsia"/>
                <w:kern w:val="0"/>
                <w:sz w:val="21"/>
                <w:szCs w:val="21"/>
              </w:rPr>
              <w:t>按收集到的服务对象的满意率计算得分（5分）</w:t>
            </w:r>
          </w:p>
        </w:tc>
      </w:tr>
      <w:tr w:rsidR="00FE3C4F" w:rsidTr="00FE3C4F">
        <w:trPr>
          <w:trHeight w:val="567"/>
        </w:trPr>
        <w:tc>
          <w:tcPr>
            <w:tcW w:w="1015" w:type="pct"/>
            <w:gridSpan w:val="3"/>
            <w:tcBorders>
              <w:top w:val="nil"/>
              <w:left w:val="single" w:sz="4" w:space="0" w:color="auto"/>
              <w:bottom w:val="single" w:sz="4" w:space="0" w:color="auto"/>
              <w:right w:val="single" w:sz="4" w:space="0" w:color="auto"/>
            </w:tcBorders>
            <w:vAlign w:val="center"/>
          </w:tcPr>
          <w:p w:rsidR="00FE3C4F" w:rsidRDefault="00FE3C4F" w:rsidP="00D618D2">
            <w:pPr>
              <w:spacing w:line="240" w:lineRule="exact"/>
              <w:jc w:val="center"/>
              <w:rPr>
                <w:rFonts w:ascii="仿宋_GB2312"/>
                <w:sz w:val="21"/>
                <w:szCs w:val="21"/>
              </w:rPr>
            </w:pPr>
            <w:r>
              <w:rPr>
                <w:rFonts w:ascii="仿宋_GB2312" w:hint="eastAsia"/>
                <w:sz w:val="21"/>
                <w:szCs w:val="21"/>
              </w:rPr>
              <w:t>合   计</w:t>
            </w:r>
          </w:p>
        </w:tc>
        <w:tc>
          <w:tcPr>
            <w:tcW w:w="334" w:type="pct"/>
            <w:tcBorders>
              <w:top w:val="single" w:sz="4" w:space="0" w:color="auto"/>
              <w:left w:val="nil"/>
              <w:bottom w:val="single" w:sz="4" w:space="0" w:color="auto"/>
              <w:right w:val="single" w:sz="4" w:space="0" w:color="auto"/>
            </w:tcBorders>
            <w:vAlign w:val="center"/>
          </w:tcPr>
          <w:p w:rsidR="00FE3C4F" w:rsidRDefault="00FE3C4F" w:rsidP="00D618D2">
            <w:pPr>
              <w:tabs>
                <w:tab w:val="left" w:pos="2604"/>
              </w:tabs>
              <w:spacing w:line="240" w:lineRule="exact"/>
              <w:jc w:val="center"/>
              <w:rPr>
                <w:rFonts w:ascii="仿宋_GB2312"/>
                <w:sz w:val="21"/>
                <w:szCs w:val="21"/>
              </w:rPr>
            </w:pPr>
            <w:r>
              <w:rPr>
                <w:rFonts w:ascii="仿宋_GB2312" w:hint="eastAsia"/>
                <w:sz w:val="21"/>
                <w:szCs w:val="21"/>
              </w:rPr>
              <w:t>95.8</w:t>
            </w:r>
          </w:p>
        </w:tc>
        <w:tc>
          <w:tcPr>
            <w:tcW w:w="1575" w:type="pc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FE3C4F" w:rsidRDefault="00FE3C4F" w:rsidP="00D618D2">
            <w:pPr>
              <w:tabs>
                <w:tab w:val="left" w:pos="2604"/>
              </w:tabs>
              <w:spacing w:line="240" w:lineRule="exact"/>
              <w:rPr>
                <w:rFonts w:ascii="仿宋_GB2312"/>
                <w:sz w:val="21"/>
                <w:szCs w:val="21"/>
              </w:rPr>
            </w:pPr>
          </w:p>
        </w:tc>
        <w:tc>
          <w:tcPr>
            <w:tcW w:w="2076" w:type="pct"/>
            <w:tcBorders>
              <w:top w:val="nil"/>
              <w:left w:val="nil"/>
              <w:bottom w:val="single" w:sz="4" w:space="0" w:color="auto"/>
              <w:right w:val="single" w:sz="4" w:space="0" w:color="auto"/>
            </w:tcBorders>
            <w:tcMar>
              <w:top w:w="10" w:type="dxa"/>
              <w:left w:w="10" w:type="dxa"/>
              <w:bottom w:w="0" w:type="dxa"/>
              <w:right w:w="10" w:type="dxa"/>
            </w:tcMar>
            <w:vAlign w:val="center"/>
          </w:tcPr>
          <w:p w:rsidR="00FE3C4F" w:rsidRDefault="00FE3C4F" w:rsidP="00D618D2">
            <w:pPr>
              <w:spacing w:line="240" w:lineRule="exact"/>
              <w:rPr>
                <w:rFonts w:ascii="仿宋_GB2312" w:hAnsi="宋体" w:cs="宋体"/>
                <w:kern w:val="0"/>
                <w:sz w:val="21"/>
                <w:szCs w:val="21"/>
              </w:rPr>
            </w:pPr>
          </w:p>
        </w:tc>
      </w:tr>
    </w:tbl>
    <w:p w:rsidR="00FE3C4F" w:rsidRDefault="00FE3C4F" w:rsidP="00FE3C4F">
      <w:pPr>
        <w:spacing w:line="600" w:lineRule="exact"/>
        <w:rPr>
          <w:rFonts w:ascii="黑体" w:eastAsia="黑体"/>
          <w:szCs w:val="32"/>
        </w:rPr>
      </w:pPr>
    </w:p>
    <w:p w:rsidR="003A3E52" w:rsidRDefault="00026079">
      <w:bookmarkStart w:id="0" w:name="_GoBack"/>
      <w:bookmarkEnd w:id="0"/>
    </w:p>
    <w:sectPr w:rsidR="003A3E52" w:rsidSect="00114A5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079" w:rsidRDefault="00026079" w:rsidP="00FE3C4F">
      <w:r>
        <w:separator/>
      </w:r>
    </w:p>
  </w:endnote>
  <w:endnote w:type="continuationSeparator" w:id="1">
    <w:p w:rsidR="00026079" w:rsidRDefault="00026079" w:rsidP="00FE3C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079" w:rsidRDefault="00026079" w:rsidP="00FE3C4F">
      <w:r>
        <w:separator/>
      </w:r>
    </w:p>
  </w:footnote>
  <w:footnote w:type="continuationSeparator" w:id="1">
    <w:p w:rsidR="00026079" w:rsidRDefault="00026079" w:rsidP="00FE3C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9A3"/>
    <w:rsid w:val="00026079"/>
    <w:rsid w:val="00114A57"/>
    <w:rsid w:val="00307278"/>
    <w:rsid w:val="00506F2A"/>
    <w:rsid w:val="005A5576"/>
    <w:rsid w:val="008939A3"/>
    <w:rsid w:val="00BE0272"/>
    <w:rsid w:val="00CE29A6"/>
    <w:rsid w:val="00FE3C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C4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3C4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3C4F"/>
    <w:rPr>
      <w:sz w:val="18"/>
      <w:szCs w:val="18"/>
    </w:rPr>
  </w:style>
  <w:style w:type="paragraph" w:styleId="a4">
    <w:name w:val="footer"/>
    <w:basedOn w:val="a"/>
    <w:link w:val="Char0"/>
    <w:uiPriority w:val="99"/>
    <w:unhideWhenUsed/>
    <w:rsid w:val="00FE3C4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3C4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587</Words>
  <Characters>3352</Characters>
  <Application>Microsoft Office Word</Application>
  <DocSecurity>0</DocSecurity>
  <Lines>27</Lines>
  <Paragraphs>7</Paragraphs>
  <ScaleCrop>false</ScaleCrop>
  <Company>Sinopec</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张华</dc:creator>
  <cp:keywords/>
  <dc:description/>
  <cp:lastModifiedBy>gzcjkrd</cp:lastModifiedBy>
  <cp:revision>4</cp:revision>
  <cp:lastPrinted>2020-05-08T03:29:00Z</cp:lastPrinted>
  <dcterms:created xsi:type="dcterms:W3CDTF">2020-05-07T09:47:00Z</dcterms:created>
  <dcterms:modified xsi:type="dcterms:W3CDTF">2020-05-08T03:41:00Z</dcterms:modified>
</cp:coreProperties>
</file>