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line="600" w:lineRule="exact"/>
        <w:jc w:val="left"/>
        <w:textAlignment w:val="baseline"/>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附件2</w:t>
      </w:r>
    </w:p>
    <w:p>
      <w:pPr>
        <w:pStyle w:val="2"/>
        <w:keepNext/>
        <w:keepLines/>
        <w:pageBreakBefore w:val="0"/>
        <w:widowControl w:val="0"/>
        <w:kinsoku/>
        <w:wordWrap/>
        <w:overflowPunct/>
        <w:topLinePunct w:val="0"/>
        <w:autoSpaceDE/>
        <w:autoSpaceDN/>
        <w:bidi w:val="0"/>
        <w:adjustRightInd w:val="0"/>
        <w:snapToGrid w:val="0"/>
        <w:spacing w:line="600" w:lineRule="exact"/>
        <w:textAlignment w:val="baseline"/>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val="en-US" w:eastAsia="zh-CN"/>
        </w:rPr>
        <w:t>益阳</w:t>
      </w:r>
      <w:r>
        <w:rPr>
          <w:rFonts w:hint="eastAsia" w:ascii="方正小标宋简体" w:hAnsi="方正小标宋简体" w:eastAsia="方正小标宋简体" w:cs="方正小标宋简体"/>
          <w:bCs/>
          <w:kern w:val="0"/>
          <w:sz w:val="44"/>
          <w:szCs w:val="44"/>
        </w:rPr>
        <w:t>市城市户外广告资源有偿使用</w:t>
      </w:r>
      <w:bookmarkStart w:id="0" w:name="_Toc30147"/>
    </w:p>
    <w:p>
      <w:pPr>
        <w:pStyle w:val="2"/>
        <w:keepNext/>
        <w:keepLines/>
        <w:pageBreakBefore w:val="0"/>
        <w:widowControl w:val="0"/>
        <w:kinsoku/>
        <w:wordWrap/>
        <w:overflowPunct/>
        <w:topLinePunct w:val="0"/>
        <w:autoSpaceDE/>
        <w:autoSpaceDN/>
        <w:bidi w:val="0"/>
        <w:adjustRightInd w:val="0"/>
        <w:snapToGrid w:val="0"/>
        <w:spacing w:line="600" w:lineRule="exact"/>
        <w:textAlignment w:val="baseline"/>
        <w:rPr>
          <w:rFonts w:hint="eastAsia" w:ascii="方正小标宋简体" w:hAnsi="方正小标宋简体" w:eastAsia="方正小标宋简体" w:cs="方正小标宋简体"/>
          <w:bCs/>
          <w:kern w:val="0"/>
          <w:sz w:val="44"/>
          <w:szCs w:val="44"/>
          <w:lang w:val="en-US" w:eastAsia="zh-CN"/>
        </w:rPr>
      </w:pPr>
      <w:r>
        <w:rPr>
          <w:rFonts w:hint="eastAsia" w:ascii="方正小标宋简体" w:hAnsi="方正小标宋简体" w:eastAsia="方正小标宋简体" w:cs="方正小标宋简体"/>
          <w:bCs/>
          <w:kern w:val="0"/>
          <w:sz w:val="44"/>
          <w:szCs w:val="44"/>
        </w:rPr>
        <w:t>基准价格评估报告</w:t>
      </w:r>
      <w:bookmarkEnd w:id="0"/>
    </w:p>
    <w:p>
      <w:pPr>
        <w:adjustRightInd/>
        <w:snapToGrid/>
        <w:spacing w:after="120" w:afterLines="50" w:line="360" w:lineRule="auto"/>
        <w:jc w:val="center"/>
        <w:textAlignment w:val="auto"/>
        <w:rPr>
          <w:rFonts w:hint="eastAsia" w:ascii="黑体" w:hAnsi="宋体" w:eastAsia="黑体"/>
          <w:bCs/>
          <w:kern w:val="2"/>
          <w:szCs w:val="24"/>
        </w:rPr>
      </w:pPr>
      <w:r>
        <w:rPr>
          <w:rFonts w:hint="eastAsia" w:ascii="黑体" w:hAnsi="宋体" w:eastAsia="黑体"/>
          <w:bCs/>
          <w:kern w:val="2"/>
          <w:szCs w:val="24"/>
        </w:rPr>
        <w:t>湘中天华</w:t>
      </w:r>
      <w:r>
        <w:rPr>
          <w:rFonts w:hint="eastAsia" w:ascii="黑体" w:hAnsi="宋体" w:eastAsia="黑体"/>
          <w:bCs/>
          <w:kern w:val="2"/>
          <w:szCs w:val="24"/>
          <w:lang w:val="en-US" w:eastAsia="zh-CN"/>
        </w:rPr>
        <w:t>资</w:t>
      </w:r>
      <w:r>
        <w:rPr>
          <w:rFonts w:hint="eastAsia" w:ascii="黑体" w:hAnsi="宋体" w:eastAsia="黑体"/>
          <w:bCs/>
          <w:kern w:val="2"/>
          <w:szCs w:val="24"/>
        </w:rPr>
        <w:t>评报字[201</w:t>
      </w:r>
      <w:r>
        <w:rPr>
          <w:rFonts w:hint="eastAsia" w:ascii="黑体" w:hAnsi="宋体" w:eastAsia="黑体"/>
          <w:bCs/>
          <w:kern w:val="2"/>
          <w:szCs w:val="24"/>
          <w:lang w:val="en-US" w:eastAsia="zh-CN"/>
        </w:rPr>
        <w:t>9</w:t>
      </w:r>
      <w:r>
        <w:rPr>
          <w:rFonts w:hint="eastAsia" w:ascii="黑体" w:hAnsi="宋体" w:eastAsia="黑体"/>
          <w:bCs/>
          <w:kern w:val="2"/>
          <w:szCs w:val="24"/>
        </w:rPr>
        <w:t>]第</w:t>
      </w:r>
      <w:r>
        <w:rPr>
          <w:rFonts w:hint="eastAsia" w:ascii="黑体" w:hAnsi="宋体" w:eastAsia="黑体"/>
          <w:bCs/>
          <w:kern w:val="2"/>
          <w:szCs w:val="24"/>
          <w:lang w:val="en-US" w:eastAsia="zh-CN"/>
        </w:rPr>
        <w:t>163</w:t>
      </w:r>
      <w:r>
        <w:rPr>
          <w:rFonts w:hint="eastAsia" w:ascii="黑体" w:hAnsi="宋体" w:eastAsia="黑体"/>
          <w:bCs/>
          <w:kern w:val="2"/>
          <w:szCs w:val="24"/>
        </w:rPr>
        <w:t>号</w:t>
      </w:r>
    </w:p>
    <w:p>
      <w:pPr>
        <w:adjustRightInd/>
        <w:snapToGrid/>
        <w:spacing w:before="120" w:after="60" w:line="400" w:lineRule="exact"/>
        <w:textAlignment w:val="auto"/>
        <w:rPr>
          <w:rFonts w:ascii="仿宋" w:hAnsi="仿宋" w:eastAsia="仿宋" w:cs="仿宋"/>
          <w:b/>
          <w:szCs w:val="24"/>
        </w:rPr>
      </w:pPr>
      <w:r>
        <w:rPr>
          <w:rFonts w:hint="eastAsia" w:ascii="仿宋" w:hAnsi="仿宋" w:eastAsia="仿宋" w:cs="仿宋"/>
          <w:b/>
          <w:szCs w:val="24"/>
          <w:lang w:val="en-US" w:eastAsia="zh-CN"/>
        </w:rPr>
        <w:t>益阳市城市管理和综合执法局</w:t>
      </w:r>
      <w:r>
        <w:rPr>
          <w:rFonts w:hint="eastAsia" w:ascii="仿宋" w:hAnsi="仿宋" w:eastAsia="仿宋" w:cs="仿宋"/>
          <w:b/>
          <w:szCs w:val="24"/>
        </w:rPr>
        <w:t>：</w:t>
      </w:r>
    </w:p>
    <w:p>
      <w:pPr>
        <w:pStyle w:val="3"/>
        <w:spacing w:line="380" w:lineRule="exact"/>
        <w:ind w:firstLine="480"/>
        <w:jc w:val="both"/>
        <w:rPr>
          <w:rFonts w:ascii="仿宋" w:hAnsi="仿宋" w:eastAsia="仿宋" w:cs="仿宋"/>
          <w:szCs w:val="24"/>
        </w:rPr>
      </w:pPr>
      <w:r>
        <w:rPr>
          <w:rFonts w:hint="eastAsia" w:ascii="仿宋" w:hAnsi="仿宋" w:eastAsia="仿宋" w:cs="仿宋"/>
          <w:szCs w:val="24"/>
        </w:rPr>
        <w:t>湖南中天华资产评估有限公司接受</w:t>
      </w:r>
      <w:r>
        <w:rPr>
          <w:rFonts w:hint="eastAsia" w:ascii="仿宋" w:hAnsi="仿宋" w:eastAsia="仿宋" w:cs="仿宋"/>
          <w:szCs w:val="24"/>
          <w:lang w:val="en-US" w:eastAsia="zh-CN"/>
        </w:rPr>
        <w:t>贵单位</w:t>
      </w:r>
      <w:r>
        <w:rPr>
          <w:rFonts w:hint="eastAsia" w:ascii="仿宋" w:hAnsi="仿宋" w:eastAsia="仿宋" w:cs="仿宋"/>
          <w:szCs w:val="24"/>
        </w:rPr>
        <w:t>的委托，根据有关法律、法规和资产评估准则、资产评估原则，采用</w:t>
      </w:r>
      <w:r>
        <w:rPr>
          <w:rFonts w:hint="eastAsia" w:ascii="仿宋" w:hAnsi="仿宋" w:eastAsia="仿宋" w:cs="仿宋"/>
          <w:szCs w:val="24"/>
          <w:lang w:val="en-US" w:eastAsia="zh-CN"/>
        </w:rPr>
        <w:t>市场</w:t>
      </w:r>
      <w:r>
        <w:rPr>
          <w:rFonts w:hint="eastAsia" w:ascii="仿宋" w:hAnsi="仿宋" w:eastAsia="仿宋" w:cs="仿宋"/>
          <w:szCs w:val="24"/>
        </w:rPr>
        <w:t>法，按照必要的评估程序，对</w:t>
      </w:r>
      <w:r>
        <w:rPr>
          <w:rFonts w:hint="eastAsia" w:ascii="仿宋" w:hAnsi="仿宋" w:eastAsia="仿宋" w:cs="仿宋"/>
          <w:szCs w:val="24"/>
          <w:lang w:val="en-US" w:eastAsia="zh-CN"/>
        </w:rPr>
        <w:t>益阳</w:t>
      </w:r>
      <w:r>
        <w:rPr>
          <w:rFonts w:hint="eastAsia" w:ascii="仿宋" w:hAnsi="仿宋" w:eastAsia="仿宋" w:cs="仿宋"/>
          <w:szCs w:val="24"/>
        </w:rPr>
        <w:t>市</w:t>
      </w:r>
      <w:r>
        <w:rPr>
          <w:rFonts w:hint="eastAsia" w:ascii="仿宋" w:hAnsi="仿宋" w:eastAsia="仿宋" w:cs="仿宋"/>
          <w:szCs w:val="24"/>
          <w:lang w:eastAsia="zh-CN"/>
        </w:rPr>
        <w:t>城市户外广告资源有偿使用资金</w:t>
      </w:r>
      <w:r>
        <w:rPr>
          <w:rFonts w:hint="eastAsia" w:ascii="仿宋" w:hAnsi="仿宋" w:eastAsia="仿宋" w:cs="仿宋"/>
          <w:szCs w:val="24"/>
        </w:rPr>
        <w:t>在201</w:t>
      </w:r>
      <w:r>
        <w:rPr>
          <w:rFonts w:hint="eastAsia" w:ascii="仿宋" w:hAnsi="仿宋" w:eastAsia="仿宋" w:cs="仿宋"/>
          <w:szCs w:val="24"/>
          <w:lang w:val="en-US" w:eastAsia="zh-CN"/>
        </w:rPr>
        <w:t>9</w:t>
      </w:r>
      <w:r>
        <w:rPr>
          <w:rFonts w:hint="eastAsia" w:ascii="仿宋" w:hAnsi="仿宋" w:eastAsia="仿宋" w:cs="仿宋"/>
          <w:szCs w:val="24"/>
        </w:rPr>
        <w:t>年</w:t>
      </w:r>
      <w:r>
        <w:rPr>
          <w:rFonts w:hint="eastAsia" w:ascii="仿宋" w:hAnsi="仿宋" w:eastAsia="仿宋" w:cs="仿宋"/>
          <w:szCs w:val="24"/>
          <w:lang w:val="en-US" w:eastAsia="zh-CN"/>
        </w:rPr>
        <w:t>10</w:t>
      </w:r>
      <w:r>
        <w:rPr>
          <w:rFonts w:hint="eastAsia" w:ascii="仿宋" w:hAnsi="仿宋" w:eastAsia="仿宋" w:cs="仿宋"/>
          <w:szCs w:val="24"/>
        </w:rPr>
        <w:t>月</w:t>
      </w:r>
      <w:r>
        <w:rPr>
          <w:rFonts w:hint="eastAsia" w:ascii="仿宋" w:hAnsi="仿宋" w:eastAsia="仿宋" w:cs="仿宋"/>
          <w:szCs w:val="24"/>
          <w:lang w:val="en-US" w:eastAsia="zh-CN"/>
        </w:rPr>
        <w:t>30</w:t>
      </w:r>
      <w:r>
        <w:rPr>
          <w:rFonts w:hint="eastAsia" w:ascii="仿宋" w:hAnsi="仿宋" w:eastAsia="仿宋" w:cs="仿宋"/>
          <w:szCs w:val="24"/>
        </w:rPr>
        <w:t>日的基准价格进行了评估。现将评估情况报告如下。</w:t>
      </w:r>
    </w:p>
    <w:p>
      <w:pPr>
        <w:pStyle w:val="2"/>
        <w:spacing w:before="240" w:after="180" w:line="380" w:lineRule="exact"/>
        <w:ind w:firstLine="482" w:firstLineChars="200"/>
        <w:jc w:val="both"/>
        <w:rPr>
          <w:rFonts w:hint="eastAsia" w:ascii="仿宋" w:hAnsi="仿宋" w:eastAsia="仿宋" w:cs="仿宋"/>
          <w:sz w:val="24"/>
          <w:szCs w:val="24"/>
          <w:lang w:val="en-US" w:eastAsia="zh-CN"/>
        </w:rPr>
      </w:pPr>
      <w:bookmarkStart w:id="1" w:name="_Toc202081302"/>
      <w:bookmarkStart w:id="2" w:name="_Toc3748"/>
      <w:r>
        <w:rPr>
          <w:rFonts w:hint="eastAsia" w:ascii="仿宋" w:hAnsi="仿宋" w:eastAsia="仿宋" w:cs="仿宋"/>
          <w:sz w:val="24"/>
          <w:szCs w:val="24"/>
        </w:rPr>
        <w:t>一、委托人</w:t>
      </w:r>
      <w:bookmarkEnd w:id="1"/>
      <w:r>
        <w:rPr>
          <w:rFonts w:hint="eastAsia" w:ascii="仿宋" w:hAnsi="仿宋" w:eastAsia="仿宋" w:cs="仿宋"/>
          <w:sz w:val="24"/>
          <w:szCs w:val="24"/>
        </w:rPr>
        <w:t>及其他</w:t>
      </w:r>
      <w:r>
        <w:rPr>
          <w:rFonts w:hint="eastAsia" w:ascii="仿宋" w:hAnsi="仿宋" w:eastAsia="仿宋" w:cs="仿宋"/>
          <w:sz w:val="24"/>
          <w:szCs w:val="24"/>
          <w:lang w:val="en-US" w:eastAsia="zh-CN"/>
        </w:rPr>
        <w:t>资产</w:t>
      </w:r>
      <w:r>
        <w:rPr>
          <w:rFonts w:hint="eastAsia" w:ascii="仿宋" w:hAnsi="仿宋" w:eastAsia="仿宋" w:cs="仿宋"/>
          <w:sz w:val="24"/>
          <w:szCs w:val="24"/>
        </w:rPr>
        <w:t>评估报告使用</w:t>
      </w:r>
      <w:bookmarkEnd w:id="2"/>
      <w:r>
        <w:rPr>
          <w:rFonts w:hint="eastAsia" w:ascii="仿宋" w:hAnsi="仿宋" w:eastAsia="仿宋" w:cs="仿宋"/>
          <w:sz w:val="24"/>
          <w:szCs w:val="24"/>
          <w:lang w:val="en-US" w:eastAsia="zh-CN"/>
        </w:rPr>
        <w:t>人</w:t>
      </w:r>
    </w:p>
    <w:p>
      <w:pPr>
        <w:keepNext w:val="0"/>
        <w:keepLines w:val="0"/>
        <w:pageBreakBefore w:val="0"/>
        <w:widowControl w:val="0"/>
        <w:tabs>
          <w:tab w:val="left" w:pos="411"/>
        </w:tabs>
        <w:kinsoku/>
        <w:wordWrap/>
        <w:overflowPunct/>
        <w:topLinePunct w:val="0"/>
        <w:autoSpaceDE/>
        <w:autoSpaceDN/>
        <w:bidi w:val="0"/>
        <w:adjustRightInd w:val="0"/>
        <w:snapToGrid w:val="0"/>
        <w:spacing w:line="380" w:lineRule="exact"/>
        <w:ind w:firstLine="480" w:firstLineChars="200"/>
        <w:textAlignment w:val="baseline"/>
        <w:rPr>
          <w:rFonts w:hint="eastAsia" w:ascii="仿宋" w:hAnsi="仿宋" w:eastAsia="仿宋" w:cs="仿宋"/>
          <w:szCs w:val="24"/>
        </w:rPr>
      </w:pPr>
      <w:bookmarkStart w:id="3" w:name="_Toc202081303"/>
      <w:r>
        <w:rPr>
          <w:rFonts w:hint="eastAsia" w:ascii="仿宋" w:hAnsi="仿宋" w:eastAsia="仿宋" w:cs="仿宋"/>
          <w:szCs w:val="24"/>
        </w:rPr>
        <w:t>本次户外广告资源有偿使用基准价格评估委托人为</w:t>
      </w:r>
      <w:r>
        <w:rPr>
          <w:rFonts w:hint="eastAsia" w:ascii="仿宋" w:hAnsi="仿宋" w:eastAsia="仿宋" w:cs="仿宋"/>
          <w:szCs w:val="24"/>
          <w:lang w:val="en-US" w:eastAsia="zh-CN"/>
        </w:rPr>
        <w:t>益阳市城市管理和综合执法局</w:t>
      </w:r>
      <w:r>
        <w:rPr>
          <w:rFonts w:hint="eastAsia" w:ascii="仿宋" w:hAnsi="仿宋" w:eastAsia="仿宋" w:cs="仿宋"/>
          <w:szCs w:val="24"/>
        </w:rPr>
        <w:t>。</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default" w:ascii="仿宋" w:hAnsi="仿宋" w:eastAsia="仿宋"/>
          <w:lang w:val="en-US" w:eastAsia="zh-CN"/>
        </w:rPr>
      </w:pPr>
      <w:r>
        <w:rPr>
          <w:rFonts w:hint="eastAsia" w:ascii="仿宋" w:hAnsi="仿宋" w:eastAsia="仿宋"/>
          <w:lang w:eastAsia="zh-CN"/>
        </w:rPr>
        <w:t>（</w:t>
      </w:r>
      <w:r>
        <w:rPr>
          <w:rFonts w:hint="eastAsia" w:ascii="仿宋" w:hAnsi="仿宋" w:eastAsia="仿宋"/>
          <w:lang w:val="en-US" w:eastAsia="zh-CN"/>
        </w:rPr>
        <w:t>一</w:t>
      </w:r>
      <w:r>
        <w:rPr>
          <w:rFonts w:hint="eastAsia" w:ascii="仿宋" w:hAnsi="仿宋" w:eastAsia="仿宋"/>
          <w:lang w:eastAsia="zh-CN"/>
        </w:rPr>
        <w:t>）</w:t>
      </w:r>
      <w:r>
        <w:rPr>
          <w:rFonts w:hint="eastAsia" w:ascii="仿宋" w:hAnsi="仿宋" w:eastAsia="仿宋"/>
          <w:lang w:val="en-US" w:eastAsia="zh-CN"/>
        </w:rPr>
        <w:t>委托人</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default" w:ascii="仿宋" w:hAnsi="仿宋" w:eastAsia="仿宋"/>
          <w:szCs w:val="22"/>
          <w:lang w:val="en-US" w:eastAsia="zh-CN"/>
        </w:rPr>
      </w:pPr>
      <w:r>
        <w:rPr>
          <w:rFonts w:hint="eastAsia" w:ascii="仿宋" w:hAnsi="仿宋" w:eastAsia="仿宋"/>
          <w:szCs w:val="22"/>
          <w:lang w:val="en-US" w:eastAsia="zh-CN"/>
        </w:rPr>
        <w:t>1.机构名称：益阳市城市管理和综合执法局</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eastAsia" w:ascii="仿宋" w:hAnsi="仿宋" w:eastAsia="仿宋"/>
          <w:szCs w:val="22"/>
          <w:lang w:val="en-US" w:eastAsia="zh-CN"/>
        </w:rPr>
      </w:pPr>
      <w:r>
        <w:rPr>
          <w:rFonts w:hint="eastAsia" w:ascii="仿宋" w:hAnsi="仿宋" w:eastAsia="仿宋"/>
          <w:szCs w:val="22"/>
          <w:lang w:val="en-US" w:eastAsia="zh-CN"/>
        </w:rPr>
        <w:t>2.机构性质：机关</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eastAsia" w:ascii="仿宋" w:hAnsi="仿宋" w:eastAsia="仿宋"/>
          <w:szCs w:val="22"/>
          <w:lang w:val="en-US" w:eastAsia="zh-CN"/>
        </w:rPr>
      </w:pPr>
      <w:r>
        <w:rPr>
          <w:rFonts w:hint="eastAsia" w:ascii="仿宋" w:hAnsi="仿宋" w:eastAsia="仿宋"/>
          <w:szCs w:val="22"/>
          <w:lang w:val="en-US" w:eastAsia="zh-CN"/>
        </w:rPr>
        <w:t>3.机构地址：益阳市海棠西路468号</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eastAsia" w:ascii="仿宋" w:hAnsi="仿宋" w:eastAsia="仿宋"/>
          <w:szCs w:val="22"/>
          <w:lang w:val="en-US" w:eastAsia="zh-CN"/>
        </w:rPr>
      </w:pPr>
      <w:r>
        <w:rPr>
          <w:rFonts w:hint="eastAsia" w:ascii="仿宋" w:hAnsi="仿宋" w:eastAsia="仿宋"/>
          <w:szCs w:val="22"/>
          <w:lang w:val="en-US" w:eastAsia="zh-CN"/>
        </w:rPr>
        <w:t>4.负责人：梁成立</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default" w:ascii="仿宋" w:hAnsi="仿宋" w:eastAsia="仿宋"/>
          <w:szCs w:val="22"/>
          <w:lang w:val="en-US" w:eastAsia="zh-CN"/>
        </w:rPr>
      </w:pPr>
      <w:r>
        <w:rPr>
          <w:rFonts w:hint="eastAsia" w:ascii="仿宋" w:hAnsi="仿宋" w:eastAsia="仿宋"/>
          <w:szCs w:val="22"/>
          <w:lang w:val="en-US" w:eastAsia="zh-CN"/>
        </w:rPr>
        <w:t>5.统一社会信用代码：114309007808621537</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hint="eastAsia" w:ascii="仿宋" w:hAnsi="仿宋" w:eastAsia="仿宋"/>
          <w:szCs w:val="22"/>
          <w:lang w:val="en-US" w:eastAsia="zh-CN"/>
        </w:rPr>
      </w:pPr>
      <w:r>
        <w:rPr>
          <w:rFonts w:hint="eastAsia" w:ascii="仿宋" w:hAnsi="仿宋" w:eastAsia="仿宋"/>
          <w:szCs w:val="22"/>
          <w:lang w:val="en-US" w:eastAsia="zh-CN"/>
        </w:rPr>
        <w:t>（二）委托人以外的其他资产评估报告使用人</w:t>
      </w:r>
    </w:p>
    <w:p>
      <w:pPr>
        <w:pStyle w:val="3"/>
        <w:keepNext w:val="0"/>
        <w:keepLines w:val="0"/>
        <w:pageBreakBefore w:val="0"/>
        <w:widowControl w:val="0"/>
        <w:kinsoku/>
        <w:wordWrap/>
        <w:overflowPunct/>
        <w:topLinePunct w:val="0"/>
        <w:autoSpaceDE/>
        <w:autoSpaceDN/>
        <w:bidi w:val="0"/>
        <w:adjustRightInd w:val="0"/>
        <w:snapToGrid w:val="0"/>
        <w:spacing w:line="380" w:lineRule="exact"/>
        <w:ind w:firstLine="480"/>
        <w:jc w:val="both"/>
        <w:textAlignment w:val="baseline"/>
        <w:rPr>
          <w:rFonts w:ascii="仿宋" w:hAnsi="仿宋" w:eastAsia="仿宋" w:cs="仿宋"/>
          <w:szCs w:val="24"/>
        </w:rPr>
      </w:pPr>
      <w:r>
        <w:rPr>
          <w:rFonts w:hint="eastAsia" w:ascii="仿宋" w:hAnsi="仿宋" w:eastAsia="仿宋"/>
          <w:szCs w:val="22"/>
          <w:lang w:val="en-US" w:eastAsia="zh-CN"/>
        </w:rPr>
        <w:t>其他资产评估报告使用人为与本次经济行为密切相关的政府主管部门、委托人主管部门以及广告代理机构</w:t>
      </w:r>
      <w:r>
        <w:rPr>
          <w:rFonts w:hint="eastAsia" w:ascii="仿宋" w:hAnsi="仿宋" w:eastAsia="仿宋" w:cs="仿宋"/>
          <w:szCs w:val="24"/>
        </w:rPr>
        <w:t>。</w:t>
      </w:r>
    </w:p>
    <w:p>
      <w:pPr>
        <w:pStyle w:val="2"/>
        <w:keepNext/>
        <w:keepLines/>
        <w:pageBreakBefore w:val="0"/>
        <w:widowControl w:val="0"/>
        <w:kinsoku/>
        <w:wordWrap/>
        <w:overflowPunct/>
        <w:topLinePunct w:val="0"/>
        <w:autoSpaceDE/>
        <w:autoSpaceDN/>
        <w:bidi w:val="0"/>
        <w:adjustRightInd w:val="0"/>
        <w:snapToGrid w:val="0"/>
        <w:spacing w:after="240" w:line="400" w:lineRule="exact"/>
        <w:ind w:firstLine="482" w:firstLineChars="200"/>
        <w:jc w:val="both"/>
        <w:textAlignment w:val="baseline"/>
        <w:rPr>
          <w:rFonts w:ascii="仿宋" w:hAnsi="仿宋" w:eastAsia="仿宋" w:cs="仿宋"/>
          <w:sz w:val="24"/>
          <w:szCs w:val="24"/>
        </w:rPr>
      </w:pPr>
      <w:bookmarkStart w:id="4" w:name="_Toc11208"/>
      <w:r>
        <w:rPr>
          <w:rFonts w:hint="eastAsia" w:ascii="仿宋" w:hAnsi="仿宋" w:eastAsia="仿宋" w:cs="仿宋"/>
          <w:sz w:val="24"/>
          <w:szCs w:val="24"/>
        </w:rPr>
        <w:t>二、评估目的</w:t>
      </w:r>
      <w:bookmarkEnd w:id="3"/>
      <w:bookmarkEnd w:id="4"/>
    </w:p>
    <w:p>
      <w:pPr>
        <w:pStyle w:val="3"/>
        <w:keepNext w:val="0"/>
        <w:keepLines w:val="0"/>
        <w:pageBreakBefore w:val="0"/>
        <w:widowControl w:val="0"/>
        <w:kinsoku/>
        <w:wordWrap/>
        <w:overflowPunct/>
        <w:topLinePunct w:val="0"/>
        <w:autoSpaceDE/>
        <w:autoSpaceDN/>
        <w:bidi w:val="0"/>
        <w:adjustRightInd w:val="0"/>
        <w:snapToGrid w:val="0"/>
        <w:spacing w:line="380" w:lineRule="exact"/>
        <w:ind w:right="-98" w:rightChars="-41" w:firstLine="480"/>
        <w:textAlignment w:val="baseline"/>
        <w:rPr>
          <w:rFonts w:ascii="仿宋" w:hAnsi="仿宋" w:eastAsia="仿宋" w:cs="仿宋"/>
          <w:color w:val="auto"/>
          <w:szCs w:val="24"/>
        </w:rPr>
      </w:pPr>
      <w:bookmarkStart w:id="5" w:name="OLE_LINK2"/>
      <w:r>
        <w:rPr>
          <w:rFonts w:hint="eastAsia" w:ascii="仿宋" w:hAnsi="仿宋" w:eastAsia="仿宋"/>
          <w:color w:val="auto"/>
          <w:szCs w:val="24"/>
          <w:lang w:eastAsia="zh-CN"/>
        </w:rPr>
        <w:t>益阳市城市管理和综合执法局</w:t>
      </w:r>
      <w:r>
        <w:rPr>
          <w:rFonts w:hint="eastAsia" w:ascii="仿宋" w:hAnsi="仿宋" w:eastAsia="仿宋"/>
          <w:color w:val="auto"/>
          <w:szCs w:val="24"/>
          <w:lang w:val="en-US" w:eastAsia="zh-CN"/>
        </w:rPr>
        <w:t>拟了解益阳市城市户外广告资源有偿使用基准价格，委托湖南中天华资产评估有限公司对</w:t>
      </w:r>
      <w:r>
        <w:rPr>
          <w:rFonts w:hint="eastAsia" w:ascii="仿宋" w:hAnsi="仿宋" w:eastAsia="仿宋" w:cs="仿宋"/>
          <w:color w:val="auto"/>
          <w:lang w:val="en-US" w:eastAsia="zh-CN"/>
        </w:rPr>
        <w:t>益阳</w:t>
      </w:r>
      <w:r>
        <w:rPr>
          <w:rFonts w:hint="eastAsia" w:ascii="仿宋" w:hAnsi="仿宋" w:eastAsia="仿宋" w:cs="仿宋"/>
          <w:color w:val="auto"/>
        </w:rPr>
        <w:t>市城市建成区利用户外的场地、空间、建筑物、市政设施</w:t>
      </w:r>
      <w:r>
        <w:rPr>
          <w:rFonts w:hint="eastAsia" w:ascii="仿宋" w:hAnsi="仿宋" w:eastAsia="仿宋" w:cs="仿宋"/>
        </w:rPr>
        <w:t>、交通工具以及其他媒介设置、张贴的</w:t>
      </w:r>
      <w:r>
        <w:rPr>
          <w:rFonts w:hint="eastAsia" w:ascii="仿宋" w:hAnsi="仿宋" w:eastAsia="仿宋" w:cs="仿宋"/>
          <w:color w:val="auto"/>
        </w:rPr>
        <w:t>广告</w:t>
      </w:r>
      <w:r>
        <w:rPr>
          <w:rFonts w:hint="eastAsia" w:ascii="仿宋" w:hAnsi="仿宋" w:eastAsia="仿宋" w:cs="仿宋"/>
          <w:color w:val="auto"/>
          <w:lang w:val="en-US" w:eastAsia="zh-CN"/>
        </w:rPr>
        <w:t>的有偿使用基准价格进行评估。</w:t>
      </w:r>
      <w:r>
        <w:rPr>
          <w:rFonts w:hint="eastAsia" w:ascii="仿宋" w:hAnsi="仿宋" w:eastAsia="仿宋" w:cs="仿宋"/>
          <w:color w:val="auto"/>
          <w:szCs w:val="24"/>
        </w:rPr>
        <w:t>本次评估目的系为</w:t>
      </w:r>
      <w:r>
        <w:rPr>
          <w:rFonts w:hint="eastAsia" w:ascii="仿宋" w:hAnsi="仿宋" w:eastAsia="仿宋"/>
          <w:color w:val="auto"/>
          <w:szCs w:val="24"/>
          <w:lang w:eastAsia="zh-CN"/>
        </w:rPr>
        <w:t>益阳市城市管理和综合执法局</w:t>
      </w:r>
      <w:r>
        <w:rPr>
          <w:rFonts w:hint="eastAsia" w:ascii="仿宋" w:hAnsi="仿宋" w:eastAsia="仿宋"/>
          <w:color w:val="auto"/>
          <w:szCs w:val="24"/>
          <w:lang w:val="en-US" w:eastAsia="zh-CN"/>
        </w:rPr>
        <w:t>拟</w:t>
      </w:r>
      <w:r>
        <w:rPr>
          <w:rFonts w:hint="eastAsia" w:ascii="仿宋" w:hAnsi="仿宋" w:eastAsia="仿宋" w:cs="仿宋"/>
          <w:color w:val="auto"/>
          <w:szCs w:val="24"/>
        </w:rPr>
        <w:t>收取</w:t>
      </w:r>
      <w:r>
        <w:rPr>
          <w:rFonts w:hint="eastAsia" w:ascii="仿宋" w:hAnsi="仿宋" w:eastAsia="仿宋" w:cs="仿宋"/>
          <w:color w:val="auto"/>
          <w:szCs w:val="24"/>
          <w:lang w:val="en-US" w:eastAsia="zh-CN"/>
        </w:rPr>
        <w:t>益阳市</w:t>
      </w:r>
      <w:r>
        <w:rPr>
          <w:rFonts w:hint="eastAsia" w:ascii="仿宋" w:hAnsi="仿宋" w:eastAsia="仿宋" w:cs="仿宋"/>
          <w:color w:val="auto"/>
          <w:szCs w:val="24"/>
          <w:lang w:eastAsia="zh-CN"/>
        </w:rPr>
        <w:t>城市户外广告资源有偿使用资金</w:t>
      </w:r>
      <w:r>
        <w:rPr>
          <w:rFonts w:hint="eastAsia" w:ascii="仿宋" w:hAnsi="仿宋" w:eastAsia="仿宋" w:cs="仿宋"/>
          <w:color w:val="auto"/>
        </w:rPr>
        <w:t>提供基准价格参考依据。</w:t>
      </w:r>
    </w:p>
    <w:p>
      <w:pPr>
        <w:pStyle w:val="2"/>
        <w:keepNext/>
        <w:keepLines/>
        <w:pageBreakBefore w:val="0"/>
        <w:widowControl w:val="0"/>
        <w:kinsoku/>
        <w:wordWrap/>
        <w:overflowPunct/>
        <w:topLinePunct w:val="0"/>
        <w:autoSpaceDE/>
        <w:autoSpaceDN/>
        <w:bidi w:val="0"/>
        <w:adjustRightInd w:val="0"/>
        <w:snapToGrid w:val="0"/>
        <w:spacing w:after="240" w:line="380" w:lineRule="exact"/>
        <w:ind w:firstLine="482" w:firstLineChars="200"/>
        <w:jc w:val="both"/>
        <w:textAlignment w:val="baseline"/>
        <w:rPr>
          <w:rFonts w:ascii="仿宋" w:hAnsi="仿宋" w:eastAsia="仿宋" w:cs="仿宋"/>
          <w:color w:val="auto"/>
          <w:sz w:val="24"/>
          <w:szCs w:val="24"/>
        </w:rPr>
      </w:pPr>
      <w:bookmarkStart w:id="6" w:name="_Toc9590"/>
      <w:r>
        <w:rPr>
          <w:rFonts w:hint="eastAsia" w:ascii="仿宋" w:hAnsi="仿宋" w:eastAsia="仿宋" w:cs="仿宋"/>
          <w:color w:val="auto"/>
          <w:sz w:val="24"/>
          <w:szCs w:val="24"/>
        </w:rPr>
        <w:t>三、评估</w:t>
      </w:r>
      <w:r>
        <w:rPr>
          <w:rFonts w:hint="eastAsia" w:ascii="仿宋" w:hAnsi="仿宋" w:eastAsia="仿宋" w:cs="仿宋"/>
          <w:color w:val="auto"/>
          <w:sz w:val="24"/>
          <w:szCs w:val="24"/>
          <w:lang w:val="en-US" w:eastAsia="zh-CN"/>
        </w:rPr>
        <w:t>对象和评估</w:t>
      </w:r>
      <w:r>
        <w:rPr>
          <w:rFonts w:hint="eastAsia" w:ascii="仿宋" w:hAnsi="仿宋" w:eastAsia="仿宋" w:cs="仿宋"/>
          <w:color w:val="auto"/>
          <w:sz w:val="24"/>
          <w:szCs w:val="24"/>
        </w:rPr>
        <w:t>范围</w:t>
      </w:r>
      <w:bookmarkEnd w:id="6"/>
    </w:p>
    <w:p>
      <w:pPr>
        <w:pStyle w:val="3"/>
        <w:spacing w:line="380" w:lineRule="exact"/>
        <w:ind w:left="0" w:leftChars="0" w:firstLine="480" w:firstLineChars="200"/>
        <w:jc w:val="both"/>
        <w:rPr>
          <w:rFonts w:ascii="仿宋" w:hAnsi="仿宋" w:eastAsia="仿宋" w:cs="仿宋"/>
          <w:szCs w:val="24"/>
        </w:rPr>
      </w:pPr>
      <w:bookmarkStart w:id="7" w:name="_Toc185746172"/>
      <w:bookmarkStart w:id="8" w:name="_Toc202081304"/>
      <w:r>
        <w:rPr>
          <w:rFonts w:hint="eastAsia" w:ascii="仿宋" w:hAnsi="仿宋" w:eastAsia="仿宋" w:cs="仿宋"/>
          <w:color w:val="auto"/>
          <w:lang w:val="en-US" w:eastAsia="zh-CN"/>
        </w:rPr>
        <w:t>本次评估对象为益阳市城市户外广告资源；具体</w:t>
      </w:r>
      <w:r>
        <w:rPr>
          <w:rFonts w:hint="eastAsia" w:ascii="仿宋" w:hAnsi="仿宋" w:eastAsia="仿宋" w:cs="仿宋"/>
          <w:color w:val="auto"/>
        </w:rPr>
        <w:t>评估范围为</w:t>
      </w:r>
      <w:r>
        <w:rPr>
          <w:rFonts w:hint="eastAsia" w:ascii="仿宋" w:hAnsi="仿宋" w:eastAsia="仿宋" w:cs="仿宋"/>
          <w:color w:val="auto"/>
          <w:lang w:val="en-US" w:eastAsia="zh-CN"/>
        </w:rPr>
        <w:t>益阳</w:t>
      </w:r>
      <w:r>
        <w:rPr>
          <w:rFonts w:hint="eastAsia" w:ascii="仿宋" w:hAnsi="仿宋" w:eastAsia="仿宋" w:cs="仿宋"/>
          <w:color w:val="auto"/>
        </w:rPr>
        <w:t>市城市建成区利用户外的场地、空间、建筑物、市政设施、交通工具以及其他</w:t>
      </w:r>
      <w:r>
        <w:rPr>
          <w:rFonts w:hint="eastAsia" w:ascii="仿宋" w:hAnsi="仿宋" w:eastAsia="仿宋" w:cs="仿宋"/>
        </w:rPr>
        <w:t>媒介设置、张贴的广告（详见评估范围明细表</w:t>
      </w:r>
      <w:r>
        <w:rPr>
          <w:rFonts w:hint="eastAsia" w:ascii="仿宋" w:hAnsi="仿宋" w:eastAsia="仿宋" w:cs="仿宋"/>
          <w:lang w:eastAsia="zh-CN"/>
        </w:rPr>
        <w:t>、</w:t>
      </w:r>
      <w:r>
        <w:rPr>
          <w:rFonts w:hint="eastAsia" w:ascii="仿宋" w:hAnsi="仿宋" w:eastAsia="仿宋" w:cs="仿宋"/>
          <w:lang w:val="en-US" w:eastAsia="zh-CN"/>
        </w:rPr>
        <w:t>广告类型明细表</w:t>
      </w:r>
      <w:r>
        <w:rPr>
          <w:rFonts w:hint="eastAsia" w:ascii="仿宋" w:hAnsi="仿宋" w:eastAsia="仿宋" w:cs="仿宋"/>
        </w:rPr>
        <w:t>）。</w:t>
      </w:r>
    </w:p>
    <w:p>
      <w:pPr>
        <w:spacing w:line="400" w:lineRule="exact"/>
        <w:ind w:right="17"/>
        <w:jc w:val="center"/>
        <w:rPr>
          <w:rFonts w:ascii="仿宋" w:hAnsi="仿宋" w:eastAsia="仿宋" w:cs="仿宋"/>
          <w:b/>
          <w:bCs/>
          <w:szCs w:val="24"/>
        </w:rPr>
      </w:pPr>
      <w:r>
        <w:rPr>
          <w:rFonts w:hint="eastAsia" w:ascii="仿宋" w:hAnsi="仿宋" w:eastAsia="仿宋" w:cs="仿宋"/>
          <w:b/>
          <w:bCs/>
          <w:szCs w:val="24"/>
        </w:rPr>
        <w:t>评估范围明细表</w:t>
      </w:r>
    </w:p>
    <w:tbl>
      <w:tblPr>
        <w:tblStyle w:val="6"/>
        <w:tblW w:w="981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446"/>
        <w:gridCol w:w="768"/>
        <w:gridCol w:w="6967"/>
        <w:gridCol w:w="840"/>
        <w:gridCol w:w="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PrEx>
        <w:trPr>
          <w:trHeight w:val="602" w:hRule="atLeast"/>
          <w:tblHeader/>
          <w:jc w:val="center"/>
        </w:trPr>
        <w:tc>
          <w:tcPr>
            <w:tcW w:w="446" w:type="dxa"/>
            <w:shd w:val="clear" w:color="auto" w:fill="auto"/>
            <w:vAlign w:val="center"/>
          </w:tcPr>
          <w:p>
            <w:pPr>
              <w:jc w:val="center"/>
              <w:rPr>
                <w:rFonts w:ascii="仿宋" w:hAnsi="仿宋" w:eastAsia="仿宋" w:cs="仿宋"/>
                <w:b/>
                <w:bCs/>
                <w:szCs w:val="22"/>
              </w:rPr>
            </w:pPr>
            <w:r>
              <w:rPr>
                <w:rFonts w:hint="eastAsia" w:ascii="仿宋" w:hAnsi="仿宋" w:eastAsia="仿宋" w:cs="仿宋"/>
                <w:b/>
                <w:bCs/>
                <w:szCs w:val="22"/>
              </w:rPr>
              <w:t>序号</w:t>
            </w:r>
          </w:p>
        </w:tc>
        <w:tc>
          <w:tcPr>
            <w:tcW w:w="768" w:type="dxa"/>
            <w:shd w:val="clear" w:color="auto" w:fill="auto"/>
            <w:vAlign w:val="center"/>
          </w:tcPr>
          <w:p>
            <w:pPr>
              <w:jc w:val="center"/>
              <w:rPr>
                <w:rFonts w:ascii="仿宋" w:hAnsi="仿宋" w:eastAsia="仿宋" w:cs="仿宋"/>
                <w:b/>
                <w:bCs/>
                <w:szCs w:val="22"/>
              </w:rPr>
            </w:pPr>
            <w:r>
              <w:rPr>
                <w:rFonts w:hint="eastAsia" w:ascii="仿宋" w:hAnsi="仿宋" w:eastAsia="仿宋" w:cs="仿宋"/>
                <w:b/>
                <w:bCs/>
                <w:szCs w:val="22"/>
              </w:rPr>
              <w:t>区域类别</w:t>
            </w:r>
          </w:p>
        </w:tc>
        <w:tc>
          <w:tcPr>
            <w:tcW w:w="6967" w:type="dxa"/>
            <w:shd w:val="clear" w:color="auto" w:fill="auto"/>
            <w:vAlign w:val="center"/>
          </w:tcPr>
          <w:p>
            <w:pPr>
              <w:jc w:val="center"/>
              <w:rPr>
                <w:rFonts w:ascii="仿宋" w:hAnsi="仿宋" w:eastAsia="仿宋" w:cs="仿宋"/>
                <w:b/>
                <w:bCs/>
                <w:szCs w:val="22"/>
              </w:rPr>
            </w:pPr>
            <w:r>
              <w:rPr>
                <w:rFonts w:hint="eastAsia" w:ascii="仿宋" w:hAnsi="仿宋" w:eastAsia="仿宋" w:cs="仿宋"/>
                <w:b/>
                <w:bCs/>
                <w:szCs w:val="22"/>
              </w:rPr>
              <w:t>区域范围</w:t>
            </w:r>
          </w:p>
        </w:tc>
        <w:tc>
          <w:tcPr>
            <w:tcW w:w="840" w:type="dxa"/>
            <w:shd w:val="clear" w:color="auto" w:fill="auto"/>
            <w:vAlign w:val="center"/>
          </w:tcPr>
          <w:p>
            <w:pPr>
              <w:jc w:val="center"/>
              <w:rPr>
                <w:rFonts w:ascii="仿宋" w:hAnsi="仿宋" w:eastAsia="仿宋" w:cs="仿宋"/>
                <w:b/>
                <w:bCs/>
                <w:szCs w:val="22"/>
              </w:rPr>
            </w:pPr>
            <w:r>
              <w:rPr>
                <w:rFonts w:hint="eastAsia" w:ascii="仿宋" w:hAnsi="仿宋" w:eastAsia="仿宋" w:cs="仿宋"/>
                <w:b/>
                <w:bCs/>
                <w:szCs w:val="22"/>
              </w:rPr>
              <w:t>辐射范围</w:t>
            </w:r>
          </w:p>
        </w:tc>
        <w:tc>
          <w:tcPr>
            <w:tcW w:w="796" w:type="dxa"/>
            <w:shd w:val="clear" w:color="auto" w:fill="auto"/>
            <w:vAlign w:val="center"/>
          </w:tcPr>
          <w:p>
            <w:pPr>
              <w:jc w:val="center"/>
              <w:rPr>
                <w:rFonts w:ascii="仿宋" w:hAnsi="仿宋" w:eastAsia="仿宋" w:cs="仿宋"/>
                <w:b/>
                <w:bCs/>
              </w:rPr>
            </w:pPr>
            <w:r>
              <w:rPr>
                <w:rFonts w:hint="eastAsia" w:ascii="仿宋" w:hAnsi="仿宋" w:eastAsia="仿宋" w:cs="仿宋"/>
                <w:b/>
                <w:bCs/>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39" w:hRule="atLeast"/>
          <w:jc w:val="center"/>
        </w:trPr>
        <w:tc>
          <w:tcPr>
            <w:tcW w:w="446" w:type="dxa"/>
            <w:shd w:val="clear" w:color="auto" w:fill="auto"/>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768" w:type="dxa"/>
            <w:shd w:val="clear" w:color="auto" w:fill="auto"/>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A类</w:t>
            </w:r>
          </w:p>
        </w:tc>
        <w:tc>
          <w:tcPr>
            <w:tcW w:w="6967" w:type="dxa"/>
            <w:shd w:val="clear" w:color="auto" w:fill="auto"/>
            <w:vAlign w:val="center"/>
          </w:tcPr>
          <w:p>
            <w:pPr>
              <w:widowControl/>
              <w:jc w:val="left"/>
              <w:textAlignment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A类区为市中心城区主要街道（十纵十横）和穿越城市规划区范围内的主要道路两侧（含商业广场）。</w:t>
            </w:r>
          </w:p>
          <w:p>
            <w:pPr>
              <w:widowControl/>
              <w:jc w:val="left"/>
              <w:textAlignment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十纵：金山路、康复路、龙洲路、大桃路、萝溪路、团圆路、银城大道、马良路、文昌路、白马山路；</w:t>
            </w:r>
          </w:p>
          <w:p>
            <w:pPr>
              <w:widowControl/>
              <w:jc w:val="left"/>
              <w:textAlignment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十横：益阳大道、桃花仑路、秀峰路、海棠路、梓山路、鹿角园路、迎宾路、五一路、长春路、资阳路；</w:t>
            </w:r>
          </w:p>
          <w:p>
            <w:pPr>
              <w:widowControl/>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穿越城市规划区范围内的主要道路：资江风光带（南北各一条）、益桃路、益沅路、绕城高速等。</w:t>
            </w:r>
          </w:p>
        </w:tc>
        <w:tc>
          <w:tcPr>
            <w:tcW w:w="840" w:type="dxa"/>
            <w:shd w:val="clear" w:color="auto" w:fill="auto"/>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线型</w:t>
            </w:r>
          </w:p>
        </w:tc>
        <w:tc>
          <w:tcPr>
            <w:tcW w:w="796" w:type="dxa"/>
            <w:shd w:val="clear" w:color="auto" w:fill="auto"/>
            <w:vAlign w:val="center"/>
          </w:tcPr>
          <w:p>
            <w:pPr>
              <w:widowControl/>
              <w:jc w:val="left"/>
              <w:textAlignment w:val="center"/>
              <w:rPr>
                <w:rFonts w:hint="default" w:ascii="仿宋" w:hAnsi="仿宋" w:eastAsia="仿宋" w:cs="仿宋"/>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446"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768"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B类</w:t>
            </w:r>
          </w:p>
        </w:tc>
        <w:tc>
          <w:tcPr>
            <w:tcW w:w="6967" w:type="dxa"/>
            <w:shd w:val="clear" w:color="auto" w:fill="auto"/>
            <w:vAlign w:val="center"/>
          </w:tcPr>
          <w:p>
            <w:pPr>
              <w:widowControl/>
              <w:jc w:val="left"/>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除A类区以外的其他沿线周边区域。</w:t>
            </w:r>
          </w:p>
        </w:tc>
        <w:tc>
          <w:tcPr>
            <w:tcW w:w="840" w:type="dxa"/>
            <w:shd w:val="clear" w:color="auto" w:fill="auto"/>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线型</w:t>
            </w:r>
          </w:p>
        </w:tc>
        <w:tc>
          <w:tcPr>
            <w:tcW w:w="796" w:type="dxa"/>
            <w:shd w:val="clear" w:color="auto" w:fill="auto"/>
            <w:vAlign w:val="center"/>
          </w:tcPr>
          <w:p>
            <w:pPr>
              <w:widowControl/>
              <w:jc w:val="center"/>
              <w:textAlignment w:val="center"/>
              <w:rPr>
                <w:rFonts w:ascii="仿宋" w:hAnsi="仿宋" w:eastAsia="仿宋" w:cs="仿宋"/>
                <w:color w:val="000000"/>
                <w:sz w:val="21"/>
                <w:szCs w:val="21"/>
              </w:rPr>
            </w:pPr>
          </w:p>
        </w:tc>
      </w:tr>
    </w:tbl>
    <w:p>
      <w:pPr>
        <w:spacing w:line="400" w:lineRule="exact"/>
        <w:ind w:right="17"/>
        <w:jc w:val="center"/>
        <w:rPr>
          <w:rFonts w:ascii="仿宋" w:hAnsi="仿宋" w:eastAsia="仿宋" w:cs="仿宋"/>
          <w:b/>
          <w:bCs/>
          <w:szCs w:val="24"/>
        </w:rPr>
      </w:pPr>
      <w:bookmarkStart w:id="9" w:name="_Toc27597"/>
      <w:r>
        <w:rPr>
          <w:rFonts w:hint="eastAsia" w:ascii="仿宋" w:hAnsi="仿宋" w:eastAsia="仿宋" w:cs="仿宋"/>
          <w:b/>
          <w:bCs/>
          <w:szCs w:val="24"/>
        </w:rPr>
        <w:t>广告类型明细表</w:t>
      </w:r>
    </w:p>
    <w:tbl>
      <w:tblPr>
        <w:tblStyle w:val="6"/>
        <w:tblW w:w="1036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703"/>
        <w:gridCol w:w="1542"/>
        <w:gridCol w:w="1562"/>
        <w:gridCol w:w="4706"/>
        <w:gridCol w:w="18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60" w:hRule="atLeast"/>
          <w:tblHeader/>
          <w:jc w:val="center"/>
        </w:trPr>
        <w:tc>
          <w:tcPr>
            <w:tcW w:w="703" w:type="dxa"/>
            <w:shd w:val="clear" w:color="auto" w:fill="auto"/>
            <w:vAlign w:val="center"/>
          </w:tcPr>
          <w:p>
            <w:pPr>
              <w:jc w:val="center"/>
              <w:rPr>
                <w:rFonts w:ascii="仿宋" w:hAnsi="仿宋" w:eastAsia="仿宋" w:cs="仿宋"/>
                <w:b/>
                <w:bCs/>
                <w:szCs w:val="22"/>
              </w:rPr>
            </w:pPr>
            <w:r>
              <w:rPr>
                <w:rFonts w:hint="eastAsia" w:ascii="仿宋" w:hAnsi="仿宋" w:eastAsia="仿宋" w:cs="仿宋"/>
                <w:b/>
                <w:bCs/>
                <w:szCs w:val="22"/>
              </w:rPr>
              <w:t>序号</w:t>
            </w:r>
          </w:p>
        </w:tc>
        <w:tc>
          <w:tcPr>
            <w:tcW w:w="1542" w:type="dxa"/>
            <w:shd w:val="clear" w:color="auto" w:fill="auto"/>
            <w:vAlign w:val="center"/>
          </w:tcPr>
          <w:p>
            <w:pPr>
              <w:jc w:val="center"/>
              <w:rPr>
                <w:rFonts w:hint="default" w:ascii="仿宋" w:hAnsi="仿宋" w:eastAsia="仿宋" w:cs="仿宋"/>
                <w:b/>
                <w:bCs/>
                <w:szCs w:val="22"/>
                <w:lang w:val="en-US" w:eastAsia="zh-CN"/>
              </w:rPr>
            </w:pPr>
            <w:r>
              <w:rPr>
                <w:rFonts w:hint="eastAsia" w:ascii="仿宋" w:hAnsi="仿宋" w:eastAsia="仿宋" w:cs="仿宋"/>
                <w:b/>
                <w:bCs/>
                <w:szCs w:val="22"/>
                <w:lang w:val="en-US" w:eastAsia="zh-CN"/>
              </w:rPr>
              <w:t>宣传平台</w:t>
            </w:r>
          </w:p>
        </w:tc>
        <w:tc>
          <w:tcPr>
            <w:tcW w:w="1562" w:type="dxa"/>
            <w:shd w:val="clear" w:color="auto" w:fill="auto"/>
            <w:vAlign w:val="center"/>
          </w:tcPr>
          <w:p>
            <w:pPr>
              <w:jc w:val="center"/>
              <w:rPr>
                <w:rFonts w:ascii="仿宋" w:hAnsi="仿宋" w:eastAsia="仿宋" w:cs="仿宋"/>
                <w:b/>
                <w:bCs/>
                <w:szCs w:val="22"/>
              </w:rPr>
            </w:pPr>
            <w:r>
              <w:rPr>
                <w:rFonts w:hint="eastAsia" w:ascii="仿宋" w:hAnsi="仿宋" w:eastAsia="仿宋" w:cs="仿宋"/>
                <w:b/>
                <w:bCs/>
                <w:szCs w:val="22"/>
              </w:rPr>
              <w:t>广告类型</w:t>
            </w:r>
          </w:p>
        </w:tc>
        <w:tc>
          <w:tcPr>
            <w:tcW w:w="4706" w:type="dxa"/>
            <w:shd w:val="clear" w:color="auto" w:fill="auto"/>
            <w:vAlign w:val="center"/>
          </w:tcPr>
          <w:p>
            <w:pPr>
              <w:jc w:val="center"/>
              <w:rPr>
                <w:rFonts w:hint="default" w:ascii="仿宋" w:hAnsi="仿宋" w:eastAsia="仿宋" w:cs="仿宋"/>
                <w:b/>
                <w:bCs/>
                <w:szCs w:val="22"/>
                <w:lang w:val="en-US" w:eastAsia="zh-CN"/>
              </w:rPr>
            </w:pPr>
            <w:r>
              <w:rPr>
                <w:rFonts w:hint="eastAsia" w:ascii="仿宋" w:hAnsi="仿宋" w:eastAsia="仿宋" w:cs="仿宋"/>
                <w:b/>
                <w:bCs/>
                <w:szCs w:val="22"/>
                <w:lang w:val="en-US" w:eastAsia="zh-CN"/>
              </w:rPr>
              <w:t>广告定义</w:t>
            </w:r>
          </w:p>
        </w:tc>
        <w:tc>
          <w:tcPr>
            <w:tcW w:w="1848" w:type="dxa"/>
            <w:shd w:val="clear" w:color="auto" w:fill="auto"/>
            <w:vAlign w:val="center"/>
          </w:tcPr>
          <w:p>
            <w:pPr>
              <w:jc w:val="center"/>
              <w:rPr>
                <w:rFonts w:ascii="仿宋" w:hAnsi="仿宋" w:eastAsia="仿宋" w:cs="仿宋"/>
                <w:b/>
                <w:bCs/>
              </w:rPr>
            </w:pPr>
            <w:r>
              <w:rPr>
                <w:rFonts w:hint="eastAsia" w:ascii="仿宋" w:hAnsi="仿宋" w:eastAsia="仿宋" w:cs="仿宋"/>
                <w:b/>
                <w:bCs/>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shd w:val="clear" w:color="auto" w:fill="auto"/>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1</w:t>
            </w:r>
          </w:p>
        </w:tc>
        <w:tc>
          <w:tcPr>
            <w:tcW w:w="154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屋顶</w:t>
            </w: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屋顶广告</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default" w:ascii="仿宋" w:hAnsi="仿宋" w:eastAsia="仿宋" w:cs="仿宋"/>
                <w:color w:val="000000"/>
                <w:sz w:val="21"/>
                <w:szCs w:val="21"/>
                <w:lang w:val="en-US" w:eastAsia="zh-CN"/>
              </w:rPr>
              <w:t>指设在建筑物楼顶的广告（包括广告字和店牌）</w:t>
            </w:r>
            <w:r>
              <w:rPr>
                <w:rFonts w:hint="eastAsia" w:ascii="仿宋" w:hAnsi="仿宋" w:eastAsia="仿宋" w:cs="仿宋"/>
                <w:color w:val="000000"/>
                <w:sz w:val="21"/>
                <w:szCs w:val="21"/>
                <w:lang w:val="en-US" w:eastAsia="zh-CN"/>
              </w:rPr>
              <w:t>。</w:t>
            </w:r>
          </w:p>
        </w:tc>
        <w:tc>
          <w:tcPr>
            <w:tcW w:w="1848" w:type="dxa"/>
            <w:shd w:val="clear" w:color="auto" w:fill="auto"/>
            <w:vAlign w:val="center"/>
          </w:tcPr>
          <w:p>
            <w:pPr>
              <w:widowControl/>
              <w:jc w:val="center"/>
              <w:textAlignment w:val="center"/>
              <w:rPr>
                <w:rFonts w:hint="eastAsia" w:ascii="仿宋" w:hAnsi="仿宋" w:eastAsia="仿宋" w:cs="仿宋"/>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restart"/>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542" w:type="dxa"/>
            <w:vMerge w:val="restart"/>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设置于临街建筑物墙面的各类广告</w:t>
            </w: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霓虹灯</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default" w:ascii="仿宋" w:hAnsi="仿宋" w:eastAsia="仿宋" w:cs="仿宋"/>
                <w:color w:val="000000"/>
                <w:sz w:val="21"/>
                <w:szCs w:val="21"/>
                <w:lang w:val="en-US" w:eastAsia="zh-CN"/>
              </w:rPr>
              <w:t>指由霓虹管弯曲成文字或图案，配上不同颜色的霓虹管制成，以散发多样的色彩；也可配合电子控制的闪动形式，增加其动感</w:t>
            </w:r>
            <w:r>
              <w:rPr>
                <w:rFonts w:hint="eastAsia" w:ascii="仿宋" w:hAnsi="仿宋" w:eastAsia="仿宋" w:cs="仿宋"/>
                <w:color w:val="000000"/>
                <w:sz w:val="21"/>
                <w:szCs w:val="21"/>
                <w:lang w:val="en-US" w:eastAsia="zh-CN"/>
              </w:rPr>
              <w:t>。</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栅栏牌</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广告画面内容使用喷绘、电脑写真或户外彩色即时贴等材质</w:t>
            </w:r>
            <w:r>
              <w:rPr>
                <w:rFonts w:hint="eastAsia" w:ascii="仿宋" w:hAnsi="仿宋" w:eastAsia="仿宋" w:cs="仿宋"/>
                <w:color w:val="000000"/>
                <w:sz w:val="21"/>
                <w:szCs w:val="21"/>
                <w:lang w:val="en-US" w:eastAsia="zh-CN"/>
              </w:rPr>
              <w:t>形成的广告类型。</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灯箱</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置于建筑物外墙，楼顶或裙楼等广告位置，白天是彩色广告牌，晚上则成为内打灯的灯箱广告</w:t>
            </w:r>
            <w:r>
              <w:rPr>
                <w:rFonts w:hint="eastAsia" w:ascii="仿宋" w:hAnsi="仿宋" w:eastAsia="仿宋" w:cs="仿宋"/>
                <w:color w:val="000000"/>
                <w:sz w:val="21"/>
                <w:szCs w:val="21"/>
                <w:lang w:eastAsia="zh-CN"/>
              </w:rPr>
              <w:t>。</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rPr>
              <w:t>三面翻</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三面翻以相对稳定的节奏，无声地展示不同的广告画面，使行人在同样的时间里，轻松地接受多个画面，多个广告信息，具有一种事半功倍的广告视觉冲击力。</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一楼店牌</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依附于建筑物墙面设置的店面招牌。</w:t>
            </w:r>
          </w:p>
        </w:tc>
        <w:tc>
          <w:tcPr>
            <w:tcW w:w="1848" w:type="dxa"/>
            <w:shd w:val="clear" w:color="auto" w:fill="auto"/>
            <w:vAlign w:val="center"/>
          </w:tcPr>
          <w:p>
            <w:pPr>
              <w:widowControl/>
              <w:jc w:val="center"/>
              <w:textAlignment w:val="center"/>
              <w:rPr>
                <w:rFonts w:hint="default" w:ascii="仿宋" w:hAnsi="仿宋" w:eastAsia="仿宋" w:cs="仿宋"/>
                <w:lang w:val="en-US" w:eastAsia="zh-CN"/>
              </w:rPr>
            </w:pPr>
            <w:r>
              <w:rPr>
                <w:rFonts w:hint="eastAsia" w:ascii="仿宋" w:hAnsi="仿宋" w:eastAsia="仿宋" w:cs="仿宋"/>
                <w:color w:val="000000"/>
                <w:sz w:val="21"/>
                <w:szCs w:val="21"/>
                <w:lang w:val="en-US" w:eastAsia="zh-CN"/>
              </w:rPr>
              <w:t>二楼窗台以下，且小于10㎡免收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rPr>
              <w:t>电子显示</w:t>
            </w:r>
            <w:r>
              <w:rPr>
                <w:rFonts w:hint="eastAsia" w:ascii="仿宋" w:hAnsi="仿宋" w:eastAsia="仿宋" w:cs="仿宋"/>
                <w:color w:val="000000"/>
                <w:sz w:val="21"/>
                <w:szCs w:val="21"/>
              </w:rPr>
              <w:t>屏</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能用电脑控制，将广告图文或电视广告片输入程序，轮番地在画面上显示色彩纷呈的图形与文字，具有动感、多变、新颖别致、反复播放等特点。</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悬挂巨幅</w:t>
            </w:r>
          </w:p>
        </w:tc>
        <w:tc>
          <w:tcPr>
            <w:tcW w:w="4706" w:type="dxa"/>
            <w:shd w:val="clear" w:color="auto" w:fill="auto"/>
            <w:vAlign w:val="center"/>
          </w:tcPr>
          <w:p>
            <w:pPr>
              <w:widowControl/>
              <w:jc w:val="left"/>
              <w:textAlignment w:val="center"/>
              <w:rPr>
                <w:rFonts w:hint="default" w:ascii="仿宋" w:hAnsi="仿宋" w:eastAsia="仿宋" w:cs="仿宋"/>
                <w:color w:val="FF0000"/>
                <w:sz w:val="21"/>
                <w:szCs w:val="21"/>
                <w:lang w:val="en-US" w:eastAsia="zh-CN"/>
              </w:rPr>
            </w:pPr>
            <w:r>
              <w:rPr>
                <w:rFonts w:hint="eastAsia" w:ascii="仿宋" w:hAnsi="仿宋" w:eastAsia="仿宋" w:cs="仿宋"/>
                <w:color w:val="auto"/>
                <w:sz w:val="21"/>
                <w:szCs w:val="21"/>
                <w:lang w:val="en-US" w:eastAsia="zh-CN"/>
              </w:rPr>
              <w:t>材质使用喷绘布悬挂于建筑物墙面的广告，一般边幅较大，容易引起行人注意。</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悬挂条幅</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材质使用喷绘布悬挂于建筑物墙面的广告，一般面积较小。</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restart"/>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542" w:type="dxa"/>
            <w:vMerge w:val="restart"/>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设置于城市道路（含绿化带及广场）的广告</w:t>
            </w: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指示标牌</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rPr>
              <w:t>公共设施（如</w:t>
            </w:r>
            <w:r>
              <w:rPr>
                <w:rFonts w:hint="eastAsia" w:ascii="仿宋" w:hAnsi="仿宋" w:eastAsia="仿宋" w:cs="仿宋"/>
                <w:color w:val="000000"/>
                <w:sz w:val="21"/>
                <w:szCs w:val="21"/>
                <w:lang w:val="en-US" w:eastAsia="zh-CN"/>
              </w:rPr>
              <w:t>公园</w:t>
            </w:r>
            <w:r>
              <w:rPr>
                <w:rFonts w:hint="eastAsia" w:ascii="仿宋" w:hAnsi="仿宋" w:eastAsia="仿宋" w:cs="仿宋"/>
                <w:color w:val="000000"/>
                <w:sz w:val="21"/>
                <w:szCs w:val="21"/>
              </w:rPr>
              <w:t>）或商店</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楼盘</w:t>
            </w:r>
            <w:r>
              <w:rPr>
                <w:rFonts w:hint="eastAsia" w:ascii="仿宋" w:hAnsi="仿宋" w:eastAsia="仿宋" w:cs="仿宋"/>
                <w:color w:val="000000"/>
                <w:sz w:val="21"/>
                <w:szCs w:val="21"/>
              </w:rPr>
              <w:t>位置的标牌，可同时预留位置作广告推广</w:t>
            </w:r>
            <w:r>
              <w:rPr>
                <w:rFonts w:hint="eastAsia" w:ascii="仿宋" w:hAnsi="仿宋" w:eastAsia="仿宋" w:cs="仿宋"/>
                <w:color w:val="000000"/>
                <w:sz w:val="21"/>
                <w:szCs w:val="21"/>
                <w:lang w:eastAsia="zh-CN"/>
              </w:rPr>
              <w:t>。</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园林小品</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在绿化带或公园绿地设置的广告位置，也可增加灯光，晚上则成为灯箱广</w:t>
            </w:r>
            <w:r>
              <w:rPr>
                <w:rFonts w:hint="eastAsia" w:ascii="仿宋" w:hAnsi="仿宋" w:eastAsia="仿宋" w:cs="仿宋"/>
                <w:color w:val="000000"/>
                <w:sz w:val="21"/>
                <w:szCs w:val="21"/>
              </w:rPr>
              <w:t>告</w:t>
            </w:r>
            <w:r>
              <w:rPr>
                <w:rFonts w:hint="eastAsia" w:ascii="仿宋" w:hAnsi="仿宋" w:eastAsia="仿宋" w:cs="仿宋"/>
                <w:color w:val="000000"/>
                <w:sz w:val="21"/>
                <w:szCs w:val="21"/>
                <w:lang w:eastAsia="zh-CN"/>
              </w:rPr>
              <w:t>。</w:t>
            </w:r>
          </w:p>
        </w:tc>
        <w:tc>
          <w:tcPr>
            <w:tcW w:w="1848" w:type="dxa"/>
            <w:shd w:val="clear" w:color="auto" w:fill="auto"/>
            <w:vAlign w:val="center"/>
          </w:tcPr>
          <w:p>
            <w:pPr>
              <w:widowControl/>
              <w:jc w:val="center"/>
              <w:textAlignment w:val="center"/>
              <w:rPr>
                <w:rFonts w:hint="default" w:ascii="仿宋" w:hAnsi="仿宋" w:eastAsia="仿宋" w:cs="仿宋"/>
                <w:lang w:val="en-US" w:eastAsia="zh-CN"/>
              </w:rPr>
            </w:pPr>
            <w:r>
              <w:rPr>
                <w:rFonts w:hint="eastAsia" w:ascii="仿宋" w:hAnsi="仿宋" w:eastAsia="仿宋" w:cs="仿宋"/>
                <w:color w:val="000000"/>
                <w:sz w:val="21"/>
                <w:szCs w:val="21"/>
                <w:lang w:val="en-US" w:eastAsia="zh-CN"/>
              </w:rPr>
              <w:t>含灯箱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3"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公交站亭</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设</w:t>
            </w:r>
            <w:r>
              <w:rPr>
                <w:rFonts w:hint="eastAsia" w:ascii="仿宋" w:hAnsi="仿宋" w:eastAsia="仿宋" w:cs="仿宋"/>
                <w:color w:val="auto"/>
                <w:sz w:val="21"/>
                <w:szCs w:val="21"/>
                <w:lang w:val="en-US" w:eastAsia="zh-CN"/>
              </w:rPr>
              <w:t>置于公交等候亭，</w:t>
            </w:r>
            <w:r>
              <w:rPr>
                <w:rFonts w:hint="eastAsia" w:ascii="仿宋" w:hAnsi="仿宋" w:eastAsia="仿宋" w:cs="仿宋"/>
                <w:color w:val="auto"/>
                <w:sz w:val="21"/>
                <w:szCs w:val="21"/>
                <w:highlight w:val="none"/>
                <w:shd w:val="clear" w:color="auto" w:fill="auto"/>
                <w:lang w:val="en-US" w:eastAsia="zh-CN"/>
              </w:rPr>
              <w:t>一般以灯箱为表现形式，</w:t>
            </w:r>
            <w:r>
              <w:rPr>
                <w:rFonts w:hint="eastAsia" w:ascii="仿宋" w:hAnsi="仿宋" w:eastAsia="仿宋" w:cs="仿宋"/>
                <w:color w:val="auto"/>
                <w:sz w:val="21"/>
                <w:szCs w:val="21"/>
                <w:lang w:val="en-US" w:eastAsia="zh-CN"/>
              </w:rPr>
              <w:t>可以滚动播放。</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电子显示屏</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bidi="ar-SA"/>
              </w:rPr>
              <w:t>能用电脑控制，将广告图文或电视广告片输入程序，轮番地在画面上显示色彩纷呈的图形与文字，具有动感、多变、新颖别致、反复播放等特点。</w:t>
            </w: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大型铁架</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一般设置于在建工程红线范围内，广告内容以喷绘布的形式展示。</w:t>
            </w:r>
          </w:p>
        </w:tc>
        <w:tc>
          <w:tcPr>
            <w:tcW w:w="1848"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含门楼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rPr>
              <w:t>高立柱</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val="en-US" w:eastAsia="zh-CN" w:bidi="ar-SA"/>
              </w:rPr>
            </w:pPr>
            <w:r>
              <w:rPr>
                <w:rFonts w:hint="eastAsia" w:ascii="仿宋" w:hAnsi="仿宋" w:eastAsia="仿宋" w:cs="仿宋"/>
                <w:color w:val="000000"/>
                <w:sz w:val="21"/>
                <w:szCs w:val="21"/>
                <w:lang w:val="en-US" w:eastAsia="zh-CN" w:bidi="ar-SA"/>
              </w:rPr>
              <w:t>广告主要形式是指以独立基础高耸于道路两侧等车流，人流较多场所的大型户外广告牌。</w:t>
            </w:r>
          </w:p>
        </w:tc>
        <w:tc>
          <w:tcPr>
            <w:tcW w:w="1848"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三面翻</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三面翻以相对稳定的节奏，无声地展示不同的广告画面，使行人在同样的时间里，轻松地接受多个画面，多个广告信息，具有一种事半功倍的广告视觉冲击力。</w:t>
            </w:r>
          </w:p>
        </w:tc>
        <w:tc>
          <w:tcPr>
            <w:tcW w:w="1848"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临时桁架</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auto"/>
                <w:sz w:val="21"/>
                <w:szCs w:val="21"/>
                <w:lang w:val="en-US" w:eastAsia="zh-CN"/>
              </w:rPr>
              <w:t>由钢架及彩绘布构成，一</w:t>
            </w:r>
            <w:r>
              <w:rPr>
                <w:rFonts w:hint="eastAsia" w:ascii="仿宋" w:hAnsi="仿宋" w:eastAsia="仿宋" w:cs="仿宋"/>
                <w:color w:val="000000"/>
                <w:sz w:val="21"/>
                <w:szCs w:val="21"/>
                <w:lang w:val="en-US" w:eastAsia="zh-CN"/>
              </w:rPr>
              <w:t>般用于新开发楼盘的宣传。</w:t>
            </w:r>
          </w:p>
        </w:tc>
        <w:tc>
          <w:tcPr>
            <w:tcW w:w="1848"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27"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彩旗</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bidi="ar-SA"/>
              </w:rPr>
            </w:pPr>
            <w:r>
              <w:rPr>
                <w:rFonts w:hint="default" w:ascii="仿宋" w:hAnsi="仿宋" w:eastAsia="仿宋" w:cs="仿宋"/>
                <w:color w:val="000000"/>
                <w:sz w:val="21"/>
                <w:szCs w:val="21"/>
                <w:lang w:val="en-US" w:eastAsia="zh-CN" w:bidi="ar-SA"/>
              </w:rPr>
              <w:t>位于城市马路上的一种广告媒体。</w:t>
            </w:r>
            <w:r>
              <w:rPr>
                <w:rFonts w:hint="eastAsia" w:ascii="仿宋" w:hAnsi="仿宋" w:eastAsia="仿宋" w:cs="仿宋"/>
                <w:color w:val="000000"/>
                <w:sz w:val="21"/>
                <w:szCs w:val="21"/>
                <w:lang w:val="en-US" w:eastAsia="zh-CN" w:bidi="ar-SA"/>
              </w:rPr>
              <w:t>这</w:t>
            </w:r>
            <w:r>
              <w:rPr>
                <w:rFonts w:hint="default" w:ascii="仿宋" w:hAnsi="仿宋" w:eastAsia="仿宋" w:cs="仿宋"/>
                <w:color w:val="000000"/>
                <w:sz w:val="21"/>
                <w:szCs w:val="21"/>
                <w:lang w:val="en-US" w:eastAsia="zh-CN" w:bidi="ar-SA"/>
              </w:rPr>
              <w:t>种广告形式具有制作方便、直接、信息传播广等优点，但是广告面积较小</w:t>
            </w:r>
            <w:r>
              <w:rPr>
                <w:rFonts w:hint="eastAsia" w:ascii="仿宋" w:hAnsi="仿宋" w:eastAsia="仿宋" w:cs="仿宋"/>
                <w:color w:val="000000"/>
                <w:sz w:val="21"/>
                <w:szCs w:val="21"/>
                <w:lang w:val="en-US" w:eastAsia="zh-CN" w:bidi="ar-SA"/>
              </w:rPr>
              <w:t>。</w:t>
            </w:r>
            <w:r>
              <w:rPr>
                <w:rFonts w:hint="default" w:ascii="仿宋" w:hAnsi="仿宋" w:eastAsia="仿宋" w:cs="仿宋"/>
                <w:color w:val="000000"/>
                <w:sz w:val="21"/>
                <w:szCs w:val="21"/>
                <w:lang w:val="en-US" w:eastAsia="zh-CN" w:bidi="ar-SA"/>
              </w:rPr>
              <w:t>广告宣传形式旨在烘托气氛、渲染环境、为企业(或其品牌)展示形象、提升其影响力</w:t>
            </w:r>
            <w:r>
              <w:rPr>
                <w:rFonts w:hint="eastAsia" w:ascii="仿宋" w:hAnsi="仿宋" w:eastAsia="仿宋" w:cs="仿宋"/>
                <w:color w:val="000000"/>
                <w:sz w:val="21"/>
                <w:szCs w:val="21"/>
                <w:lang w:val="en-US" w:eastAsia="zh-CN" w:bidi="ar-SA"/>
              </w:rPr>
              <w:t>。</w:t>
            </w:r>
          </w:p>
        </w:tc>
        <w:tc>
          <w:tcPr>
            <w:tcW w:w="1848"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含灯杆旗、道旗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73"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道闸</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一种结合传统道闸功能和现代广告特征的挡车器产品，以闸杆版两面为广告载体，加之道闸机的灯箱（亦可为LED屏），形成三位一体广告效应，配以闸杆LED照明，全天候24小时不间断展示，引人瞩目，夜间广告效果尤甚。可应用于酒店、小区、学校、停车场、商业区</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高速公路</w:t>
            </w:r>
            <w:r>
              <w:rPr>
                <w:rFonts w:hint="eastAsia" w:ascii="仿宋" w:hAnsi="仿宋" w:eastAsia="仿宋" w:cs="仿宋"/>
                <w:color w:val="000000"/>
                <w:sz w:val="21"/>
                <w:szCs w:val="21"/>
              </w:rPr>
              <w:t>等场合</w:t>
            </w:r>
            <w:r>
              <w:rPr>
                <w:rFonts w:hint="eastAsia" w:ascii="仿宋" w:hAnsi="仿宋" w:eastAsia="仿宋" w:cs="仿宋"/>
                <w:color w:val="000000"/>
                <w:sz w:val="21"/>
                <w:szCs w:val="21"/>
                <w:lang w:eastAsia="zh-CN"/>
              </w:rPr>
              <w:t>。</w:t>
            </w:r>
          </w:p>
        </w:tc>
        <w:tc>
          <w:tcPr>
            <w:tcW w:w="1848"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03" w:type="dxa"/>
            <w:vMerge w:val="restart"/>
            <w:shd w:val="clear" w:color="auto" w:fill="auto"/>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4</w:t>
            </w:r>
          </w:p>
        </w:tc>
        <w:tc>
          <w:tcPr>
            <w:tcW w:w="1542" w:type="dxa"/>
            <w:vMerge w:val="restart"/>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围墙广告</w:t>
            </w: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在建工地围墙</w:t>
            </w:r>
          </w:p>
        </w:tc>
        <w:tc>
          <w:tcPr>
            <w:tcW w:w="4706" w:type="dxa"/>
            <w:vMerge w:val="restart"/>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建筑工地围挡是用于封闭建筑施工现场的临时设施、遮挡物，工地围挡一方面起分隔作用，减少现场施工对外界的不良影响；另一方面可以为项目营造自身形象，并辅助项目宣传</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围挡灯箱广告则添加了灯光效果。</w:t>
            </w:r>
          </w:p>
        </w:tc>
        <w:tc>
          <w:tcPr>
            <w:tcW w:w="1848" w:type="dxa"/>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围墙灯箱广告</w:t>
            </w:r>
          </w:p>
        </w:tc>
        <w:tc>
          <w:tcPr>
            <w:tcW w:w="4706" w:type="dxa"/>
            <w:vMerge w:val="continue"/>
            <w:shd w:val="clear" w:color="auto" w:fill="auto"/>
            <w:vAlign w:val="center"/>
          </w:tcPr>
          <w:p>
            <w:pPr>
              <w:widowControl/>
              <w:jc w:val="left"/>
              <w:textAlignment w:val="center"/>
              <w:rPr>
                <w:rFonts w:hint="eastAsia" w:ascii="仿宋" w:hAnsi="仿宋" w:eastAsia="仿宋" w:cs="仿宋"/>
                <w:color w:val="000000"/>
                <w:sz w:val="21"/>
                <w:szCs w:val="21"/>
              </w:rPr>
            </w:pP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临时围挡广告</w:t>
            </w:r>
          </w:p>
        </w:tc>
        <w:tc>
          <w:tcPr>
            <w:tcW w:w="4706" w:type="dxa"/>
            <w:vMerge w:val="continue"/>
            <w:shd w:val="clear" w:color="auto" w:fill="auto"/>
            <w:vAlign w:val="center"/>
          </w:tcPr>
          <w:p>
            <w:pPr>
              <w:widowControl/>
              <w:jc w:val="left"/>
              <w:textAlignment w:val="center"/>
              <w:rPr>
                <w:rFonts w:hint="eastAsia" w:ascii="仿宋" w:hAnsi="仿宋" w:eastAsia="仿宋" w:cs="仿宋"/>
                <w:color w:val="000000"/>
                <w:sz w:val="21"/>
                <w:szCs w:val="21"/>
              </w:rPr>
            </w:pPr>
          </w:p>
        </w:tc>
        <w:tc>
          <w:tcPr>
            <w:tcW w:w="1848" w:type="dxa"/>
            <w:shd w:val="clear" w:color="auto" w:fill="auto"/>
            <w:vAlign w:val="center"/>
          </w:tcPr>
          <w:p>
            <w:pPr>
              <w:widowControl/>
              <w:jc w:val="center"/>
              <w:textAlignment w:val="center"/>
              <w:rPr>
                <w:rFonts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restart"/>
            <w:shd w:val="clear" w:color="auto" w:fill="auto"/>
            <w:vAlign w:val="center"/>
          </w:tcPr>
          <w:p>
            <w:pPr>
              <w:widowControl/>
              <w:jc w:val="center"/>
              <w:textAlignment w:val="center"/>
              <w:rPr>
                <w:rFonts w:hint="eastAsia" w:ascii="仿宋" w:hAnsi="仿宋" w:eastAsia="仿宋" w:cs="仿宋"/>
                <w:color w:val="000000"/>
                <w:sz w:val="21"/>
                <w:szCs w:val="21"/>
              </w:rPr>
            </w:pPr>
          </w:p>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5</w:t>
            </w:r>
          </w:p>
        </w:tc>
        <w:tc>
          <w:tcPr>
            <w:tcW w:w="1542" w:type="dxa"/>
            <w:vMerge w:val="restart"/>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以交通工具为载体的广告</w:t>
            </w: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公交车</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default" w:ascii="仿宋" w:hAnsi="仿宋" w:eastAsia="仿宋" w:cs="仿宋"/>
                <w:color w:val="000000"/>
                <w:sz w:val="21"/>
                <w:szCs w:val="21"/>
                <w:lang w:val="en-US" w:eastAsia="zh-CN"/>
              </w:rPr>
              <w:t>公交车属于移动媒体，表现形式为全车身彩绘及车身两侧横幅挂板等，其特点是接触面广，覆盖率高，可应目标受众对象来选择路线或地区</w:t>
            </w:r>
            <w:r>
              <w:rPr>
                <w:rFonts w:hint="eastAsia" w:ascii="仿宋" w:hAnsi="仿宋" w:eastAsia="仿宋" w:cs="仿宋"/>
                <w:color w:val="000000"/>
                <w:sz w:val="21"/>
                <w:szCs w:val="21"/>
                <w:lang w:val="en-US" w:eastAsia="zh-CN"/>
              </w:rPr>
              <w:t>。</w:t>
            </w:r>
          </w:p>
        </w:tc>
        <w:tc>
          <w:tcPr>
            <w:tcW w:w="1848" w:type="dxa"/>
            <w:shd w:val="clear" w:color="auto" w:fill="auto"/>
            <w:vAlign w:val="center"/>
          </w:tcPr>
          <w:p>
            <w:pPr>
              <w:widowControl/>
              <w:jc w:val="center"/>
              <w:textAlignment w:val="center"/>
              <w:rPr>
                <w:rFonts w:ascii="仿宋" w:hAnsi="仿宋" w:eastAsia="仿宋" w:cs="仿宋"/>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atLeast"/>
          <w:jc w:val="center"/>
        </w:trPr>
        <w:tc>
          <w:tcPr>
            <w:tcW w:w="703" w:type="dxa"/>
            <w:vMerge w:val="continue"/>
            <w:shd w:val="clear" w:color="auto" w:fill="auto"/>
            <w:vAlign w:val="center"/>
          </w:tcPr>
          <w:p>
            <w:pPr>
              <w:widowControl/>
              <w:jc w:val="center"/>
              <w:textAlignment w:val="center"/>
              <w:rPr>
                <w:rFonts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促销车</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用于产品促销，多采用LED 的形式，属于移动媒体，可根据产品需求选择宣传路线及区域。</w:t>
            </w:r>
          </w:p>
        </w:tc>
        <w:tc>
          <w:tcPr>
            <w:tcW w:w="1848" w:type="dxa"/>
            <w:shd w:val="clear" w:color="auto" w:fill="auto"/>
            <w:vAlign w:val="center"/>
          </w:tcPr>
          <w:p>
            <w:pPr>
              <w:widowControl/>
              <w:jc w:val="center"/>
              <w:textAlignment w:val="center"/>
              <w:rPr>
                <w:rFonts w:ascii="仿宋" w:hAnsi="仿宋" w:eastAsia="仿宋" w:cs="仿宋"/>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703" w:type="dxa"/>
            <w:vMerge w:val="continue"/>
            <w:shd w:val="clear" w:color="auto" w:fill="auto"/>
            <w:vAlign w:val="center"/>
          </w:tcPr>
          <w:p>
            <w:pPr>
              <w:widowControl/>
              <w:jc w:val="center"/>
              <w:textAlignment w:val="center"/>
              <w:rPr>
                <w:rFonts w:ascii="仿宋" w:hAnsi="仿宋" w:eastAsia="仿宋" w:cs="仿宋"/>
                <w:color w:val="000000"/>
                <w:sz w:val="21"/>
                <w:szCs w:val="21"/>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物流车</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采用彩绘的形式，覆盖整个车身，流动性强。</w:t>
            </w:r>
          </w:p>
        </w:tc>
        <w:tc>
          <w:tcPr>
            <w:tcW w:w="1848" w:type="dxa"/>
            <w:shd w:val="clear" w:color="auto" w:fill="auto"/>
            <w:vAlign w:val="center"/>
          </w:tcPr>
          <w:p>
            <w:pPr>
              <w:widowControl/>
              <w:jc w:val="center"/>
              <w:textAlignment w:val="center"/>
              <w:rPr>
                <w:rFonts w:ascii="仿宋" w:hAnsi="仿宋" w:eastAsia="仿宋" w:cs="仿宋"/>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9" w:hRule="atLeast"/>
          <w:jc w:val="center"/>
        </w:trPr>
        <w:tc>
          <w:tcPr>
            <w:tcW w:w="703" w:type="dxa"/>
            <w:vMerge w:val="restart"/>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w:t>
            </w:r>
          </w:p>
        </w:tc>
        <w:tc>
          <w:tcPr>
            <w:tcW w:w="1542" w:type="dxa"/>
            <w:vMerge w:val="restart"/>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各类充气广告</w:t>
            </w: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空飘气球</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空飘气球</w:t>
            </w:r>
            <w:r>
              <w:rPr>
                <w:rFonts w:hint="default" w:ascii="仿宋" w:hAnsi="仿宋" w:eastAsia="仿宋" w:cs="仿宋"/>
                <w:color w:val="000000"/>
                <w:sz w:val="21"/>
                <w:szCs w:val="21"/>
                <w:lang w:val="en-US" w:eastAsia="zh-CN"/>
              </w:rPr>
              <w:t>多用于产品的促销及宣传</w:t>
            </w:r>
            <w:r>
              <w:rPr>
                <w:rFonts w:hint="eastAsia" w:ascii="仿宋" w:hAnsi="仿宋" w:eastAsia="仿宋" w:cs="仿宋"/>
                <w:color w:val="000000"/>
                <w:sz w:val="21"/>
                <w:szCs w:val="21"/>
                <w:lang w:val="en-US" w:eastAsia="zh-CN"/>
              </w:rPr>
              <w:t>，类似于气球，可悬挂条幅。</w:t>
            </w:r>
          </w:p>
        </w:tc>
        <w:tc>
          <w:tcPr>
            <w:tcW w:w="1848" w:type="dxa"/>
            <w:shd w:val="clear" w:color="auto" w:fill="auto"/>
            <w:vAlign w:val="center"/>
          </w:tcPr>
          <w:p>
            <w:pPr>
              <w:widowControl/>
              <w:jc w:val="center"/>
              <w:textAlignment w:val="center"/>
              <w:rPr>
                <w:rFonts w:ascii="仿宋" w:hAnsi="仿宋" w:eastAsia="仿宋" w:cs="仿宋"/>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703"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42" w:type="dxa"/>
            <w:vMerge w:val="continue"/>
            <w:shd w:val="clear" w:color="auto" w:fill="auto"/>
            <w:vAlign w:val="center"/>
          </w:tcPr>
          <w:p>
            <w:pPr>
              <w:widowControl/>
              <w:jc w:val="center"/>
              <w:textAlignment w:val="center"/>
              <w:rPr>
                <w:rFonts w:hint="eastAsia" w:ascii="仿宋" w:hAnsi="仿宋" w:eastAsia="仿宋" w:cs="仿宋"/>
                <w:color w:val="000000"/>
                <w:sz w:val="21"/>
                <w:szCs w:val="21"/>
                <w:lang w:val="en-US" w:eastAsia="zh-CN"/>
              </w:rPr>
            </w:pP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气模</w:t>
            </w:r>
          </w:p>
        </w:tc>
        <w:tc>
          <w:tcPr>
            <w:tcW w:w="4706" w:type="dxa"/>
            <w:shd w:val="clear" w:color="auto" w:fill="auto"/>
            <w:vAlign w:val="center"/>
          </w:tcPr>
          <w:p>
            <w:pPr>
              <w:widowControl/>
              <w:jc w:val="left"/>
              <w:textAlignment w:val="center"/>
              <w:rPr>
                <w:rFonts w:hint="eastAsia" w:ascii="仿宋" w:hAnsi="仿宋" w:eastAsia="仿宋" w:cs="仿宋"/>
                <w:color w:val="000000"/>
                <w:sz w:val="21"/>
                <w:szCs w:val="21"/>
              </w:rPr>
            </w:pPr>
            <w:r>
              <w:rPr>
                <w:rFonts w:hint="default" w:ascii="仿宋" w:hAnsi="仿宋" w:eastAsia="仿宋" w:cs="仿宋"/>
                <w:color w:val="000000"/>
                <w:sz w:val="21"/>
                <w:szCs w:val="21"/>
                <w:lang w:val="en-US" w:eastAsia="zh-CN"/>
              </w:rPr>
              <w:t>充气物造型广告多用于产品的促销及宣传。可分为长期型和临时型，在展览场地、大型集会、公关活动、体育活动等户外场所都可运用</w:t>
            </w:r>
            <w:r>
              <w:rPr>
                <w:rFonts w:hint="eastAsia" w:ascii="仿宋" w:hAnsi="仿宋" w:eastAsia="仿宋" w:cs="仿宋"/>
                <w:color w:val="000000"/>
                <w:sz w:val="21"/>
                <w:szCs w:val="21"/>
                <w:lang w:val="en-US" w:eastAsia="zh-CN"/>
              </w:rPr>
              <w:t>。</w:t>
            </w:r>
          </w:p>
        </w:tc>
        <w:tc>
          <w:tcPr>
            <w:tcW w:w="1848" w:type="dxa"/>
            <w:shd w:val="clear" w:color="auto" w:fill="auto"/>
            <w:vAlign w:val="center"/>
          </w:tcPr>
          <w:p>
            <w:pPr>
              <w:widowControl/>
              <w:jc w:val="center"/>
              <w:textAlignment w:val="center"/>
              <w:rPr>
                <w:rFonts w:ascii="仿宋" w:hAnsi="仿宋" w:eastAsia="仿宋" w:cs="仿宋"/>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7" w:hRule="atLeast"/>
          <w:jc w:val="center"/>
        </w:trPr>
        <w:tc>
          <w:tcPr>
            <w:tcW w:w="703"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w:t>
            </w:r>
          </w:p>
        </w:tc>
        <w:tc>
          <w:tcPr>
            <w:tcW w:w="154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实物造型广告</w:t>
            </w:r>
          </w:p>
        </w:tc>
        <w:tc>
          <w:tcPr>
            <w:tcW w:w="1562" w:type="dxa"/>
            <w:shd w:val="clear" w:color="auto" w:fill="auto"/>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实物造型广告</w:t>
            </w:r>
          </w:p>
        </w:tc>
        <w:tc>
          <w:tcPr>
            <w:tcW w:w="4706" w:type="dxa"/>
            <w:shd w:val="clear" w:color="auto" w:fill="auto"/>
            <w:vAlign w:val="center"/>
          </w:tcPr>
          <w:p>
            <w:pPr>
              <w:widowControl/>
              <w:jc w:val="left"/>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一般设置于大型商场广场外，可设计多种造型，由于造型物一般都较实物庞大，涉及独特，颜色炫耀，对受众都具有一种强烈的感召力。</w:t>
            </w:r>
          </w:p>
        </w:tc>
        <w:tc>
          <w:tcPr>
            <w:tcW w:w="1848" w:type="dxa"/>
            <w:shd w:val="clear" w:color="auto" w:fill="auto"/>
            <w:vAlign w:val="center"/>
          </w:tcPr>
          <w:p>
            <w:pPr>
              <w:widowControl/>
              <w:jc w:val="center"/>
              <w:textAlignment w:val="center"/>
              <w:rPr>
                <w:rFonts w:ascii="仿宋" w:hAnsi="仿宋" w:eastAsia="仿宋" w:cs="仿宋"/>
                <w:color w:val="000000"/>
                <w:sz w:val="21"/>
                <w:szCs w:val="21"/>
              </w:rPr>
            </w:pPr>
          </w:p>
        </w:tc>
      </w:tr>
    </w:tbl>
    <w:p>
      <w:pPr>
        <w:pStyle w:val="2"/>
        <w:spacing w:line="380" w:lineRule="exact"/>
        <w:ind w:firstLine="482" w:firstLineChars="200"/>
        <w:jc w:val="both"/>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四、价值类型</w:t>
      </w:r>
      <w:bookmarkEnd w:id="9"/>
    </w:p>
    <w:p>
      <w:pPr>
        <w:pStyle w:val="2"/>
        <w:spacing w:line="380" w:lineRule="exact"/>
        <w:ind w:firstLine="480" w:firstLineChars="200"/>
        <w:jc w:val="both"/>
        <w:rPr>
          <w:rFonts w:hint="eastAsia" w:ascii="仿宋" w:hAnsi="仿宋" w:eastAsia="仿宋" w:cs="仿宋"/>
          <w:b w:val="0"/>
          <w:color w:val="000000" w:themeColor="text1"/>
          <w:kern w:val="0"/>
          <w:sz w:val="24"/>
          <w:szCs w:val="24"/>
          <w:lang w:val="en-US" w:eastAsia="zh-CN" w:bidi="ar-SA"/>
          <w14:textFill>
            <w14:solidFill>
              <w14:schemeClr w14:val="tx1"/>
            </w14:solidFill>
          </w14:textFill>
        </w:rPr>
      </w:pPr>
      <w:r>
        <w:rPr>
          <w:rFonts w:hint="eastAsia" w:ascii="仿宋" w:hAnsi="仿宋" w:eastAsia="仿宋" w:cs="仿宋"/>
          <w:b w:val="0"/>
          <w:color w:val="000000" w:themeColor="text1"/>
          <w:kern w:val="0"/>
          <w:sz w:val="24"/>
          <w:szCs w:val="24"/>
          <w:lang w:val="en-US" w:eastAsia="zh-CN" w:bidi="ar-SA"/>
          <w14:textFill>
            <w14:solidFill>
              <w14:schemeClr w14:val="tx1"/>
            </w14:solidFill>
          </w14:textFill>
        </w:rPr>
        <w:t>本次评估是委托人拟掌握城市户外广告资源有偿使用资金在基准日的市场价值（含税）。</w:t>
      </w:r>
    </w:p>
    <w:p>
      <w:pPr>
        <w:pStyle w:val="3"/>
        <w:spacing w:line="360" w:lineRule="exact"/>
        <w:ind w:firstLine="480"/>
        <w:jc w:val="both"/>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市场价值是指自愿买方和自愿卖方在各自理性行事且未受任何强迫的情况下，评估对象在评估基准日进行正常公平交易的价值估计数额。</w:t>
      </w:r>
    </w:p>
    <w:p>
      <w:pPr>
        <w:pStyle w:val="2"/>
        <w:spacing w:line="380" w:lineRule="exact"/>
        <w:ind w:firstLine="482" w:firstLineChars="200"/>
        <w:jc w:val="both"/>
        <w:rPr>
          <w:rFonts w:ascii="仿宋" w:hAnsi="仿宋" w:eastAsia="仿宋" w:cs="仿宋"/>
          <w:color w:val="000000" w:themeColor="text1"/>
          <w:sz w:val="24"/>
          <w:szCs w:val="24"/>
          <w14:textFill>
            <w14:solidFill>
              <w14:schemeClr w14:val="tx1"/>
            </w14:solidFill>
          </w14:textFill>
        </w:rPr>
      </w:pPr>
      <w:bookmarkStart w:id="10" w:name="_Toc19091"/>
      <w:r>
        <w:rPr>
          <w:rFonts w:hint="eastAsia" w:ascii="仿宋" w:hAnsi="仿宋" w:eastAsia="仿宋" w:cs="仿宋"/>
          <w:color w:val="000000" w:themeColor="text1"/>
          <w:sz w:val="24"/>
          <w:szCs w:val="24"/>
          <w14:textFill>
            <w14:solidFill>
              <w14:schemeClr w14:val="tx1"/>
            </w14:solidFill>
          </w14:textFill>
        </w:rPr>
        <w:t>五、评估基准日</w:t>
      </w:r>
      <w:bookmarkEnd w:id="10"/>
      <w:bookmarkStart w:id="11" w:name="_Toc202081307"/>
    </w:p>
    <w:p>
      <w:pPr>
        <w:pStyle w:val="3"/>
        <w:spacing w:line="380" w:lineRule="exact"/>
        <w:ind w:firstLine="480"/>
        <w:jc w:val="both"/>
        <w:rPr>
          <w:rFonts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本项目评估基准日为201</w:t>
      </w:r>
      <w:r>
        <w:rPr>
          <w:rFonts w:hint="eastAsia" w:ascii="仿宋" w:hAnsi="仿宋" w:eastAsia="仿宋" w:cs="仿宋"/>
          <w:color w:val="000000" w:themeColor="text1"/>
          <w:szCs w:val="24"/>
          <w:lang w:val="en-US" w:eastAsia="zh-CN"/>
          <w14:textFill>
            <w14:solidFill>
              <w14:schemeClr w14:val="tx1"/>
            </w14:solidFill>
          </w14:textFill>
        </w:rPr>
        <w:t>9</w:t>
      </w:r>
      <w:r>
        <w:rPr>
          <w:rFonts w:hint="eastAsia" w:ascii="仿宋" w:hAnsi="仿宋" w:eastAsia="仿宋" w:cs="仿宋"/>
          <w:color w:val="000000" w:themeColor="text1"/>
          <w:szCs w:val="24"/>
          <w14:textFill>
            <w14:solidFill>
              <w14:schemeClr w14:val="tx1"/>
            </w14:solidFill>
          </w14:textFill>
        </w:rPr>
        <w:t>年</w:t>
      </w:r>
      <w:r>
        <w:rPr>
          <w:rFonts w:hint="eastAsia" w:ascii="仿宋" w:hAnsi="仿宋" w:eastAsia="仿宋" w:cs="仿宋"/>
          <w:color w:val="000000" w:themeColor="text1"/>
          <w:szCs w:val="24"/>
          <w:lang w:val="en-US" w:eastAsia="zh-CN"/>
          <w14:textFill>
            <w14:solidFill>
              <w14:schemeClr w14:val="tx1"/>
            </w14:solidFill>
          </w14:textFill>
        </w:rPr>
        <w:t>10</w:t>
      </w:r>
      <w:r>
        <w:rPr>
          <w:rFonts w:hint="eastAsia" w:ascii="仿宋" w:hAnsi="仿宋" w:eastAsia="仿宋" w:cs="仿宋"/>
          <w:color w:val="000000" w:themeColor="text1"/>
          <w:szCs w:val="24"/>
          <w14:textFill>
            <w14:solidFill>
              <w14:schemeClr w14:val="tx1"/>
            </w14:solidFill>
          </w14:textFill>
        </w:rPr>
        <w:t>月</w:t>
      </w:r>
      <w:r>
        <w:rPr>
          <w:rFonts w:hint="eastAsia" w:ascii="仿宋" w:hAnsi="仿宋" w:eastAsia="仿宋" w:cs="仿宋"/>
          <w:color w:val="000000" w:themeColor="text1"/>
          <w:szCs w:val="24"/>
          <w:lang w:val="en-US" w:eastAsia="zh-CN"/>
          <w14:textFill>
            <w14:solidFill>
              <w14:schemeClr w14:val="tx1"/>
            </w14:solidFill>
          </w14:textFill>
        </w:rPr>
        <w:t>30</w:t>
      </w:r>
      <w:r>
        <w:rPr>
          <w:rFonts w:hint="eastAsia" w:ascii="仿宋" w:hAnsi="仿宋" w:eastAsia="仿宋" w:cs="仿宋"/>
          <w:color w:val="000000" w:themeColor="text1"/>
          <w:szCs w:val="24"/>
          <w14:textFill>
            <w14:solidFill>
              <w14:schemeClr w14:val="tx1"/>
            </w14:solidFill>
          </w14:textFill>
        </w:rPr>
        <w:t>日。评估基准日系由委托人确定，确定的理由是评估基准日有利于评估目的实现，本次价格评估以评估基准日有效的价格标准为取价标准。</w:t>
      </w:r>
    </w:p>
    <w:p>
      <w:pPr>
        <w:pStyle w:val="2"/>
        <w:spacing w:before="180" w:after="240" w:line="380" w:lineRule="exact"/>
        <w:ind w:firstLine="482" w:firstLineChars="200"/>
        <w:jc w:val="both"/>
        <w:rPr>
          <w:rFonts w:ascii="仿宋" w:hAnsi="仿宋" w:eastAsia="仿宋" w:cs="仿宋"/>
          <w:sz w:val="24"/>
          <w:szCs w:val="24"/>
        </w:rPr>
      </w:pPr>
      <w:bookmarkStart w:id="12" w:name="_Toc29973"/>
      <w:r>
        <w:rPr>
          <w:rFonts w:hint="eastAsia" w:ascii="仿宋" w:hAnsi="仿宋" w:eastAsia="仿宋" w:cs="仿宋"/>
          <w:sz w:val="24"/>
          <w:szCs w:val="24"/>
        </w:rPr>
        <w:t>六、</w:t>
      </w:r>
      <w:bookmarkEnd w:id="11"/>
      <w:bookmarkStart w:id="13" w:name="_Toc202081308"/>
      <w:r>
        <w:rPr>
          <w:rFonts w:hint="eastAsia" w:ascii="仿宋" w:hAnsi="仿宋" w:eastAsia="仿宋" w:cs="仿宋"/>
          <w:sz w:val="24"/>
          <w:szCs w:val="24"/>
        </w:rPr>
        <w:t>评估依据</w:t>
      </w:r>
      <w:bookmarkEnd w:id="12"/>
      <w:bookmarkEnd w:id="13"/>
    </w:p>
    <w:bookmarkEnd w:id="5"/>
    <w:bookmarkEnd w:id="7"/>
    <w:bookmarkEnd w:id="8"/>
    <w:p>
      <w:pPr>
        <w:pStyle w:val="3"/>
        <w:spacing w:line="400" w:lineRule="exact"/>
        <w:ind w:firstLine="480"/>
        <w:jc w:val="both"/>
        <w:rPr>
          <w:rFonts w:ascii="仿宋" w:hAnsi="仿宋" w:eastAsia="仿宋"/>
          <w:szCs w:val="24"/>
        </w:rPr>
      </w:pPr>
      <w:bookmarkStart w:id="14" w:name="_Toc172687140"/>
      <w:bookmarkStart w:id="15" w:name="_Toc172687139"/>
      <w:bookmarkStart w:id="16" w:name="OLE_LINK5"/>
      <w:r>
        <w:rPr>
          <w:rFonts w:hint="eastAsia" w:ascii="仿宋" w:hAnsi="仿宋" w:eastAsia="仿宋"/>
          <w:szCs w:val="24"/>
        </w:rPr>
        <w:t>1、《中华人民共和国资产评估法》；</w:t>
      </w:r>
    </w:p>
    <w:p>
      <w:pPr>
        <w:pStyle w:val="3"/>
        <w:spacing w:line="380" w:lineRule="exact"/>
        <w:ind w:firstLine="480"/>
        <w:jc w:val="both"/>
        <w:rPr>
          <w:rFonts w:ascii="仿宋" w:hAnsi="仿宋" w:eastAsia="仿宋" w:cs="仿宋"/>
          <w:szCs w:val="24"/>
        </w:rPr>
      </w:pPr>
      <w:r>
        <w:rPr>
          <w:rFonts w:hint="eastAsia" w:ascii="仿宋" w:hAnsi="仿宋" w:eastAsia="仿宋" w:cs="仿宋"/>
          <w:szCs w:val="24"/>
        </w:rPr>
        <w:t>2、《中华人民共和国广告法》；</w:t>
      </w:r>
    </w:p>
    <w:p>
      <w:pPr>
        <w:pStyle w:val="3"/>
        <w:spacing w:line="380" w:lineRule="exact"/>
        <w:ind w:firstLine="480"/>
        <w:jc w:val="both"/>
        <w:rPr>
          <w:rFonts w:ascii="仿宋" w:hAnsi="仿宋" w:eastAsia="仿宋" w:cs="仿宋"/>
          <w:szCs w:val="24"/>
        </w:rPr>
      </w:pPr>
      <w:r>
        <w:rPr>
          <w:rFonts w:hint="eastAsia" w:ascii="仿宋" w:hAnsi="仿宋" w:eastAsia="仿宋" w:cs="仿宋"/>
          <w:szCs w:val="24"/>
        </w:rPr>
        <w:t>3、《中华人民共和国城乡规划法》；</w:t>
      </w:r>
    </w:p>
    <w:p>
      <w:pPr>
        <w:pStyle w:val="3"/>
        <w:spacing w:line="380" w:lineRule="exact"/>
        <w:ind w:firstLine="480"/>
        <w:jc w:val="both"/>
        <w:rPr>
          <w:rFonts w:hint="eastAsia" w:ascii="仿宋" w:hAnsi="仿宋" w:eastAsia="仿宋" w:cs="仿宋"/>
          <w:szCs w:val="24"/>
        </w:rPr>
      </w:pPr>
      <w:r>
        <w:rPr>
          <w:rFonts w:hint="eastAsia" w:ascii="仿宋" w:hAnsi="仿宋" w:eastAsia="仿宋" w:cs="仿宋"/>
          <w:szCs w:val="24"/>
        </w:rPr>
        <w:t>4、湖南省人民政府关于修改《湖南省户外广告管理办法》的决定；</w:t>
      </w:r>
    </w:p>
    <w:p>
      <w:pPr>
        <w:pStyle w:val="3"/>
        <w:spacing w:line="380" w:lineRule="exact"/>
        <w:ind w:firstLine="480"/>
        <w:jc w:val="both"/>
        <w:rPr>
          <w:rFonts w:hint="default" w:ascii="仿宋" w:hAnsi="仿宋" w:eastAsia="仿宋" w:cs="仿宋"/>
          <w:szCs w:val="24"/>
          <w:lang w:val="en-US" w:eastAsia="zh-CN"/>
        </w:rPr>
      </w:pPr>
      <w:r>
        <w:rPr>
          <w:rFonts w:hint="eastAsia" w:ascii="仿宋" w:hAnsi="仿宋" w:eastAsia="仿宋" w:cs="仿宋"/>
          <w:szCs w:val="24"/>
          <w:lang w:val="en-US" w:eastAsia="zh-CN"/>
        </w:rPr>
        <w:t>5、益阳市人民政府关于印发《益阳市城市户外广告设置管理办法》的通知；</w:t>
      </w:r>
    </w:p>
    <w:bookmarkEnd w:id="14"/>
    <w:bookmarkEnd w:id="15"/>
    <w:p>
      <w:pPr>
        <w:pStyle w:val="3"/>
        <w:spacing w:line="380" w:lineRule="exact"/>
        <w:ind w:firstLine="480"/>
        <w:jc w:val="both"/>
        <w:rPr>
          <w:rFonts w:ascii="仿宋" w:hAnsi="仿宋" w:eastAsia="仿宋" w:cs="仿宋"/>
          <w:szCs w:val="24"/>
        </w:rPr>
      </w:pPr>
      <w:bookmarkStart w:id="17" w:name="_Toc172687141"/>
      <w:r>
        <w:rPr>
          <w:rFonts w:hint="eastAsia" w:ascii="仿宋" w:hAnsi="仿宋" w:eastAsia="仿宋" w:cs="仿宋"/>
          <w:szCs w:val="24"/>
          <w:lang w:val="en-US" w:eastAsia="zh-CN"/>
        </w:rPr>
        <w:t>6</w:t>
      </w:r>
      <w:r>
        <w:rPr>
          <w:rFonts w:hint="eastAsia" w:ascii="仿宋" w:hAnsi="仿宋" w:eastAsia="仿宋" w:cs="仿宋"/>
          <w:szCs w:val="24"/>
        </w:rPr>
        <w:t>、我公司与</w:t>
      </w:r>
      <w:r>
        <w:rPr>
          <w:rFonts w:hint="eastAsia" w:ascii="仿宋" w:hAnsi="仿宋" w:eastAsia="仿宋" w:cs="仿宋"/>
          <w:szCs w:val="24"/>
          <w:lang w:val="en-US" w:eastAsia="zh-CN"/>
        </w:rPr>
        <w:t>益阳市城市管理和综合执法局</w:t>
      </w:r>
      <w:r>
        <w:rPr>
          <w:rFonts w:hint="eastAsia" w:ascii="仿宋" w:hAnsi="仿宋" w:eastAsia="仿宋" w:cs="仿宋"/>
          <w:szCs w:val="24"/>
        </w:rPr>
        <w:t>签订的《</w:t>
      </w:r>
      <w:r>
        <w:rPr>
          <w:rFonts w:hint="eastAsia" w:ascii="仿宋" w:hAnsi="仿宋" w:eastAsia="仿宋" w:cs="仿宋"/>
          <w:szCs w:val="24"/>
          <w:lang w:val="en-US" w:eastAsia="zh-CN"/>
        </w:rPr>
        <w:t>益阳市城市户外广告资源有偿使用资金基准价评估与测算服务合同</w:t>
      </w:r>
      <w:r>
        <w:rPr>
          <w:rFonts w:hint="eastAsia" w:ascii="仿宋" w:hAnsi="仿宋" w:eastAsia="仿宋" w:cs="仿宋"/>
          <w:szCs w:val="24"/>
        </w:rPr>
        <w:t>》；</w:t>
      </w:r>
    </w:p>
    <w:bookmarkEnd w:id="17"/>
    <w:p>
      <w:pPr>
        <w:pStyle w:val="3"/>
        <w:spacing w:line="380" w:lineRule="exact"/>
        <w:ind w:firstLine="480"/>
        <w:jc w:val="both"/>
        <w:rPr>
          <w:rFonts w:ascii="仿宋" w:hAnsi="仿宋" w:eastAsia="仿宋" w:cs="仿宋"/>
          <w:szCs w:val="24"/>
        </w:rPr>
      </w:pPr>
      <w:bookmarkStart w:id="18" w:name="_Toc172687142"/>
      <w:r>
        <w:rPr>
          <w:rFonts w:hint="eastAsia" w:ascii="仿宋" w:hAnsi="仿宋" w:eastAsia="仿宋" w:cs="仿宋"/>
          <w:szCs w:val="24"/>
          <w:lang w:val="en-US" w:eastAsia="zh-CN"/>
        </w:rPr>
        <w:t>7</w:t>
      </w:r>
      <w:r>
        <w:rPr>
          <w:rFonts w:hint="eastAsia" w:ascii="仿宋" w:hAnsi="仿宋" w:eastAsia="仿宋" w:cs="仿宋"/>
          <w:szCs w:val="24"/>
        </w:rPr>
        <w:t>、</w:t>
      </w:r>
      <w:r>
        <w:rPr>
          <w:rFonts w:hint="eastAsia" w:ascii="仿宋" w:hAnsi="仿宋" w:eastAsia="仿宋" w:cs="仿宋"/>
          <w:szCs w:val="24"/>
          <w:lang w:val="en-US" w:eastAsia="zh-CN"/>
        </w:rPr>
        <w:t>城市户外广告位出租租金</w:t>
      </w:r>
      <w:r>
        <w:rPr>
          <w:rFonts w:hint="eastAsia" w:ascii="仿宋" w:hAnsi="仿宋" w:eastAsia="仿宋" w:cs="仿宋"/>
          <w:szCs w:val="24"/>
        </w:rPr>
        <w:t>调查表及其他资料；</w:t>
      </w:r>
    </w:p>
    <w:bookmarkEnd w:id="16"/>
    <w:bookmarkEnd w:id="18"/>
    <w:p>
      <w:pPr>
        <w:pStyle w:val="3"/>
        <w:spacing w:line="380" w:lineRule="exact"/>
        <w:ind w:firstLine="480"/>
        <w:jc w:val="both"/>
        <w:rPr>
          <w:rFonts w:ascii="仿宋" w:hAnsi="仿宋" w:eastAsia="仿宋" w:cs="仿宋"/>
          <w:szCs w:val="24"/>
        </w:rPr>
      </w:pPr>
      <w:bookmarkStart w:id="19" w:name="_Toc213846105"/>
      <w:bookmarkStart w:id="20" w:name="_Toc113332685"/>
      <w:bookmarkStart w:id="21" w:name="_Toc143578294"/>
      <w:r>
        <w:rPr>
          <w:rFonts w:hint="eastAsia" w:ascii="仿宋" w:hAnsi="仿宋" w:eastAsia="仿宋" w:cs="仿宋"/>
          <w:szCs w:val="24"/>
          <w:lang w:val="en-US" w:eastAsia="zh-CN"/>
        </w:rPr>
        <w:t>8</w:t>
      </w:r>
      <w:r>
        <w:rPr>
          <w:rFonts w:hint="eastAsia" w:ascii="仿宋" w:hAnsi="仿宋" w:eastAsia="仿宋" w:cs="仿宋"/>
          <w:szCs w:val="24"/>
        </w:rPr>
        <w:t>、评估人员查询的市场价格信息及向主要广告代理商询价资料；</w:t>
      </w:r>
    </w:p>
    <w:p>
      <w:pPr>
        <w:pStyle w:val="3"/>
        <w:spacing w:line="380" w:lineRule="exact"/>
        <w:ind w:firstLine="480"/>
        <w:jc w:val="both"/>
        <w:rPr>
          <w:rFonts w:ascii="仿宋" w:hAnsi="仿宋" w:eastAsia="仿宋" w:cs="仿宋"/>
          <w:szCs w:val="24"/>
        </w:rPr>
      </w:pPr>
      <w:r>
        <w:rPr>
          <w:rFonts w:hint="eastAsia" w:ascii="仿宋" w:hAnsi="仿宋" w:eastAsia="仿宋" w:cs="仿宋"/>
          <w:szCs w:val="24"/>
          <w:lang w:val="en-US" w:eastAsia="zh-CN"/>
        </w:rPr>
        <w:t>9</w:t>
      </w:r>
      <w:r>
        <w:rPr>
          <w:rFonts w:hint="eastAsia" w:ascii="仿宋" w:hAnsi="仿宋" w:eastAsia="仿宋" w:cs="仿宋"/>
          <w:szCs w:val="24"/>
        </w:rPr>
        <w:t>、通过市场调查获得的其他与咨询有关的资料等。</w:t>
      </w:r>
    </w:p>
    <w:bookmarkEnd w:id="19"/>
    <w:bookmarkEnd w:id="20"/>
    <w:bookmarkEnd w:id="21"/>
    <w:p>
      <w:pPr>
        <w:pStyle w:val="2"/>
        <w:spacing w:before="180" w:after="240" w:line="400" w:lineRule="exact"/>
        <w:ind w:firstLine="482" w:firstLineChars="200"/>
        <w:jc w:val="both"/>
        <w:rPr>
          <w:rFonts w:ascii="仿宋" w:hAnsi="仿宋" w:eastAsia="仿宋" w:cs="仿宋"/>
          <w:sz w:val="24"/>
          <w:szCs w:val="24"/>
        </w:rPr>
      </w:pPr>
      <w:bookmarkStart w:id="22" w:name="_Toc202081309"/>
      <w:bookmarkStart w:id="23" w:name="_Toc19587"/>
      <w:r>
        <w:rPr>
          <w:rFonts w:hint="eastAsia" w:ascii="仿宋" w:hAnsi="仿宋" w:eastAsia="仿宋" w:cs="仿宋"/>
          <w:sz w:val="24"/>
          <w:szCs w:val="24"/>
        </w:rPr>
        <w:t>七、评估方法</w:t>
      </w:r>
      <w:bookmarkEnd w:id="22"/>
      <w:bookmarkEnd w:id="23"/>
    </w:p>
    <w:p>
      <w:pPr>
        <w:pStyle w:val="3"/>
        <w:spacing w:line="380" w:lineRule="exact"/>
        <w:ind w:firstLine="480"/>
        <w:jc w:val="both"/>
        <w:rPr>
          <w:rFonts w:ascii="仿宋" w:hAnsi="仿宋" w:eastAsia="仿宋" w:cs="仿宋"/>
          <w:szCs w:val="24"/>
        </w:rPr>
      </w:pPr>
      <w:r>
        <w:rPr>
          <w:rFonts w:hint="eastAsia" w:ascii="仿宋" w:hAnsi="仿宋" w:eastAsia="仿宋" w:cs="仿宋"/>
          <w:szCs w:val="24"/>
        </w:rPr>
        <w:t>根据评估对象城市户外广告资源的资产特性，本次采用市场法确定评估对象的市场价值，市场法是以现时市场上的参照物来评价评估对象的现行公平市场价值，它具有评估角度和评估途径直接、评估过程直观、评估数据直接取材于市场、评估结果说服力强的特点。由于本次价格评估测算对象通过市场调查可以取得类似交易案例及价格，具有一定的公开市场资料，故本次测算方法采用市场法。</w:t>
      </w:r>
    </w:p>
    <w:p>
      <w:pPr>
        <w:pStyle w:val="3"/>
        <w:spacing w:line="380" w:lineRule="exact"/>
        <w:ind w:firstLine="480"/>
        <w:jc w:val="both"/>
        <w:rPr>
          <w:rFonts w:ascii="仿宋" w:hAnsi="仿宋" w:eastAsia="仿宋" w:cs="仿宋"/>
          <w:szCs w:val="24"/>
        </w:rPr>
      </w:pPr>
      <w:r>
        <w:rPr>
          <w:rFonts w:hint="eastAsia" w:ascii="仿宋" w:hAnsi="仿宋" w:eastAsia="仿宋" w:cs="仿宋"/>
          <w:szCs w:val="24"/>
        </w:rPr>
        <w:t>本次评估选取了不同区域、不同广告类型案例的价格，经分析后综合确定委托评估对象的市场价格。再根据《湖南省人民政府关于修改&lt;湖南省户外广告管理办法&gt;的决定》中《湖南省户外广告管理办法》（1998修正）第九条</w:t>
      </w:r>
      <w:r>
        <w:rPr>
          <w:rFonts w:ascii="仿宋" w:hAnsi="仿宋" w:eastAsia="仿宋" w:cs="仿宋"/>
          <w:szCs w:val="24"/>
        </w:rPr>
        <w:t>”</w:t>
      </w:r>
      <w:r>
        <w:rPr>
          <w:rFonts w:hint="eastAsia" w:ascii="仿宋" w:hAnsi="仿宋" w:eastAsia="仿宋" w:cs="仿宋"/>
          <w:szCs w:val="24"/>
        </w:rPr>
        <w:t>户外广告场地费，由城市建设行政主管部门按高于该项广告营业额5%的标准收取，纳入行政性收费管理，专款用于市政设施的维修、建设</w:t>
      </w:r>
      <w:r>
        <w:rPr>
          <w:rFonts w:ascii="仿宋" w:hAnsi="仿宋" w:eastAsia="仿宋" w:cs="仿宋"/>
          <w:szCs w:val="24"/>
        </w:rPr>
        <w:t>”</w:t>
      </w:r>
      <w:r>
        <w:rPr>
          <w:rFonts w:hint="eastAsia" w:ascii="仿宋" w:hAnsi="仿宋" w:eastAsia="仿宋" w:cs="仿宋"/>
          <w:szCs w:val="24"/>
        </w:rPr>
        <w:t>的规定。按市场价格5%的比例确定</w:t>
      </w:r>
      <w:r>
        <w:rPr>
          <w:rFonts w:hint="eastAsia" w:ascii="仿宋" w:hAnsi="仿宋" w:eastAsia="仿宋" w:cs="仿宋"/>
          <w:szCs w:val="24"/>
          <w:lang w:val="en-US" w:eastAsia="zh-CN"/>
        </w:rPr>
        <w:t>益阳</w:t>
      </w:r>
      <w:r>
        <w:rPr>
          <w:rFonts w:hint="eastAsia" w:ascii="仿宋" w:hAnsi="仿宋" w:eastAsia="仿宋" w:cs="仿宋"/>
          <w:szCs w:val="24"/>
        </w:rPr>
        <w:t>市城市户外广告资源有偿使用基准价格。</w:t>
      </w:r>
    </w:p>
    <w:p>
      <w:pPr>
        <w:pStyle w:val="2"/>
        <w:spacing w:before="180" w:after="240" w:line="380" w:lineRule="exact"/>
        <w:ind w:firstLine="482" w:firstLineChars="200"/>
        <w:jc w:val="both"/>
        <w:rPr>
          <w:rFonts w:ascii="仿宋" w:hAnsi="仿宋" w:eastAsia="仿宋" w:cs="仿宋"/>
        </w:rPr>
      </w:pPr>
      <w:bookmarkStart w:id="24" w:name="_Toc202081310"/>
      <w:bookmarkStart w:id="25" w:name="_Toc32526"/>
      <w:r>
        <w:rPr>
          <w:rFonts w:hint="eastAsia" w:ascii="仿宋" w:hAnsi="仿宋" w:eastAsia="仿宋" w:cs="仿宋"/>
          <w:sz w:val="24"/>
          <w:szCs w:val="24"/>
        </w:rPr>
        <w:t>八、评估程序实施过程</w:t>
      </w:r>
      <w:r>
        <w:rPr>
          <w:rFonts w:hint="eastAsia" w:ascii="仿宋" w:hAnsi="仿宋" w:eastAsia="仿宋" w:cs="仿宋"/>
          <w:sz w:val="24"/>
          <w:szCs w:val="24"/>
          <w:lang w:val="en-US" w:eastAsia="zh-CN"/>
        </w:rPr>
        <w:t>和</w:t>
      </w:r>
      <w:r>
        <w:rPr>
          <w:rFonts w:hint="eastAsia" w:ascii="仿宋" w:hAnsi="仿宋" w:eastAsia="仿宋" w:cs="仿宋"/>
          <w:sz w:val="24"/>
          <w:szCs w:val="24"/>
        </w:rPr>
        <w:t>情况</w:t>
      </w:r>
      <w:bookmarkEnd w:id="24"/>
      <w:bookmarkEnd w:id="25"/>
    </w:p>
    <w:p>
      <w:pPr>
        <w:pStyle w:val="3"/>
        <w:spacing w:line="380" w:lineRule="exact"/>
        <w:ind w:firstLine="480"/>
        <w:jc w:val="both"/>
        <w:rPr>
          <w:rFonts w:ascii="仿宋" w:hAnsi="仿宋" w:eastAsia="仿宋" w:cs="仿宋"/>
        </w:rPr>
      </w:pPr>
      <w:bookmarkStart w:id="26" w:name="_Toc202081311"/>
      <w:r>
        <w:rPr>
          <w:rFonts w:hint="eastAsia" w:ascii="仿宋" w:hAnsi="仿宋" w:eastAsia="仿宋" w:cs="仿宋"/>
        </w:rPr>
        <w:t>按照我国有关政策规定和户外广告管理的要求，以委托人提供的资料为基础，严格遵循独立性、客观性、公正性的工作原则及替代性和公开市场原则；我公司评估人员实施了对委托评估项目进行法律性文件收集及相关资料的验证审核、整理、对比、分析，按纳入评估范围资产的方案要求，对委托评估对象进行了评估测算，按照评估工作的规范要求，我们已经完成了市场调查必要实施的工作程序；公正、客观地对评估对象在评估基准日的市场价值进行评定估算；与委托人充分沟通初步意见后通过内部三级复审出具正式评估报告。</w:t>
      </w:r>
    </w:p>
    <w:p>
      <w:pPr>
        <w:pStyle w:val="3"/>
        <w:spacing w:line="380" w:lineRule="exact"/>
        <w:ind w:firstLine="480"/>
        <w:jc w:val="both"/>
        <w:rPr>
          <w:rFonts w:ascii="仿宋" w:hAnsi="仿宋" w:eastAsia="仿宋" w:cs="仿宋"/>
        </w:rPr>
      </w:pPr>
      <w:r>
        <w:rPr>
          <w:rFonts w:hint="eastAsia" w:ascii="仿宋" w:hAnsi="仿宋" w:eastAsia="仿宋" w:cs="仿宋"/>
        </w:rPr>
        <w:t>评估对象（含程序）具体包括⑴城市户外广告涉及的区域范围、媒介范围（建筑物、构筑物等），⑵城市户外广告的广告载体、广告类型（</w:t>
      </w:r>
      <w:r>
        <w:rPr>
          <w:rFonts w:hint="eastAsia" w:ascii="仿宋" w:hAnsi="仿宋" w:eastAsia="仿宋" w:cs="仿宋"/>
          <w:lang w:val="en-US" w:eastAsia="zh-CN"/>
        </w:rPr>
        <w:t>三面翻</w:t>
      </w:r>
      <w:r>
        <w:rPr>
          <w:rFonts w:hint="eastAsia" w:ascii="仿宋" w:hAnsi="仿宋" w:eastAsia="仿宋" w:cs="仿宋"/>
        </w:rPr>
        <w:t>、</w:t>
      </w:r>
      <w:r>
        <w:rPr>
          <w:rFonts w:hint="eastAsia" w:ascii="仿宋" w:hAnsi="仿宋" w:eastAsia="仿宋" w:cs="仿宋"/>
          <w:lang w:val="en-US" w:eastAsia="zh-CN"/>
        </w:rPr>
        <w:t>电子显示屏</w:t>
      </w:r>
      <w:r>
        <w:rPr>
          <w:rFonts w:hint="eastAsia" w:ascii="仿宋" w:hAnsi="仿宋" w:eastAsia="仿宋" w:cs="仿宋"/>
        </w:rPr>
        <w:t>、</w:t>
      </w:r>
      <w:r>
        <w:rPr>
          <w:rFonts w:hint="eastAsia" w:ascii="仿宋" w:hAnsi="仿宋" w:eastAsia="仿宋" w:cs="仿宋"/>
          <w:lang w:val="en-US" w:eastAsia="zh-CN"/>
        </w:rPr>
        <w:t>围挡</w:t>
      </w:r>
      <w:r>
        <w:rPr>
          <w:rFonts w:hint="eastAsia" w:ascii="仿宋" w:hAnsi="仿宋" w:eastAsia="仿宋" w:cs="仿宋"/>
        </w:rPr>
        <w:t>等），⑶广告代理公司（广告发布流程、广告承租期限、广告租赁价格等），⑷广告制作公司（广告载体制作成本、使用周期、安装费用等）。</w:t>
      </w:r>
    </w:p>
    <w:p>
      <w:pPr>
        <w:pStyle w:val="2"/>
        <w:spacing w:before="180" w:after="240" w:line="380" w:lineRule="exact"/>
        <w:ind w:firstLine="482" w:firstLineChars="200"/>
        <w:jc w:val="both"/>
        <w:rPr>
          <w:rFonts w:ascii="仿宋" w:hAnsi="仿宋" w:eastAsia="仿宋" w:cs="仿宋"/>
          <w:szCs w:val="24"/>
        </w:rPr>
      </w:pPr>
      <w:bookmarkStart w:id="27" w:name="_Toc17373"/>
      <w:r>
        <w:rPr>
          <w:rFonts w:hint="eastAsia" w:ascii="仿宋" w:hAnsi="仿宋" w:eastAsia="仿宋" w:cs="仿宋"/>
          <w:sz w:val="24"/>
          <w:szCs w:val="24"/>
        </w:rPr>
        <w:t>九、评估假设</w:t>
      </w:r>
      <w:bookmarkEnd w:id="26"/>
      <w:bookmarkEnd w:id="27"/>
      <w:bookmarkStart w:id="28" w:name="_Toc170111362"/>
      <w:bookmarkStart w:id="29" w:name="_Toc162865466"/>
    </w:p>
    <w:p>
      <w:pPr>
        <w:spacing w:line="380" w:lineRule="exact"/>
        <w:ind w:firstLine="480" w:firstLineChars="200"/>
        <w:rPr>
          <w:rFonts w:ascii="仿宋" w:hAnsi="仿宋" w:eastAsia="仿宋" w:cs="仿宋"/>
          <w:szCs w:val="24"/>
        </w:rPr>
      </w:pPr>
      <w:r>
        <w:rPr>
          <w:rFonts w:hint="eastAsia" w:ascii="仿宋" w:hAnsi="仿宋" w:eastAsia="仿宋" w:cs="仿宋"/>
          <w:szCs w:val="24"/>
        </w:rPr>
        <w:t>1、公开市场假设。指充分发达与完善的市场条件，是一个有自愿的买者和卖者的竞争性市场，在这个市场上，买者和卖者的地位是平等的，彼此都有获取足够市场信息和企业信息的机会和时间，以便对企业行为做出理智的判断；买卖双方的交易行为都是在自愿的、理智的而非强制的或不受限制的条件下进行的。</w:t>
      </w:r>
    </w:p>
    <w:p>
      <w:pPr>
        <w:spacing w:line="380" w:lineRule="exact"/>
        <w:ind w:firstLine="480" w:firstLineChars="200"/>
        <w:rPr>
          <w:rFonts w:ascii="仿宋" w:hAnsi="仿宋" w:eastAsia="仿宋" w:cs="仿宋"/>
          <w:szCs w:val="24"/>
        </w:rPr>
      </w:pPr>
      <w:r>
        <w:rPr>
          <w:rFonts w:hint="eastAsia" w:ascii="仿宋" w:hAnsi="仿宋" w:eastAsia="仿宋" w:cs="仿宋"/>
          <w:szCs w:val="24"/>
        </w:rPr>
        <w:t>2、资料合法、真实、完整性假设。委托人所提供的资料是评估工作的重要基础资料，评估人员对所收集到的资料履行了应有的清查核实程序，并在专业范围内进行应有的职业分析判断，对所发现的问题进行进一步澄清核实和尽可能的充分披露。但评估机构和评估人员受执业范围所限，不能对所提供的资料的合法性、真实性和完整性（完整性是相对估值需要而言的）做出保证。因此，评估测算工作是以委托人所提供的有关资料的合法、真实、完整为假设前提。</w:t>
      </w:r>
    </w:p>
    <w:p>
      <w:pPr>
        <w:spacing w:line="380" w:lineRule="exact"/>
        <w:ind w:firstLine="480" w:firstLineChars="200"/>
        <w:rPr>
          <w:rFonts w:ascii="仿宋" w:hAnsi="仿宋" w:eastAsia="仿宋" w:cs="仿宋"/>
          <w:szCs w:val="24"/>
        </w:rPr>
      </w:pPr>
      <w:r>
        <w:rPr>
          <w:rFonts w:hint="eastAsia" w:ascii="仿宋" w:hAnsi="仿宋" w:eastAsia="仿宋" w:cs="仿宋"/>
          <w:szCs w:val="24"/>
        </w:rPr>
        <w:t>3、本次评估以本项目评估报告所列明的特定评估目的为基本假设前提；评估范围仅以委托人提供的评估范围为准，有关资产的现行市价以评估基准日的国内有效价格为依据。</w:t>
      </w:r>
    </w:p>
    <w:p>
      <w:pPr>
        <w:spacing w:line="380" w:lineRule="exact"/>
        <w:ind w:firstLine="480" w:firstLineChars="200"/>
        <w:rPr>
          <w:rFonts w:ascii="仿宋" w:hAnsi="仿宋" w:eastAsia="仿宋" w:cs="仿宋"/>
          <w:szCs w:val="24"/>
        </w:rPr>
      </w:pPr>
      <w:r>
        <w:rPr>
          <w:rFonts w:hint="eastAsia" w:ascii="仿宋" w:hAnsi="仿宋" w:eastAsia="仿宋" w:cs="仿宋"/>
          <w:szCs w:val="24"/>
        </w:rPr>
        <w:t>4、国家现行的有关法律法规及政策、国家宏观经济形势无重大变化，国家对委托人所处行业的有关法律法规和政策在预期无重大变化；本次交易各方所处的政治、经济和社会环境无重大变化，无其他不可预测和不可抗力因素造成的重大不利影响。</w:t>
      </w:r>
    </w:p>
    <w:p>
      <w:pPr>
        <w:spacing w:line="380" w:lineRule="exact"/>
        <w:ind w:firstLine="480" w:firstLineChars="200"/>
        <w:rPr>
          <w:rFonts w:ascii="仿宋" w:hAnsi="仿宋" w:eastAsia="仿宋" w:cs="仿宋"/>
          <w:szCs w:val="24"/>
        </w:rPr>
      </w:pPr>
      <w:r>
        <w:rPr>
          <w:rFonts w:hint="eastAsia" w:ascii="仿宋" w:hAnsi="仿宋" w:eastAsia="仿宋" w:cs="仿宋"/>
          <w:szCs w:val="24"/>
        </w:rPr>
        <w:t>5、无瑕疵事项、或有事项或其他事项假设：对企业存在的可能影响项目评估测算结论的瑕疵事项或其他事项，如委托人等有关方面应向评估人员要求提供而未提供，而评估人员已履行调查程序仍无法获知的情况下，视为被评估测算项目不存在瑕疵事项或其他事项，评估机构及评估人员不承担相关责任。</w:t>
      </w:r>
    </w:p>
    <w:p>
      <w:pPr>
        <w:spacing w:line="380" w:lineRule="exact"/>
        <w:ind w:firstLine="480" w:firstLineChars="200"/>
        <w:rPr>
          <w:rFonts w:ascii="仿宋" w:hAnsi="仿宋" w:eastAsia="仿宋" w:cs="仿宋"/>
          <w:szCs w:val="24"/>
        </w:rPr>
      </w:pPr>
      <w:r>
        <w:rPr>
          <w:rFonts w:hint="eastAsia" w:ascii="仿宋" w:hAnsi="仿宋" w:eastAsia="仿宋" w:cs="仿宋"/>
          <w:szCs w:val="24"/>
        </w:rPr>
        <w:t>6、本评估报告中的估算是在假定所有重要的及潜在的可能影响价值分析的因素都已在我们与委托人之间充分揭示的前提下做出的。</w:t>
      </w:r>
    </w:p>
    <w:p>
      <w:pPr>
        <w:spacing w:line="380" w:lineRule="exact"/>
        <w:ind w:firstLine="480" w:firstLineChars="200"/>
        <w:rPr>
          <w:rFonts w:hint="default" w:ascii="仿宋" w:hAnsi="仿宋" w:eastAsia="仿宋" w:cs="仿宋"/>
          <w:szCs w:val="24"/>
          <w:lang w:val="en-US" w:eastAsia="zh-CN"/>
        </w:rPr>
      </w:pPr>
      <w:r>
        <w:rPr>
          <w:rFonts w:hint="eastAsia" w:ascii="仿宋" w:hAnsi="仿宋" w:eastAsia="仿宋" w:cs="仿宋"/>
          <w:szCs w:val="24"/>
        </w:rPr>
        <w:t>7、除非另有说明，假设委托人完全遵守所有有关的法律法规。</w:t>
      </w:r>
    </w:p>
    <w:bookmarkEnd w:id="28"/>
    <w:bookmarkEnd w:id="29"/>
    <w:p>
      <w:pPr>
        <w:pStyle w:val="2"/>
        <w:spacing w:before="180" w:after="240" w:line="380" w:lineRule="exact"/>
        <w:ind w:firstLine="482" w:firstLineChars="200"/>
        <w:jc w:val="both"/>
        <w:rPr>
          <w:rFonts w:ascii="仿宋" w:hAnsi="仿宋" w:eastAsia="仿宋" w:cs="仿宋"/>
          <w:sz w:val="24"/>
          <w:szCs w:val="24"/>
        </w:rPr>
      </w:pPr>
      <w:bookmarkStart w:id="30" w:name="_Toc202081312"/>
      <w:bookmarkStart w:id="31" w:name="_Toc2893"/>
      <w:r>
        <w:rPr>
          <w:rFonts w:hint="eastAsia" w:ascii="仿宋" w:hAnsi="仿宋" w:eastAsia="仿宋" w:cs="仿宋"/>
          <w:sz w:val="24"/>
          <w:szCs w:val="24"/>
        </w:rPr>
        <w:t>十、评估结论</w:t>
      </w:r>
      <w:bookmarkEnd w:id="30"/>
      <w:bookmarkEnd w:id="31"/>
    </w:p>
    <w:p>
      <w:pPr>
        <w:pStyle w:val="3"/>
        <w:spacing w:line="380" w:lineRule="exact"/>
        <w:ind w:firstLine="480"/>
        <w:jc w:val="both"/>
        <w:rPr>
          <w:rFonts w:ascii="仿宋" w:hAnsi="仿宋" w:eastAsia="仿宋" w:cs="仿宋"/>
          <w:b/>
          <w:color w:val="auto"/>
        </w:rPr>
      </w:pPr>
      <w:r>
        <w:rPr>
          <w:rFonts w:hint="eastAsia" w:ascii="仿宋" w:hAnsi="仿宋" w:eastAsia="仿宋" w:cs="仿宋"/>
          <w:szCs w:val="24"/>
        </w:rPr>
        <w:t>根椐以上评估工作，在评估前提和假设充分实现的条件下，</w:t>
      </w:r>
      <w:bookmarkStart w:id="32" w:name="_Toc202081313"/>
      <w:r>
        <w:rPr>
          <w:rFonts w:hint="eastAsia" w:ascii="仿宋" w:hAnsi="仿宋" w:eastAsia="仿宋" w:cs="仿宋"/>
        </w:rPr>
        <w:t>委托评估的</w:t>
      </w:r>
      <w:r>
        <w:rPr>
          <w:rFonts w:hint="eastAsia" w:ascii="仿宋" w:hAnsi="仿宋" w:eastAsia="仿宋" w:cs="仿宋"/>
          <w:lang w:val="en-US" w:eastAsia="zh-CN"/>
        </w:rPr>
        <w:t>益阳</w:t>
      </w:r>
      <w:r>
        <w:rPr>
          <w:rFonts w:hint="eastAsia" w:ascii="仿宋" w:hAnsi="仿宋" w:eastAsia="仿宋" w:cs="仿宋"/>
        </w:rPr>
        <w:t>市城市户外广告资源有偿使用基准价格于201</w:t>
      </w:r>
      <w:r>
        <w:rPr>
          <w:rFonts w:hint="eastAsia" w:ascii="仿宋" w:hAnsi="仿宋" w:eastAsia="仿宋" w:cs="仿宋"/>
          <w:lang w:val="en-US" w:eastAsia="zh-CN"/>
        </w:rPr>
        <w:t>9</w:t>
      </w:r>
      <w:r>
        <w:rPr>
          <w:rFonts w:hint="eastAsia" w:ascii="仿宋" w:hAnsi="仿宋" w:eastAsia="仿宋" w:cs="仿宋"/>
        </w:rPr>
        <w:t>年</w:t>
      </w:r>
      <w:r>
        <w:rPr>
          <w:rFonts w:hint="eastAsia" w:ascii="仿宋" w:hAnsi="仿宋" w:eastAsia="仿宋" w:cs="仿宋"/>
          <w:lang w:val="en-US" w:eastAsia="zh-CN"/>
        </w:rPr>
        <w:t>10</w:t>
      </w:r>
      <w:r>
        <w:rPr>
          <w:rFonts w:hint="eastAsia" w:ascii="仿宋" w:hAnsi="仿宋" w:eastAsia="仿宋" w:cs="仿宋"/>
        </w:rPr>
        <w:t>月</w:t>
      </w:r>
      <w:r>
        <w:rPr>
          <w:rFonts w:hint="eastAsia" w:ascii="仿宋" w:hAnsi="仿宋" w:eastAsia="仿宋" w:cs="仿宋"/>
          <w:lang w:val="en-US" w:eastAsia="zh-CN"/>
        </w:rPr>
        <w:t>30</w:t>
      </w:r>
      <w:r>
        <w:rPr>
          <w:rFonts w:hint="eastAsia" w:ascii="仿宋" w:hAnsi="仿宋" w:eastAsia="仿宋" w:cs="仿宋"/>
        </w:rPr>
        <w:t>日的市场价值如下表所示。</w:t>
      </w:r>
    </w:p>
    <w:p>
      <w:pPr>
        <w:pStyle w:val="5"/>
        <w:snapToGrid w:val="0"/>
        <w:spacing w:before="0" w:beforeAutospacing="0" w:after="0" w:afterAutospacing="0" w:line="380" w:lineRule="exact"/>
        <w:jc w:val="center"/>
        <w:rPr>
          <w:rFonts w:ascii="仿宋" w:hAnsi="仿宋" w:eastAsia="仿宋" w:cs="仿宋"/>
          <w:b/>
          <w:color w:val="auto"/>
        </w:rPr>
      </w:pPr>
    </w:p>
    <w:p>
      <w:pPr>
        <w:pStyle w:val="5"/>
        <w:snapToGrid w:val="0"/>
        <w:spacing w:before="0" w:beforeAutospacing="0" w:after="0" w:afterAutospacing="0" w:line="380" w:lineRule="exact"/>
        <w:jc w:val="center"/>
        <w:rPr>
          <w:rFonts w:ascii="仿宋" w:hAnsi="仿宋" w:eastAsia="仿宋" w:cs="仿宋"/>
          <w:b/>
          <w:color w:val="auto"/>
        </w:rPr>
      </w:pPr>
      <w:r>
        <w:rPr>
          <w:rFonts w:hint="eastAsia" w:ascii="仿宋" w:hAnsi="仿宋" w:eastAsia="仿宋" w:cs="仿宋"/>
          <w:b/>
          <w:color w:val="auto"/>
          <w:lang w:val="en-US" w:eastAsia="zh-CN"/>
        </w:rPr>
        <w:t>益阳</w:t>
      </w:r>
      <w:r>
        <w:rPr>
          <w:rFonts w:hint="eastAsia" w:ascii="仿宋" w:hAnsi="仿宋" w:eastAsia="仿宋" w:cs="仿宋"/>
          <w:b/>
          <w:color w:val="auto"/>
        </w:rPr>
        <w:t>市城市户外广告资源有偿使用基准价格汇总表</w:t>
      </w:r>
    </w:p>
    <w:tbl>
      <w:tblPr>
        <w:tblStyle w:val="6"/>
        <w:tblW w:w="9857"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2148"/>
        <w:gridCol w:w="2790"/>
        <w:gridCol w:w="876"/>
        <w:gridCol w:w="972"/>
        <w:gridCol w:w="973"/>
        <w:gridCol w:w="2098"/>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7" w:hRule="atLeast"/>
          <w:tblHeader/>
          <w:jc w:val="center"/>
        </w:trPr>
        <w:tc>
          <w:tcPr>
            <w:tcW w:w="4938" w:type="dxa"/>
            <w:gridSpan w:val="2"/>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类别</w:t>
            </w:r>
          </w:p>
        </w:tc>
        <w:tc>
          <w:tcPr>
            <w:tcW w:w="876"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单位</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资金收取标准（元）</w:t>
            </w:r>
          </w:p>
        </w:tc>
        <w:tc>
          <w:tcPr>
            <w:tcW w:w="2098"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备注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blHeader/>
          <w:jc w:val="center"/>
        </w:trPr>
        <w:tc>
          <w:tcPr>
            <w:tcW w:w="4938" w:type="dxa"/>
            <w:gridSpan w:val="2"/>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876"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A类区</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lang w:val="en-US" w:eastAsia="zh-CN"/>
              </w:rPr>
              <w:t>B类区</w:t>
            </w:r>
          </w:p>
        </w:tc>
        <w:tc>
          <w:tcPr>
            <w:tcW w:w="2098"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4938" w:type="dxa"/>
            <w:gridSpan w:val="2"/>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一、屋顶广告</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default" w:ascii="仿宋" w:hAnsi="仿宋" w:eastAsia="仿宋" w:cs="仿宋"/>
                <w:color w:val="auto"/>
                <w:sz w:val="21"/>
                <w:szCs w:val="21"/>
                <w:highlight w:val="none"/>
                <w:lang w:val="en-US" w:eastAsia="zh-CN"/>
              </w:rPr>
              <w:t>元/㎡</w:t>
            </w:r>
            <w:r>
              <w:rPr>
                <w:rFonts w:hint="eastAsia" w:ascii="仿宋" w:hAnsi="仿宋" w:eastAsia="仿宋" w:cs="仿宋"/>
                <w:color w:val="auto"/>
                <w:sz w:val="21"/>
                <w:szCs w:val="21"/>
                <w:highlight w:val="none"/>
                <w:lang w:val="en-US" w:eastAsia="zh-CN"/>
              </w:rPr>
              <w:t>/</w:t>
            </w:r>
            <w:r>
              <w:rPr>
                <w:rFonts w:hint="default" w:ascii="仿宋" w:hAnsi="仿宋" w:eastAsia="仿宋" w:cs="仿宋"/>
                <w:color w:val="auto"/>
                <w:sz w:val="21"/>
                <w:szCs w:val="21"/>
                <w:highlight w:val="none"/>
                <w:lang w:val="en-US" w:eastAsia="zh-CN"/>
              </w:rPr>
              <w:t>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含店牌</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二、设置于临街建筑物墙面的各类广告</w:t>
            </w:r>
          </w:p>
        </w:tc>
        <w:tc>
          <w:tcPr>
            <w:tcW w:w="2790" w:type="dxa"/>
            <w:tcBorders>
              <w:tl2br w:val="nil"/>
              <w:tr2bl w:val="nil"/>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1.霓虹灯(含：造型)</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8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6 </w:t>
            </w:r>
          </w:p>
        </w:tc>
        <w:tc>
          <w:tcPr>
            <w:tcW w:w="2098" w:type="dxa"/>
            <w:vMerge w:val="restart"/>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二楼以上</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2.栅栏牌</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8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6 </w:t>
            </w:r>
          </w:p>
        </w:tc>
        <w:tc>
          <w:tcPr>
            <w:tcW w:w="2098"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3.灯箱</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 </w:t>
            </w:r>
          </w:p>
        </w:tc>
        <w:tc>
          <w:tcPr>
            <w:tcW w:w="2098"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4.三面翻</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15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11 </w:t>
            </w:r>
          </w:p>
        </w:tc>
        <w:tc>
          <w:tcPr>
            <w:tcW w:w="2098"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5.一楼店牌（仅限一店一牌）</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5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4 </w:t>
            </w:r>
          </w:p>
        </w:tc>
        <w:tc>
          <w:tcPr>
            <w:tcW w:w="2098"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二楼窗台以下，小于10 ㎡免收</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6.电子显示屏</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18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13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7.悬挂巨幅</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元/㎡/天</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5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4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8.悬挂条幅</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元/条/天</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三、设置在城市道路（含：绿化带及广场）的广告</w:t>
            </w: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1.指示标牌</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30</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21</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2.园林小品</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15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11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含灯箱</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3.公交站亭</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12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8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4.电子显示屏</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27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19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5.大型铁架</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含门楼</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6.高立柱</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7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7.三面翻</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20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14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8.临时桁架</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元/㎡/天</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5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9.彩旗</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元/面/天</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val="en-US" w:eastAsia="zh-CN"/>
              </w:rPr>
              <w:t>含灯杆旗、道旗</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lang w:val="en-US" w:eastAsia="zh-CN"/>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10.道闸</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restart"/>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四、围墙广告</w:t>
            </w: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1.在建工地围墙</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15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11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2.围墙灯箱广告</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20 </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14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3.临时围挡广告</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元/㎡/天</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5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五、以交通工具为载体的广告</w:t>
            </w: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1.公交车</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元/台/年</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1000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2.促销车</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元/台/天</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100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3.物流车</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元/台/月</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300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restart"/>
            <w:tcBorders>
              <w:tl2br w:val="nil"/>
              <w:tr2bl w:val="nil"/>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六、各类充气广告</w:t>
            </w: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1.空飘气球</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元/个/天</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20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214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c>
          <w:tcPr>
            <w:tcW w:w="2790"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2.气模</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元/个/天</w:t>
            </w:r>
          </w:p>
        </w:tc>
        <w:tc>
          <w:tcPr>
            <w:tcW w:w="1945"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500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jc w:val="center"/>
        </w:trPr>
        <w:tc>
          <w:tcPr>
            <w:tcW w:w="4938" w:type="dxa"/>
            <w:gridSpan w:val="2"/>
            <w:tcBorders>
              <w:tl2br w:val="nil"/>
              <w:tr2bl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七、实物造型广告</w:t>
            </w:r>
          </w:p>
        </w:tc>
        <w:tc>
          <w:tcPr>
            <w:tcW w:w="87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元/㎡/月</w:t>
            </w:r>
          </w:p>
        </w:tc>
        <w:tc>
          <w:tcPr>
            <w:tcW w:w="97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21</w:t>
            </w:r>
          </w:p>
        </w:tc>
        <w:tc>
          <w:tcPr>
            <w:tcW w:w="97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 xml:space="preserve">15 </w:t>
            </w:r>
          </w:p>
        </w:tc>
        <w:tc>
          <w:tcPr>
            <w:tcW w:w="2098"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1"/>
                <w:szCs w:val="21"/>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9857" w:type="dxa"/>
            <w:gridSpan w:val="6"/>
            <w:tcBorders>
              <w:tl2br w:val="nil"/>
              <w:tr2bl w:val="nil"/>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sz w:val="21"/>
                <w:szCs w:val="21"/>
                <w:shd w:val="clear" w:color="auto" w:fill="auto"/>
                <w:lang w:val="en-US" w:eastAsia="zh-CN"/>
              </w:rPr>
              <w:t>备注：1.</w:t>
            </w:r>
            <w:r>
              <w:rPr>
                <w:rFonts w:hint="eastAsia" w:ascii="仿宋" w:hAnsi="仿宋" w:eastAsia="仿宋" w:cs="仿宋"/>
                <w:color w:val="000000" w:themeColor="text1"/>
                <w:sz w:val="21"/>
                <w:szCs w:val="21"/>
                <w:lang w:val="en-US" w:eastAsia="zh-CN"/>
                <w14:textFill>
                  <w14:solidFill>
                    <w14:schemeClr w14:val="tx1"/>
                  </w14:solidFill>
                </w14:textFill>
              </w:rPr>
              <w:t>A类区为市中心城区主要街道（十纵十横）和穿越城市规划区范围内的主要道路两侧（含商业广场）。</w:t>
            </w:r>
          </w:p>
          <w:p>
            <w:pPr>
              <w:widowControl/>
              <w:jc w:val="left"/>
              <w:textAlignment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十纵：金山路、康复路、龙洲路、大桃路、萝溪路、团圆路、银城大道、马良路、文昌路、白马山路；</w:t>
            </w:r>
          </w:p>
          <w:p>
            <w:pPr>
              <w:widowControl/>
              <w:jc w:val="left"/>
              <w:textAlignment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十横：益阳大道、桃花仑路、秀峰路、海棠路、梓山路、鹿角园路、迎宾路、五一路、长春路、资阳路；</w:t>
            </w:r>
          </w:p>
          <w:p>
            <w:pPr>
              <w:keepNext w:val="0"/>
              <w:keepLines w:val="0"/>
              <w:widowControl/>
              <w:suppressLineNumbers w:val="0"/>
              <w:shd w:val="clear"/>
              <w:jc w:val="both"/>
              <w:textAlignment w:val="center"/>
              <w:rPr>
                <w:rFonts w:hint="eastAsia" w:ascii="仿宋" w:hAnsi="仿宋" w:eastAsia="仿宋" w:cs="仿宋"/>
                <w:color w:val="000000"/>
                <w:sz w:val="21"/>
                <w:szCs w:val="21"/>
                <w:shd w:val="clear" w:color="auto" w:fill="auto"/>
                <w:lang w:val="en-US" w:eastAsia="zh-CN"/>
              </w:rPr>
            </w:pPr>
            <w:r>
              <w:rPr>
                <w:rFonts w:hint="eastAsia" w:ascii="仿宋" w:hAnsi="仿宋" w:eastAsia="仿宋" w:cs="仿宋"/>
                <w:color w:val="000000" w:themeColor="text1"/>
                <w:sz w:val="21"/>
                <w:szCs w:val="21"/>
                <w:lang w:val="en-US" w:eastAsia="zh-CN"/>
                <w14:textFill>
                  <w14:solidFill>
                    <w14:schemeClr w14:val="tx1"/>
                  </w14:solidFill>
                </w14:textFill>
              </w:rPr>
              <w:t>穿越城市规划区范围内的主要道路：资江风光带（南北各一条）、益桃路、益沅路、绕城高速等。</w:t>
            </w:r>
          </w:p>
          <w:p>
            <w:pPr>
              <w:keepNext w:val="0"/>
              <w:keepLines w:val="0"/>
              <w:widowControl/>
              <w:suppressLineNumbers w:val="0"/>
              <w:shd w:val="clear"/>
              <w:ind w:firstLine="630" w:firstLineChars="300"/>
              <w:jc w:val="both"/>
              <w:textAlignment w:val="center"/>
              <w:rPr>
                <w:rFonts w:hint="eastAsia" w:ascii="宋体" w:hAnsi="宋体" w:eastAsia="宋体" w:cs="宋体"/>
                <w:i w:val="0"/>
                <w:color w:val="000000"/>
                <w:sz w:val="20"/>
                <w:szCs w:val="20"/>
                <w:u w:val="none"/>
              </w:rPr>
            </w:pPr>
            <w:r>
              <w:rPr>
                <w:rFonts w:hint="eastAsia" w:ascii="仿宋" w:hAnsi="仿宋" w:eastAsia="仿宋" w:cs="仿宋"/>
                <w:color w:val="000000"/>
                <w:sz w:val="21"/>
                <w:szCs w:val="21"/>
                <w:shd w:val="clear" w:color="auto" w:fill="auto"/>
                <w:lang w:val="en-US" w:eastAsia="zh-CN"/>
              </w:rPr>
              <w:t>2.B类区为除A类区以外的其他</w:t>
            </w:r>
            <w:r>
              <w:rPr>
                <w:rFonts w:hint="eastAsia" w:ascii="仿宋" w:hAnsi="仿宋" w:eastAsia="仿宋" w:cs="仿宋"/>
                <w:color w:val="auto"/>
                <w:sz w:val="21"/>
                <w:szCs w:val="21"/>
                <w:shd w:val="clear" w:color="auto" w:fill="auto"/>
                <w:lang w:val="en-US" w:eastAsia="zh-CN"/>
              </w:rPr>
              <w:t>沿线周边区域</w:t>
            </w:r>
            <w:r>
              <w:rPr>
                <w:rFonts w:hint="eastAsia" w:ascii="仿宋" w:hAnsi="仿宋" w:eastAsia="仿宋" w:cs="仿宋"/>
                <w:color w:val="000000"/>
                <w:sz w:val="21"/>
                <w:szCs w:val="21"/>
                <w:shd w:val="clear" w:color="auto" w:fill="auto"/>
                <w:lang w:val="en-US" w:eastAsia="zh-CN"/>
              </w:rPr>
              <w:t>。</w:t>
            </w:r>
          </w:p>
        </w:tc>
      </w:tr>
    </w:tbl>
    <w:p>
      <w:pPr>
        <w:pStyle w:val="2"/>
        <w:spacing w:before="180" w:after="240" w:line="380" w:lineRule="exact"/>
        <w:ind w:firstLine="482" w:firstLineChars="200"/>
        <w:jc w:val="both"/>
        <w:rPr>
          <w:rFonts w:hint="eastAsia" w:ascii="仿宋" w:hAnsi="仿宋" w:eastAsia="仿宋" w:cs="仿宋"/>
          <w:bCs/>
          <w:sz w:val="24"/>
          <w:szCs w:val="24"/>
        </w:rPr>
      </w:pPr>
      <w:bookmarkStart w:id="33" w:name="_Toc12757"/>
      <w:r>
        <w:rPr>
          <w:rFonts w:hint="eastAsia" w:ascii="仿宋" w:hAnsi="仿宋" w:eastAsia="仿宋" w:cs="仿宋"/>
          <w:bCs/>
          <w:sz w:val="24"/>
          <w:szCs w:val="24"/>
          <w:lang w:val="en-US" w:eastAsia="zh-CN"/>
        </w:rPr>
        <w:t>十一、特别事项说明</w:t>
      </w:r>
      <w:bookmarkEnd w:id="32"/>
      <w:bookmarkEnd w:id="33"/>
    </w:p>
    <w:p>
      <w:pPr>
        <w:pStyle w:val="3"/>
        <w:spacing w:line="380" w:lineRule="exact"/>
        <w:ind w:firstLine="480"/>
        <w:jc w:val="both"/>
        <w:rPr>
          <w:rFonts w:hint="eastAsia" w:ascii="仿宋" w:hAnsi="仿宋" w:eastAsia="仿宋" w:cs="仿宋"/>
          <w:b w:val="0"/>
          <w:kern w:val="0"/>
          <w:sz w:val="24"/>
          <w:szCs w:val="22"/>
          <w:lang w:val="en-US" w:eastAsia="zh-CN" w:bidi="ar-SA"/>
        </w:rPr>
      </w:pPr>
      <w:r>
        <w:rPr>
          <w:rFonts w:hint="eastAsia" w:ascii="仿宋" w:hAnsi="仿宋" w:eastAsia="仿宋" w:cs="仿宋"/>
          <w:b w:val="0"/>
          <w:kern w:val="0"/>
          <w:sz w:val="24"/>
          <w:szCs w:val="22"/>
          <w:lang w:val="en-US" w:eastAsia="zh-CN" w:bidi="ar-SA"/>
        </w:rPr>
        <w:t>以下事项并非本公司评估人员执业水平和能力所能评定和估算，但该事项确实可能影响评估结论，本评估报告使用者对此应特别引起注意：</w:t>
      </w:r>
    </w:p>
    <w:p>
      <w:pPr>
        <w:pStyle w:val="3"/>
        <w:spacing w:line="380" w:lineRule="exact"/>
        <w:ind w:firstLine="480"/>
        <w:jc w:val="both"/>
        <w:rPr>
          <w:rFonts w:hint="eastAsia" w:ascii="仿宋" w:hAnsi="仿宋" w:eastAsia="仿宋" w:cs="仿宋"/>
          <w:b w:val="0"/>
          <w:kern w:val="0"/>
          <w:sz w:val="24"/>
          <w:szCs w:val="22"/>
          <w:lang w:val="en-US" w:eastAsia="zh-CN" w:bidi="ar-SA"/>
        </w:rPr>
      </w:pPr>
      <w:r>
        <w:rPr>
          <w:rFonts w:hint="eastAsia" w:ascii="仿宋" w:hAnsi="仿宋" w:eastAsia="仿宋" w:cs="仿宋"/>
          <w:b w:val="0"/>
          <w:kern w:val="0"/>
          <w:sz w:val="24"/>
          <w:szCs w:val="22"/>
          <w:lang w:val="en-US" w:eastAsia="zh-CN" w:bidi="ar-SA"/>
        </w:rPr>
        <w:t>(一)对委托人存在的可能影响评估测算价格的瑕疵事项，在委托时未作特殊说明而评估人员已履行价格调查程序仍无法获知的情况下，评估机构及评估人员不承担相关责任。</w:t>
      </w:r>
    </w:p>
    <w:p>
      <w:pPr>
        <w:pStyle w:val="3"/>
        <w:spacing w:line="380" w:lineRule="exact"/>
        <w:ind w:firstLine="480"/>
        <w:jc w:val="both"/>
        <w:rPr>
          <w:rFonts w:ascii="仿宋" w:hAnsi="仿宋" w:eastAsia="仿宋" w:cs="仿宋"/>
        </w:rPr>
      </w:pPr>
      <w:r>
        <w:rPr>
          <w:rFonts w:hint="eastAsia" w:ascii="仿宋" w:hAnsi="仿宋" w:eastAsia="仿宋" w:cs="仿宋"/>
          <w:b w:val="0"/>
          <w:kern w:val="0"/>
          <w:sz w:val="24"/>
          <w:szCs w:val="22"/>
          <w:lang w:val="en-US" w:eastAsia="zh-CN" w:bidi="ar-SA"/>
        </w:rPr>
        <w:t>(二)由委托人提供的与评估测算相关的经济行为文件、评估区域范围、评估广告类型及其他有关参</w:t>
      </w:r>
      <w:r>
        <w:rPr>
          <w:rFonts w:hint="eastAsia" w:ascii="仿宋" w:hAnsi="仿宋" w:eastAsia="仿宋" w:cs="仿宋"/>
        </w:rPr>
        <w:t>数资料是编制本报告的基础。委托人应对所提供的以上原始资料的真实性、合法性和完整性承担责任。</w:t>
      </w:r>
    </w:p>
    <w:p>
      <w:pPr>
        <w:pStyle w:val="3"/>
        <w:spacing w:line="380" w:lineRule="exact"/>
        <w:ind w:firstLine="480"/>
        <w:jc w:val="both"/>
        <w:rPr>
          <w:rFonts w:hint="eastAsia" w:ascii="仿宋" w:hAnsi="仿宋" w:eastAsia="仿宋" w:cs="仿宋"/>
        </w:rPr>
      </w:pPr>
      <w:r>
        <w:rPr>
          <w:rFonts w:hint="eastAsia" w:ascii="仿宋" w:hAnsi="仿宋" w:eastAsia="仿宋" w:cs="仿宋"/>
        </w:rPr>
        <w:t>(三)本评估结论是反映评估对象在本次评估测算目的下，根据公开市场原则确定的现行含税价格。本报告未考虑特殊的交易方可能追加付出的价格等对市场价值的影响，也未考虑国家宏观经济政策发生变化以及遇有自然力和其他不可抗力对资产价格的影响。当前述条件发生变化时，评估测算结果一般会失效。</w:t>
      </w:r>
    </w:p>
    <w:p>
      <w:pPr>
        <w:pStyle w:val="3"/>
        <w:spacing w:line="380" w:lineRule="exact"/>
        <w:ind w:firstLine="480"/>
        <w:jc w:val="both"/>
        <w:rPr>
          <w:rFonts w:ascii="仿宋" w:hAnsi="仿宋" w:eastAsia="仿宋" w:cs="仿宋"/>
          <w:szCs w:val="24"/>
        </w:rPr>
      </w:pPr>
      <w:r>
        <w:rPr>
          <w:rFonts w:hint="eastAsia" w:ascii="仿宋" w:hAnsi="仿宋" w:eastAsia="仿宋" w:cs="仿宋"/>
          <w:lang w:val="en-US" w:eastAsia="zh-CN"/>
        </w:rPr>
        <w:t>(</w:t>
      </w:r>
      <w:r>
        <w:rPr>
          <w:rFonts w:hint="eastAsia" w:ascii="仿宋" w:hAnsi="仿宋" w:eastAsia="仿宋" w:cs="仿宋"/>
        </w:rPr>
        <w:t>四</w:t>
      </w:r>
      <w:r>
        <w:rPr>
          <w:rFonts w:hint="eastAsia" w:ascii="仿宋" w:hAnsi="仿宋" w:eastAsia="仿宋" w:cs="仿宋"/>
          <w:lang w:val="en-US" w:eastAsia="zh-CN"/>
        </w:rPr>
        <w:t>)</w:t>
      </w:r>
      <w:r>
        <w:rPr>
          <w:rFonts w:hint="eastAsia" w:ascii="仿宋" w:hAnsi="仿宋" w:eastAsia="仿宋" w:cs="仿宋"/>
          <w:szCs w:val="24"/>
        </w:rPr>
        <w:t>遵守相关法律、法规和评估相关规定，对评估对象价值进行估算并发表专业意见，是评估人员的责任；提供必要的资料并保证所提供资料的真实性、合法性、完整性，恰当使用评估测算报告是委托人和相关当事方的责任。</w:t>
      </w:r>
    </w:p>
    <w:p>
      <w:pPr>
        <w:pStyle w:val="3"/>
        <w:spacing w:line="380" w:lineRule="exact"/>
        <w:ind w:firstLine="480"/>
        <w:jc w:val="both"/>
        <w:rPr>
          <w:rFonts w:ascii="仿宋" w:hAnsi="仿宋" w:eastAsia="仿宋" w:cs="仿宋"/>
          <w:szCs w:val="24"/>
        </w:rPr>
      </w:pPr>
      <w:r>
        <w:rPr>
          <w:rFonts w:hint="eastAsia" w:ascii="仿宋" w:hAnsi="仿宋" w:eastAsia="仿宋" w:cs="仿宋"/>
          <w:szCs w:val="24"/>
          <w:lang w:val="en-US" w:eastAsia="zh-CN"/>
        </w:rPr>
        <w:t>(</w:t>
      </w:r>
      <w:r>
        <w:rPr>
          <w:rFonts w:hint="eastAsia" w:ascii="仿宋" w:hAnsi="仿宋" w:eastAsia="仿宋" w:cs="仿宋"/>
          <w:szCs w:val="24"/>
        </w:rPr>
        <w:t>五</w:t>
      </w:r>
      <w:r>
        <w:rPr>
          <w:rFonts w:hint="eastAsia" w:ascii="仿宋" w:hAnsi="仿宋" w:eastAsia="仿宋" w:cs="仿宋"/>
          <w:szCs w:val="24"/>
          <w:lang w:val="en-US" w:eastAsia="zh-CN"/>
        </w:rPr>
        <w:t>)</w:t>
      </w:r>
      <w:r>
        <w:rPr>
          <w:rFonts w:hint="eastAsia" w:ascii="仿宋" w:hAnsi="仿宋" w:eastAsia="仿宋" w:cs="仿宋"/>
          <w:szCs w:val="24"/>
        </w:rPr>
        <w:t>本次评估项目根据市场实际情况评估价值已经包含了该项目的广告发布期间维护费用。</w:t>
      </w:r>
    </w:p>
    <w:p>
      <w:pPr>
        <w:pStyle w:val="2"/>
        <w:spacing w:before="180" w:after="240" w:line="380" w:lineRule="exact"/>
        <w:ind w:firstLine="482" w:firstLineChars="200"/>
        <w:jc w:val="both"/>
        <w:rPr>
          <w:rFonts w:ascii="仿宋" w:hAnsi="仿宋" w:eastAsia="仿宋" w:cs="仿宋"/>
          <w:bCs/>
          <w:sz w:val="24"/>
          <w:szCs w:val="24"/>
        </w:rPr>
      </w:pPr>
      <w:bookmarkStart w:id="34" w:name="_Toc202081314"/>
      <w:bookmarkStart w:id="35" w:name="_Toc19554"/>
      <w:r>
        <w:rPr>
          <w:rFonts w:hint="eastAsia" w:ascii="仿宋" w:hAnsi="仿宋" w:eastAsia="仿宋" w:cs="仿宋"/>
          <w:bCs/>
          <w:sz w:val="24"/>
          <w:szCs w:val="24"/>
        </w:rPr>
        <w:t>十二、</w:t>
      </w:r>
      <w:r>
        <w:rPr>
          <w:rFonts w:hint="eastAsia" w:ascii="仿宋" w:hAnsi="仿宋" w:eastAsia="仿宋" w:cs="仿宋"/>
          <w:bCs/>
          <w:sz w:val="24"/>
          <w:szCs w:val="24"/>
          <w:lang w:val="en-US" w:eastAsia="zh-CN"/>
        </w:rPr>
        <w:t>资产</w:t>
      </w:r>
      <w:r>
        <w:rPr>
          <w:rFonts w:hint="eastAsia" w:ascii="仿宋" w:hAnsi="仿宋" w:eastAsia="仿宋" w:cs="仿宋"/>
          <w:bCs/>
          <w:sz w:val="24"/>
          <w:szCs w:val="24"/>
        </w:rPr>
        <w:t>评估报告使用限制说明</w:t>
      </w:r>
      <w:bookmarkEnd w:id="34"/>
      <w:bookmarkEnd w:id="35"/>
    </w:p>
    <w:p>
      <w:pPr>
        <w:spacing w:line="440" w:lineRule="exact"/>
        <w:ind w:firstLine="480" w:firstLineChars="200"/>
        <w:rPr>
          <w:rFonts w:ascii="仿宋" w:hAnsi="仿宋" w:eastAsia="仿宋" w:cs="仿宋"/>
          <w:szCs w:val="24"/>
        </w:rPr>
      </w:pPr>
      <w:r>
        <w:rPr>
          <w:rFonts w:hint="eastAsia" w:ascii="仿宋" w:hAnsi="仿宋" w:eastAsia="仿宋" w:cs="仿宋"/>
          <w:szCs w:val="24"/>
        </w:rPr>
        <w:t>（一）评估报告只能用于评估报告载明的评估目的和用途；</w:t>
      </w:r>
    </w:p>
    <w:p>
      <w:pPr>
        <w:spacing w:line="440" w:lineRule="exact"/>
        <w:ind w:firstLine="480" w:firstLineChars="200"/>
        <w:rPr>
          <w:rFonts w:ascii="仿宋" w:hAnsi="仿宋" w:eastAsia="仿宋" w:cs="仿宋"/>
          <w:szCs w:val="24"/>
        </w:rPr>
      </w:pPr>
      <w:r>
        <w:rPr>
          <w:rFonts w:hint="eastAsia" w:ascii="仿宋" w:hAnsi="仿宋" w:eastAsia="仿宋" w:cs="仿宋"/>
          <w:szCs w:val="24"/>
        </w:rPr>
        <w:t>（二）评估报告只能由评估报告载明的评估报告使用者使用；</w:t>
      </w:r>
    </w:p>
    <w:p>
      <w:pPr>
        <w:spacing w:line="440" w:lineRule="exact"/>
        <w:ind w:firstLine="480" w:firstLineChars="200"/>
        <w:rPr>
          <w:rFonts w:ascii="仿宋" w:hAnsi="仿宋" w:eastAsia="仿宋" w:cs="仿宋"/>
          <w:szCs w:val="24"/>
        </w:rPr>
      </w:pPr>
      <w:r>
        <w:rPr>
          <w:rFonts w:hint="eastAsia" w:ascii="仿宋" w:hAnsi="仿宋" w:eastAsia="仿宋" w:cs="仿宋"/>
          <w:szCs w:val="24"/>
        </w:rPr>
        <w:t>（三）本报告书的评估结论仅供委托人为本次评估目的使用，报告书的使用权归</w:t>
      </w:r>
      <w:r>
        <w:rPr>
          <w:rFonts w:hint="eastAsia" w:ascii="仿宋" w:hAnsi="仿宋" w:eastAsia="仿宋" w:cs="仿宋"/>
          <w:szCs w:val="24"/>
          <w:lang w:eastAsia="zh-CN"/>
        </w:rPr>
        <w:t>委托人</w:t>
      </w:r>
      <w:r>
        <w:rPr>
          <w:rFonts w:hint="eastAsia" w:ascii="仿宋" w:hAnsi="仿宋" w:eastAsia="仿宋" w:cs="仿宋"/>
          <w:szCs w:val="24"/>
        </w:rPr>
        <w:t>所有，未征得出具评估报告的评估机构同意，评估报告的内容不得被摘抄、引用或披露于公开媒体，法律、法规规定以及相关当事方另有约定的除外；</w:t>
      </w:r>
    </w:p>
    <w:p>
      <w:pPr>
        <w:spacing w:line="440" w:lineRule="exact"/>
        <w:ind w:firstLine="480" w:firstLineChars="200"/>
        <w:rPr>
          <w:rFonts w:ascii="仿宋" w:hAnsi="仿宋" w:eastAsia="仿宋" w:cs="仿宋"/>
        </w:rPr>
      </w:pPr>
      <w:r>
        <w:rPr>
          <w:rFonts w:hint="eastAsia" w:ascii="仿宋" w:hAnsi="仿宋" w:eastAsia="仿宋" w:cs="仿宋"/>
        </w:rPr>
        <w:t>（四）当政策调整对评估结论产生重大影响时，应当重新确定评估基准日进行价格测算。</w:t>
      </w:r>
    </w:p>
    <w:p>
      <w:pPr>
        <w:pStyle w:val="2"/>
        <w:spacing w:before="180" w:after="240" w:line="380" w:lineRule="exact"/>
        <w:ind w:firstLine="482" w:firstLineChars="200"/>
        <w:jc w:val="both"/>
        <w:rPr>
          <w:rFonts w:hint="eastAsia" w:ascii="仿宋" w:hAnsi="仿宋" w:eastAsia="仿宋" w:cs="仿宋"/>
          <w:bCs/>
          <w:sz w:val="24"/>
          <w:szCs w:val="24"/>
        </w:rPr>
      </w:pPr>
      <w:r>
        <w:rPr>
          <w:rFonts w:hint="eastAsia" w:ascii="仿宋" w:hAnsi="仿宋" w:eastAsia="仿宋" w:cs="仿宋"/>
          <w:bCs/>
          <w:sz w:val="24"/>
          <w:szCs w:val="24"/>
        </w:rPr>
        <w:t>十三、</w:t>
      </w:r>
      <w:r>
        <w:rPr>
          <w:rFonts w:hint="eastAsia" w:ascii="仿宋" w:hAnsi="仿宋" w:eastAsia="仿宋" w:cs="仿宋"/>
          <w:bCs/>
          <w:sz w:val="24"/>
          <w:szCs w:val="24"/>
          <w:lang w:val="en-US" w:eastAsia="zh-CN"/>
        </w:rPr>
        <w:t>资产</w:t>
      </w:r>
      <w:r>
        <w:rPr>
          <w:rFonts w:hint="eastAsia" w:ascii="仿宋" w:hAnsi="仿宋" w:eastAsia="仿宋" w:cs="仿宋"/>
          <w:bCs/>
          <w:sz w:val="24"/>
          <w:szCs w:val="24"/>
        </w:rPr>
        <w:t>评估报告日</w:t>
      </w:r>
      <w:r>
        <w:rPr>
          <w:rFonts w:hint="eastAsia" w:ascii="仿宋" w:hAnsi="仿宋" w:eastAsia="仿宋" w:cs="仿宋"/>
          <w:bCs/>
          <w:sz w:val="24"/>
          <w:szCs w:val="24"/>
        </w:rPr>
        <w:tab/>
      </w:r>
    </w:p>
    <w:p>
      <w:pPr>
        <w:pStyle w:val="2"/>
        <w:spacing w:before="180" w:after="240" w:line="380" w:lineRule="exact"/>
        <w:ind w:firstLine="480" w:firstLineChars="200"/>
        <w:jc w:val="both"/>
        <w:rPr>
          <w:rFonts w:hint="default" w:ascii="仿宋" w:hAnsi="仿宋" w:eastAsia="仿宋" w:cs="仿宋"/>
          <w:b w:val="0"/>
          <w:kern w:val="0"/>
          <w:sz w:val="24"/>
          <w:szCs w:val="22"/>
          <w:lang w:val="en-US" w:eastAsia="zh-CN" w:bidi="ar-SA"/>
        </w:rPr>
      </w:pPr>
      <w:r>
        <w:rPr>
          <w:rFonts w:hint="eastAsia" w:ascii="仿宋" w:hAnsi="仿宋" w:eastAsia="仿宋" w:cs="仿宋"/>
          <w:b w:val="0"/>
          <w:kern w:val="0"/>
          <w:sz w:val="24"/>
          <w:szCs w:val="22"/>
          <w:lang w:val="en-US" w:eastAsia="zh-CN" w:bidi="ar-SA"/>
        </w:rPr>
        <w:t>本评估报告于2019年1</w:t>
      </w:r>
      <w:r>
        <w:rPr>
          <w:rFonts w:hint="eastAsia" w:ascii="仿宋" w:hAnsi="仿宋" w:eastAsia="仿宋" w:cs="仿宋"/>
          <w:b w:val="0"/>
          <w:color w:val="auto"/>
          <w:kern w:val="0"/>
          <w:sz w:val="24"/>
          <w:szCs w:val="22"/>
          <w:lang w:val="en-US" w:eastAsia="zh-CN" w:bidi="ar-SA"/>
        </w:rPr>
        <w:t>2月02</w:t>
      </w:r>
      <w:r>
        <w:rPr>
          <w:rFonts w:hint="eastAsia" w:ascii="仿宋" w:hAnsi="仿宋" w:eastAsia="仿宋" w:cs="仿宋"/>
          <w:b w:val="0"/>
          <w:kern w:val="0"/>
          <w:sz w:val="24"/>
          <w:szCs w:val="22"/>
          <w:lang w:val="en-US" w:eastAsia="zh-CN" w:bidi="ar-SA"/>
        </w:rPr>
        <w:t>日出具。</w:t>
      </w:r>
    </w:p>
    <w:p>
      <w:pPr>
        <w:tabs>
          <w:tab w:val="left" w:pos="4725"/>
          <w:tab w:val="left" w:pos="7200"/>
        </w:tabs>
        <w:autoSpaceDE w:val="0"/>
        <w:autoSpaceDN w:val="0"/>
        <w:adjustRightInd/>
        <w:snapToGrid/>
        <w:spacing w:line="390" w:lineRule="exact"/>
        <w:jc w:val="both"/>
        <w:textAlignment w:val="bottom"/>
        <w:rPr>
          <w:rFonts w:ascii="仿宋" w:hAnsi="仿宋" w:eastAsia="仿宋" w:cs="仿宋"/>
          <w:kern w:val="2"/>
          <w:szCs w:val="24"/>
        </w:rPr>
      </w:pPr>
    </w:p>
    <w:p>
      <w:pPr>
        <w:tabs>
          <w:tab w:val="left" w:pos="4725"/>
          <w:tab w:val="left" w:pos="7200"/>
        </w:tabs>
        <w:autoSpaceDE w:val="0"/>
        <w:autoSpaceDN w:val="0"/>
        <w:adjustRightInd/>
        <w:snapToGrid/>
        <w:spacing w:line="390" w:lineRule="exact"/>
        <w:ind w:firstLine="480" w:firstLineChars="200"/>
        <w:jc w:val="both"/>
        <w:textAlignment w:val="bottom"/>
        <w:rPr>
          <w:rFonts w:ascii="仿宋" w:hAnsi="仿宋" w:eastAsia="仿宋" w:cs="仿宋"/>
          <w:kern w:val="2"/>
          <w:szCs w:val="24"/>
        </w:rPr>
      </w:pPr>
    </w:p>
    <w:p>
      <w:pPr>
        <w:tabs>
          <w:tab w:val="left" w:pos="4725"/>
          <w:tab w:val="left" w:pos="7200"/>
        </w:tabs>
        <w:autoSpaceDE w:val="0"/>
        <w:autoSpaceDN w:val="0"/>
        <w:adjustRightInd/>
        <w:snapToGrid/>
        <w:spacing w:line="390" w:lineRule="exact"/>
        <w:ind w:firstLine="480" w:firstLineChars="200"/>
        <w:jc w:val="both"/>
        <w:textAlignment w:val="bottom"/>
        <w:rPr>
          <w:rFonts w:hint="eastAsia" w:ascii="仿宋" w:hAnsi="仿宋" w:eastAsia="仿宋" w:cs="仿宋"/>
          <w:kern w:val="2"/>
          <w:szCs w:val="24"/>
          <w:lang w:eastAsia="zh-CN"/>
        </w:rPr>
      </w:pPr>
      <w:r>
        <w:rPr>
          <w:rFonts w:hint="eastAsia" w:ascii="仿宋" w:hAnsi="仿宋" w:eastAsia="仿宋" w:cs="仿宋"/>
          <w:kern w:val="2"/>
          <w:szCs w:val="24"/>
        </w:rPr>
        <w:t>湖南中天华资产评估有限公司　　　　　</w:t>
      </w:r>
      <w:r>
        <w:rPr>
          <w:rFonts w:hint="eastAsia" w:ascii="仿宋" w:hAnsi="仿宋" w:eastAsia="仿宋" w:cs="仿宋"/>
          <w:kern w:val="2"/>
          <w:szCs w:val="24"/>
          <w:lang w:val="en-US" w:eastAsia="zh-CN"/>
        </w:rPr>
        <w:t>资产</w:t>
      </w:r>
      <w:r>
        <w:rPr>
          <w:rFonts w:hint="eastAsia" w:ascii="仿宋" w:hAnsi="仿宋" w:eastAsia="仿宋" w:cs="仿宋"/>
          <w:kern w:val="2"/>
          <w:szCs w:val="24"/>
        </w:rPr>
        <w:t>评估师：</w:t>
      </w:r>
      <w:r>
        <w:rPr>
          <w:rFonts w:hint="eastAsia" w:ascii="仿宋" w:hAnsi="仿宋" w:eastAsia="仿宋" w:cs="仿宋"/>
          <w:kern w:val="2"/>
          <w:szCs w:val="24"/>
          <w:lang w:eastAsia="zh-CN"/>
        </w:rPr>
        <w:t>李小平</w:t>
      </w:r>
    </w:p>
    <w:p>
      <w:pPr>
        <w:tabs>
          <w:tab w:val="left" w:pos="4725"/>
          <w:tab w:val="left" w:pos="7200"/>
        </w:tabs>
        <w:autoSpaceDE w:val="0"/>
        <w:autoSpaceDN w:val="0"/>
        <w:adjustRightInd/>
        <w:snapToGrid/>
        <w:spacing w:line="390" w:lineRule="exact"/>
        <w:ind w:firstLine="6000" w:firstLineChars="2500"/>
        <w:jc w:val="both"/>
        <w:textAlignment w:val="bottom"/>
        <w:rPr>
          <w:rFonts w:ascii="仿宋" w:hAnsi="仿宋" w:eastAsia="仿宋" w:cs="仿宋"/>
          <w:kern w:val="2"/>
          <w:szCs w:val="24"/>
        </w:rPr>
      </w:pPr>
      <w:r>
        <w:rPr>
          <w:rFonts w:hint="eastAsia" w:ascii="仿宋" w:hAnsi="仿宋" w:eastAsia="仿宋" w:cs="仿宋"/>
          <w:kern w:val="2"/>
          <w:szCs w:val="24"/>
        </w:rPr>
        <w:t>─────────</w:t>
      </w:r>
    </w:p>
    <w:p>
      <w:pPr>
        <w:tabs>
          <w:tab w:val="left" w:pos="4725"/>
          <w:tab w:val="left" w:pos="7200"/>
        </w:tabs>
        <w:autoSpaceDE w:val="0"/>
        <w:autoSpaceDN w:val="0"/>
        <w:adjustRightInd/>
        <w:snapToGrid/>
        <w:spacing w:line="390" w:lineRule="exact"/>
        <w:ind w:firstLine="720" w:firstLineChars="300"/>
        <w:jc w:val="both"/>
        <w:textAlignment w:val="bottom"/>
        <w:rPr>
          <w:rFonts w:hint="eastAsia" w:ascii="仿宋" w:hAnsi="仿宋" w:eastAsia="仿宋"/>
        </w:rPr>
      </w:pPr>
    </w:p>
    <w:p>
      <w:pPr>
        <w:tabs>
          <w:tab w:val="left" w:pos="4725"/>
          <w:tab w:val="left" w:pos="7200"/>
        </w:tabs>
        <w:autoSpaceDE w:val="0"/>
        <w:autoSpaceDN w:val="0"/>
        <w:adjustRightInd/>
        <w:snapToGrid/>
        <w:spacing w:line="390" w:lineRule="exact"/>
        <w:ind w:firstLine="720" w:firstLineChars="300"/>
        <w:jc w:val="both"/>
        <w:textAlignment w:val="bottom"/>
        <w:rPr>
          <w:rFonts w:hint="eastAsia" w:ascii="仿宋" w:hAnsi="仿宋" w:eastAsia="仿宋" w:cs="仿宋"/>
          <w:kern w:val="2"/>
          <w:szCs w:val="24"/>
        </w:rPr>
      </w:pPr>
      <w:r>
        <w:rPr>
          <w:rFonts w:hint="eastAsia" w:ascii="仿宋" w:hAnsi="仿宋" w:eastAsia="仿宋"/>
        </w:rPr>
        <w:t>二○一九年</w:t>
      </w:r>
      <w:r>
        <w:rPr>
          <w:rFonts w:hint="eastAsia" w:ascii="仿宋" w:hAnsi="仿宋" w:eastAsia="仿宋"/>
          <w:color w:val="auto"/>
          <w:lang w:val="en-US" w:eastAsia="zh-CN"/>
        </w:rPr>
        <w:t>十二</w:t>
      </w:r>
      <w:r>
        <w:rPr>
          <w:rFonts w:hint="eastAsia" w:ascii="仿宋" w:hAnsi="仿宋" w:eastAsia="仿宋"/>
          <w:color w:val="auto"/>
        </w:rPr>
        <w:t>月</w:t>
      </w:r>
      <w:r>
        <w:rPr>
          <w:rFonts w:hint="eastAsia" w:ascii="仿宋" w:hAnsi="仿宋" w:eastAsia="仿宋"/>
          <w:color w:val="auto"/>
          <w:lang w:val="en-US" w:eastAsia="zh-CN"/>
        </w:rPr>
        <w:t>二</w:t>
      </w:r>
      <w:r>
        <w:rPr>
          <w:rFonts w:hint="eastAsia" w:ascii="仿宋" w:hAnsi="仿宋" w:eastAsia="仿宋"/>
        </w:rPr>
        <w:t>日</w:t>
      </w:r>
      <w:r>
        <w:rPr>
          <w:rFonts w:hint="eastAsia" w:ascii="仿宋" w:hAnsi="仿宋" w:eastAsia="仿宋" w:cs="仿宋"/>
          <w:kern w:val="2"/>
          <w:szCs w:val="24"/>
        </w:rPr>
        <w:t xml:space="preserve">           </w:t>
      </w:r>
    </w:p>
    <w:p>
      <w:pPr>
        <w:tabs>
          <w:tab w:val="left" w:pos="4725"/>
          <w:tab w:val="left" w:pos="7200"/>
        </w:tabs>
        <w:autoSpaceDE w:val="0"/>
        <w:autoSpaceDN w:val="0"/>
        <w:adjustRightInd/>
        <w:snapToGrid/>
        <w:spacing w:line="390" w:lineRule="exact"/>
        <w:ind w:firstLine="4800" w:firstLineChars="2000"/>
        <w:jc w:val="both"/>
        <w:textAlignment w:val="bottom"/>
        <w:rPr>
          <w:rFonts w:hint="eastAsia" w:ascii="仿宋" w:hAnsi="仿宋" w:eastAsia="仿宋" w:cs="仿宋"/>
          <w:kern w:val="2"/>
          <w:szCs w:val="24"/>
          <w:lang w:eastAsia="zh-CN"/>
        </w:rPr>
      </w:pPr>
      <w:r>
        <w:rPr>
          <w:rFonts w:hint="eastAsia" w:ascii="仿宋" w:hAnsi="仿宋" w:eastAsia="仿宋" w:cs="仿宋"/>
          <w:kern w:val="2"/>
          <w:szCs w:val="24"/>
          <w:lang w:val="en-US" w:eastAsia="zh-CN"/>
        </w:rPr>
        <w:t>资产</w:t>
      </w:r>
      <w:r>
        <w:rPr>
          <w:rFonts w:hint="eastAsia" w:ascii="仿宋" w:hAnsi="仿宋" w:eastAsia="仿宋" w:cs="仿宋"/>
          <w:kern w:val="2"/>
          <w:szCs w:val="24"/>
        </w:rPr>
        <w:t>评估师：</w:t>
      </w:r>
      <w:r>
        <w:rPr>
          <w:rFonts w:hint="eastAsia" w:ascii="仿宋" w:hAnsi="仿宋" w:eastAsia="仿宋" w:cs="仿宋"/>
          <w:kern w:val="2"/>
          <w:szCs w:val="24"/>
          <w:lang w:eastAsia="zh-CN"/>
        </w:rPr>
        <w:t>周金明</w:t>
      </w:r>
    </w:p>
    <w:p>
      <w:pPr>
        <w:tabs>
          <w:tab w:val="left" w:pos="4725"/>
          <w:tab w:val="left" w:pos="7200"/>
        </w:tabs>
        <w:autoSpaceDE w:val="0"/>
        <w:autoSpaceDN w:val="0"/>
        <w:adjustRightInd/>
        <w:snapToGrid/>
        <w:spacing w:line="390" w:lineRule="exact"/>
        <w:ind w:firstLine="6000" w:firstLineChars="2500"/>
        <w:jc w:val="both"/>
        <w:textAlignment w:val="bottom"/>
        <w:rPr>
          <w:rFonts w:hint="eastAsia" w:ascii="仿宋" w:hAnsi="仿宋" w:eastAsia="仿宋" w:cs="仿宋"/>
          <w:kern w:val="2"/>
          <w:szCs w:val="24"/>
        </w:rPr>
      </w:pPr>
      <w:r>
        <w:rPr>
          <w:rFonts w:hint="eastAsia" w:ascii="仿宋" w:hAnsi="仿宋" w:eastAsia="仿宋" w:cs="仿宋"/>
          <w:kern w:val="2"/>
          <w:szCs w:val="24"/>
        </w:rPr>
        <w:t>─────────</w:t>
      </w:r>
    </w:p>
    <w:p>
      <w:pPr>
        <w:tabs>
          <w:tab w:val="left" w:pos="4725"/>
          <w:tab w:val="left" w:pos="7200"/>
        </w:tabs>
        <w:autoSpaceDE w:val="0"/>
        <w:autoSpaceDN w:val="0"/>
        <w:adjustRightInd/>
        <w:snapToGrid/>
        <w:spacing w:line="390" w:lineRule="exact"/>
        <w:ind w:firstLine="6000" w:firstLineChars="2500"/>
        <w:jc w:val="both"/>
        <w:textAlignment w:val="bottom"/>
        <w:rPr>
          <w:rFonts w:hint="eastAsia" w:ascii="仿宋" w:hAnsi="仿宋" w:eastAsia="仿宋" w:cs="仿宋"/>
          <w:kern w:val="2"/>
          <w:szCs w:val="24"/>
        </w:rPr>
      </w:pPr>
    </w:p>
    <w:p>
      <w:pPr>
        <w:tabs>
          <w:tab w:val="left" w:pos="4725"/>
          <w:tab w:val="left" w:pos="7200"/>
        </w:tabs>
        <w:autoSpaceDE w:val="0"/>
        <w:autoSpaceDN w:val="0"/>
        <w:adjustRightInd/>
        <w:snapToGrid/>
        <w:spacing w:line="390" w:lineRule="exact"/>
        <w:ind w:firstLine="6000" w:firstLineChars="2500"/>
        <w:jc w:val="both"/>
        <w:textAlignment w:val="bottom"/>
        <w:rPr>
          <w:rFonts w:hint="eastAsia" w:ascii="仿宋" w:hAnsi="仿宋" w:eastAsia="仿宋" w:cs="仿宋"/>
          <w:kern w:val="2"/>
          <w:szCs w:val="24"/>
        </w:rPr>
      </w:pPr>
    </w:p>
    <w:p>
      <w:pPr>
        <w:tabs>
          <w:tab w:val="left" w:pos="4725"/>
          <w:tab w:val="left" w:pos="7200"/>
        </w:tabs>
        <w:autoSpaceDE w:val="0"/>
        <w:autoSpaceDN w:val="0"/>
        <w:adjustRightInd/>
        <w:snapToGrid/>
        <w:spacing w:line="390" w:lineRule="exact"/>
        <w:ind w:firstLine="1440" w:firstLineChars="600"/>
        <w:jc w:val="both"/>
        <w:textAlignment w:val="bottom"/>
        <w:rPr>
          <w:rFonts w:hint="eastAsia" w:ascii="仿宋" w:hAnsi="仿宋" w:eastAsia="仿宋" w:cs="仿宋"/>
          <w:kern w:val="2"/>
          <w:szCs w:val="24"/>
          <w:lang w:eastAsia="zh-CN"/>
        </w:rPr>
      </w:pPr>
      <w:r>
        <w:rPr>
          <w:rFonts w:hint="eastAsia" w:ascii="仿宋" w:hAnsi="仿宋" w:eastAsia="仿宋" w:cs="仿宋"/>
          <w:kern w:val="2"/>
          <w:szCs w:val="24"/>
        </w:rPr>
        <w:t xml:space="preserve">                            评估人员：</w:t>
      </w:r>
      <w:r>
        <w:rPr>
          <w:rFonts w:hint="eastAsia" w:ascii="仿宋" w:hAnsi="仿宋" w:eastAsia="仿宋" w:cs="仿宋"/>
          <w:kern w:val="2"/>
          <w:szCs w:val="24"/>
          <w:lang w:eastAsia="zh-CN"/>
        </w:rPr>
        <w:t>李莉</w:t>
      </w:r>
    </w:p>
    <w:p>
      <w:pPr>
        <w:tabs>
          <w:tab w:val="left" w:pos="4725"/>
          <w:tab w:val="left" w:pos="7200"/>
        </w:tabs>
        <w:autoSpaceDE w:val="0"/>
        <w:autoSpaceDN w:val="0"/>
        <w:adjustRightInd/>
        <w:snapToGrid/>
        <w:spacing w:line="390" w:lineRule="exact"/>
        <w:ind w:firstLine="6000" w:firstLineChars="2500"/>
        <w:jc w:val="both"/>
        <w:textAlignment w:val="bottom"/>
        <w:rPr>
          <w:rFonts w:ascii="仿宋" w:hAnsi="仿宋" w:eastAsia="仿宋" w:cs="仿宋"/>
          <w:kern w:val="2"/>
          <w:szCs w:val="24"/>
        </w:rPr>
      </w:pPr>
      <w:r>
        <w:rPr>
          <w:rFonts w:hint="eastAsia" w:ascii="仿宋" w:hAnsi="仿宋" w:eastAsia="仿宋" w:cs="仿宋"/>
          <w:kern w:val="2"/>
          <w:szCs w:val="24"/>
        </w:rPr>
        <w:t>─────────</w:t>
      </w:r>
    </w:p>
    <w:p>
      <w:pPr>
        <w:autoSpaceDE w:val="0"/>
        <w:autoSpaceDN w:val="0"/>
        <w:adjustRightInd/>
        <w:spacing w:before="60" w:after="60" w:line="390" w:lineRule="exact"/>
        <w:ind w:firstLine="960" w:firstLineChars="400"/>
        <w:textAlignment w:val="bottom"/>
        <w:rPr>
          <w:rFonts w:ascii="仿宋" w:hAnsi="仿宋" w:eastAsia="仿宋" w:cs="仿宋"/>
          <w:kern w:val="2"/>
          <w:szCs w:val="24"/>
        </w:rPr>
      </w:pPr>
    </w:p>
    <w:p>
      <w:pPr>
        <w:autoSpaceDE w:val="0"/>
        <w:autoSpaceDN w:val="0"/>
        <w:adjustRightInd/>
        <w:spacing w:before="60" w:after="60" w:line="390" w:lineRule="exact"/>
        <w:ind w:firstLine="960" w:firstLineChars="400"/>
        <w:textAlignment w:val="bottom"/>
        <w:rPr>
          <w:rFonts w:ascii="仿宋" w:hAnsi="仿宋" w:eastAsia="仿宋" w:cs="仿宋"/>
          <w:kern w:val="2"/>
          <w:szCs w:val="24"/>
        </w:rPr>
      </w:pPr>
    </w:p>
    <w:p>
      <w:pPr>
        <w:tabs>
          <w:tab w:val="left" w:pos="4725"/>
          <w:tab w:val="left" w:pos="7200"/>
        </w:tabs>
        <w:autoSpaceDE w:val="0"/>
        <w:autoSpaceDN w:val="0"/>
        <w:adjustRightInd/>
        <w:snapToGrid/>
        <w:spacing w:line="390" w:lineRule="exact"/>
        <w:ind w:firstLine="1440" w:firstLineChars="600"/>
        <w:jc w:val="both"/>
        <w:textAlignment w:val="bottom"/>
        <w:rPr>
          <w:rFonts w:hint="eastAsia" w:ascii="仿宋" w:hAnsi="仿宋" w:eastAsia="仿宋" w:cs="仿宋"/>
          <w:kern w:val="2"/>
          <w:szCs w:val="24"/>
          <w:lang w:eastAsia="zh-CN"/>
        </w:rPr>
      </w:pPr>
      <w:r>
        <w:rPr>
          <w:rFonts w:hint="eastAsia" w:ascii="仿宋" w:hAnsi="仿宋" w:eastAsia="仿宋" w:cs="仿宋"/>
          <w:kern w:val="2"/>
          <w:szCs w:val="24"/>
        </w:rPr>
        <w:t xml:space="preserve">                            评估人员：</w:t>
      </w:r>
      <w:r>
        <w:rPr>
          <w:rFonts w:hint="eastAsia" w:ascii="仿宋" w:hAnsi="仿宋" w:eastAsia="仿宋" w:cs="仿宋"/>
          <w:kern w:val="2"/>
          <w:szCs w:val="24"/>
          <w:lang w:eastAsia="zh-CN"/>
        </w:rPr>
        <w:t>刘斐</w:t>
      </w:r>
    </w:p>
    <w:p>
      <w:pPr>
        <w:tabs>
          <w:tab w:val="left" w:pos="4725"/>
          <w:tab w:val="left" w:pos="7200"/>
        </w:tabs>
        <w:autoSpaceDE w:val="0"/>
        <w:autoSpaceDN w:val="0"/>
        <w:adjustRightInd/>
        <w:snapToGrid/>
        <w:spacing w:line="390" w:lineRule="exact"/>
        <w:ind w:firstLine="6000" w:firstLineChars="2500"/>
        <w:jc w:val="both"/>
        <w:textAlignment w:val="bottom"/>
        <w:rPr>
          <w:rFonts w:ascii="仿宋" w:hAnsi="仿宋" w:eastAsia="仿宋" w:cs="仿宋"/>
        </w:rPr>
        <w:sectPr>
          <w:footerReference r:id="rId3" w:type="default"/>
          <w:pgSz w:w="11907" w:h="16840"/>
          <w:pgMar w:top="1440" w:right="1587" w:bottom="1440" w:left="1633" w:header="992" w:footer="850" w:gutter="0"/>
          <w:pgBorders>
            <w:top w:val="none" w:sz="0" w:space="0"/>
            <w:left w:val="none" w:sz="0" w:space="0"/>
            <w:bottom w:val="none" w:sz="0" w:space="0"/>
            <w:right w:val="none" w:sz="0" w:space="0"/>
          </w:pgBorders>
          <w:pgNumType w:fmt="decimal"/>
          <w:cols w:space="0" w:num="1"/>
          <w:rtlGutter w:val="0"/>
          <w:docGrid w:linePitch="326" w:charSpace="0"/>
        </w:sectPr>
      </w:pPr>
      <w:r>
        <w:rPr>
          <w:rFonts w:hint="eastAsia" w:ascii="仿宋" w:hAnsi="仿宋" w:eastAsia="仿宋" w:cs="仿宋"/>
          <w:kern w:val="2"/>
          <w:szCs w:val="24"/>
        </w:rPr>
        <w:t>───────</w:t>
      </w:r>
    </w:p>
    <w:p>
      <w:bookmarkStart w:id="36" w:name="_GoBack"/>
      <w:bookmarkEnd w:id="3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738"/>
        <w:tab w:val="right" w:pos="8306"/>
      </w:tabs>
      <w:snapToGrid/>
      <w:spacing w:line="240" w:lineRule="atLeast"/>
      <w:ind w:left="4140" w:hanging="4140" w:hangingChars="2300"/>
      <w:jc w:val="both"/>
      <w:rPr>
        <w:rFonts w:hint="eastAsia" w:ascii="仿宋" w:hAnsi="仿宋" w:eastAsia="仿宋" w:cs="仿宋"/>
        <w:sz w:val="18"/>
      </w:rPr>
    </w:pPr>
    <w:r>
      <w:rPr>
        <w:sz w:val="18"/>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114300</wp:posOffset>
              </wp:positionV>
              <wp:extent cx="104775" cy="190500"/>
              <wp:effectExtent l="0" t="0" r="0" b="0"/>
              <wp:wrapNone/>
              <wp:docPr id="4" name="文本框 1042"/>
              <wp:cNvGraphicFramePr/>
              <a:graphic xmlns:a="http://schemas.openxmlformats.org/drawingml/2006/main">
                <a:graphicData uri="http://schemas.microsoft.com/office/word/2010/wordprocessingShape">
                  <wps:wsp>
                    <wps:cNvSpPr txBox="1"/>
                    <wps:spPr>
                      <a:xfrm>
                        <a:off x="0" y="0"/>
                        <a:ext cx="104775" cy="1905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lIns="0" tIns="0" rIns="0" bIns="0" upright="0"/>
                  </wps:wsp>
                </a:graphicData>
              </a:graphic>
            </wp:anchor>
          </w:drawing>
        </mc:Choice>
        <mc:Fallback>
          <w:pict>
            <v:shape id="文本框 1042" o:spid="_x0000_s1026" o:spt="202" type="#_x0000_t202" style="position:absolute;left:0pt;margin-top:9pt;height:15pt;width:8.25pt;mso-position-horizontal:right;mso-position-horizontal-relative:margin;z-index:251702272;mso-width-relative:page;mso-height-relative:page;" filled="f" stroked="f" coordsize="21600,21600" o:gfxdata="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V9XxKtQAAAAFAQAADwAAAAAAAAAB&#10;ACAAAAAiAAAAZHJzL2Rvd25yZXYueG1sUEsBAhQAFAAAAAgAh07iQIllXNSiAQAAJgMAAA4AAAAA&#10;AAAAAQAgAAAAIwEAAGRycy9lMm9Eb2MueG1sUEsFBgAAAAAGAAYAWQEAADcFAAAAAA==&#10;">
              <v:fill on="f" focussize="0,0"/>
              <v:stroke on="f"/>
              <v:imagedata o:title=""/>
              <o:lock v:ext="edit" aspectratio="f"/>
              <v:textbox inset="0mm,0mm,0mm,0mm">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Fonts w:hint="eastAsia" w:ascii="仿宋" w:hAnsi="仿宋" w:eastAsia="仿宋" w:cs="仿宋"/>
        <w:sz w:val="18"/>
      </w:rPr>
      <w:t>电话：0731-28521188                    传真：0731-28520022                  邮编：412000</w:t>
    </w:r>
  </w:p>
  <w:p>
    <w:pPr>
      <w:pBdr>
        <w:top w:val="single" w:color="auto" w:sz="4" w:space="1"/>
      </w:pBdr>
      <w:tabs>
        <w:tab w:val="center" w:pos="4738"/>
        <w:tab w:val="right" w:pos="8306"/>
      </w:tabs>
      <w:snapToGrid/>
      <w:spacing w:line="240" w:lineRule="atLeast"/>
      <w:ind w:left="4140" w:hanging="4140" w:hangingChars="2300"/>
      <w:jc w:val="both"/>
      <w:rPr>
        <w:rFonts w:ascii="仿宋" w:hAnsi="仿宋" w:eastAsia="仿宋" w:cs="仿宋"/>
      </w:rPr>
    </w:pPr>
    <w:r>
      <w:rPr>
        <w:rFonts w:hint="eastAsia" w:ascii="仿宋" w:hAnsi="仿宋" w:eastAsia="仿宋" w:cs="仿宋"/>
        <w:sz w:val="18"/>
      </w:rPr>
      <w:t>地址：湖南省长沙市天心区友谊路528号湘诚万兴（万兴大厦）1909房</w:t>
    </w:r>
    <w:r>
      <w:rPr>
        <w:rFonts w:hint="eastAsia" w:ascii="仿宋" w:hAnsi="仿宋" w:eastAsia="仿宋" w:cs="仿宋"/>
      </w:rPr>
      <w:tab/>
    </w:r>
    <w:r>
      <w:rPr>
        <w:rFonts w:hint="eastAsia" w:ascii="仿宋" w:hAnsi="仿宋" w:eastAsia="仿宋" w:cs="仿宋"/>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46F68"/>
    <w:rsid w:val="2A346F68"/>
    <w:rsid w:val="493543AA"/>
    <w:rsid w:val="5E1A3F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textAlignment w:val="baseline"/>
    </w:pPr>
    <w:rPr>
      <w:rFonts w:ascii="宋体" w:hAnsi="Times New Roman" w:eastAsia="宋体" w:cs="Times New Roman"/>
      <w:sz w:val="24"/>
      <w:lang w:val="en-US" w:eastAsia="zh-CN" w:bidi="ar-SA"/>
    </w:rPr>
  </w:style>
  <w:style w:type="paragraph" w:styleId="2">
    <w:name w:val="heading 1"/>
    <w:basedOn w:val="1"/>
    <w:next w:val="1"/>
    <w:qFormat/>
    <w:uiPriority w:val="0"/>
    <w:pPr>
      <w:keepNext/>
      <w:keepLines/>
      <w:spacing w:before="120" w:after="120"/>
      <w:jc w:val="center"/>
      <w:outlineLvl w:val="0"/>
    </w:pPr>
    <w:rPr>
      <w:rFonts w:ascii="黑体" w:eastAsia="黑体"/>
      <w:b/>
      <w:kern w:val="44"/>
      <w:sz w:val="3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line="360" w:lineRule="auto"/>
      <w:ind w:firstLine="200" w:firstLineChars="200"/>
    </w:pPr>
  </w:style>
  <w:style w:type="paragraph" w:styleId="4">
    <w:name w:val="footer"/>
    <w:basedOn w:val="1"/>
    <w:qFormat/>
    <w:uiPriority w:val="99"/>
    <w:pPr>
      <w:tabs>
        <w:tab w:val="center" w:pos="4153"/>
        <w:tab w:val="right" w:pos="8306"/>
      </w:tabs>
      <w:spacing w:line="240" w:lineRule="atLeast"/>
    </w:pPr>
    <w:rPr>
      <w:sz w:val="18"/>
    </w:rPr>
  </w:style>
  <w:style w:type="paragraph" w:styleId="5">
    <w:name w:val="Normal (Web)"/>
    <w:basedOn w:val="1"/>
    <w:qFormat/>
    <w:uiPriority w:val="0"/>
    <w:pPr>
      <w:widowControl/>
      <w:adjustRightInd/>
      <w:snapToGrid/>
      <w:spacing w:before="100" w:beforeAutospacing="1" w:after="100" w:afterAutospacing="1"/>
      <w:textAlignment w:val="auto"/>
    </w:pPr>
    <w:rPr>
      <w:rFonts w:hAnsi="宋体" w:cs="宋体"/>
      <w:color w:val="00000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2019-12-13T05:22:00Z</dcterms:created>
  <dc:creator>云峰工作室</dc:creator>
  <cp:lastModifiedBy>云峰工作室</cp:lastModifiedBy>
  <cp:lastPrinted>2019-12-16T04:32:01Z</cp:lastPrinted>
  <dcterms:modified xsi:type="dcterms:W3CDTF">2019-12-16T04:35:08Z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