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宋体" w:eastAsia="方正小标宋简体" w:cs="Times New Roman"/>
          <w:kern w:val="36"/>
          <w:sz w:val="44"/>
          <w:szCs w:val="44"/>
        </w:rPr>
      </w:pPr>
      <w:r>
        <w:rPr>
          <w:rFonts w:hint="eastAsia" w:ascii="方正小标宋简体" w:hAnsi="宋体" w:eastAsia="方正小标宋简体" w:cs="方正小标宋简体"/>
          <w:kern w:val="36"/>
          <w:sz w:val="44"/>
          <w:szCs w:val="44"/>
        </w:rPr>
        <w:t>益阳市人民政府关于促进五大融合</w:t>
      </w:r>
    </w:p>
    <w:p>
      <w:pPr>
        <w:spacing w:line="700" w:lineRule="exact"/>
        <w:jc w:val="center"/>
        <w:rPr>
          <w:rFonts w:ascii="方正小标宋简体" w:hAnsi="宋体" w:eastAsia="方正小标宋简体" w:cs="Times New Roman"/>
          <w:kern w:val="36"/>
          <w:sz w:val="44"/>
          <w:szCs w:val="44"/>
        </w:rPr>
      </w:pPr>
      <w:r>
        <w:rPr>
          <w:rFonts w:hint="eastAsia" w:ascii="方正小标宋简体" w:hAnsi="宋体" w:eastAsia="方正小标宋简体" w:cs="方正小标宋简体"/>
          <w:kern w:val="36"/>
          <w:sz w:val="44"/>
          <w:szCs w:val="44"/>
        </w:rPr>
        <w:t>加快发展健康产业实施方案</w:t>
      </w:r>
    </w:p>
    <w:p>
      <w:pPr>
        <w:spacing w:line="600" w:lineRule="exact"/>
        <w:ind w:firstLine="640" w:firstLineChars="200"/>
        <w:rPr>
          <w:rFonts w:ascii="仿宋_GB2312" w:hAnsi="宋体" w:eastAsia="仿宋_GB2312" w:cs="Times New Roman"/>
          <w:sz w:val="32"/>
          <w:szCs w:val="32"/>
        </w:rPr>
      </w:pPr>
      <w:bookmarkStart w:id="0" w:name="_GoBack"/>
      <w:bookmarkEnd w:id="0"/>
    </w:p>
    <w:p>
      <w:pPr>
        <w:spacing w:line="600"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为提高全市人民健康水平，加快健康产业发展，推动我市融入健康中国建设战略布局，促进结构性供给侧改革，根据《湖南省人民政府关于促进五大融合加快发展健康产业的意见》（湘政发〔</w:t>
      </w:r>
      <w:r>
        <w:rPr>
          <w:rFonts w:ascii="仿宋_GB2312" w:hAnsi="宋体" w:eastAsia="仿宋_GB2312" w:cs="仿宋_GB2312"/>
          <w:sz w:val="32"/>
          <w:szCs w:val="32"/>
        </w:rPr>
        <w:t>2016</w:t>
      </w:r>
      <w:r>
        <w:rPr>
          <w:rFonts w:hint="eastAsia" w:ascii="仿宋_GB2312" w:hAnsi="宋体" w:eastAsia="仿宋_GB2312" w:cs="仿宋_GB2312"/>
          <w:sz w:val="32"/>
          <w:szCs w:val="32"/>
        </w:rPr>
        <w:t>〕</w:t>
      </w:r>
      <w:r>
        <w:rPr>
          <w:rFonts w:ascii="仿宋_GB2312" w:hAnsi="宋体" w:eastAsia="仿宋_GB2312" w:cs="仿宋_GB2312"/>
          <w:sz w:val="32"/>
          <w:szCs w:val="32"/>
        </w:rPr>
        <w:t>32</w:t>
      </w:r>
      <w:r>
        <w:rPr>
          <w:rFonts w:hint="eastAsia" w:ascii="仿宋_GB2312" w:hAnsi="宋体" w:eastAsia="仿宋_GB2312" w:cs="仿宋_GB2312"/>
          <w:sz w:val="32"/>
          <w:szCs w:val="32"/>
        </w:rPr>
        <w:t>号）、《湖南省健康产业发展规划（</w:t>
      </w:r>
      <w:r>
        <w:rPr>
          <w:rFonts w:ascii="仿宋_GB2312" w:hAnsi="宋体" w:eastAsia="仿宋_GB2312" w:cs="仿宋_GB2312"/>
          <w:sz w:val="32"/>
          <w:szCs w:val="32"/>
        </w:rPr>
        <w:t>2016-2020</w:t>
      </w:r>
      <w:r>
        <w:rPr>
          <w:rFonts w:hint="eastAsia" w:ascii="仿宋_GB2312" w:hAnsi="宋体" w:eastAsia="仿宋_GB2312" w:cs="仿宋_GB2312"/>
          <w:sz w:val="32"/>
          <w:szCs w:val="32"/>
        </w:rPr>
        <w:t>年）》（湘发改社会〔</w:t>
      </w:r>
      <w:r>
        <w:rPr>
          <w:rFonts w:ascii="仿宋_GB2312" w:hAnsi="宋体" w:eastAsia="仿宋_GB2312" w:cs="仿宋_GB2312"/>
          <w:sz w:val="32"/>
          <w:szCs w:val="32"/>
        </w:rPr>
        <w:t>2016</w:t>
      </w:r>
      <w:r>
        <w:rPr>
          <w:rFonts w:hint="eastAsia" w:ascii="仿宋_GB2312" w:hAnsi="宋体" w:eastAsia="仿宋_GB2312" w:cs="仿宋_GB2312"/>
          <w:sz w:val="32"/>
          <w:szCs w:val="32"/>
        </w:rPr>
        <w:t>〕</w:t>
      </w:r>
      <w:r>
        <w:rPr>
          <w:rFonts w:ascii="仿宋_GB2312" w:hAnsi="宋体" w:eastAsia="仿宋_GB2312" w:cs="仿宋_GB2312"/>
          <w:sz w:val="32"/>
          <w:szCs w:val="32"/>
        </w:rPr>
        <w:t>975</w:t>
      </w:r>
      <w:r>
        <w:rPr>
          <w:rFonts w:hint="eastAsia" w:ascii="仿宋_GB2312" w:hAnsi="宋体" w:eastAsia="仿宋_GB2312" w:cs="仿宋_GB2312"/>
          <w:sz w:val="32"/>
          <w:szCs w:val="32"/>
        </w:rPr>
        <w:t>号），结合益阳实际，制定本方案。</w:t>
      </w:r>
    </w:p>
    <w:p>
      <w:pPr>
        <w:spacing w:line="600" w:lineRule="exact"/>
        <w:ind w:firstLine="640" w:firstLineChars="200"/>
        <w:rPr>
          <w:rFonts w:ascii="黑体" w:hAnsi="宋体" w:eastAsia="黑体" w:cs="Times New Roman"/>
          <w:sz w:val="32"/>
          <w:szCs w:val="32"/>
        </w:rPr>
      </w:pPr>
      <w:r>
        <w:rPr>
          <w:rFonts w:hint="eastAsia" w:ascii="黑体" w:hAnsi="宋体" w:eastAsia="黑体" w:cs="黑体"/>
          <w:sz w:val="32"/>
          <w:szCs w:val="32"/>
        </w:rPr>
        <w:t>一、总体要求</w:t>
      </w:r>
    </w:p>
    <w:p>
      <w:pPr>
        <w:spacing w:line="600" w:lineRule="exact"/>
        <w:ind w:firstLine="643" w:firstLineChars="200"/>
        <w:rPr>
          <w:rFonts w:ascii="楷体_GB2312" w:hAnsi="宋体" w:eastAsia="楷体_GB2312" w:cs="Times New Roman"/>
          <w:b/>
          <w:bCs/>
          <w:sz w:val="32"/>
          <w:szCs w:val="32"/>
        </w:rPr>
      </w:pPr>
      <w:r>
        <w:rPr>
          <w:rFonts w:hint="eastAsia" w:ascii="楷体_GB2312" w:hAnsi="宋体" w:eastAsia="楷体_GB2312" w:cs="楷体_GB2312"/>
          <w:b/>
          <w:bCs/>
          <w:sz w:val="32"/>
          <w:szCs w:val="32"/>
        </w:rPr>
        <w:t>（一）指导思想</w:t>
      </w:r>
    </w:p>
    <w:p>
      <w:pPr>
        <w:spacing w:line="600" w:lineRule="exact"/>
        <w:ind w:firstLine="640" w:firstLineChars="200"/>
        <w:rPr>
          <w:rFonts w:ascii="楷体_GB2312" w:hAnsi="宋体" w:eastAsia="楷体_GB2312" w:cs="Times New Roman"/>
          <w:sz w:val="32"/>
          <w:szCs w:val="32"/>
        </w:rPr>
      </w:pPr>
      <w:r>
        <w:rPr>
          <w:rFonts w:hint="eastAsia" w:ascii="仿宋_GB2312" w:hAnsi="宋体" w:eastAsia="仿宋_GB2312" w:cs="仿宋_GB2312"/>
          <w:sz w:val="32"/>
          <w:szCs w:val="32"/>
        </w:rPr>
        <w:t>全面贯彻党的十八大和十八届三中、四中、五中、六中全会精神，深入贯彻习近平总书记系列重要讲话精神，坚持创新、协调、绿色、开放、共享发展理念，坚持“以基层为重点，以改革创新为动力，预防为主，中西医并重，把健康融入所有政策，人民共建共享”的卫生与健康工作方针，着力扩大健康产品供给，创新健康服务模式，推动健康事业和健康产业有机衔接、相互促进，满足人民群众日益增长的健康服务需求，为全市经济社会发展注入新活力。</w:t>
      </w:r>
    </w:p>
    <w:p>
      <w:pPr>
        <w:spacing w:line="600" w:lineRule="exact"/>
        <w:ind w:firstLine="643" w:firstLineChars="200"/>
        <w:rPr>
          <w:rFonts w:ascii="楷体_GB2312" w:hAnsi="宋体" w:eastAsia="楷体_GB2312" w:cs="Times New Roman"/>
          <w:b/>
          <w:bCs/>
          <w:sz w:val="32"/>
          <w:szCs w:val="32"/>
        </w:rPr>
      </w:pPr>
      <w:r>
        <w:rPr>
          <w:rFonts w:hint="eastAsia" w:ascii="楷体_GB2312" w:hAnsi="宋体" w:eastAsia="楷体_GB2312" w:cs="楷体_GB2312"/>
          <w:b/>
          <w:bCs/>
          <w:sz w:val="32"/>
          <w:szCs w:val="32"/>
        </w:rPr>
        <w:t>（二）基本原则</w:t>
      </w:r>
    </w:p>
    <w:p>
      <w:pPr>
        <w:spacing w:line="600" w:lineRule="exact"/>
        <w:ind w:firstLine="640" w:firstLineChars="200"/>
        <w:rPr>
          <w:rFonts w:ascii="仿宋_GB2312" w:hAnsi="宋体" w:eastAsia="仿宋_GB2312" w:cs="Times New Roman"/>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坚持以人为本，健康优先。把人民健康放在优先发展的战略地位，关注生命全周期、健康全过程。以普及健康生活、优化健康服务、完善健康保障、建设健康环境、发展健康产业为重点，统筹城乡、区域健康资源配置，实现均衡发展。加强基本健康服务体系建设，发展面向未来的高端化、国际化新型健康产业。</w:t>
      </w:r>
    </w:p>
    <w:p>
      <w:pPr>
        <w:spacing w:line="600" w:lineRule="exact"/>
        <w:ind w:firstLine="624" w:firstLineChars="200"/>
        <w:rPr>
          <w:rFonts w:ascii="仿宋_GB2312" w:hAnsi="宋体" w:eastAsia="仿宋_GB2312" w:cs="Times New Roman"/>
          <w:spacing w:val="-4"/>
          <w:sz w:val="32"/>
          <w:szCs w:val="32"/>
        </w:rPr>
      </w:pPr>
      <w:r>
        <w:rPr>
          <w:rFonts w:ascii="仿宋_GB2312" w:hAnsi="宋体" w:eastAsia="仿宋_GB2312" w:cs="仿宋_GB2312"/>
          <w:spacing w:val="-4"/>
          <w:sz w:val="32"/>
          <w:szCs w:val="32"/>
        </w:rPr>
        <w:t>2.</w:t>
      </w:r>
      <w:r>
        <w:rPr>
          <w:rFonts w:hint="eastAsia" w:ascii="仿宋_GB2312" w:hAnsi="宋体" w:eastAsia="仿宋_GB2312" w:cs="仿宋_GB2312"/>
          <w:spacing w:val="-4"/>
          <w:sz w:val="32"/>
          <w:szCs w:val="32"/>
        </w:rPr>
        <w:t>坚持政府引导，市场运作。发挥政府引导的政策示范作用，推动社会资本参与，激发社会活力。改进服务管理，引导生产要素合理流动，营造竞争有序、平等参与的市场环境。利用市场机制配置健康产业资源，发挥本土优势研发制造特色化的健康产品。</w:t>
      </w:r>
    </w:p>
    <w:p>
      <w:pPr>
        <w:spacing w:line="600" w:lineRule="exact"/>
        <w:ind w:firstLine="640" w:firstLineChars="200"/>
        <w:rPr>
          <w:rFonts w:ascii="仿宋_GB2312" w:hAnsi="宋体" w:eastAsia="仿宋_GB2312" w:cs="Times New Roman"/>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坚持产业融合，集聚发展。以医疗服务业发展为核心，以技术创新为引领，依托现代医学、信息科学与互联网等新技术，加强医疗、药品、医疗器械、中医药、养老、旅游、林业、文化和体育等行业部门跨界融合，培育新业态，形成空间互补、产业互促的大项目、大产业格局。创建一批管理规范、环境友好、特色突出、产业关联度高的产业集聚区。</w:t>
      </w:r>
    </w:p>
    <w:p>
      <w:pPr>
        <w:spacing w:line="600" w:lineRule="exact"/>
        <w:ind w:firstLine="640" w:firstLineChars="200"/>
        <w:rPr>
          <w:rFonts w:ascii="仿宋_GB2312" w:hAnsi="宋体" w:eastAsia="仿宋_GB2312" w:cs="Times New Roman"/>
          <w:sz w:val="32"/>
          <w:szCs w:val="32"/>
        </w:rPr>
      </w:pPr>
      <w:r>
        <w:rPr>
          <w:rFonts w:ascii="仿宋_GB2312" w:hAnsi="宋体" w:eastAsia="仿宋_GB2312" w:cs="仿宋_GB2312"/>
          <w:sz w:val="32"/>
          <w:szCs w:val="32"/>
        </w:rPr>
        <w:t>4.</w:t>
      </w:r>
      <w:r>
        <w:rPr>
          <w:rFonts w:hint="eastAsia" w:ascii="仿宋_GB2312" w:hAnsi="宋体" w:eastAsia="仿宋_GB2312" w:cs="仿宋_GB2312"/>
          <w:sz w:val="32"/>
          <w:szCs w:val="32"/>
        </w:rPr>
        <w:t>坚持内生外引，合作发展。改扩建、新建健康产业设施，提高供给能力。实施开放合作的政策，主动承接国际国内健康产业转移，吸引国内外知名企业和高端人才来我市投资创业。</w:t>
      </w:r>
    </w:p>
    <w:p>
      <w:pPr>
        <w:spacing w:line="600" w:lineRule="exact"/>
        <w:ind w:firstLine="643" w:firstLineChars="200"/>
        <w:rPr>
          <w:rFonts w:ascii="楷体_GB2312" w:hAnsi="宋体" w:eastAsia="楷体_GB2312" w:cs="Times New Roman"/>
          <w:b/>
          <w:bCs/>
          <w:sz w:val="32"/>
          <w:szCs w:val="32"/>
        </w:rPr>
      </w:pPr>
      <w:r>
        <w:rPr>
          <w:rFonts w:hint="eastAsia" w:ascii="楷体_GB2312" w:hAnsi="宋体" w:eastAsia="楷体_GB2312" w:cs="楷体_GB2312"/>
          <w:b/>
          <w:bCs/>
          <w:sz w:val="32"/>
          <w:szCs w:val="32"/>
        </w:rPr>
        <w:t>（三）发展目标</w:t>
      </w:r>
    </w:p>
    <w:p>
      <w:pPr>
        <w:spacing w:line="600" w:lineRule="exact"/>
        <w:ind w:firstLine="624" w:firstLineChars="200"/>
        <w:rPr>
          <w:rFonts w:ascii="仿宋_GB2312" w:hAnsi="宋体" w:eastAsia="仿宋_GB2312" w:cs="Times New Roman"/>
          <w:spacing w:val="-4"/>
          <w:sz w:val="32"/>
          <w:szCs w:val="32"/>
        </w:rPr>
      </w:pPr>
      <w:r>
        <w:rPr>
          <w:rFonts w:ascii="仿宋_GB2312" w:hAnsi="宋体" w:eastAsia="仿宋_GB2312" w:cs="仿宋_GB2312"/>
          <w:spacing w:val="-4"/>
          <w:sz w:val="32"/>
          <w:szCs w:val="32"/>
        </w:rPr>
        <w:t>2017</w:t>
      </w:r>
      <w:r>
        <w:rPr>
          <w:rFonts w:hint="eastAsia" w:ascii="仿宋_GB2312" w:hAnsi="宋体" w:eastAsia="仿宋_GB2312" w:cs="仿宋_GB2312"/>
          <w:spacing w:val="-4"/>
          <w:sz w:val="32"/>
          <w:szCs w:val="32"/>
        </w:rPr>
        <w:t>年，初步建立具有时代特征和益阳特色的健康产业体系。医疗服务、医药工业、中医中药、健康保险等传统健康产业稳步发展，健康养老、健康旅游、智慧健康、健身休闲、健康食品等新业态加快涌现，重点布局一批既有利于发挥自身优势，又符合产业发展和国家政策方向，具有市场竞争优势的支撑性项目作为示范。</w:t>
      </w:r>
    </w:p>
    <w:p>
      <w:pPr>
        <w:spacing w:line="540" w:lineRule="exact"/>
        <w:ind w:firstLine="640" w:firstLineChars="200"/>
        <w:rPr>
          <w:rFonts w:ascii="仿宋_GB2312" w:eastAsia="仿宋_GB2312" w:cs="Times New Roman"/>
          <w:w w:val="98"/>
          <w:sz w:val="32"/>
          <w:szCs w:val="32"/>
        </w:rPr>
      </w:pPr>
      <w:r>
        <w:rPr>
          <w:rFonts w:hint="eastAsia" w:ascii="仿宋_GB2312" w:hAnsi="宋体" w:eastAsia="仿宋_GB2312" w:cs="仿宋_GB2312"/>
          <w:sz w:val="32"/>
          <w:szCs w:val="32"/>
        </w:rPr>
        <w:t>“</w:t>
      </w:r>
      <w:r>
        <w:rPr>
          <w:rFonts w:hint="eastAsia" w:ascii="仿宋_GB2312" w:eastAsia="仿宋_GB2312" w:cs="仿宋_GB2312"/>
          <w:w w:val="98"/>
          <w:sz w:val="32"/>
          <w:szCs w:val="32"/>
        </w:rPr>
        <w:t>十三五”期间，健康产业增加值年均增长率达</w:t>
      </w:r>
      <w:r>
        <w:rPr>
          <w:rFonts w:ascii="仿宋_GB2312" w:eastAsia="仿宋_GB2312" w:cs="仿宋_GB2312"/>
          <w:w w:val="98"/>
          <w:sz w:val="32"/>
          <w:szCs w:val="32"/>
        </w:rPr>
        <w:t>15%</w:t>
      </w:r>
      <w:r>
        <w:rPr>
          <w:rFonts w:hint="eastAsia" w:ascii="仿宋_GB2312" w:eastAsia="仿宋_GB2312" w:cs="仿宋_GB2312"/>
          <w:w w:val="98"/>
          <w:sz w:val="32"/>
          <w:szCs w:val="32"/>
        </w:rPr>
        <w:t>。</w:t>
      </w:r>
      <w:r>
        <w:rPr>
          <w:rFonts w:hint="eastAsia" w:ascii="仿宋_GB2312" w:hAnsi="宋体" w:eastAsia="仿宋_GB2312" w:cs="仿宋_GB2312"/>
          <w:sz w:val="32"/>
          <w:szCs w:val="32"/>
        </w:rPr>
        <w:t>到</w:t>
      </w:r>
      <w:r>
        <w:rPr>
          <w:rFonts w:ascii="仿宋_GB2312" w:hAnsi="宋体" w:eastAsia="仿宋_GB2312" w:cs="仿宋_GB2312"/>
          <w:sz w:val="32"/>
          <w:szCs w:val="32"/>
        </w:rPr>
        <w:t>2020</w:t>
      </w:r>
      <w:r>
        <w:rPr>
          <w:rFonts w:hint="eastAsia" w:ascii="仿宋_GB2312" w:hAnsi="宋体" w:eastAsia="仿宋_GB2312" w:cs="仿宋_GB2312"/>
          <w:sz w:val="32"/>
          <w:szCs w:val="32"/>
        </w:rPr>
        <w:t>年，</w:t>
      </w:r>
      <w:r>
        <w:rPr>
          <w:rFonts w:hint="eastAsia" w:ascii="仿宋_GB2312" w:eastAsia="仿宋_GB2312" w:cs="仿宋_GB2312"/>
          <w:w w:val="98"/>
          <w:sz w:val="32"/>
          <w:szCs w:val="32"/>
        </w:rPr>
        <w:t>我市健康产业实现重点发展领域明显突破，优势特色领域不断拓宽，产业规模显著扩大，研发创新能力明显增强，产业环境明显优化，产业基础更加坚实，健康产业体系完整、结构优化，基本建成覆盖全生命周期、特色鲜明、结构合理，具有较强竞争力的健康产业体系，健康产业评估考核体系形成，城乡居民健康消费水平不断提高。通过示范项目的带头作用，打造一批产值过百亿的园区，力争将健康产业打造成益阳千亿级产业，成为我市经济发展新增长极和国民经济重要支柱产业。</w:t>
      </w:r>
    </w:p>
    <w:p>
      <w:pPr>
        <w:pStyle w:val="14"/>
        <w:snapToGrid w:val="0"/>
        <w:spacing w:line="540" w:lineRule="exact"/>
        <w:jc w:val="both"/>
        <w:rPr>
          <w:rFonts w:ascii="楷体_GB2312" w:hAnsi="楷体_GB2312" w:eastAsia="楷体_GB2312" w:cs="Times New Roman"/>
          <w:b/>
          <w:bCs/>
          <w:sz w:val="32"/>
          <w:szCs w:val="32"/>
        </w:rPr>
      </w:pPr>
      <w:r>
        <w:rPr>
          <w:rFonts w:ascii="楷体_GB2312" w:hAnsi="楷体_GB2312" w:eastAsia="楷体_GB2312" w:cs="楷体_GB2312"/>
          <w:b/>
          <w:bCs/>
          <w:sz w:val="32"/>
          <w:szCs w:val="32"/>
        </w:rPr>
        <w:t xml:space="preserve">    (</w:t>
      </w:r>
      <w:r>
        <w:rPr>
          <w:rFonts w:hint="eastAsia" w:ascii="楷体_GB2312" w:hAnsi="楷体_GB2312" w:eastAsia="楷体_GB2312" w:cs="楷体_GB2312"/>
          <w:b/>
          <w:bCs/>
          <w:sz w:val="32"/>
          <w:szCs w:val="32"/>
        </w:rPr>
        <w:t>四</w:t>
      </w:r>
      <w:r>
        <w:rPr>
          <w:rFonts w:ascii="楷体_GB2312" w:hAnsi="楷体_GB2312" w:eastAsia="楷体_GB2312" w:cs="楷体_GB2312"/>
          <w:b/>
          <w:bCs/>
          <w:sz w:val="32"/>
          <w:szCs w:val="32"/>
        </w:rPr>
        <w:t>)</w:t>
      </w:r>
      <w:r>
        <w:rPr>
          <w:rFonts w:hint="eastAsia" w:ascii="楷体_GB2312" w:hAnsi="楷体_GB2312" w:eastAsia="楷体_GB2312" w:cs="楷体_GB2312"/>
          <w:b/>
          <w:bCs/>
          <w:sz w:val="32"/>
          <w:szCs w:val="32"/>
        </w:rPr>
        <w:t>产业空间布局</w:t>
      </w:r>
    </w:p>
    <w:p>
      <w:pPr>
        <w:pStyle w:val="14"/>
        <w:snapToGrid w:val="0"/>
        <w:spacing w:line="540" w:lineRule="exact"/>
        <w:ind w:firstLine="640" w:firstLineChars="200"/>
        <w:jc w:val="both"/>
        <w:rPr>
          <w:rFonts w:ascii="仿宋_GB2312" w:hAnsi="宋体" w:eastAsia="仿宋_GB2312" w:cs="Times New Roman"/>
          <w:color w:val="auto"/>
          <w:sz w:val="32"/>
          <w:szCs w:val="32"/>
        </w:rPr>
      </w:pPr>
      <w:r>
        <w:rPr>
          <w:rFonts w:hint="eastAsia" w:ascii="仿宋_GB2312" w:hAnsi="宋体" w:eastAsia="仿宋_GB2312" w:cs="仿宋_GB2312"/>
          <w:color w:val="auto"/>
          <w:sz w:val="32"/>
          <w:szCs w:val="32"/>
        </w:rPr>
        <w:t>按照“集聚发展、产城结合、梯度有序、错位发展”的原则，围绕“一城四地”目标定位，确立全市健康产业发展的核心区、拓展区和特色区，规划建设一批健康产业发展的重要基地、产业园区和特色功能区，推动各地区健康产业的协同发展。中心城区是全市健康产业发展的核心，该区域医疗服务基础好、健康制造业水平高，健康产业快速发展的条件最为具备。以该区域为载体，以高端、优质、前沿为导向，大力发展高端健康制造业和健康服务业，打造全市健康产业发展的核心区，引领全市健康产业的发展。桃江、沅江是全市健康产业发展的重要区域，与中心城区紧密相连、一体发展，发展健康产业的潜力大、后劲足。以该区域为载体，积极挖掘健康产业发展潜力，拓展发展空间，把该区域打造成为全市健康产业增长快、成长性强的拓展区。以安化、南县、大通湖为构成的区域生态环境好、健康产业发展资源多。积极挖掘该区域特色资源，努力培育后发优势，将该区域打造成为全市健康产业发展的特色区。打造一批健康制造和健康服务业基地。鼓励和支持各区县（市）依托现有一定基础、符合区域定位且发展前景看好的产业园区，集聚发展健康产业。</w:t>
      </w:r>
    </w:p>
    <w:p>
      <w:pPr>
        <w:pStyle w:val="14"/>
        <w:snapToGrid w:val="0"/>
        <w:spacing w:line="600" w:lineRule="exact"/>
        <w:jc w:val="center"/>
        <w:rPr>
          <w:rFonts w:ascii="方正小标宋简体" w:hAnsi="宋体" w:eastAsia="方正小标宋简体" w:cs="Times New Roman"/>
          <w:color w:val="auto"/>
          <w:sz w:val="36"/>
          <w:szCs w:val="36"/>
        </w:rPr>
      </w:pPr>
      <w:r>
        <w:rPr>
          <w:rFonts w:hint="eastAsia" w:ascii="方正小标宋简体" w:hAnsi="宋体" w:eastAsia="方正小标宋简体" w:cs="方正小标宋简体"/>
          <w:color w:val="auto"/>
          <w:sz w:val="36"/>
          <w:szCs w:val="36"/>
        </w:rPr>
        <w:t>我市健康产业空间布局</w:t>
      </w:r>
    </w:p>
    <w:tbl>
      <w:tblPr>
        <w:tblStyle w:val="10"/>
        <w:tblW w:w="91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1629"/>
        <w:gridCol w:w="6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1220" w:type="dxa"/>
            <w:vAlign w:val="center"/>
          </w:tcPr>
          <w:p>
            <w:pPr>
              <w:pStyle w:val="14"/>
              <w:snapToGrid w:val="0"/>
              <w:spacing w:line="340" w:lineRule="exact"/>
              <w:jc w:val="center"/>
              <w:rPr>
                <w:rFonts w:ascii="仿宋_GB2312" w:hAnsi="宋体" w:eastAsia="仿宋_GB2312" w:cs="Times New Roman"/>
                <w:color w:val="auto"/>
                <w:sz w:val="28"/>
                <w:szCs w:val="28"/>
              </w:rPr>
            </w:pPr>
            <w:r>
              <w:rPr>
                <w:rFonts w:hint="eastAsia" w:ascii="仿宋_GB2312" w:hAnsi="宋体" w:eastAsia="仿宋_GB2312" w:cs="仿宋_GB2312"/>
                <w:color w:val="auto"/>
                <w:sz w:val="28"/>
                <w:szCs w:val="28"/>
              </w:rPr>
              <w:t>功能区</w:t>
            </w:r>
          </w:p>
        </w:tc>
        <w:tc>
          <w:tcPr>
            <w:tcW w:w="1629" w:type="dxa"/>
            <w:vAlign w:val="center"/>
          </w:tcPr>
          <w:p>
            <w:pPr>
              <w:pStyle w:val="14"/>
              <w:snapToGrid w:val="0"/>
              <w:spacing w:line="340" w:lineRule="exact"/>
              <w:jc w:val="center"/>
              <w:rPr>
                <w:rFonts w:ascii="仿宋_GB2312" w:hAnsi="宋体" w:eastAsia="仿宋_GB2312" w:cs="Times New Roman"/>
                <w:color w:val="auto"/>
                <w:sz w:val="28"/>
                <w:szCs w:val="28"/>
              </w:rPr>
            </w:pPr>
            <w:r>
              <w:rPr>
                <w:rFonts w:hint="eastAsia" w:ascii="仿宋_GB2312" w:hAnsi="宋体" w:eastAsia="仿宋_GB2312" w:cs="仿宋_GB2312"/>
                <w:color w:val="auto"/>
                <w:sz w:val="28"/>
                <w:szCs w:val="28"/>
              </w:rPr>
              <w:t>相关</w:t>
            </w:r>
          </w:p>
          <w:p>
            <w:pPr>
              <w:pStyle w:val="14"/>
              <w:snapToGrid w:val="0"/>
              <w:spacing w:line="340" w:lineRule="exact"/>
              <w:jc w:val="center"/>
              <w:rPr>
                <w:rFonts w:ascii="仿宋_GB2312" w:hAnsi="宋体" w:eastAsia="仿宋_GB2312" w:cs="Times New Roman"/>
                <w:color w:val="auto"/>
                <w:sz w:val="28"/>
                <w:szCs w:val="28"/>
              </w:rPr>
            </w:pPr>
            <w:r>
              <w:rPr>
                <w:rFonts w:hint="eastAsia" w:ascii="仿宋_GB2312" w:hAnsi="宋体" w:eastAsia="仿宋_GB2312" w:cs="仿宋_GB2312"/>
                <w:color w:val="auto"/>
                <w:sz w:val="28"/>
                <w:szCs w:val="28"/>
              </w:rPr>
              <w:t>区县（市）</w:t>
            </w:r>
          </w:p>
        </w:tc>
        <w:tc>
          <w:tcPr>
            <w:tcW w:w="6254" w:type="dxa"/>
            <w:vAlign w:val="center"/>
          </w:tcPr>
          <w:p>
            <w:pPr>
              <w:pStyle w:val="14"/>
              <w:snapToGrid w:val="0"/>
              <w:spacing w:line="340" w:lineRule="exact"/>
              <w:jc w:val="center"/>
              <w:rPr>
                <w:rFonts w:ascii="仿宋_GB2312" w:hAnsi="宋体" w:eastAsia="仿宋_GB2312" w:cs="Times New Roman"/>
                <w:color w:val="auto"/>
                <w:sz w:val="28"/>
                <w:szCs w:val="28"/>
              </w:rPr>
            </w:pPr>
            <w:r>
              <w:rPr>
                <w:rFonts w:hint="eastAsia" w:ascii="仿宋_GB2312" w:hAnsi="宋体" w:eastAsia="仿宋_GB2312" w:cs="仿宋_GB2312"/>
                <w:color w:val="auto"/>
                <w:sz w:val="28"/>
                <w:szCs w:val="28"/>
              </w:rPr>
              <w:t>发展重点及载体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0" w:type="dxa"/>
            <w:vMerge w:val="restart"/>
            <w:vAlign w:val="center"/>
          </w:tcPr>
          <w:p>
            <w:pPr>
              <w:pStyle w:val="14"/>
              <w:snapToGrid w:val="0"/>
              <w:spacing w:line="340" w:lineRule="exact"/>
              <w:jc w:val="center"/>
              <w:rPr>
                <w:rFonts w:ascii="仿宋_GB2312" w:hAnsi="宋体" w:eastAsia="仿宋_GB2312" w:cs="Times New Roman"/>
                <w:color w:val="auto"/>
                <w:sz w:val="28"/>
                <w:szCs w:val="28"/>
              </w:rPr>
            </w:pPr>
            <w:r>
              <w:rPr>
                <w:rFonts w:hint="eastAsia" w:ascii="仿宋_GB2312" w:hAnsi="宋体" w:eastAsia="仿宋_GB2312" w:cs="仿宋_GB2312"/>
                <w:color w:val="auto"/>
                <w:sz w:val="28"/>
                <w:szCs w:val="28"/>
              </w:rPr>
              <w:t>核心区</w:t>
            </w:r>
          </w:p>
        </w:tc>
        <w:tc>
          <w:tcPr>
            <w:tcW w:w="1629" w:type="dxa"/>
            <w:vAlign w:val="center"/>
          </w:tcPr>
          <w:p>
            <w:pPr>
              <w:pStyle w:val="14"/>
              <w:snapToGrid w:val="0"/>
              <w:spacing w:line="340" w:lineRule="exact"/>
              <w:jc w:val="center"/>
              <w:rPr>
                <w:rFonts w:ascii="仿宋_GB2312" w:hAnsi="宋体" w:eastAsia="仿宋_GB2312" w:cs="Times New Roman"/>
                <w:color w:val="auto"/>
                <w:sz w:val="28"/>
                <w:szCs w:val="28"/>
              </w:rPr>
            </w:pPr>
            <w:r>
              <w:rPr>
                <w:rFonts w:hint="eastAsia" w:ascii="仿宋_GB2312" w:hAnsi="宋体" w:eastAsia="仿宋_GB2312" w:cs="仿宋_GB2312"/>
                <w:color w:val="auto"/>
                <w:sz w:val="28"/>
                <w:szCs w:val="28"/>
              </w:rPr>
              <w:t>赫山区</w:t>
            </w:r>
          </w:p>
        </w:tc>
        <w:tc>
          <w:tcPr>
            <w:tcW w:w="6254" w:type="dxa"/>
            <w:vAlign w:val="center"/>
          </w:tcPr>
          <w:p>
            <w:pPr>
              <w:pStyle w:val="14"/>
              <w:snapToGrid w:val="0"/>
              <w:spacing w:line="340" w:lineRule="exact"/>
              <w:ind w:firstLine="560" w:firstLineChars="200"/>
              <w:jc w:val="both"/>
              <w:rPr>
                <w:rFonts w:ascii="仿宋_GB2312" w:hAnsi="宋体" w:eastAsia="仿宋_GB2312" w:cs="Times New Roman"/>
                <w:color w:val="auto"/>
                <w:sz w:val="28"/>
                <w:szCs w:val="28"/>
              </w:rPr>
            </w:pPr>
            <w:r>
              <w:rPr>
                <w:rFonts w:hint="eastAsia" w:ascii="仿宋_GB2312" w:hAnsi="宋体" w:eastAsia="仿宋_GB2312" w:cs="仿宋_GB2312"/>
                <w:color w:val="auto"/>
                <w:sz w:val="28"/>
                <w:szCs w:val="28"/>
              </w:rPr>
              <w:t>以汉森制药为核心的中医药产业园；以中以高科为核心的中国</w:t>
            </w:r>
            <w:r>
              <w:rPr>
                <w:rFonts w:ascii="仿宋_GB2312" w:hAnsi="宋体" w:eastAsia="仿宋_GB2312" w:cs="仿宋_GB2312"/>
                <w:color w:val="auto"/>
                <w:sz w:val="28"/>
                <w:szCs w:val="28"/>
              </w:rPr>
              <w:t>—</w:t>
            </w:r>
            <w:r>
              <w:rPr>
                <w:rFonts w:hint="eastAsia" w:ascii="仿宋_GB2312" w:hAnsi="宋体" w:eastAsia="仿宋_GB2312" w:cs="仿宋_GB2312"/>
                <w:color w:val="auto"/>
                <w:sz w:val="28"/>
                <w:szCs w:val="28"/>
              </w:rPr>
              <w:t>以色列合作创新大健康产业园；以生态养生、文化休闲、运动体检、健康旅游等为一体的养生度假区。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1220" w:type="dxa"/>
            <w:vMerge w:val="continue"/>
          </w:tcPr>
          <w:p>
            <w:pPr>
              <w:pStyle w:val="14"/>
              <w:snapToGrid w:val="0"/>
              <w:spacing w:line="340" w:lineRule="exact"/>
              <w:ind w:firstLine="560" w:firstLineChars="200"/>
              <w:jc w:val="center"/>
              <w:rPr>
                <w:rFonts w:ascii="仿宋_GB2312" w:hAnsi="宋体" w:eastAsia="仿宋_GB2312" w:cs="Times New Roman"/>
                <w:color w:val="auto"/>
                <w:sz w:val="28"/>
                <w:szCs w:val="28"/>
              </w:rPr>
            </w:pPr>
          </w:p>
        </w:tc>
        <w:tc>
          <w:tcPr>
            <w:tcW w:w="1629" w:type="dxa"/>
            <w:vAlign w:val="center"/>
          </w:tcPr>
          <w:p>
            <w:pPr>
              <w:pStyle w:val="14"/>
              <w:snapToGrid w:val="0"/>
              <w:spacing w:line="340" w:lineRule="exact"/>
              <w:jc w:val="center"/>
              <w:rPr>
                <w:rFonts w:ascii="仿宋_GB2312" w:hAnsi="宋体" w:eastAsia="仿宋_GB2312" w:cs="Times New Roman"/>
                <w:color w:val="auto"/>
                <w:sz w:val="28"/>
                <w:szCs w:val="28"/>
              </w:rPr>
            </w:pPr>
            <w:r>
              <w:rPr>
                <w:rFonts w:hint="eastAsia" w:ascii="仿宋_GB2312" w:hAnsi="宋体" w:eastAsia="仿宋_GB2312" w:cs="仿宋_GB2312"/>
                <w:color w:val="auto"/>
                <w:sz w:val="28"/>
                <w:szCs w:val="28"/>
              </w:rPr>
              <w:t>资阳区</w:t>
            </w:r>
          </w:p>
        </w:tc>
        <w:tc>
          <w:tcPr>
            <w:tcW w:w="6254" w:type="dxa"/>
            <w:vAlign w:val="center"/>
          </w:tcPr>
          <w:p>
            <w:pPr>
              <w:pStyle w:val="14"/>
              <w:snapToGrid w:val="0"/>
              <w:spacing w:line="340" w:lineRule="exact"/>
              <w:ind w:firstLine="560" w:firstLineChars="200"/>
              <w:jc w:val="both"/>
              <w:rPr>
                <w:rFonts w:ascii="仿宋_GB2312" w:hAnsi="宋体" w:eastAsia="仿宋_GB2312" w:cs="Times New Roman"/>
                <w:color w:val="auto"/>
                <w:sz w:val="28"/>
                <w:szCs w:val="28"/>
              </w:rPr>
            </w:pPr>
            <w:r>
              <w:rPr>
                <w:rFonts w:hint="eastAsia" w:ascii="仿宋_GB2312" w:hAnsi="宋体" w:eastAsia="仿宋_GB2312" w:cs="仿宋_GB2312"/>
                <w:color w:val="auto"/>
                <w:sz w:val="28"/>
                <w:szCs w:val="28"/>
              </w:rPr>
              <w:t>以皇家湖、青龙洲为主体，集医、养、游、运动体验等为一体的养生度假区；以“一江两岸”景区为核心的城市文化养生区。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20" w:type="dxa"/>
            <w:vMerge w:val="continue"/>
          </w:tcPr>
          <w:p>
            <w:pPr>
              <w:pStyle w:val="14"/>
              <w:snapToGrid w:val="0"/>
              <w:spacing w:line="340" w:lineRule="exact"/>
              <w:ind w:firstLine="560" w:firstLineChars="200"/>
              <w:jc w:val="center"/>
              <w:rPr>
                <w:rFonts w:ascii="仿宋_GB2312" w:hAnsi="宋体" w:eastAsia="仿宋_GB2312" w:cs="Times New Roman"/>
                <w:color w:val="auto"/>
                <w:sz w:val="28"/>
                <w:szCs w:val="28"/>
              </w:rPr>
            </w:pPr>
          </w:p>
        </w:tc>
        <w:tc>
          <w:tcPr>
            <w:tcW w:w="1629" w:type="dxa"/>
            <w:vAlign w:val="center"/>
          </w:tcPr>
          <w:p>
            <w:pPr>
              <w:pStyle w:val="14"/>
              <w:snapToGrid w:val="0"/>
              <w:spacing w:line="340" w:lineRule="exact"/>
              <w:jc w:val="center"/>
              <w:rPr>
                <w:rFonts w:ascii="仿宋_GB2312" w:hAnsi="宋体" w:eastAsia="仿宋_GB2312" w:cs="Times New Roman"/>
                <w:color w:val="auto"/>
                <w:sz w:val="28"/>
                <w:szCs w:val="28"/>
              </w:rPr>
            </w:pPr>
            <w:r>
              <w:rPr>
                <w:rFonts w:hint="eastAsia" w:ascii="仿宋_GB2312" w:hAnsi="宋体" w:eastAsia="仿宋_GB2312" w:cs="仿宋_GB2312"/>
                <w:color w:val="auto"/>
                <w:sz w:val="28"/>
                <w:szCs w:val="28"/>
              </w:rPr>
              <w:t>高新区</w:t>
            </w:r>
          </w:p>
        </w:tc>
        <w:tc>
          <w:tcPr>
            <w:tcW w:w="6254" w:type="dxa"/>
            <w:vAlign w:val="center"/>
          </w:tcPr>
          <w:p>
            <w:pPr>
              <w:pStyle w:val="14"/>
              <w:snapToGrid w:val="0"/>
              <w:spacing w:line="340" w:lineRule="exact"/>
              <w:ind w:firstLine="560" w:firstLineChars="200"/>
              <w:jc w:val="both"/>
              <w:rPr>
                <w:rFonts w:ascii="仿宋_GB2312" w:hAnsi="宋体" w:eastAsia="仿宋_GB2312" w:cs="Times New Roman"/>
                <w:color w:val="auto"/>
                <w:sz w:val="28"/>
                <w:szCs w:val="28"/>
              </w:rPr>
            </w:pPr>
            <w:r>
              <w:rPr>
                <w:rFonts w:hint="eastAsia" w:ascii="仿宋_GB2312" w:hAnsi="宋体" w:eastAsia="仿宋_GB2312" w:cs="仿宋_GB2312"/>
                <w:color w:val="auto"/>
                <w:sz w:val="28"/>
                <w:szCs w:val="28"/>
              </w:rPr>
              <w:t>以康雅医院为核心的医护养一体化健康城；以奥林匹克体育中心、高尔夫球场为主体的体育产业园；以生态养生、文化休闲、运动体检、健康旅游的等为一体养生度假区。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220" w:type="dxa"/>
            <w:vMerge w:val="continue"/>
          </w:tcPr>
          <w:p>
            <w:pPr>
              <w:pStyle w:val="14"/>
              <w:snapToGrid w:val="0"/>
              <w:spacing w:line="340" w:lineRule="exact"/>
              <w:ind w:firstLine="560" w:firstLineChars="200"/>
              <w:jc w:val="center"/>
              <w:rPr>
                <w:rFonts w:ascii="仿宋_GB2312" w:hAnsi="宋体" w:eastAsia="仿宋_GB2312" w:cs="Times New Roman"/>
                <w:color w:val="auto"/>
                <w:sz w:val="28"/>
                <w:szCs w:val="28"/>
              </w:rPr>
            </w:pPr>
          </w:p>
        </w:tc>
        <w:tc>
          <w:tcPr>
            <w:tcW w:w="1629" w:type="dxa"/>
            <w:vAlign w:val="center"/>
          </w:tcPr>
          <w:p>
            <w:pPr>
              <w:pStyle w:val="14"/>
              <w:snapToGrid w:val="0"/>
              <w:spacing w:line="340" w:lineRule="exact"/>
              <w:jc w:val="center"/>
              <w:rPr>
                <w:rFonts w:ascii="仿宋_GB2312" w:hAnsi="宋体" w:eastAsia="仿宋_GB2312" w:cs="Times New Roman"/>
                <w:color w:val="auto"/>
                <w:sz w:val="28"/>
                <w:szCs w:val="28"/>
              </w:rPr>
            </w:pPr>
            <w:r>
              <w:rPr>
                <w:rFonts w:hint="eastAsia" w:ascii="仿宋_GB2312" w:hAnsi="宋体" w:eastAsia="仿宋_GB2312" w:cs="仿宋_GB2312"/>
                <w:color w:val="auto"/>
                <w:sz w:val="28"/>
                <w:szCs w:val="28"/>
              </w:rPr>
              <w:t>东部新区</w:t>
            </w:r>
          </w:p>
        </w:tc>
        <w:tc>
          <w:tcPr>
            <w:tcW w:w="6254" w:type="dxa"/>
            <w:vAlign w:val="center"/>
          </w:tcPr>
          <w:p>
            <w:pPr>
              <w:pStyle w:val="14"/>
              <w:snapToGrid w:val="0"/>
              <w:spacing w:line="340" w:lineRule="exact"/>
              <w:ind w:firstLine="560" w:firstLineChars="200"/>
              <w:jc w:val="both"/>
              <w:rPr>
                <w:rFonts w:ascii="仿宋_GB2312" w:hAnsi="宋体" w:eastAsia="仿宋_GB2312" w:cs="Times New Roman"/>
                <w:color w:val="auto"/>
                <w:sz w:val="28"/>
                <w:szCs w:val="28"/>
              </w:rPr>
            </w:pPr>
            <w:r>
              <w:rPr>
                <w:rFonts w:hint="eastAsia" w:ascii="仿宋_GB2312" w:hAnsi="宋体" w:eastAsia="仿宋_GB2312" w:cs="仿宋_GB2312"/>
                <w:color w:val="auto"/>
                <w:sz w:val="28"/>
                <w:szCs w:val="28"/>
              </w:rPr>
              <w:t>面向高端人群的银发产业园。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1220" w:type="dxa"/>
            <w:vMerge w:val="restart"/>
            <w:vAlign w:val="center"/>
          </w:tcPr>
          <w:p>
            <w:pPr>
              <w:pStyle w:val="14"/>
              <w:snapToGrid w:val="0"/>
              <w:spacing w:line="340" w:lineRule="exact"/>
              <w:jc w:val="center"/>
              <w:rPr>
                <w:rFonts w:ascii="仿宋_GB2312" w:hAnsi="宋体" w:eastAsia="仿宋_GB2312" w:cs="Times New Roman"/>
                <w:color w:val="auto"/>
                <w:sz w:val="28"/>
                <w:szCs w:val="28"/>
              </w:rPr>
            </w:pPr>
            <w:r>
              <w:rPr>
                <w:rFonts w:hint="eastAsia" w:ascii="仿宋_GB2312" w:hAnsi="宋体" w:eastAsia="仿宋_GB2312" w:cs="仿宋_GB2312"/>
                <w:color w:val="auto"/>
                <w:sz w:val="28"/>
                <w:szCs w:val="28"/>
              </w:rPr>
              <w:t>拓展区</w:t>
            </w:r>
          </w:p>
        </w:tc>
        <w:tc>
          <w:tcPr>
            <w:tcW w:w="1629" w:type="dxa"/>
            <w:vAlign w:val="center"/>
          </w:tcPr>
          <w:p>
            <w:pPr>
              <w:pStyle w:val="14"/>
              <w:snapToGrid w:val="0"/>
              <w:spacing w:line="340" w:lineRule="exact"/>
              <w:jc w:val="center"/>
              <w:rPr>
                <w:rFonts w:ascii="仿宋_GB2312" w:hAnsi="宋体" w:eastAsia="仿宋_GB2312" w:cs="Times New Roman"/>
                <w:color w:val="auto"/>
                <w:sz w:val="28"/>
                <w:szCs w:val="28"/>
              </w:rPr>
            </w:pPr>
            <w:r>
              <w:rPr>
                <w:rFonts w:hint="eastAsia" w:ascii="仿宋_GB2312" w:hAnsi="宋体" w:eastAsia="仿宋_GB2312" w:cs="仿宋_GB2312"/>
                <w:color w:val="auto"/>
                <w:sz w:val="28"/>
                <w:szCs w:val="28"/>
              </w:rPr>
              <w:t>沅江市</w:t>
            </w:r>
          </w:p>
        </w:tc>
        <w:tc>
          <w:tcPr>
            <w:tcW w:w="6254" w:type="dxa"/>
            <w:vAlign w:val="center"/>
          </w:tcPr>
          <w:p>
            <w:pPr>
              <w:pStyle w:val="14"/>
              <w:snapToGrid w:val="0"/>
              <w:spacing w:line="340" w:lineRule="exact"/>
              <w:ind w:firstLine="560" w:firstLineChars="200"/>
              <w:jc w:val="both"/>
              <w:rPr>
                <w:rFonts w:ascii="仿宋_GB2312" w:hAnsi="宋体" w:eastAsia="仿宋_GB2312" w:cs="Times New Roman"/>
                <w:color w:val="auto"/>
                <w:sz w:val="28"/>
                <w:szCs w:val="28"/>
              </w:rPr>
            </w:pPr>
            <w:r>
              <w:rPr>
                <w:rFonts w:hint="eastAsia" w:ascii="仿宋_GB2312" w:hAnsi="宋体" w:eastAsia="仿宋_GB2312" w:cs="仿宋_GB2312"/>
                <w:color w:val="auto"/>
                <w:sz w:val="28"/>
                <w:szCs w:val="28"/>
              </w:rPr>
              <w:t>中药材种植基地、有机食品种养及加工基地；以生态养生、文化休闲、运动体检、森林康养、健康旅游等为一体的养生度假区。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1220" w:type="dxa"/>
            <w:vMerge w:val="continue"/>
          </w:tcPr>
          <w:p>
            <w:pPr>
              <w:pStyle w:val="14"/>
              <w:snapToGrid w:val="0"/>
              <w:spacing w:line="340" w:lineRule="exact"/>
              <w:ind w:firstLine="560" w:firstLineChars="200"/>
              <w:jc w:val="center"/>
              <w:rPr>
                <w:rFonts w:ascii="仿宋_GB2312" w:hAnsi="宋体" w:eastAsia="仿宋_GB2312" w:cs="Times New Roman"/>
                <w:color w:val="auto"/>
                <w:sz w:val="28"/>
                <w:szCs w:val="28"/>
              </w:rPr>
            </w:pPr>
          </w:p>
        </w:tc>
        <w:tc>
          <w:tcPr>
            <w:tcW w:w="1629" w:type="dxa"/>
            <w:vAlign w:val="center"/>
          </w:tcPr>
          <w:p>
            <w:pPr>
              <w:pStyle w:val="14"/>
              <w:snapToGrid w:val="0"/>
              <w:spacing w:line="340" w:lineRule="exact"/>
              <w:jc w:val="center"/>
              <w:rPr>
                <w:rFonts w:ascii="仿宋_GB2312" w:hAnsi="宋体" w:eastAsia="仿宋_GB2312" w:cs="Times New Roman"/>
                <w:color w:val="auto"/>
                <w:sz w:val="28"/>
                <w:szCs w:val="28"/>
              </w:rPr>
            </w:pPr>
            <w:r>
              <w:rPr>
                <w:rFonts w:hint="eastAsia" w:ascii="仿宋_GB2312" w:hAnsi="宋体" w:eastAsia="仿宋_GB2312" w:cs="仿宋_GB2312"/>
                <w:color w:val="auto"/>
                <w:sz w:val="28"/>
                <w:szCs w:val="28"/>
              </w:rPr>
              <w:t>桃江县</w:t>
            </w:r>
          </w:p>
        </w:tc>
        <w:tc>
          <w:tcPr>
            <w:tcW w:w="6254" w:type="dxa"/>
            <w:vAlign w:val="center"/>
          </w:tcPr>
          <w:p>
            <w:pPr>
              <w:pStyle w:val="14"/>
              <w:snapToGrid w:val="0"/>
              <w:spacing w:line="340" w:lineRule="exact"/>
              <w:ind w:firstLine="560" w:firstLineChars="200"/>
              <w:jc w:val="both"/>
              <w:rPr>
                <w:rFonts w:ascii="仿宋_GB2312" w:hAnsi="宋体" w:eastAsia="仿宋_GB2312" w:cs="Times New Roman"/>
                <w:color w:val="auto"/>
                <w:sz w:val="28"/>
                <w:szCs w:val="28"/>
              </w:rPr>
            </w:pPr>
            <w:r>
              <w:rPr>
                <w:rFonts w:hint="eastAsia" w:ascii="仿宋_GB2312" w:hAnsi="宋体" w:eastAsia="仿宋_GB2312" w:cs="仿宋_GB2312"/>
                <w:color w:val="auto"/>
                <w:sz w:val="28"/>
                <w:szCs w:val="28"/>
              </w:rPr>
              <w:t>中药材种植基地；医疗器械生产基地；医、养、游一体化健康服务基地。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1220" w:type="dxa"/>
            <w:vMerge w:val="restart"/>
            <w:vAlign w:val="center"/>
          </w:tcPr>
          <w:p>
            <w:pPr>
              <w:pStyle w:val="14"/>
              <w:snapToGrid w:val="0"/>
              <w:spacing w:line="340" w:lineRule="exact"/>
              <w:jc w:val="center"/>
              <w:rPr>
                <w:rFonts w:ascii="仿宋_GB2312" w:hAnsi="宋体" w:eastAsia="仿宋_GB2312" w:cs="Times New Roman"/>
                <w:color w:val="auto"/>
                <w:sz w:val="28"/>
                <w:szCs w:val="28"/>
              </w:rPr>
            </w:pPr>
            <w:r>
              <w:rPr>
                <w:rFonts w:hint="eastAsia" w:ascii="仿宋_GB2312" w:hAnsi="宋体" w:eastAsia="仿宋_GB2312" w:cs="仿宋_GB2312"/>
                <w:color w:val="auto"/>
                <w:sz w:val="28"/>
                <w:szCs w:val="28"/>
              </w:rPr>
              <w:t>特色区</w:t>
            </w:r>
          </w:p>
        </w:tc>
        <w:tc>
          <w:tcPr>
            <w:tcW w:w="1629" w:type="dxa"/>
            <w:vAlign w:val="center"/>
          </w:tcPr>
          <w:p>
            <w:pPr>
              <w:pStyle w:val="14"/>
              <w:snapToGrid w:val="0"/>
              <w:spacing w:line="340" w:lineRule="exact"/>
              <w:jc w:val="center"/>
              <w:rPr>
                <w:rFonts w:ascii="仿宋_GB2312" w:hAnsi="宋体" w:eastAsia="仿宋_GB2312" w:cs="Times New Roman"/>
                <w:color w:val="auto"/>
                <w:sz w:val="28"/>
                <w:szCs w:val="28"/>
              </w:rPr>
            </w:pPr>
            <w:r>
              <w:rPr>
                <w:rFonts w:hint="eastAsia" w:ascii="仿宋_GB2312" w:hAnsi="宋体" w:eastAsia="仿宋_GB2312" w:cs="仿宋_GB2312"/>
                <w:color w:val="auto"/>
                <w:sz w:val="28"/>
                <w:szCs w:val="28"/>
              </w:rPr>
              <w:t>安化县</w:t>
            </w:r>
          </w:p>
        </w:tc>
        <w:tc>
          <w:tcPr>
            <w:tcW w:w="6254" w:type="dxa"/>
            <w:vAlign w:val="center"/>
          </w:tcPr>
          <w:p>
            <w:pPr>
              <w:pStyle w:val="14"/>
              <w:snapToGrid w:val="0"/>
              <w:spacing w:line="340" w:lineRule="exact"/>
              <w:ind w:firstLine="560" w:firstLineChars="200"/>
              <w:jc w:val="both"/>
              <w:rPr>
                <w:rFonts w:ascii="仿宋_GB2312" w:hAnsi="宋体" w:eastAsia="仿宋_GB2312" w:cs="Times New Roman"/>
                <w:color w:val="auto"/>
                <w:sz w:val="28"/>
                <w:szCs w:val="28"/>
              </w:rPr>
            </w:pPr>
            <w:r>
              <w:rPr>
                <w:rFonts w:hint="eastAsia" w:ascii="仿宋_GB2312" w:hAnsi="宋体" w:eastAsia="仿宋_GB2312" w:cs="仿宋_GB2312"/>
                <w:color w:val="auto"/>
                <w:sz w:val="28"/>
                <w:szCs w:val="28"/>
              </w:rPr>
              <w:t>中医药产业园；黑茶产业园；生态养生、文化休闲、运动体验、健康旅游区。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220" w:type="dxa"/>
            <w:vMerge w:val="continue"/>
          </w:tcPr>
          <w:p>
            <w:pPr>
              <w:pStyle w:val="14"/>
              <w:snapToGrid w:val="0"/>
              <w:spacing w:line="340" w:lineRule="exact"/>
              <w:ind w:firstLine="560" w:firstLineChars="200"/>
              <w:jc w:val="both"/>
              <w:rPr>
                <w:rFonts w:ascii="仿宋_GB2312" w:hAnsi="宋体" w:eastAsia="仿宋_GB2312" w:cs="Times New Roman"/>
                <w:color w:val="auto"/>
                <w:sz w:val="28"/>
                <w:szCs w:val="28"/>
              </w:rPr>
            </w:pPr>
          </w:p>
        </w:tc>
        <w:tc>
          <w:tcPr>
            <w:tcW w:w="1629" w:type="dxa"/>
            <w:vAlign w:val="center"/>
          </w:tcPr>
          <w:p>
            <w:pPr>
              <w:pStyle w:val="14"/>
              <w:snapToGrid w:val="0"/>
              <w:spacing w:line="340" w:lineRule="exact"/>
              <w:jc w:val="center"/>
              <w:rPr>
                <w:rFonts w:ascii="仿宋_GB2312" w:hAnsi="宋体" w:eastAsia="仿宋_GB2312" w:cs="Times New Roman"/>
                <w:color w:val="auto"/>
                <w:sz w:val="28"/>
                <w:szCs w:val="28"/>
              </w:rPr>
            </w:pPr>
            <w:r>
              <w:rPr>
                <w:rFonts w:hint="eastAsia" w:ascii="仿宋_GB2312" w:hAnsi="宋体" w:eastAsia="仿宋_GB2312" w:cs="仿宋_GB2312"/>
                <w:color w:val="auto"/>
                <w:sz w:val="28"/>
                <w:szCs w:val="28"/>
              </w:rPr>
              <w:t>南县</w:t>
            </w:r>
          </w:p>
        </w:tc>
        <w:tc>
          <w:tcPr>
            <w:tcW w:w="6254" w:type="dxa"/>
            <w:vAlign w:val="center"/>
          </w:tcPr>
          <w:p>
            <w:pPr>
              <w:pStyle w:val="14"/>
              <w:snapToGrid w:val="0"/>
              <w:spacing w:line="340" w:lineRule="exact"/>
              <w:ind w:firstLine="560" w:firstLineChars="200"/>
              <w:jc w:val="both"/>
              <w:rPr>
                <w:rFonts w:ascii="仿宋_GB2312" w:hAnsi="宋体" w:eastAsia="仿宋_GB2312" w:cs="Times New Roman"/>
                <w:color w:val="auto"/>
                <w:sz w:val="28"/>
                <w:szCs w:val="28"/>
              </w:rPr>
            </w:pPr>
            <w:r>
              <w:rPr>
                <w:rFonts w:hint="eastAsia" w:ascii="仿宋_GB2312" w:hAnsi="宋体" w:eastAsia="仿宋_GB2312" w:cs="仿宋_GB2312"/>
                <w:color w:val="auto"/>
                <w:sz w:val="28"/>
                <w:szCs w:val="28"/>
              </w:rPr>
              <w:t>中药材种植基地；有机食品种养及加工基地；以生态养生、文化休闲、运动体检、健康旅游等为一体的养生度假区。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1220" w:type="dxa"/>
            <w:vMerge w:val="continue"/>
          </w:tcPr>
          <w:p>
            <w:pPr>
              <w:pStyle w:val="14"/>
              <w:snapToGrid w:val="0"/>
              <w:spacing w:line="340" w:lineRule="exact"/>
              <w:ind w:firstLine="560" w:firstLineChars="200"/>
              <w:jc w:val="both"/>
              <w:rPr>
                <w:rFonts w:ascii="仿宋_GB2312" w:hAnsi="宋体" w:eastAsia="仿宋_GB2312" w:cs="Times New Roman"/>
                <w:color w:val="auto"/>
                <w:sz w:val="28"/>
                <w:szCs w:val="28"/>
              </w:rPr>
            </w:pPr>
          </w:p>
        </w:tc>
        <w:tc>
          <w:tcPr>
            <w:tcW w:w="1629" w:type="dxa"/>
            <w:vAlign w:val="center"/>
          </w:tcPr>
          <w:p>
            <w:pPr>
              <w:pStyle w:val="14"/>
              <w:snapToGrid w:val="0"/>
              <w:spacing w:line="340" w:lineRule="exact"/>
              <w:jc w:val="center"/>
              <w:rPr>
                <w:rFonts w:ascii="仿宋_GB2312" w:hAnsi="宋体" w:eastAsia="仿宋_GB2312" w:cs="Times New Roman"/>
                <w:color w:val="auto"/>
                <w:sz w:val="28"/>
                <w:szCs w:val="28"/>
              </w:rPr>
            </w:pPr>
            <w:r>
              <w:rPr>
                <w:rFonts w:hint="eastAsia" w:ascii="仿宋_GB2312" w:hAnsi="宋体" w:eastAsia="仿宋_GB2312" w:cs="仿宋_GB2312"/>
                <w:color w:val="auto"/>
                <w:sz w:val="28"/>
                <w:szCs w:val="28"/>
              </w:rPr>
              <w:t>大通湖区</w:t>
            </w:r>
          </w:p>
        </w:tc>
        <w:tc>
          <w:tcPr>
            <w:tcW w:w="6254" w:type="dxa"/>
            <w:vAlign w:val="center"/>
          </w:tcPr>
          <w:p>
            <w:pPr>
              <w:pStyle w:val="14"/>
              <w:snapToGrid w:val="0"/>
              <w:spacing w:line="340" w:lineRule="exact"/>
              <w:ind w:firstLine="560" w:firstLineChars="200"/>
              <w:jc w:val="both"/>
              <w:rPr>
                <w:rFonts w:ascii="仿宋_GB2312" w:hAnsi="宋体" w:eastAsia="仿宋_GB2312" w:cs="Times New Roman"/>
                <w:color w:val="auto"/>
                <w:sz w:val="28"/>
                <w:szCs w:val="28"/>
              </w:rPr>
            </w:pPr>
            <w:r>
              <w:rPr>
                <w:rFonts w:hint="eastAsia" w:ascii="仿宋_GB2312" w:hAnsi="宋体" w:eastAsia="仿宋_GB2312" w:cs="仿宋_GB2312"/>
                <w:color w:val="auto"/>
                <w:sz w:val="28"/>
                <w:szCs w:val="28"/>
              </w:rPr>
              <w:t>健康种养殖基地；以生态养生、文化休闲、运动体检、健康旅游的等为一体养生度假区。</w:t>
            </w:r>
          </w:p>
        </w:tc>
      </w:tr>
    </w:tbl>
    <w:p>
      <w:pPr>
        <w:spacing w:line="600" w:lineRule="exact"/>
        <w:ind w:firstLine="613" w:firstLineChars="196"/>
        <w:rPr>
          <w:rFonts w:ascii="黑体" w:eastAsia="黑体" w:cs="Times New Roman"/>
          <w:w w:val="98"/>
          <w:sz w:val="32"/>
          <w:szCs w:val="32"/>
        </w:rPr>
      </w:pPr>
      <w:r>
        <w:rPr>
          <w:rFonts w:hint="eastAsia" w:ascii="黑体" w:eastAsia="黑体" w:cs="黑体"/>
          <w:w w:val="98"/>
          <w:sz w:val="32"/>
          <w:szCs w:val="32"/>
        </w:rPr>
        <w:t>二、主要任务</w:t>
      </w:r>
    </w:p>
    <w:p>
      <w:pPr>
        <w:spacing w:line="600" w:lineRule="exact"/>
        <w:ind w:firstLine="643" w:firstLineChars="200"/>
        <w:rPr>
          <w:rFonts w:ascii="楷体_GB2312" w:hAnsi="宋体" w:eastAsia="楷体_GB2312" w:cs="Times New Roman"/>
          <w:b/>
          <w:bCs/>
          <w:sz w:val="32"/>
          <w:szCs w:val="32"/>
        </w:rPr>
      </w:pPr>
      <w:r>
        <w:rPr>
          <w:rFonts w:hint="eastAsia" w:ascii="楷体_GB2312" w:hAnsi="宋体" w:eastAsia="楷体_GB2312" w:cs="楷体_GB2312"/>
          <w:b/>
          <w:bCs/>
          <w:sz w:val="32"/>
          <w:szCs w:val="32"/>
        </w:rPr>
        <w:t>（一）促进普惠民生与产业发展良性互动，巩固发展医疗卫生服务业</w:t>
      </w:r>
    </w:p>
    <w:p>
      <w:pPr>
        <w:pStyle w:val="14"/>
        <w:snapToGrid w:val="0"/>
        <w:spacing w:line="600" w:lineRule="exact"/>
        <w:ind w:firstLine="640" w:firstLineChars="200"/>
        <w:jc w:val="both"/>
        <w:rPr>
          <w:rFonts w:ascii="仿宋_GB2312" w:hAnsi="宋体" w:eastAsia="仿宋_GB2312" w:cs="Times New Roman"/>
          <w:color w:val="auto"/>
          <w:sz w:val="32"/>
          <w:szCs w:val="32"/>
        </w:rPr>
      </w:pPr>
      <w:r>
        <w:rPr>
          <w:rFonts w:ascii="仿宋_GB2312" w:hAnsi="宋体" w:eastAsia="仿宋_GB2312" w:cs="仿宋_GB2312"/>
          <w:color w:val="auto"/>
          <w:sz w:val="32"/>
          <w:szCs w:val="32"/>
        </w:rPr>
        <w:t>1.</w:t>
      </w:r>
      <w:r>
        <w:rPr>
          <w:rFonts w:hint="eastAsia" w:ascii="仿宋_GB2312" w:hAnsi="宋体" w:eastAsia="仿宋_GB2312" w:cs="仿宋_GB2312"/>
          <w:color w:val="auto"/>
          <w:sz w:val="32"/>
          <w:szCs w:val="32"/>
        </w:rPr>
        <w:t>形成多元办医格局。构建以市中心医院为龙头，以县级综合医院为主体，市、县、乡、村协调配套的市域医疗服务体系，满足城乡居民基本医疗服务需求。鼓励社会资本积极参与医疗服务，引导民营医疗机构发展特色的专科医疗服务和高端家庭医生服务，满足高收入群体的高端需求，鼓励民营医疗机构错位发展，完善民办医疗机构管理制度。加强我市特色专科医疗技术与服务项目的开发和引进，发展整形医学、康复医学、医学美容、高端临床体检等现代医疗服务业。“十三五”期间，全市规划新建社会办医院</w:t>
      </w:r>
      <w:r>
        <w:rPr>
          <w:rFonts w:ascii="仿宋_GB2312" w:hAnsi="宋体" w:eastAsia="仿宋_GB2312" w:cs="仿宋_GB2312"/>
          <w:color w:val="auto"/>
          <w:sz w:val="32"/>
          <w:szCs w:val="32"/>
        </w:rPr>
        <w:t>26</w:t>
      </w:r>
      <w:r>
        <w:rPr>
          <w:rFonts w:hint="eastAsia" w:ascii="仿宋_GB2312" w:hAnsi="宋体" w:eastAsia="仿宋_GB2312" w:cs="仿宋_GB2312"/>
          <w:color w:val="auto"/>
          <w:sz w:val="32"/>
          <w:szCs w:val="32"/>
        </w:rPr>
        <w:t>家。</w:t>
      </w:r>
    </w:p>
    <w:p>
      <w:pPr>
        <w:pStyle w:val="14"/>
        <w:snapToGrid w:val="0"/>
        <w:spacing w:line="600" w:lineRule="exact"/>
        <w:ind w:firstLine="640" w:firstLineChars="200"/>
        <w:jc w:val="both"/>
        <w:rPr>
          <w:rFonts w:ascii="仿宋_GB2312" w:hAnsi="宋体" w:eastAsia="仿宋_GB2312" w:cs="Times New Roman"/>
          <w:color w:val="auto"/>
          <w:sz w:val="32"/>
          <w:szCs w:val="32"/>
        </w:rPr>
      </w:pP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牵头单位：市卫生计生委，配合单位：市发改委、市人社局）</w:t>
      </w:r>
    </w:p>
    <w:p>
      <w:pPr>
        <w:pStyle w:val="14"/>
        <w:snapToGrid w:val="0"/>
        <w:spacing w:line="600" w:lineRule="exact"/>
        <w:ind w:firstLine="640" w:firstLineChars="200"/>
        <w:jc w:val="both"/>
        <w:rPr>
          <w:rFonts w:ascii="仿宋_GB2312" w:hAnsi="宋体" w:eastAsia="仿宋_GB2312" w:cs="Times New Roman"/>
          <w:color w:val="auto"/>
          <w:sz w:val="32"/>
          <w:szCs w:val="32"/>
        </w:rPr>
      </w:pPr>
      <w:r>
        <w:rPr>
          <w:rFonts w:ascii="仿宋_GB2312" w:hAnsi="宋体" w:eastAsia="仿宋_GB2312" w:cs="仿宋_GB2312"/>
          <w:color w:val="auto"/>
          <w:sz w:val="32"/>
          <w:szCs w:val="32"/>
        </w:rPr>
        <w:t>2.</w:t>
      </w:r>
      <w:r>
        <w:rPr>
          <w:rFonts w:hint="eastAsia" w:ascii="仿宋_GB2312" w:hAnsi="宋体" w:eastAsia="仿宋_GB2312" w:cs="仿宋_GB2312"/>
          <w:color w:val="auto"/>
          <w:sz w:val="32"/>
          <w:szCs w:val="32"/>
        </w:rPr>
        <w:t>优化医疗卫生资源配置。采取多样化的合作方式，引进国内知名医疗机构来益办医，提高疑难重症医疗救治和医学科教水平；促进优质医疗资源向农村延伸，加快安化县、桃江县、南县、沅江市人民医院建设，“十三五”期间逐步提高至三级县级医院的医疗技术水平，提升县级医院辐射能力；加快推进医疗联合体建设，建立县、乡、村三级之间医疗卫生资源合理流动、优化配置、合作共享的城乡医疗卫生统筹配置合作机制，形成县乡联动、乡村一体的基层卫生服务网络。鼓励社会资本投资建设康复医院、老年病医院、护理院等医疗机构。大力实施“医疗服务</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”行动，促进医疗服务与旅游、文化、体育、餐饮、生态、金融等行业深度融合。</w:t>
      </w:r>
    </w:p>
    <w:p>
      <w:pPr>
        <w:pStyle w:val="14"/>
        <w:snapToGrid w:val="0"/>
        <w:spacing w:line="600" w:lineRule="exact"/>
        <w:ind w:firstLine="640" w:firstLineChars="200"/>
        <w:jc w:val="both"/>
        <w:rPr>
          <w:rFonts w:ascii="仿宋_GB2312" w:hAnsi="宋体" w:eastAsia="仿宋_GB2312" w:cs="Times New Roman"/>
          <w:color w:val="auto"/>
          <w:sz w:val="32"/>
          <w:szCs w:val="32"/>
        </w:rPr>
      </w:pPr>
      <w:r>
        <w:rPr>
          <w:rFonts w:hint="eastAsia" w:ascii="仿宋_GB2312" w:hAnsi="宋体" w:eastAsia="仿宋_GB2312" w:cs="仿宋_GB2312"/>
          <w:color w:val="auto"/>
          <w:sz w:val="32"/>
          <w:szCs w:val="32"/>
        </w:rPr>
        <w:t>（牵头单位：市卫生计生委，配合单位：市发改委）</w:t>
      </w:r>
    </w:p>
    <w:p>
      <w:pPr>
        <w:pStyle w:val="14"/>
        <w:snapToGrid w:val="0"/>
        <w:spacing w:line="600" w:lineRule="exact"/>
        <w:ind w:firstLine="640" w:firstLineChars="200"/>
        <w:jc w:val="both"/>
        <w:rPr>
          <w:rFonts w:ascii="仿宋_GB2312" w:hAnsi="宋体" w:eastAsia="仿宋_GB2312" w:cs="Times New Roman"/>
          <w:color w:val="auto"/>
          <w:sz w:val="32"/>
          <w:szCs w:val="32"/>
        </w:rPr>
      </w:pPr>
      <w:r>
        <w:rPr>
          <w:rFonts w:ascii="仿宋_GB2312" w:hAnsi="宋体" w:eastAsia="仿宋_GB2312" w:cs="仿宋_GB2312"/>
          <w:color w:val="auto"/>
          <w:sz w:val="32"/>
          <w:szCs w:val="32"/>
        </w:rPr>
        <w:t>3.</w:t>
      </w:r>
      <w:r>
        <w:rPr>
          <w:rFonts w:hint="eastAsia" w:ascii="仿宋_GB2312" w:hAnsi="宋体" w:eastAsia="仿宋_GB2312" w:cs="仿宋_GB2312"/>
          <w:color w:val="auto"/>
          <w:sz w:val="32"/>
          <w:szCs w:val="32"/>
        </w:rPr>
        <w:t>推进慢病康复愈养基地建设。依托独特的区位优势和优质生态资源及中医药资源，发展慢病康复愈养服务，完善慢性病防治服务网络，建立健康档案、健康风险评估、健康干预和效果评价的服务体系，在赫山区、桃江县、安化县建设</w:t>
      </w:r>
      <w:r>
        <w:rPr>
          <w:rFonts w:ascii="仿宋_GB2312" w:hAnsi="宋体" w:eastAsia="仿宋_GB2312" w:cs="仿宋_GB2312"/>
          <w:color w:val="auto"/>
          <w:sz w:val="32"/>
          <w:szCs w:val="32"/>
        </w:rPr>
        <w:t>2-3</w:t>
      </w:r>
      <w:r>
        <w:rPr>
          <w:rFonts w:hint="eastAsia" w:ascii="仿宋_GB2312" w:hAnsi="宋体" w:eastAsia="仿宋_GB2312" w:cs="仿宋_GB2312"/>
          <w:color w:val="auto"/>
          <w:sz w:val="32"/>
          <w:szCs w:val="32"/>
        </w:rPr>
        <w:t>个省级慢性病综合防控示范区。</w:t>
      </w:r>
    </w:p>
    <w:p>
      <w:pPr>
        <w:pStyle w:val="14"/>
        <w:snapToGrid w:val="0"/>
        <w:spacing w:line="600" w:lineRule="exact"/>
        <w:ind w:firstLine="640" w:firstLineChars="200"/>
        <w:jc w:val="both"/>
        <w:rPr>
          <w:rFonts w:ascii="仿宋_GB2312" w:hAnsi="宋体" w:eastAsia="仿宋_GB2312" w:cs="Times New Roman"/>
          <w:color w:val="auto"/>
          <w:sz w:val="32"/>
          <w:szCs w:val="32"/>
        </w:rPr>
      </w:pPr>
      <w:r>
        <w:rPr>
          <w:rFonts w:hint="eastAsia" w:ascii="仿宋_GB2312" w:hAnsi="宋体" w:eastAsia="仿宋_GB2312" w:cs="仿宋_GB2312"/>
          <w:color w:val="auto"/>
          <w:sz w:val="32"/>
          <w:szCs w:val="32"/>
        </w:rPr>
        <w:t>（牵头单位：市卫生计生委，配合单位：市发改委、项目所在地人民政府）</w:t>
      </w:r>
    </w:p>
    <w:p>
      <w:pPr>
        <w:spacing w:line="600" w:lineRule="exact"/>
        <w:ind w:firstLine="640" w:firstLineChars="200"/>
        <w:rPr>
          <w:rFonts w:ascii="仿宋_GB2312" w:hAnsi="宋体" w:eastAsia="仿宋_GB2312" w:cs="Times New Roman"/>
          <w:spacing w:val="4"/>
          <w:sz w:val="32"/>
          <w:szCs w:val="32"/>
        </w:rPr>
      </w:pPr>
      <w:r>
        <w:rPr>
          <w:rFonts w:ascii="仿宋_GB2312" w:hAnsi="宋体" w:eastAsia="仿宋_GB2312" w:cs="仿宋_GB2312"/>
          <w:sz w:val="32"/>
          <w:szCs w:val="32"/>
        </w:rPr>
        <w:t>4.</w:t>
      </w:r>
      <w:r>
        <w:rPr>
          <w:rFonts w:hint="eastAsia" w:ascii="仿宋_GB2312" w:hAnsi="宋体" w:eastAsia="仿宋_GB2312" w:cs="仿宋_GB2312"/>
          <w:sz w:val="32"/>
          <w:szCs w:val="32"/>
        </w:rPr>
        <w:t>提升中医药医疗服务水平。健全中医药服务体系，以市第一中医医院为龙头，建立市级区域中医医疗中心。</w:t>
      </w:r>
      <w:r>
        <w:rPr>
          <w:rFonts w:hint="eastAsia" w:ascii="仿宋_GB2312" w:hAnsi="仿宋_GB2312" w:eastAsia="仿宋_GB2312" w:cs="仿宋_GB2312"/>
          <w:color w:val="000000"/>
          <w:kern w:val="0"/>
          <w:sz w:val="32"/>
          <w:szCs w:val="32"/>
        </w:rPr>
        <w:t>到</w:t>
      </w:r>
      <w:r>
        <w:rPr>
          <w:rFonts w:ascii="仿宋_GB2312" w:hAnsi="仿宋_GB2312" w:eastAsia="仿宋_GB2312" w:cs="仿宋_GB2312"/>
          <w:color w:val="000000"/>
          <w:kern w:val="0"/>
          <w:sz w:val="32"/>
          <w:szCs w:val="32"/>
        </w:rPr>
        <w:t>2020</w:t>
      </w:r>
      <w:r>
        <w:rPr>
          <w:rFonts w:hint="eastAsia" w:ascii="仿宋_GB2312" w:hAnsi="仿宋_GB2312" w:eastAsia="仿宋_GB2312" w:cs="仿宋_GB2312"/>
          <w:color w:val="000000"/>
          <w:kern w:val="0"/>
          <w:sz w:val="32"/>
          <w:szCs w:val="32"/>
        </w:rPr>
        <w:t>年，</w:t>
      </w:r>
      <w:r>
        <w:rPr>
          <w:rFonts w:ascii="仿宋_GB2312" w:hAnsi="仿宋_GB2312" w:eastAsia="仿宋_GB2312" w:cs="仿宋_GB2312"/>
          <w:color w:val="000000"/>
          <w:kern w:val="0"/>
          <w:sz w:val="32"/>
          <w:szCs w:val="32"/>
        </w:rPr>
        <w:t>90%</w:t>
      </w:r>
      <w:r>
        <w:rPr>
          <w:rFonts w:hint="eastAsia" w:ascii="仿宋_GB2312" w:hAnsi="仿宋_GB2312" w:eastAsia="仿宋_GB2312" w:cs="仿宋_GB2312"/>
          <w:color w:val="000000"/>
          <w:kern w:val="0"/>
          <w:sz w:val="32"/>
          <w:szCs w:val="32"/>
        </w:rPr>
        <w:t>以上县级中医医院达到二级甲等标准，所有社区卫生服务机构、乡镇卫生院</w:t>
      </w:r>
      <w:r>
        <w:rPr>
          <w:rFonts w:hint="eastAsia" w:ascii="仿宋_GB2312" w:hAnsi="仿宋_GB2312" w:eastAsia="仿宋_GB2312" w:cs="仿宋_GB2312"/>
          <w:color w:val="000000"/>
          <w:sz w:val="32"/>
          <w:szCs w:val="32"/>
        </w:rPr>
        <w:t>设置标准的中医药综合服务区，</w:t>
      </w:r>
      <w:r>
        <w:rPr>
          <w:rFonts w:ascii="仿宋_GB2312" w:hAnsi="仿宋_GB2312" w:eastAsia="仿宋_GB2312" w:cs="仿宋_GB2312"/>
          <w:color w:val="000000"/>
          <w:kern w:val="0"/>
          <w:sz w:val="32"/>
          <w:szCs w:val="32"/>
        </w:rPr>
        <w:t>70%</w:t>
      </w:r>
      <w:r>
        <w:rPr>
          <w:rFonts w:hint="eastAsia" w:ascii="仿宋_GB2312" w:hAnsi="仿宋_GB2312" w:eastAsia="仿宋_GB2312" w:cs="仿宋_GB2312"/>
          <w:color w:val="000000"/>
          <w:kern w:val="0"/>
          <w:sz w:val="32"/>
          <w:szCs w:val="32"/>
        </w:rPr>
        <w:t>的村卫生室具备中医药服务能力。所有</w:t>
      </w:r>
      <w:r>
        <w:rPr>
          <w:rFonts w:hint="eastAsia" w:ascii="仿宋_GB2312" w:hAnsi="仿宋_GB2312" w:eastAsia="仿宋_GB2312" w:cs="仿宋_GB2312"/>
          <w:color w:val="000000"/>
          <w:sz w:val="32"/>
          <w:szCs w:val="32"/>
        </w:rPr>
        <w:t>综合医院、妇幼保健院都设有标准化中医科中药房，</w:t>
      </w:r>
      <w:r>
        <w:rPr>
          <w:rFonts w:hint="eastAsia" w:ascii="仿宋_GB2312" w:eastAsia="仿宋_GB2312" w:cs="仿宋_GB2312"/>
          <w:color w:val="000000"/>
          <w:sz w:val="32"/>
          <w:szCs w:val="32"/>
        </w:rPr>
        <w:t>非</w:t>
      </w:r>
      <w:r>
        <w:rPr>
          <w:rFonts w:hint="eastAsia" w:ascii="仿宋_GB2312" w:hAnsi="黑体" w:eastAsia="仿宋_GB2312" w:cs="仿宋_GB2312"/>
          <w:color w:val="000000"/>
          <w:sz w:val="32"/>
          <w:szCs w:val="32"/>
        </w:rPr>
        <w:t>公立中医医疗机构提供的中医服务量达</w:t>
      </w:r>
      <w:r>
        <w:rPr>
          <w:rFonts w:hint="eastAsia" w:ascii="仿宋_GB2312" w:eastAsia="仿宋_GB2312" w:cs="仿宋_GB2312"/>
          <w:color w:val="000000"/>
          <w:sz w:val="32"/>
          <w:szCs w:val="32"/>
        </w:rPr>
        <w:t>到</w:t>
      </w:r>
      <w:r>
        <w:rPr>
          <w:rFonts w:ascii="仿宋_GB2312" w:eastAsia="仿宋_GB2312" w:cs="仿宋_GB2312"/>
          <w:color w:val="000000"/>
          <w:sz w:val="32"/>
          <w:szCs w:val="32"/>
        </w:rPr>
        <w:t>20%</w:t>
      </w:r>
      <w:r>
        <w:rPr>
          <w:rFonts w:hint="eastAsia" w:ascii="仿宋_GB2312" w:eastAsia="仿宋_GB2312" w:cs="仿宋_GB2312"/>
          <w:color w:val="000000"/>
          <w:sz w:val="32"/>
          <w:szCs w:val="32"/>
        </w:rPr>
        <w:t>。</w:t>
      </w:r>
      <w:r>
        <w:rPr>
          <w:rFonts w:hint="eastAsia" w:ascii="仿宋_GB2312" w:eastAsia="仿宋_GB2312" w:cs="仿宋_GB2312"/>
          <w:sz w:val="32"/>
          <w:szCs w:val="32"/>
        </w:rPr>
        <w:t>加强中医特色专科建设，到</w:t>
      </w:r>
      <w:r>
        <w:rPr>
          <w:rFonts w:ascii="仿宋_GB2312" w:eastAsia="仿宋_GB2312" w:cs="仿宋_GB2312"/>
          <w:sz w:val="32"/>
          <w:szCs w:val="32"/>
        </w:rPr>
        <w:t>2020</w:t>
      </w:r>
      <w:r>
        <w:rPr>
          <w:rFonts w:hint="eastAsia" w:ascii="仿宋_GB2312" w:eastAsia="仿宋_GB2312" w:cs="仿宋_GB2312"/>
          <w:sz w:val="32"/>
          <w:szCs w:val="32"/>
        </w:rPr>
        <w:t>年市级重点特色专科发展到</w:t>
      </w:r>
      <w:r>
        <w:rPr>
          <w:rFonts w:ascii="仿宋_GB2312" w:eastAsia="仿宋_GB2312" w:cs="仿宋_GB2312"/>
          <w:sz w:val="32"/>
          <w:szCs w:val="32"/>
        </w:rPr>
        <w:t>20</w:t>
      </w:r>
      <w:r>
        <w:rPr>
          <w:rFonts w:hint="eastAsia" w:ascii="仿宋_GB2312" w:eastAsia="仿宋_GB2312" w:cs="仿宋_GB2312"/>
          <w:sz w:val="32"/>
          <w:szCs w:val="32"/>
        </w:rPr>
        <w:t>个以上，建设</w:t>
      </w:r>
      <w:r>
        <w:rPr>
          <w:rFonts w:ascii="仿宋_GB2312" w:eastAsia="仿宋_GB2312" w:cs="仿宋_GB2312"/>
          <w:sz w:val="32"/>
          <w:szCs w:val="32"/>
        </w:rPr>
        <w:t>1</w:t>
      </w:r>
      <w:r>
        <w:rPr>
          <w:rFonts w:hint="eastAsia" w:ascii="仿宋_GB2312" w:eastAsia="仿宋_GB2312" w:cs="仿宋_GB2312"/>
          <w:sz w:val="32"/>
          <w:szCs w:val="32"/>
        </w:rPr>
        <w:t>个国家重点特色专科、</w:t>
      </w:r>
      <w:r>
        <w:rPr>
          <w:rFonts w:ascii="仿宋_GB2312" w:eastAsia="仿宋_GB2312" w:cs="仿宋_GB2312"/>
          <w:sz w:val="32"/>
          <w:szCs w:val="32"/>
        </w:rPr>
        <w:t>10</w:t>
      </w:r>
      <w:r>
        <w:rPr>
          <w:rFonts w:hint="eastAsia" w:ascii="仿宋_GB2312" w:eastAsia="仿宋_GB2312" w:cs="仿宋_GB2312"/>
          <w:sz w:val="32"/>
          <w:szCs w:val="32"/>
        </w:rPr>
        <w:t>个省级重点特色中医专科。大力培养中医药人才队伍，</w:t>
      </w:r>
      <w:r>
        <w:rPr>
          <w:rFonts w:hint="eastAsia" w:ascii="仿宋_GB2312" w:hAnsi="仿宋_GB2312" w:eastAsia="仿宋_GB2312" w:cs="仿宋_GB2312"/>
          <w:sz w:val="32"/>
          <w:szCs w:val="32"/>
        </w:rPr>
        <w:t>实施全国优秀中医临床人才研修、中药特色技术传承和</w:t>
      </w:r>
      <w:r>
        <w:rPr>
          <w:rFonts w:hint="eastAsia" w:eastAsia="仿宋_GB2312" w:cs="仿宋_GB2312"/>
          <w:sz w:val="32"/>
          <w:szCs w:val="32"/>
        </w:rPr>
        <w:t>省、市级老中医药专家学术经验继承项目</w:t>
      </w:r>
      <w:r>
        <w:rPr>
          <w:rFonts w:hint="eastAsia" w:ascii="仿宋_GB2312" w:hAnsi="仿宋_GB2312" w:eastAsia="仿宋_GB2312" w:cs="仿宋_GB2312"/>
          <w:sz w:val="32"/>
          <w:szCs w:val="32"/>
        </w:rPr>
        <w:t>等项目，</w:t>
      </w:r>
      <w:r>
        <w:rPr>
          <w:rFonts w:hint="eastAsia" w:ascii="仿宋_GB2312" w:hAnsi="仿宋_GB2312" w:eastAsia="仿宋_GB2312" w:cs="仿宋_GB2312"/>
          <w:color w:val="000000"/>
          <w:kern w:val="0"/>
          <w:sz w:val="32"/>
          <w:szCs w:val="32"/>
        </w:rPr>
        <w:t>培养“名中医”</w:t>
      </w:r>
      <w:r>
        <w:rPr>
          <w:rFonts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rPr>
        <w:t>名、市级中医学科带头人</w:t>
      </w:r>
      <w:r>
        <w:rPr>
          <w:rFonts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rPr>
        <w:t>名、后备学科带头人</w:t>
      </w:r>
      <w:r>
        <w:rPr>
          <w:rFonts w:ascii="仿宋_GB2312" w:hAnsi="仿宋_GB2312" w:eastAsia="仿宋_GB2312" w:cs="仿宋_GB2312"/>
          <w:color w:val="000000"/>
          <w:kern w:val="0"/>
          <w:sz w:val="32"/>
          <w:szCs w:val="32"/>
        </w:rPr>
        <w:t>10</w:t>
      </w:r>
      <w:r>
        <w:rPr>
          <w:rFonts w:hint="eastAsia" w:ascii="仿宋_GB2312" w:hAnsi="仿宋_GB2312" w:eastAsia="仿宋_GB2312" w:cs="仿宋_GB2312"/>
          <w:color w:val="000000"/>
          <w:kern w:val="0"/>
          <w:sz w:val="32"/>
          <w:szCs w:val="32"/>
        </w:rPr>
        <w:t>人、中医青年优秀人才</w:t>
      </w:r>
      <w:r>
        <w:rPr>
          <w:rFonts w:ascii="仿宋_GB2312" w:hAnsi="仿宋_GB2312" w:eastAsia="仿宋_GB2312" w:cs="仿宋_GB2312"/>
          <w:color w:val="000000"/>
          <w:kern w:val="0"/>
          <w:sz w:val="32"/>
          <w:szCs w:val="32"/>
        </w:rPr>
        <w:t>10</w:t>
      </w:r>
      <w:r>
        <w:rPr>
          <w:rFonts w:hint="eastAsia" w:ascii="仿宋_GB2312" w:hAnsi="仿宋_GB2312" w:eastAsia="仿宋_GB2312" w:cs="仿宋_GB2312"/>
          <w:color w:val="000000"/>
          <w:kern w:val="0"/>
          <w:sz w:val="32"/>
          <w:szCs w:val="32"/>
        </w:rPr>
        <w:t>名</w:t>
      </w:r>
      <w:r>
        <w:rPr>
          <w:rFonts w:hint="eastAsia" w:ascii="仿宋_GB2312" w:eastAsia="仿宋_GB2312" w:cs="仿宋_GB2312"/>
          <w:sz w:val="32"/>
          <w:szCs w:val="32"/>
        </w:rPr>
        <w:t>。充分发挥汉森制药等龙头企业作用，提升中医药科技创新水平</w:t>
      </w:r>
      <w:r>
        <w:rPr>
          <w:rFonts w:hint="eastAsia" w:ascii="仿宋_GB2312" w:hAnsi="宋体" w:eastAsia="仿宋_GB2312" w:cs="仿宋_GB2312"/>
          <w:sz w:val="32"/>
          <w:szCs w:val="32"/>
        </w:rPr>
        <w:t>。</w:t>
      </w:r>
      <w:r>
        <w:rPr>
          <w:rFonts w:hint="eastAsia" w:ascii="仿宋_GB2312" w:hAnsi="仿宋_GB2312" w:eastAsia="仿宋_GB2312" w:cs="仿宋_GB2312"/>
          <w:color w:val="000000"/>
          <w:kern w:val="0"/>
          <w:sz w:val="32"/>
          <w:szCs w:val="32"/>
        </w:rPr>
        <w:t>在龙岭工业园以“园中园”模式建立益阳中医药产业园，加强引进中医药组团项目落户园区，打造突出产业，形成特色产业和扩规引力，促进全市中医药产业发展</w:t>
      </w:r>
      <w:r>
        <w:rPr>
          <w:rFonts w:hint="eastAsia" w:ascii="仿宋_GB2312" w:eastAsia="仿宋_GB2312" w:cs="仿宋_GB2312"/>
          <w:color w:val="000000"/>
          <w:sz w:val="32"/>
          <w:szCs w:val="32"/>
        </w:rPr>
        <w:t>，推进产、供、销、用一体化发展。扩大益阳优势中药材种植规模，挖掘和继承优质中药材生产和产地加工技术，形成标准化生产和产地加工技术规范，</w:t>
      </w:r>
      <w:r>
        <w:rPr>
          <w:rFonts w:hint="eastAsia" w:eastAsia="仿宋_GB2312" w:cs="仿宋_GB2312"/>
          <w:color w:val="000000"/>
          <w:sz w:val="32"/>
          <w:szCs w:val="32"/>
        </w:rPr>
        <w:t>重点在雪峰山片区扶持中药材种植专业大户、合作社、企业发展，实现中药材从分散生产向组织化生产转变</w:t>
      </w:r>
      <w:r>
        <w:rPr>
          <w:rFonts w:hint="eastAsia" w:ascii="仿宋_GB2312" w:eastAsia="仿宋_GB2312" w:cs="仿宋_GB2312"/>
          <w:color w:val="000000"/>
          <w:sz w:val="32"/>
          <w:szCs w:val="32"/>
        </w:rPr>
        <w:t>。</w:t>
      </w:r>
      <w:r>
        <w:rPr>
          <w:rFonts w:hint="eastAsia" w:ascii="仿宋_GB2312" w:hAnsi="宋体" w:eastAsia="仿宋_GB2312" w:cs="仿宋_GB2312"/>
          <w:color w:val="000000"/>
          <w:sz w:val="32"/>
          <w:szCs w:val="32"/>
        </w:rPr>
        <w:t>鼓励有资质的中医人员特别是知名老中医开办中医诊所或个体行医。抓住国家</w:t>
      </w:r>
      <w:r>
        <w:rPr>
          <w:rFonts w:hint="eastAsia" w:ascii="仿宋_GB2312" w:eastAsia="仿宋_GB2312" w:cs="仿宋_GB2312"/>
          <w:spacing w:val="4"/>
          <w:sz w:val="32"/>
          <w:szCs w:val="32"/>
        </w:rPr>
        <w:t>“治未病”能力建设项目，</w:t>
      </w:r>
      <w:r>
        <w:rPr>
          <w:rFonts w:hint="eastAsia" w:ascii="仿宋_GB2312" w:hAnsi="宋体" w:eastAsia="仿宋_GB2312" w:cs="仿宋_GB2312"/>
          <w:spacing w:val="4"/>
          <w:sz w:val="32"/>
          <w:szCs w:val="32"/>
        </w:rPr>
        <w:t>提升养生保健、中医药预防保健、特色药膳、膏方服务水平，推进冬病夏治、夏病冬治的中医药特色疗法、中医药非药物疗法。</w:t>
      </w:r>
    </w:p>
    <w:p>
      <w:pPr>
        <w:spacing w:line="600" w:lineRule="exact"/>
        <w:ind w:firstLine="656" w:firstLineChars="200"/>
        <w:rPr>
          <w:rFonts w:ascii="仿宋_GB2312" w:eastAsia="仿宋_GB2312" w:cs="Times New Roman"/>
          <w:b/>
          <w:bCs/>
          <w:color w:val="000000"/>
          <w:sz w:val="32"/>
          <w:szCs w:val="32"/>
        </w:rPr>
      </w:pPr>
      <w:r>
        <w:rPr>
          <w:rFonts w:hint="eastAsia" w:ascii="仿宋_GB2312" w:hAnsi="宋体" w:eastAsia="仿宋_GB2312" w:cs="仿宋_GB2312"/>
          <w:spacing w:val="4"/>
          <w:sz w:val="32"/>
          <w:szCs w:val="32"/>
        </w:rPr>
        <w:t>（牵头单位：市卫生计生委，配合单位：市发改委、市经信委、市农业委、市林业局）</w:t>
      </w:r>
    </w:p>
    <w:p>
      <w:pPr>
        <w:spacing w:line="600" w:lineRule="exact"/>
        <w:ind w:firstLine="643" w:firstLineChars="200"/>
        <w:rPr>
          <w:rFonts w:ascii="楷体_GB2312" w:hAnsi="宋体" w:eastAsia="楷体_GB2312" w:cs="Times New Roman"/>
          <w:b/>
          <w:bCs/>
          <w:sz w:val="32"/>
          <w:szCs w:val="32"/>
        </w:rPr>
      </w:pPr>
      <w:r>
        <w:rPr>
          <w:rFonts w:hint="eastAsia" w:ascii="楷体_GB2312" w:hAnsi="宋体" w:eastAsia="楷体_GB2312" w:cs="楷体_GB2312"/>
          <w:b/>
          <w:bCs/>
          <w:sz w:val="32"/>
          <w:szCs w:val="32"/>
        </w:rPr>
        <w:t>（二）促进医疗与养老融合，发展健康养老产业</w:t>
      </w:r>
    </w:p>
    <w:p>
      <w:pPr>
        <w:widowControl/>
        <w:spacing w:line="600" w:lineRule="exact"/>
        <w:ind w:firstLine="626" w:firstLineChars="200"/>
        <w:rPr>
          <w:rFonts w:ascii="仿宋_GB2312" w:hAnsi="仿宋" w:eastAsia="仿宋_GB2312" w:cs="Times New Roman"/>
          <w:kern w:val="0"/>
          <w:sz w:val="32"/>
          <w:szCs w:val="32"/>
        </w:rPr>
      </w:pPr>
      <w:r>
        <w:rPr>
          <w:rFonts w:ascii="仿宋_GB2312" w:eastAsia="仿宋_GB2312" w:cs="仿宋_GB2312"/>
          <w:w w:val="98"/>
          <w:sz w:val="32"/>
          <w:szCs w:val="32"/>
        </w:rPr>
        <w:t>5.</w:t>
      </w:r>
      <w:r>
        <w:rPr>
          <w:rFonts w:hint="eastAsia" w:ascii="仿宋_GB2312" w:eastAsia="仿宋_GB2312" w:cs="仿宋_GB2312"/>
          <w:w w:val="98"/>
          <w:sz w:val="32"/>
          <w:szCs w:val="32"/>
        </w:rPr>
        <w:t>制订适宜的医养融合策略。</w:t>
      </w:r>
      <w:r>
        <w:rPr>
          <w:rFonts w:hint="eastAsia" w:ascii="仿宋_GB2312" w:hAnsi="仿宋" w:eastAsia="仿宋_GB2312" w:cs="仿宋_GB2312"/>
          <w:kern w:val="0"/>
          <w:sz w:val="32"/>
          <w:szCs w:val="32"/>
        </w:rPr>
        <w:t>针对居家养老群体，各基层医疗机构要与就近管理的养老机构建立联系服务机制。在乡村，以乡镇卫生院为依托，以乡村医生为主体；在城镇，以社区卫生服务中心和社区养老服务中心为依托，通过签订服务协议确立医疗契约服务关系，建立家庭健康档案，开设养老服务热线等，为居家养老人群尤其是高龄、重病、失能、部分失能以及计划生育特殊家庭等行动不便或确有困难的老年人，提供健康体检、上门巡诊、专家咨询、保健指导、签约服务、家庭病床、社区护理、健康管理、紧急医疗救助等服务。</w:t>
      </w:r>
    </w:p>
    <w:p>
      <w:pPr>
        <w:widowControl/>
        <w:spacing w:line="600" w:lineRule="exact"/>
        <w:ind w:firstLine="640" w:firstLineChars="200"/>
        <w:rPr>
          <w:rFonts w:ascii="仿宋_GB2312" w:hAnsi="楷体" w:eastAsia="仿宋_GB2312" w:cs="Times New Roman"/>
          <w:sz w:val="32"/>
          <w:szCs w:val="32"/>
        </w:rPr>
      </w:pPr>
      <w:r>
        <w:rPr>
          <w:rFonts w:hint="eastAsia" w:ascii="仿宋_GB2312" w:hAnsi="楷体" w:eastAsia="仿宋_GB2312" w:cs="仿宋_GB2312"/>
          <w:sz w:val="32"/>
          <w:szCs w:val="32"/>
        </w:rPr>
        <w:t>针对社区养老群体，加强社区综合服务设施建设、运营和管理，每个村（社区）均应设立养护站，包括日间健康中心、诊所、康复中心、护理院等，配备全科医生和护士，以及理疗室、娱乐休闲室和健身房，为社区养老人群提供日间托老、医疗康复、集中就餐、文体娱乐、老年学习等符合老年人需求的健康养老服务。</w:t>
      </w:r>
    </w:p>
    <w:p>
      <w:pPr>
        <w:widowControl/>
        <w:spacing w:line="600" w:lineRule="exact"/>
        <w:ind w:firstLine="640" w:firstLineChars="200"/>
        <w:rPr>
          <w:rFonts w:ascii="仿宋_GB2312" w:hAnsi="楷体" w:eastAsia="仿宋_GB2312" w:cs="Times New Roman"/>
          <w:sz w:val="32"/>
          <w:szCs w:val="32"/>
        </w:rPr>
      </w:pPr>
      <w:r>
        <w:rPr>
          <w:rFonts w:hint="eastAsia" w:ascii="仿宋_GB2312" w:hAnsi="楷体" w:eastAsia="仿宋_GB2312" w:cs="仿宋_GB2312"/>
          <w:sz w:val="32"/>
          <w:szCs w:val="32"/>
        </w:rPr>
        <w:t>针对集中养老群体中需政府托底供养的特殊贡献和特别困难的双特老人等特殊人群，以乡镇（社区）为单位，新（改）建一批集中养老机构，并提高其医疗服务能力，对不具备医疗服务能力的要与所在地乡镇卫生院（社区卫生服务中心）建立紧密型合作关系，为其提供类似居家养老人群能享受的健康养老服务。对于有特殊需求的高端消费群体，</w:t>
      </w:r>
      <w:r>
        <w:rPr>
          <w:rFonts w:hint="eastAsia" w:ascii="仿宋_GB2312" w:hAnsi="宋体" w:eastAsia="仿宋_GB2312" w:cs="仿宋_GB2312"/>
          <w:sz w:val="32"/>
          <w:szCs w:val="32"/>
        </w:rPr>
        <w:t>以益阳康雅医院为龙头，</w:t>
      </w:r>
      <w:r>
        <w:rPr>
          <w:rFonts w:hint="eastAsia" w:ascii="仿宋_GB2312" w:hAnsi="楷体" w:eastAsia="仿宋_GB2312" w:cs="仿宋_GB2312"/>
          <w:sz w:val="32"/>
          <w:szCs w:val="32"/>
        </w:rPr>
        <w:t>设立医养融合型服务机构，在传统的生活护理服务、精神心理服务、老年文化服务的基础上，向其提供集医疗、护理、康复、美容、保健、临终关怀、养老和旅游度假等多种功能于一体的医养结合、全程托护式的新型养老度假护理服务。</w:t>
      </w:r>
    </w:p>
    <w:p>
      <w:pPr>
        <w:widowControl/>
        <w:spacing w:line="600" w:lineRule="exact"/>
        <w:ind w:firstLine="616" w:firstLineChars="200"/>
        <w:rPr>
          <w:rFonts w:ascii="仿宋_GB2312" w:hAnsi="仿宋" w:eastAsia="仿宋_GB2312" w:cs="Times New Roman"/>
          <w:spacing w:val="-6"/>
          <w:kern w:val="0"/>
          <w:sz w:val="32"/>
          <w:szCs w:val="32"/>
        </w:rPr>
      </w:pPr>
      <w:r>
        <w:rPr>
          <w:rFonts w:hint="eastAsia" w:ascii="仿宋_GB2312" w:hAnsi="仿宋" w:eastAsia="仿宋_GB2312" w:cs="仿宋_GB2312"/>
          <w:spacing w:val="-6"/>
          <w:kern w:val="0"/>
          <w:sz w:val="32"/>
          <w:szCs w:val="32"/>
        </w:rPr>
        <w:t>（牵头单位：市民政局，配合单位：市卫生计生委、市发改委）</w:t>
      </w:r>
    </w:p>
    <w:p>
      <w:pPr>
        <w:pStyle w:val="2"/>
        <w:ind w:firstLine="31680"/>
        <w:rPr>
          <w:rFonts w:cs="Times New Roman"/>
        </w:rPr>
      </w:pPr>
      <w:r>
        <w:t>6.</w:t>
      </w:r>
      <w:r>
        <w:rPr>
          <w:rFonts w:hint="eastAsia"/>
        </w:rPr>
        <w:t>推进医疗机构与养老机构深度融合</w:t>
      </w:r>
    </w:p>
    <w:p>
      <w:pPr>
        <w:pStyle w:val="2"/>
        <w:ind w:firstLine="31680"/>
        <w:rPr>
          <w:rFonts w:cs="Times New Roman"/>
        </w:rPr>
      </w:pPr>
      <w:r>
        <w:rPr>
          <w:rFonts w:hint="eastAsia"/>
        </w:rPr>
        <w:t>支持有条件的养老机构内设医疗机构。床位数在</w:t>
      </w:r>
      <w:r>
        <w:t>200</w:t>
      </w:r>
      <w:r>
        <w:rPr>
          <w:rFonts w:hint="eastAsia"/>
        </w:rPr>
        <w:t>张以内的养老机构，可就近与医疗机构签订合作协议，建立应急通道，通过医生定期上门服务，随时提供诊疗服务，有条件的可设立医务室或护理站；床位数在</w:t>
      </w:r>
      <w:r>
        <w:t>200</w:t>
      </w:r>
      <w:r>
        <w:rPr>
          <w:rFonts w:hint="eastAsia"/>
        </w:rPr>
        <w:t>张以上（含</w:t>
      </w:r>
      <w:r>
        <w:t>200</w:t>
      </w:r>
      <w:r>
        <w:rPr>
          <w:rFonts w:hint="eastAsia"/>
        </w:rPr>
        <w:t>张）的养老机构，根据自身能力和养老需求，可设置</w:t>
      </w:r>
      <w:r>
        <w:t>1</w:t>
      </w:r>
      <w:r>
        <w:rPr>
          <w:rFonts w:hint="eastAsia"/>
        </w:rPr>
        <w:t>所专科医院或其他医疗机构，如老年病医院、康复医院、护理院、中医医院、临终关怀机构等，为老年人提供优质便捷的医疗服务。鼓励有条件的医疗机构通过多种形式，依法依规开展养老服务。有条件的二级以上综合医院要开设老年病科，开展老年慢性病防治和康复护理服务。支持部分闲置床位较多的一级、二级医院和专科医院转型为老年人护理院。引导乡镇卫生院建立护理院或小型养老机构。鼓励中医医疗机构自建、托管养老机构或与护理院、康复疗养机构开展技术协作，鼓励中医医师在养老机构提供保健咨询和调理服务，促进中医医疗资源进入养老机构。建立健全医疗与养老机构业务协作机制，开通养老与医疗机构预约就诊绿色通道，推动基本医疗与养老健康服务有机结合。</w:t>
      </w:r>
    </w:p>
    <w:p>
      <w:pPr>
        <w:pStyle w:val="2"/>
        <w:ind w:left="615" w:leftChars="293" w:firstLine="0" w:firstLineChars="0"/>
        <w:rPr>
          <w:rFonts w:cs="Times New Roman"/>
        </w:rPr>
      </w:pPr>
      <w:r>
        <w:rPr>
          <w:rFonts w:hint="eastAsia"/>
        </w:rPr>
        <w:t>（牵头单位：市卫生计生委，配合单位：市民政局、市人社局）</w:t>
      </w:r>
      <w:r>
        <w:t>7.</w:t>
      </w:r>
      <w:r>
        <w:rPr>
          <w:rFonts w:hint="eastAsia"/>
        </w:rPr>
        <w:t>鼓励社会力量兴办医养融合机构</w:t>
      </w:r>
    </w:p>
    <w:p>
      <w:pPr>
        <w:pStyle w:val="2"/>
        <w:ind w:firstLine="31680"/>
        <w:rPr>
          <w:rFonts w:cs="Times New Roman"/>
        </w:rPr>
      </w:pPr>
      <w:r>
        <w:rPr>
          <w:rFonts w:hint="eastAsia"/>
        </w:rPr>
        <w:t>鼓励社会力量针对老年人健康养老需求，通过特许经营、公建民营、民办公助、购买服务等方式，依托优质的生态旅游资源投资开发以老年公寓、涉老康复护理院、疗养医院、临终关怀医院等为主要内容的养老服务综合体。“十三五”期间，全市引导扶持社会力量举办养老机构</w:t>
      </w:r>
      <w:r>
        <w:t>20</w:t>
      </w:r>
      <w:r>
        <w:rPr>
          <w:rFonts w:hint="eastAsia"/>
        </w:rPr>
        <w:t>所以上，实现养老床位数达到每千名老年人</w:t>
      </w:r>
      <w:r>
        <w:t>35</w:t>
      </w:r>
      <w:r>
        <w:rPr>
          <w:rFonts w:hint="eastAsia"/>
        </w:rPr>
        <w:t>张以上；优先支持开展</w:t>
      </w:r>
      <w:r>
        <w:t>PPP</w:t>
      </w:r>
      <w:r>
        <w:rPr>
          <w:rFonts w:hint="eastAsia"/>
        </w:rPr>
        <w:t>模式、社会资本独立投资的“健康与养老服务重大工程”项目；重点支持举办面向失能、半失能老年人的老年养护院、社区小型养老机构等。在制定医疗卫生和养老相关规划时，要给社会力量举办医养结合机构留出空间。按照“非禁即入”原则，凡符合区域规划和准入资质的，不得以任何理由加以限制。整合审批环节，明确并缩短审批时限，鼓励有条件的地方提供一站式便捷服务。</w:t>
      </w:r>
    </w:p>
    <w:p>
      <w:pPr>
        <w:pStyle w:val="2"/>
        <w:ind w:firstLine="31680"/>
        <w:rPr>
          <w:rFonts w:cs="Times New Roman"/>
        </w:rPr>
      </w:pPr>
      <w:r>
        <w:rPr>
          <w:rFonts w:hint="eastAsia"/>
        </w:rPr>
        <w:t>（牵头单位：市民政局，配合单位：市卫生计生委、市发改委）</w:t>
      </w:r>
    </w:p>
    <w:p>
      <w:pPr>
        <w:spacing w:line="580" w:lineRule="exact"/>
        <w:ind w:firstLine="626" w:firstLineChars="200"/>
        <w:rPr>
          <w:rFonts w:ascii="仿宋_GB2312" w:eastAsia="仿宋_GB2312" w:cs="Times New Roman"/>
          <w:w w:val="98"/>
          <w:sz w:val="32"/>
          <w:szCs w:val="32"/>
        </w:rPr>
      </w:pPr>
      <w:r>
        <w:rPr>
          <w:rFonts w:ascii="仿宋_GB2312" w:eastAsia="仿宋_GB2312" w:cs="仿宋_GB2312"/>
          <w:w w:val="98"/>
          <w:sz w:val="32"/>
          <w:szCs w:val="32"/>
        </w:rPr>
        <w:t>8.</w:t>
      </w:r>
      <w:r>
        <w:rPr>
          <w:rFonts w:hint="eastAsia" w:ascii="仿宋_GB2312" w:eastAsia="仿宋_GB2312" w:cs="仿宋_GB2312"/>
          <w:w w:val="98"/>
          <w:sz w:val="32"/>
          <w:szCs w:val="32"/>
        </w:rPr>
        <w:t>建设健康养老聚集区。依托生态资源，采取灵活的养生养老地产和商业地产配比方式，开发定位中高端产品，全力打造环境优美、品味高尚、功能完备、服务完善、文化独特的多元化、多层次的养生养老健康生态宜居聚集区，探索具有疗养、美食、休闲、娱乐、健身、度假等功能的集中养老服务模式。开发中医药健康养老、景区养老、生态养老、田园养老等新兴养老模式。鼓励社会力量建设</w:t>
      </w:r>
      <w:r>
        <w:rPr>
          <w:rFonts w:ascii="仿宋_GB2312" w:eastAsia="仿宋_GB2312" w:cs="仿宋_GB2312"/>
          <w:w w:val="98"/>
          <w:sz w:val="32"/>
          <w:szCs w:val="32"/>
        </w:rPr>
        <w:t>3-5</w:t>
      </w:r>
      <w:r>
        <w:rPr>
          <w:rFonts w:hint="eastAsia" w:ascii="仿宋_GB2312" w:eastAsia="仿宋_GB2312" w:cs="仿宋_GB2312"/>
          <w:w w:val="98"/>
          <w:sz w:val="32"/>
          <w:szCs w:val="32"/>
        </w:rPr>
        <w:t>所高端健康养老聚集区。</w:t>
      </w:r>
    </w:p>
    <w:p>
      <w:pPr>
        <w:spacing w:line="580" w:lineRule="exact"/>
        <w:ind w:firstLine="626" w:firstLineChars="200"/>
        <w:rPr>
          <w:rFonts w:ascii="仿宋_GB2312" w:eastAsia="仿宋_GB2312" w:cs="Times New Roman"/>
          <w:w w:val="98"/>
          <w:sz w:val="32"/>
          <w:szCs w:val="32"/>
        </w:rPr>
      </w:pPr>
      <w:r>
        <w:rPr>
          <w:rFonts w:hint="eastAsia" w:ascii="仿宋_GB2312" w:eastAsia="仿宋_GB2312" w:cs="仿宋_GB2312"/>
          <w:w w:val="98"/>
          <w:sz w:val="32"/>
          <w:szCs w:val="32"/>
        </w:rPr>
        <w:t>（牵头单位：市民政局，配合单位：市住建局、市规划局、市国土局、市卫生计生委、市旅游局、市文体广新局、市发改委）</w:t>
      </w:r>
    </w:p>
    <w:p>
      <w:pPr>
        <w:spacing w:line="580" w:lineRule="exact"/>
        <w:ind w:firstLine="643" w:firstLineChars="200"/>
        <w:rPr>
          <w:rFonts w:ascii="楷体_GB2312" w:hAnsi="宋体" w:eastAsia="楷体_GB2312" w:cs="Times New Roman"/>
          <w:b/>
          <w:bCs/>
          <w:sz w:val="32"/>
          <w:szCs w:val="32"/>
        </w:rPr>
      </w:pPr>
      <w:r>
        <w:rPr>
          <w:rFonts w:hint="eastAsia" w:ascii="楷体_GB2312" w:hAnsi="宋体" w:eastAsia="楷体_GB2312" w:cs="楷体_GB2312"/>
          <w:b/>
          <w:bCs/>
          <w:sz w:val="32"/>
          <w:szCs w:val="32"/>
        </w:rPr>
        <w:t>（三）促进医疗与旅游融合，发展健康旅游产业</w:t>
      </w:r>
    </w:p>
    <w:p>
      <w:pPr>
        <w:spacing w:line="580" w:lineRule="exact"/>
        <w:ind w:firstLine="626" w:firstLineChars="200"/>
        <w:rPr>
          <w:rFonts w:ascii="仿宋_GB2312" w:hAnsi="宋体" w:eastAsia="仿宋_GB2312" w:cs="Times New Roman"/>
          <w:sz w:val="32"/>
          <w:szCs w:val="32"/>
        </w:rPr>
      </w:pPr>
      <w:r>
        <w:rPr>
          <w:rFonts w:ascii="楷体_GB2312" w:eastAsia="楷体_GB2312" w:cs="楷体_GB2312"/>
          <w:w w:val="98"/>
          <w:sz w:val="32"/>
          <w:szCs w:val="32"/>
        </w:rPr>
        <w:t>9.</w:t>
      </w:r>
      <w:r>
        <w:rPr>
          <w:rFonts w:hint="eastAsia" w:ascii="楷体_GB2312" w:eastAsia="楷体_GB2312" w:cs="楷体_GB2312"/>
          <w:w w:val="98"/>
          <w:sz w:val="32"/>
          <w:szCs w:val="32"/>
        </w:rPr>
        <w:t>开发健康旅游路线。</w:t>
      </w:r>
      <w:r>
        <w:rPr>
          <w:rFonts w:hint="eastAsia" w:ascii="仿宋_GB2312" w:hAnsi="宋体" w:eastAsia="仿宋_GB2312" w:cs="仿宋_GB2312"/>
          <w:sz w:val="32"/>
          <w:szCs w:val="32"/>
        </w:rPr>
        <w:t>益阳山水生态优美，旅游资源具有一定的独特性。有以安化茶马古道、桃花江竹海、梅山文化生态园为代表的观光、体验旅游资源；以高尔夫球场、奥林匹克公园为代表的健身旅游资源；以会龙山佛教公园、白鹿寺、浮邱山为代表的宗教旅游资源；以梓山湖、皇家湖、桃花湖、川岩江、雪峰湖、鱼形山水库、南洞庭湖、罗溪瀑布为代表的水体生态旅游资源；以北峰山、寨子仑、碧云峰、鱼形山为代表的山体生态旅游资源；以花乡、竹乡、渔乡、茶乡、樵乡等系列农家乐为代表的乡村旅游资源。积极开发山水观光型、运动休闲度假型、生态旅游型等旅游线路，筹划、建设一批适合老年人的旅游路线供其观光、休闲、康复。</w:t>
      </w:r>
    </w:p>
    <w:p>
      <w:pPr>
        <w:spacing w:line="580"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（牵头单位：市旅游局，配合单位：市农业委、市林业局、</w:t>
      </w:r>
      <w:r>
        <w:rPr>
          <w:rFonts w:hint="eastAsia" w:ascii="仿宋_GB2312" w:eastAsia="仿宋_GB2312" w:cs="仿宋_GB2312"/>
          <w:w w:val="98"/>
          <w:sz w:val="32"/>
          <w:szCs w:val="32"/>
        </w:rPr>
        <w:t>市文体广新局</w:t>
      </w:r>
      <w:r>
        <w:rPr>
          <w:rFonts w:hint="eastAsia" w:ascii="仿宋_GB2312" w:hAnsi="宋体" w:eastAsia="仿宋_GB2312" w:cs="仿宋_GB2312"/>
          <w:sz w:val="32"/>
          <w:szCs w:val="32"/>
        </w:rPr>
        <w:t>、市卫生计生委、市住建局、市国土局、市财政局）</w:t>
      </w:r>
    </w:p>
    <w:p>
      <w:pPr>
        <w:spacing w:line="600" w:lineRule="exact"/>
        <w:ind w:firstLine="640" w:firstLineChars="200"/>
        <w:rPr>
          <w:rFonts w:ascii="仿宋_GB2312" w:hAnsi="宋体" w:eastAsia="仿宋_GB2312" w:cs="Times New Roman"/>
          <w:sz w:val="32"/>
          <w:szCs w:val="32"/>
        </w:rPr>
      </w:pPr>
      <w:r>
        <w:rPr>
          <w:rFonts w:ascii="仿宋_GB2312" w:hAnsi="宋体" w:eastAsia="仿宋_GB2312" w:cs="仿宋_GB2312"/>
          <w:sz w:val="32"/>
          <w:szCs w:val="32"/>
        </w:rPr>
        <w:t>10.</w:t>
      </w:r>
      <w:r>
        <w:rPr>
          <w:rFonts w:hint="eastAsia" w:ascii="仿宋_GB2312" w:hAnsi="宋体" w:eastAsia="仿宋_GB2312" w:cs="仿宋_GB2312"/>
          <w:sz w:val="32"/>
          <w:szCs w:val="32"/>
        </w:rPr>
        <w:t>完善旅游服务配套设施。全面优化公路交通，实施景区与依托城镇之间、景区与高速公路之间贯通工程，实现火车站、客运站与主要景区公路交通无缝连接；加大市区和景区旅游咨询服务中心建设力度；加快旅游住宿等接待能力建设，形成有层次、有容量、有质量的旅游住宿接待产业体系；积极培育景区辐射型、通道景观型、城郊休闲型、农业观光型、养生保健型等多种类型的乡村旅游村镇。</w:t>
      </w:r>
    </w:p>
    <w:p>
      <w:pPr>
        <w:spacing w:line="600" w:lineRule="exact"/>
        <w:ind w:firstLine="640" w:firstLineChars="200"/>
        <w:rPr>
          <w:rFonts w:ascii="仿宋_GB2312" w:eastAsia="仿宋_GB2312" w:cs="Times New Roman"/>
          <w:w w:val="98"/>
          <w:sz w:val="32"/>
          <w:szCs w:val="32"/>
        </w:rPr>
      </w:pPr>
      <w:r>
        <w:rPr>
          <w:rFonts w:hint="eastAsia" w:ascii="仿宋_GB2312" w:hAnsi="宋体" w:eastAsia="仿宋_GB2312" w:cs="仿宋_GB2312"/>
          <w:sz w:val="32"/>
          <w:szCs w:val="32"/>
        </w:rPr>
        <w:t>（牵头单位：市旅游局、市商务局，配合单位：市公路局、</w:t>
      </w:r>
      <w:r>
        <w:rPr>
          <w:rFonts w:hint="eastAsia" w:ascii="仿宋_GB2312" w:eastAsia="仿宋_GB2312" w:cs="仿宋_GB2312"/>
          <w:w w:val="98"/>
          <w:sz w:val="32"/>
          <w:szCs w:val="32"/>
        </w:rPr>
        <w:t>市文体广新局</w:t>
      </w:r>
      <w:r>
        <w:rPr>
          <w:rFonts w:hint="eastAsia" w:ascii="仿宋_GB2312" w:hAnsi="宋体" w:eastAsia="仿宋_GB2312" w:cs="仿宋_GB2312"/>
          <w:sz w:val="32"/>
          <w:szCs w:val="32"/>
        </w:rPr>
        <w:t>、市卫生计生委、市住建局、市财政局、市发改委）</w:t>
      </w:r>
    </w:p>
    <w:p>
      <w:pPr>
        <w:spacing w:line="600" w:lineRule="exact"/>
        <w:ind w:firstLine="640" w:firstLineChars="200"/>
        <w:rPr>
          <w:rFonts w:ascii="仿宋_GB2312" w:hAnsi="宋体" w:eastAsia="仿宋_GB2312" w:cs="Times New Roman"/>
          <w:sz w:val="32"/>
          <w:szCs w:val="32"/>
        </w:rPr>
      </w:pPr>
      <w:r>
        <w:rPr>
          <w:rFonts w:ascii="仿宋_GB2312" w:hAnsi="宋体" w:eastAsia="仿宋_GB2312" w:cs="仿宋_GB2312"/>
          <w:sz w:val="32"/>
          <w:szCs w:val="32"/>
        </w:rPr>
        <w:t>11.</w:t>
      </w:r>
      <w:r>
        <w:rPr>
          <w:rFonts w:hint="eastAsia" w:ascii="仿宋_GB2312" w:hAnsi="宋体" w:eastAsia="仿宋_GB2312" w:cs="仿宋_GB2312"/>
          <w:sz w:val="32"/>
          <w:szCs w:val="32"/>
        </w:rPr>
        <w:t>加大旅游产品研发产销力度。依托城市公园、休闲街区、河岸码头、山岳、水体、乡村等资源，重点推进运动休闲度假旅游产品建设；充分发挥洞庭湖区域湿地、芦苇、文化、鱼类等资源优势，着力打造洞庭湖观光旅游、休闲度假、民俗体验、康体养生等旅游产品；结合花卉风光、渔乡稻香竹乡民俗构建田园生态型、文化体验型、乡村观光型、休闲度假型、教育休闲型等乡村旅游产品；深度整合茶马文化、美人文化、竹文化、洞庭文化、红色文化、河运文化、三国文化，创新开发具有湖湘文化特色的文化旅游品牌；依托益阳市创意产业园，推动创意产业和旅游业的有机结合，开发自驾游、骑行游、露营基地等旅游产品、开发山水养生、森林养生、道教（文化）养生、理疗养生、餐饮养生等系列养生旅游产品。大力发展旅游电子商务，鼓励各类创新主体充分利用智慧旅游及互联网创业创新，支持旅游创新平台、创客空间、创新基地等旅游新型众创空间，不断扩大旅游产品的网络营销规模。</w:t>
      </w:r>
    </w:p>
    <w:p>
      <w:pPr>
        <w:spacing w:line="600"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（牵头单位：市旅游局，配合单位：市经信委、市文体广新局、市林业局、市农业委）</w:t>
      </w:r>
    </w:p>
    <w:p>
      <w:pPr>
        <w:spacing w:line="600" w:lineRule="exact"/>
        <w:ind w:firstLine="640" w:firstLineChars="200"/>
        <w:rPr>
          <w:rFonts w:ascii="仿宋_GB2312" w:hAnsi="宋体" w:eastAsia="仿宋_GB2312" w:cs="Times New Roman"/>
          <w:sz w:val="32"/>
          <w:szCs w:val="32"/>
        </w:rPr>
      </w:pPr>
      <w:r>
        <w:rPr>
          <w:rFonts w:ascii="仿宋_GB2312" w:hAnsi="宋体" w:eastAsia="仿宋_GB2312" w:cs="仿宋_GB2312"/>
          <w:sz w:val="32"/>
          <w:szCs w:val="32"/>
        </w:rPr>
        <w:t>12.</w:t>
      </w:r>
      <w:r>
        <w:rPr>
          <w:rFonts w:hint="eastAsia" w:ascii="仿宋_GB2312" w:hAnsi="宋体" w:eastAsia="仿宋_GB2312" w:cs="仿宋_GB2312"/>
          <w:sz w:val="32"/>
          <w:szCs w:val="32"/>
        </w:rPr>
        <w:t>积极推动旅游与多产业融合发展。推动旅游全社会发展和全社会发展旅游模式的实现，鼓励医疗机构、中药材种植基地、医药产品生产企业拓展医疗旅游业务，加快旅游业与农、林、牧、渔、中医药、体育、养老、养生等相关产业融合发展。</w:t>
      </w:r>
    </w:p>
    <w:p>
      <w:pPr>
        <w:spacing w:line="600"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（牵头单位：市旅游局，配合单位：市经信委、市农业委、市林业局、</w:t>
      </w:r>
      <w:r>
        <w:rPr>
          <w:rFonts w:hint="eastAsia" w:ascii="仿宋_GB2312" w:eastAsia="仿宋_GB2312" w:cs="仿宋_GB2312"/>
          <w:w w:val="98"/>
          <w:sz w:val="32"/>
          <w:szCs w:val="32"/>
        </w:rPr>
        <w:t>市文体广新局</w:t>
      </w:r>
      <w:r>
        <w:rPr>
          <w:rFonts w:hint="eastAsia" w:ascii="仿宋_GB2312" w:hAnsi="宋体" w:eastAsia="仿宋_GB2312" w:cs="仿宋_GB2312"/>
          <w:sz w:val="32"/>
          <w:szCs w:val="32"/>
        </w:rPr>
        <w:t>、市民政局、市卫生计生委）</w:t>
      </w:r>
    </w:p>
    <w:p>
      <w:pPr>
        <w:spacing w:line="600" w:lineRule="exact"/>
        <w:ind w:firstLine="643" w:firstLineChars="200"/>
        <w:rPr>
          <w:rFonts w:ascii="楷体_GB2312" w:hAnsi="宋体" w:eastAsia="楷体_GB2312" w:cs="Times New Roman"/>
          <w:b/>
          <w:bCs/>
          <w:sz w:val="32"/>
          <w:szCs w:val="32"/>
        </w:rPr>
      </w:pPr>
      <w:r>
        <w:rPr>
          <w:rFonts w:hint="eastAsia" w:ascii="楷体_GB2312" w:hAnsi="宋体" w:eastAsia="楷体_GB2312" w:cs="楷体_GB2312"/>
          <w:b/>
          <w:bCs/>
          <w:sz w:val="32"/>
          <w:szCs w:val="32"/>
        </w:rPr>
        <w:t>（四）促进互联网与健康融合，发展智慧健康产业</w:t>
      </w:r>
    </w:p>
    <w:p>
      <w:pPr>
        <w:widowControl/>
        <w:spacing w:line="600" w:lineRule="exact"/>
        <w:ind w:firstLine="640" w:firstLineChars="200"/>
        <w:rPr>
          <w:rFonts w:ascii="仿宋_GB2312" w:hAnsi="宋体" w:eastAsia="仿宋_GB2312" w:cs="Times New Roman"/>
          <w:color w:val="010101"/>
          <w:kern w:val="0"/>
          <w:sz w:val="32"/>
          <w:szCs w:val="32"/>
        </w:rPr>
      </w:pPr>
      <w:r>
        <w:rPr>
          <w:rFonts w:ascii="仿宋_GB2312" w:hAnsi="宋体" w:eastAsia="仿宋_GB2312" w:cs="仿宋_GB2312"/>
          <w:color w:val="010101"/>
          <w:kern w:val="0"/>
          <w:sz w:val="32"/>
          <w:szCs w:val="32"/>
        </w:rPr>
        <w:t>13</w:t>
      </w:r>
      <w:r>
        <w:rPr>
          <w:rFonts w:hint="eastAsia" w:ascii="仿宋_GB2312" w:hAnsi="宋体" w:eastAsia="仿宋_GB2312" w:cs="仿宋_GB2312"/>
          <w:color w:val="010101"/>
          <w:kern w:val="0"/>
          <w:sz w:val="32"/>
          <w:szCs w:val="32"/>
        </w:rPr>
        <w:t>．建设互联互通、开放共享的健康信息服务平台。根据全省统一部署，加快推进全市居民健康一卡通工程。鼓励互联网企业与科研院所、医疗机构合作建设省、市、县三级健康信息平台。健全人口信息、居民电子健康档案、电子病历、居家养老信息平台等四大基础数据库。推进医保、社保、低保等信息平台对接，实现全市医疗卫生信息系统全面整合和互联互通。探索可穿戴设备、智能健康电子产品、健康医疗移动应用等数据资源规范接入人口健康信息平台。</w:t>
      </w:r>
    </w:p>
    <w:p>
      <w:pPr>
        <w:widowControl/>
        <w:spacing w:line="600" w:lineRule="exact"/>
        <w:ind w:firstLine="640" w:firstLineChars="200"/>
        <w:rPr>
          <w:rFonts w:ascii="仿宋_GB2312" w:hAnsi="宋体" w:eastAsia="仿宋_GB2312" w:cs="Times New Roman"/>
          <w:color w:val="010101"/>
          <w:kern w:val="0"/>
          <w:sz w:val="32"/>
          <w:szCs w:val="32"/>
        </w:rPr>
      </w:pPr>
      <w:r>
        <w:rPr>
          <w:rFonts w:hint="eastAsia" w:ascii="仿宋_GB2312" w:hAnsi="宋体" w:eastAsia="仿宋_GB2312" w:cs="仿宋_GB2312"/>
          <w:color w:val="010101"/>
          <w:kern w:val="0"/>
          <w:sz w:val="32"/>
          <w:szCs w:val="32"/>
        </w:rPr>
        <w:t>（责任单位：市经信委、市网信办、市卫生计生委、市人社局、市民政局）</w:t>
      </w:r>
    </w:p>
    <w:p>
      <w:pPr>
        <w:widowControl/>
        <w:spacing w:line="600" w:lineRule="exact"/>
        <w:ind w:firstLine="640" w:firstLineChars="200"/>
        <w:rPr>
          <w:rFonts w:ascii="仿宋_GB2312" w:hAnsi="宋体" w:eastAsia="仿宋_GB2312" w:cs="Times New Roman"/>
          <w:color w:val="010101"/>
          <w:kern w:val="0"/>
          <w:sz w:val="32"/>
          <w:szCs w:val="32"/>
        </w:rPr>
      </w:pPr>
      <w:r>
        <w:rPr>
          <w:rFonts w:ascii="仿宋_GB2312" w:hAnsi="宋体" w:eastAsia="仿宋_GB2312" w:cs="仿宋_GB2312"/>
          <w:color w:val="010101"/>
          <w:kern w:val="0"/>
          <w:sz w:val="32"/>
          <w:szCs w:val="32"/>
        </w:rPr>
        <w:t>14</w:t>
      </w:r>
      <w:r>
        <w:rPr>
          <w:rFonts w:hint="eastAsia" w:ascii="仿宋_GB2312" w:hAnsi="宋体" w:eastAsia="仿宋_GB2312" w:cs="仿宋_GB2312"/>
          <w:color w:val="010101"/>
          <w:kern w:val="0"/>
          <w:sz w:val="32"/>
          <w:szCs w:val="32"/>
        </w:rPr>
        <w:t>．推动健康医疗服务信息化。加快大数据、云计算、物联网、移动互联网等新一代信息技术在医疗服务、健康管理等领域应用。充分利用穿戴式智能设备、移动终端和固定终端等设备，依托医院和区域健康云平台，发展网络医院。创新互联网健康医疗服务模式，激活居民电子健康档案应用。鼓励大中型医疗机构面向中小城市和农村医疗卫生机构开展远程医疗服务。推动覆盖全生命周期的预防、治疗、康复和健康管理一体化电子健康服务。（责任单位：市经信委、市网信办、市卫生计生委、市科技局）</w:t>
      </w:r>
    </w:p>
    <w:p>
      <w:pPr>
        <w:spacing w:line="600" w:lineRule="exact"/>
        <w:ind w:firstLine="640" w:firstLineChars="200"/>
        <w:rPr>
          <w:rFonts w:ascii="仿宋_GB2312" w:hAnsi="宋体" w:eastAsia="仿宋_GB2312" w:cs="Times New Roman"/>
          <w:color w:val="333333"/>
          <w:kern w:val="0"/>
          <w:sz w:val="32"/>
          <w:szCs w:val="32"/>
        </w:rPr>
      </w:pPr>
      <w:r>
        <w:rPr>
          <w:rFonts w:ascii="仿宋_GB2312" w:hAnsi="宋体" w:eastAsia="仿宋_GB2312" w:cs="仿宋_GB2312"/>
          <w:color w:val="010101"/>
          <w:kern w:val="0"/>
          <w:sz w:val="32"/>
          <w:szCs w:val="32"/>
        </w:rPr>
        <w:t>15</w:t>
      </w:r>
      <w:r>
        <w:rPr>
          <w:rFonts w:hint="eastAsia" w:ascii="仿宋_GB2312" w:hAnsi="宋体" w:eastAsia="仿宋_GB2312" w:cs="仿宋_GB2312"/>
          <w:color w:val="010101"/>
          <w:kern w:val="0"/>
          <w:sz w:val="32"/>
          <w:szCs w:val="32"/>
        </w:rPr>
        <w:t>．发展智慧健康产业。</w:t>
      </w:r>
      <w:r>
        <w:rPr>
          <w:rFonts w:hint="eastAsia" w:ascii="仿宋_GB2312" w:hAnsi="宋体" w:eastAsia="仿宋_GB2312" w:cs="仿宋_GB2312"/>
          <w:color w:val="333333"/>
          <w:kern w:val="0"/>
          <w:sz w:val="32"/>
          <w:szCs w:val="32"/>
        </w:rPr>
        <w:t>通过与医疗机构深度合作，将医疗、养生、环境、个体心理等与健康相关信息整合，给消费者提供个性化服务。</w:t>
      </w:r>
      <w:r>
        <w:rPr>
          <w:rFonts w:hint="eastAsia" w:ascii="仿宋_GB2312" w:eastAsia="仿宋_GB2312" w:cs="仿宋_GB2312"/>
          <w:sz w:val="32"/>
          <w:szCs w:val="32"/>
        </w:rPr>
        <w:t>打造以智慧医疗系统为核心，涵盖健康传感器和数字化健康产品研发设计、软件开发、信息系统集成、信息技术咨询、数据处理存储和数字应用服务等关键环节的智慧健康产业链。</w:t>
      </w:r>
      <w:r>
        <w:rPr>
          <w:rFonts w:hint="eastAsia" w:ascii="仿宋_GB2312" w:hAnsi="宋体" w:eastAsia="仿宋_GB2312" w:cs="仿宋_GB2312"/>
          <w:color w:val="010101"/>
          <w:kern w:val="0"/>
          <w:sz w:val="32"/>
          <w:szCs w:val="32"/>
        </w:rPr>
        <w:t>鼓励社会办医疗机构向健康管理领域拓展，加快发展健康养生、深度体检、体质测定、营养咨询等智慧健康产业新业态</w:t>
      </w:r>
      <w:r>
        <w:rPr>
          <w:rFonts w:hint="eastAsia" w:ascii="仿宋_GB2312" w:eastAsia="仿宋_GB2312" w:cs="仿宋_GB2312"/>
          <w:sz w:val="32"/>
          <w:szCs w:val="32"/>
        </w:rPr>
        <w:t>。</w:t>
      </w:r>
    </w:p>
    <w:p>
      <w:pPr>
        <w:widowControl/>
        <w:spacing w:line="600" w:lineRule="exact"/>
        <w:ind w:firstLine="640" w:firstLineChars="200"/>
        <w:rPr>
          <w:rFonts w:ascii="仿宋_GB2312" w:hAnsi="宋体" w:eastAsia="仿宋_GB2312" w:cs="Times New Roman"/>
          <w:color w:val="010101"/>
          <w:kern w:val="0"/>
          <w:sz w:val="32"/>
          <w:szCs w:val="32"/>
        </w:rPr>
      </w:pPr>
      <w:r>
        <w:rPr>
          <w:rFonts w:hint="eastAsia" w:ascii="仿宋_GB2312" w:hAnsi="宋体" w:eastAsia="仿宋_GB2312" w:cs="仿宋_GB2312"/>
          <w:color w:val="010101"/>
          <w:kern w:val="0"/>
          <w:sz w:val="32"/>
          <w:szCs w:val="32"/>
        </w:rPr>
        <w:t>（责任单位：市经信委，配合单位：市科技局、市卫生计生委、市教育局）</w:t>
      </w:r>
    </w:p>
    <w:p>
      <w:pPr>
        <w:spacing w:line="600" w:lineRule="exact"/>
        <w:ind w:firstLine="619" w:firstLineChars="200"/>
        <w:rPr>
          <w:rFonts w:ascii="楷体_GB2312" w:hAnsi="宋体" w:eastAsia="楷体_GB2312" w:cs="Times New Roman"/>
          <w:b/>
          <w:bCs/>
          <w:spacing w:val="-6"/>
          <w:sz w:val="32"/>
          <w:szCs w:val="32"/>
        </w:rPr>
      </w:pPr>
      <w:r>
        <w:rPr>
          <w:rFonts w:hint="eastAsia" w:ascii="楷体_GB2312" w:hAnsi="宋体" w:eastAsia="楷体_GB2312" w:cs="楷体_GB2312"/>
          <w:b/>
          <w:bCs/>
          <w:spacing w:val="-6"/>
          <w:sz w:val="32"/>
          <w:szCs w:val="32"/>
        </w:rPr>
        <w:t>（五）促进体育与健康生活方式融合，发展健身休闲运动产业</w:t>
      </w:r>
    </w:p>
    <w:p>
      <w:pPr>
        <w:spacing w:line="600" w:lineRule="exact"/>
        <w:ind w:firstLine="640" w:firstLineChars="200"/>
        <w:rPr>
          <w:rFonts w:ascii="仿宋_GB2312" w:hAnsi="宋体" w:eastAsia="仿宋_GB2312" w:cs="Times New Roman"/>
          <w:sz w:val="32"/>
          <w:szCs w:val="32"/>
        </w:rPr>
      </w:pPr>
      <w:r>
        <w:rPr>
          <w:rFonts w:ascii="仿宋_GB2312" w:hAnsi="宋体" w:eastAsia="仿宋_GB2312" w:cs="仿宋_GB2312"/>
          <w:color w:val="010101"/>
          <w:kern w:val="0"/>
          <w:sz w:val="32"/>
          <w:szCs w:val="32"/>
        </w:rPr>
        <w:t>16</w:t>
      </w:r>
      <w:r>
        <w:rPr>
          <w:rFonts w:hint="eastAsia" w:ascii="仿宋_GB2312" w:hAnsi="宋体" w:eastAsia="仿宋_GB2312" w:cs="仿宋_GB2312"/>
          <w:color w:val="010101"/>
          <w:kern w:val="0"/>
          <w:sz w:val="32"/>
          <w:szCs w:val="32"/>
        </w:rPr>
        <w:t>．加强运动设施建设。推进市级公共体育设施建设，“十三五”期间，争取在中心城区建成云雾山体育公园，在公园内合理布局举重、乒羽、游泳、射击、摔柔跆等国家和省级训练基地，以及全面健身广场、观景台、健身步道、山地自行车赛道等体育设施；各区县（市）对大型专项文化体育设施、社区农村公共文化体育设施进行定性、定量布点和配置，在改造、维修原有设施上，续建或新建一批县级标志性设施，到</w:t>
      </w:r>
      <w:r>
        <w:rPr>
          <w:rFonts w:ascii="仿宋_GB2312" w:hAnsi="宋体" w:eastAsia="仿宋_GB2312" w:cs="仿宋_GB2312"/>
          <w:color w:val="010101"/>
          <w:kern w:val="0"/>
          <w:sz w:val="32"/>
          <w:szCs w:val="32"/>
        </w:rPr>
        <w:t>2020</w:t>
      </w:r>
      <w:r>
        <w:rPr>
          <w:rFonts w:hint="eastAsia" w:ascii="仿宋_GB2312" w:hAnsi="宋体" w:eastAsia="仿宋_GB2312" w:cs="仿宋_GB2312"/>
          <w:color w:val="010101"/>
          <w:kern w:val="0"/>
          <w:sz w:val="32"/>
          <w:szCs w:val="32"/>
        </w:rPr>
        <w:t>年建成集宣传文化、科学普及、体育健身等功能于一体，资源充足、设备齐全、服务规范、保障有力、群众满意度较高的基层综合性文化服务中心。</w:t>
      </w:r>
      <w:r>
        <w:rPr>
          <w:rFonts w:hint="eastAsia" w:ascii="仿宋_GB2312" w:hAnsi="宋体" w:eastAsia="仿宋_GB2312" w:cs="仿宋_GB2312"/>
          <w:sz w:val="32"/>
          <w:szCs w:val="32"/>
        </w:rPr>
        <w:t>规划建设一批集自然景观、体育活动和生态健身为一体的休闲运动设施和主题公园。</w:t>
      </w:r>
    </w:p>
    <w:p>
      <w:pPr>
        <w:widowControl/>
        <w:spacing w:line="600" w:lineRule="exact"/>
        <w:ind w:firstLine="640" w:firstLineChars="200"/>
        <w:rPr>
          <w:rFonts w:ascii="仿宋_GB2312" w:hAnsi="宋体" w:eastAsia="仿宋_GB2312" w:cs="Times New Roman"/>
          <w:color w:val="010101"/>
          <w:kern w:val="0"/>
          <w:sz w:val="32"/>
          <w:szCs w:val="32"/>
        </w:rPr>
      </w:pPr>
      <w:r>
        <w:rPr>
          <w:rFonts w:hint="eastAsia" w:ascii="仿宋_GB2312" w:hAnsi="宋体" w:eastAsia="仿宋_GB2312" w:cs="仿宋_GB2312"/>
          <w:color w:val="010101"/>
          <w:kern w:val="0"/>
          <w:sz w:val="32"/>
          <w:szCs w:val="32"/>
        </w:rPr>
        <w:t>（牵头单位：市文体广新局，配合单位：市发改委）</w:t>
      </w:r>
    </w:p>
    <w:p>
      <w:pPr>
        <w:widowControl/>
        <w:spacing w:line="600" w:lineRule="exact"/>
        <w:ind w:firstLine="640" w:firstLineChars="200"/>
        <w:rPr>
          <w:rFonts w:ascii="仿宋_GB2312" w:hAnsi="宋体" w:eastAsia="仿宋_GB2312" w:cs="Times New Roman"/>
          <w:color w:val="010101"/>
          <w:kern w:val="0"/>
          <w:sz w:val="32"/>
          <w:szCs w:val="32"/>
        </w:rPr>
      </w:pPr>
      <w:r>
        <w:rPr>
          <w:rFonts w:ascii="仿宋_GB2312" w:hAnsi="宋体" w:eastAsia="仿宋_GB2312" w:cs="仿宋_GB2312"/>
          <w:color w:val="010101"/>
          <w:kern w:val="0"/>
          <w:sz w:val="32"/>
          <w:szCs w:val="32"/>
        </w:rPr>
        <w:t>17</w:t>
      </w:r>
      <w:r>
        <w:rPr>
          <w:rFonts w:hint="eastAsia" w:ascii="仿宋_GB2312" w:hAnsi="宋体" w:eastAsia="仿宋_GB2312" w:cs="仿宋_GB2312"/>
          <w:color w:val="010101"/>
          <w:kern w:val="0"/>
          <w:sz w:val="32"/>
          <w:szCs w:val="32"/>
        </w:rPr>
        <w:t>．发展健身休闲运动项目和相关产业。完善赛事运营市场机制，建立健全以</w:t>
      </w:r>
      <w:r>
        <w:rPr>
          <w:rFonts w:ascii="仿宋_GB2312" w:hAnsi="宋体" w:eastAsia="仿宋_GB2312" w:cs="仿宋_GB2312"/>
          <w:color w:val="010101"/>
          <w:kern w:val="0"/>
          <w:sz w:val="32"/>
          <w:szCs w:val="32"/>
        </w:rPr>
        <w:t>"</w:t>
      </w:r>
      <w:r>
        <w:rPr>
          <w:rFonts w:hint="eastAsia" w:ascii="仿宋_GB2312" w:hAnsi="宋体" w:eastAsia="仿宋_GB2312" w:cs="仿宋_GB2312"/>
          <w:color w:val="010101"/>
          <w:kern w:val="0"/>
          <w:sz w:val="32"/>
          <w:szCs w:val="32"/>
        </w:rPr>
        <w:t>赛</w:t>
      </w:r>
      <w:r>
        <w:rPr>
          <w:rFonts w:ascii="仿宋_GB2312" w:hAnsi="宋体" w:eastAsia="仿宋_GB2312" w:cs="仿宋_GB2312"/>
          <w:color w:val="010101"/>
          <w:kern w:val="0"/>
          <w:sz w:val="32"/>
          <w:szCs w:val="32"/>
        </w:rPr>
        <w:t>"</w:t>
      </w:r>
      <w:r>
        <w:rPr>
          <w:rFonts w:hint="eastAsia" w:ascii="仿宋_GB2312" w:hAnsi="宋体" w:eastAsia="仿宋_GB2312" w:cs="仿宋_GB2312"/>
          <w:color w:val="010101"/>
          <w:kern w:val="0"/>
          <w:sz w:val="32"/>
          <w:szCs w:val="32"/>
        </w:rPr>
        <w:t>育</w:t>
      </w:r>
      <w:r>
        <w:rPr>
          <w:rFonts w:ascii="仿宋_GB2312" w:hAnsi="宋体" w:eastAsia="仿宋_GB2312" w:cs="仿宋_GB2312"/>
          <w:color w:val="010101"/>
          <w:kern w:val="0"/>
          <w:sz w:val="32"/>
          <w:szCs w:val="32"/>
        </w:rPr>
        <w:t>"</w:t>
      </w:r>
      <w:r>
        <w:rPr>
          <w:rFonts w:hint="eastAsia" w:ascii="仿宋_GB2312" w:hAnsi="宋体" w:eastAsia="仿宋_GB2312" w:cs="仿宋_GB2312"/>
          <w:color w:val="010101"/>
          <w:kern w:val="0"/>
          <w:sz w:val="32"/>
          <w:szCs w:val="32"/>
        </w:rPr>
        <w:t>市</w:t>
      </w:r>
      <w:r>
        <w:rPr>
          <w:rFonts w:ascii="仿宋_GB2312" w:hAnsi="宋体" w:eastAsia="仿宋_GB2312" w:cs="仿宋_GB2312"/>
          <w:color w:val="010101"/>
          <w:kern w:val="0"/>
          <w:sz w:val="32"/>
          <w:szCs w:val="32"/>
        </w:rPr>
        <w:t>"</w:t>
      </w:r>
      <w:r>
        <w:rPr>
          <w:rFonts w:hint="eastAsia" w:ascii="仿宋_GB2312" w:hAnsi="宋体" w:eastAsia="仿宋_GB2312" w:cs="仿宋_GB2312"/>
          <w:color w:val="010101"/>
          <w:kern w:val="0"/>
          <w:sz w:val="32"/>
          <w:szCs w:val="32"/>
        </w:rPr>
        <w:t>和以</w:t>
      </w:r>
      <w:r>
        <w:rPr>
          <w:rFonts w:ascii="仿宋_GB2312" w:hAnsi="宋体" w:eastAsia="仿宋_GB2312" w:cs="仿宋_GB2312"/>
          <w:color w:val="010101"/>
          <w:kern w:val="0"/>
          <w:sz w:val="32"/>
          <w:szCs w:val="32"/>
        </w:rPr>
        <w:t>"</w:t>
      </w:r>
      <w:r>
        <w:rPr>
          <w:rFonts w:hint="eastAsia" w:ascii="仿宋_GB2312" w:hAnsi="宋体" w:eastAsia="仿宋_GB2312" w:cs="仿宋_GB2312"/>
          <w:color w:val="010101"/>
          <w:kern w:val="0"/>
          <w:sz w:val="32"/>
          <w:szCs w:val="32"/>
        </w:rPr>
        <w:t>市</w:t>
      </w:r>
      <w:r>
        <w:rPr>
          <w:rFonts w:ascii="仿宋_GB2312" w:hAnsi="宋体" w:eastAsia="仿宋_GB2312" w:cs="仿宋_GB2312"/>
          <w:color w:val="010101"/>
          <w:kern w:val="0"/>
          <w:sz w:val="32"/>
          <w:szCs w:val="32"/>
        </w:rPr>
        <w:t>"</w:t>
      </w:r>
      <w:r>
        <w:rPr>
          <w:rFonts w:hint="eastAsia" w:ascii="仿宋_GB2312" w:hAnsi="宋体" w:eastAsia="仿宋_GB2312" w:cs="仿宋_GB2312"/>
          <w:color w:val="010101"/>
          <w:kern w:val="0"/>
          <w:sz w:val="32"/>
          <w:szCs w:val="32"/>
        </w:rPr>
        <w:t>促</w:t>
      </w:r>
      <w:r>
        <w:rPr>
          <w:rFonts w:ascii="仿宋_GB2312" w:hAnsi="宋体" w:eastAsia="仿宋_GB2312" w:cs="仿宋_GB2312"/>
          <w:color w:val="010101"/>
          <w:kern w:val="0"/>
          <w:sz w:val="32"/>
          <w:szCs w:val="32"/>
        </w:rPr>
        <w:t>"</w:t>
      </w:r>
      <w:r>
        <w:rPr>
          <w:rFonts w:hint="eastAsia" w:ascii="仿宋_GB2312" w:hAnsi="宋体" w:eastAsia="仿宋_GB2312" w:cs="仿宋_GB2312"/>
          <w:color w:val="010101"/>
          <w:kern w:val="0"/>
          <w:sz w:val="32"/>
          <w:szCs w:val="32"/>
        </w:rPr>
        <w:t>赛</w:t>
      </w:r>
      <w:r>
        <w:rPr>
          <w:rFonts w:ascii="仿宋_GB2312" w:hAnsi="宋体" w:eastAsia="仿宋_GB2312" w:cs="仿宋_GB2312"/>
          <w:color w:val="010101"/>
          <w:kern w:val="0"/>
          <w:sz w:val="32"/>
          <w:szCs w:val="32"/>
        </w:rPr>
        <w:t>"</w:t>
      </w:r>
      <w:r>
        <w:rPr>
          <w:rFonts w:hint="eastAsia" w:ascii="仿宋_GB2312" w:hAnsi="宋体" w:eastAsia="仿宋_GB2312" w:cs="仿宋_GB2312"/>
          <w:color w:val="010101"/>
          <w:kern w:val="0"/>
          <w:sz w:val="32"/>
          <w:szCs w:val="32"/>
        </w:rPr>
        <w:t>的产业发展机制，带动体育娱乐、体育健身、体育用品、体育中介等产业发展，形成以赛事聚集产业要素和体育服务的新格局。每年争取承办一项全国以上赛事，</w:t>
      </w:r>
      <w:r>
        <w:rPr>
          <w:rFonts w:ascii="仿宋_GB2312" w:hAnsi="宋体" w:eastAsia="仿宋_GB2312" w:cs="仿宋_GB2312"/>
          <w:color w:val="010101"/>
          <w:kern w:val="0"/>
          <w:sz w:val="32"/>
          <w:szCs w:val="32"/>
        </w:rPr>
        <w:t>1-2</w:t>
      </w:r>
      <w:r>
        <w:rPr>
          <w:rFonts w:hint="eastAsia" w:ascii="仿宋_GB2312" w:hAnsi="宋体" w:eastAsia="仿宋_GB2312" w:cs="仿宋_GB2312"/>
          <w:color w:val="010101"/>
          <w:kern w:val="0"/>
          <w:sz w:val="32"/>
          <w:szCs w:val="32"/>
        </w:rPr>
        <w:t>项全省青少年赛事，“十三五”期间力争形成</w:t>
      </w:r>
      <w:r>
        <w:rPr>
          <w:rFonts w:ascii="仿宋_GB2312" w:hAnsi="宋体" w:eastAsia="仿宋_GB2312" w:cs="仿宋_GB2312"/>
          <w:color w:val="010101"/>
          <w:kern w:val="0"/>
          <w:sz w:val="32"/>
          <w:szCs w:val="32"/>
        </w:rPr>
        <w:t>1-2</w:t>
      </w:r>
      <w:r>
        <w:rPr>
          <w:rFonts w:hint="eastAsia" w:ascii="仿宋_GB2312" w:hAnsi="宋体" w:eastAsia="仿宋_GB2312" w:cs="仿宋_GB2312"/>
          <w:color w:val="010101"/>
          <w:kern w:val="0"/>
          <w:sz w:val="32"/>
          <w:szCs w:val="32"/>
        </w:rPr>
        <w:t>个国家级品牌赛事，每个区县（市）有一项成长性好的特色活动。规划设置梓山湖环湖休闲公园、云雾山生态体育公园和皇家湖水上乐园，发展体育休闲产业。发展多种形式的体育健身俱乐部，依托安化山体和洞庭湖、湘资沅澧水系，建设具有健身旅游、文化体验、生态休闲为主体健身休闲运动产业带。打造大型体育活动品牌。支持研发健身器材、服装和装备，发展运动医学，推广</w:t>
      </w:r>
      <w:r>
        <w:rPr>
          <w:rFonts w:ascii="仿宋_GB2312" w:hAnsi="宋体" w:eastAsia="仿宋_GB2312" w:cs="仿宋_GB2312"/>
          <w:color w:val="010101"/>
          <w:kern w:val="0"/>
          <w:sz w:val="32"/>
          <w:szCs w:val="32"/>
        </w:rPr>
        <w:t>"</w:t>
      </w:r>
      <w:r>
        <w:rPr>
          <w:rFonts w:hint="eastAsia" w:ascii="仿宋_GB2312" w:hAnsi="宋体" w:eastAsia="仿宋_GB2312" w:cs="仿宋_GB2312"/>
          <w:color w:val="010101"/>
          <w:kern w:val="0"/>
          <w:sz w:val="32"/>
          <w:szCs w:val="32"/>
        </w:rPr>
        <w:t>运动处方</w:t>
      </w:r>
      <w:r>
        <w:rPr>
          <w:rFonts w:ascii="仿宋_GB2312" w:hAnsi="宋体" w:eastAsia="仿宋_GB2312" w:cs="仿宋_GB2312"/>
          <w:color w:val="010101"/>
          <w:kern w:val="0"/>
          <w:sz w:val="32"/>
          <w:szCs w:val="32"/>
        </w:rPr>
        <w:t>"</w:t>
      </w:r>
      <w:r>
        <w:rPr>
          <w:rFonts w:hint="eastAsia" w:ascii="仿宋_GB2312" w:hAnsi="宋体" w:eastAsia="仿宋_GB2312" w:cs="仿宋_GB2312"/>
          <w:color w:val="010101"/>
          <w:kern w:val="0"/>
          <w:sz w:val="32"/>
          <w:szCs w:val="32"/>
        </w:rPr>
        <w:t>。积极研发推广运动康复技术，鼓励社会资本开办康体、体质测定和运动康复等各类机构。进一步提升体育彩票销量。</w:t>
      </w:r>
    </w:p>
    <w:p>
      <w:pPr>
        <w:widowControl/>
        <w:spacing w:line="600" w:lineRule="exact"/>
        <w:ind w:firstLine="640" w:firstLineChars="200"/>
        <w:rPr>
          <w:rFonts w:ascii="仿宋_GB2312" w:hAnsi="宋体" w:eastAsia="仿宋_GB2312" w:cs="Times New Roman"/>
          <w:color w:val="010101"/>
          <w:kern w:val="0"/>
          <w:sz w:val="32"/>
          <w:szCs w:val="32"/>
        </w:rPr>
      </w:pPr>
      <w:r>
        <w:rPr>
          <w:rFonts w:hint="eastAsia" w:ascii="仿宋_GB2312" w:hAnsi="宋体" w:eastAsia="仿宋_GB2312" w:cs="仿宋_GB2312"/>
          <w:color w:val="010101"/>
          <w:kern w:val="0"/>
          <w:sz w:val="32"/>
          <w:szCs w:val="32"/>
        </w:rPr>
        <w:t>（牵头单位：市文体广新局，配合单位：市卫生计生委）</w:t>
      </w:r>
    </w:p>
    <w:p>
      <w:pPr>
        <w:widowControl/>
        <w:spacing w:line="600" w:lineRule="exact"/>
        <w:ind w:firstLine="640" w:firstLineChars="200"/>
        <w:rPr>
          <w:rFonts w:ascii="仿宋_GB2312" w:hAnsi="宋体" w:eastAsia="仿宋_GB2312" w:cs="Times New Roman"/>
          <w:color w:val="010101"/>
          <w:kern w:val="0"/>
          <w:sz w:val="32"/>
          <w:szCs w:val="32"/>
        </w:rPr>
      </w:pPr>
      <w:r>
        <w:rPr>
          <w:rFonts w:ascii="仿宋_GB2312" w:hAnsi="宋体" w:eastAsia="仿宋_GB2312" w:cs="仿宋_GB2312"/>
          <w:color w:val="010101"/>
          <w:kern w:val="0"/>
          <w:sz w:val="32"/>
          <w:szCs w:val="32"/>
        </w:rPr>
        <w:t>18</w:t>
      </w:r>
      <w:r>
        <w:rPr>
          <w:rFonts w:hint="eastAsia" w:ascii="仿宋_GB2312" w:hAnsi="宋体" w:eastAsia="仿宋_GB2312" w:cs="仿宋_GB2312"/>
          <w:color w:val="010101"/>
          <w:kern w:val="0"/>
          <w:sz w:val="32"/>
          <w:szCs w:val="32"/>
        </w:rPr>
        <w:t>．繁荣发展全民健身活动。全面落实《湖南省全面健身条例》，加大全民健身专业人才的引进和培养力度。到</w:t>
      </w:r>
      <w:r>
        <w:rPr>
          <w:rFonts w:ascii="仿宋_GB2312" w:hAnsi="宋体" w:eastAsia="仿宋_GB2312" w:cs="仿宋_GB2312"/>
          <w:color w:val="010101"/>
          <w:kern w:val="0"/>
          <w:sz w:val="32"/>
          <w:szCs w:val="32"/>
        </w:rPr>
        <w:t>2020</w:t>
      </w:r>
      <w:r>
        <w:rPr>
          <w:rFonts w:hint="eastAsia" w:ascii="仿宋_GB2312" w:hAnsi="宋体" w:eastAsia="仿宋_GB2312" w:cs="仿宋_GB2312"/>
          <w:color w:val="010101"/>
          <w:kern w:val="0"/>
          <w:sz w:val="32"/>
          <w:szCs w:val="32"/>
        </w:rPr>
        <w:t>年，人均全民健身经费最低达到</w:t>
      </w:r>
      <w:r>
        <w:rPr>
          <w:rFonts w:ascii="仿宋_GB2312" w:hAnsi="宋体" w:eastAsia="仿宋_GB2312" w:cs="仿宋_GB2312"/>
          <w:color w:val="010101"/>
          <w:kern w:val="0"/>
          <w:sz w:val="32"/>
          <w:szCs w:val="32"/>
        </w:rPr>
        <w:t>1</w:t>
      </w:r>
      <w:r>
        <w:rPr>
          <w:rFonts w:hint="eastAsia" w:ascii="仿宋_GB2312" w:hAnsi="宋体" w:eastAsia="仿宋_GB2312" w:cs="仿宋_GB2312"/>
          <w:color w:val="010101"/>
          <w:kern w:val="0"/>
          <w:sz w:val="32"/>
          <w:szCs w:val="32"/>
        </w:rPr>
        <w:t>元以上，人均体育场地面积达到</w:t>
      </w:r>
      <w:r>
        <w:rPr>
          <w:rFonts w:ascii="仿宋_GB2312" w:hAnsi="宋体" w:eastAsia="仿宋_GB2312" w:cs="仿宋_GB2312"/>
          <w:color w:val="010101"/>
          <w:kern w:val="0"/>
          <w:sz w:val="32"/>
          <w:szCs w:val="32"/>
        </w:rPr>
        <w:t>1.6</w:t>
      </w:r>
      <w:r>
        <w:rPr>
          <w:rFonts w:hint="eastAsia" w:ascii="仿宋_GB2312" w:hAnsi="宋体" w:eastAsia="仿宋_GB2312" w:cs="仿宋_GB2312"/>
          <w:color w:val="010101"/>
          <w:kern w:val="0"/>
          <w:sz w:val="32"/>
          <w:szCs w:val="32"/>
        </w:rPr>
        <w:t>平方米，经常参加体育锻炼的人数比例达到</w:t>
      </w:r>
      <w:r>
        <w:rPr>
          <w:rFonts w:ascii="仿宋_GB2312" w:hAnsi="宋体" w:eastAsia="仿宋_GB2312" w:cs="仿宋_GB2312"/>
          <w:color w:val="010101"/>
          <w:kern w:val="0"/>
          <w:sz w:val="32"/>
          <w:szCs w:val="32"/>
        </w:rPr>
        <w:t>35%</w:t>
      </w:r>
      <w:r>
        <w:rPr>
          <w:rFonts w:hint="eastAsia" w:ascii="仿宋_GB2312" w:hAnsi="宋体" w:eastAsia="仿宋_GB2312" w:cs="仿宋_GB2312"/>
          <w:color w:val="010101"/>
          <w:kern w:val="0"/>
          <w:sz w:val="32"/>
          <w:szCs w:val="32"/>
        </w:rPr>
        <w:t>，每千人公益社会体育指导员比例达到</w:t>
      </w:r>
      <w:r>
        <w:rPr>
          <w:rFonts w:ascii="仿宋_GB2312" w:hAnsi="宋体" w:eastAsia="仿宋_GB2312" w:cs="仿宋_GB2312"/>
          <w:color w:val="010101"/>
          <w:kern w:val="0"/>
          <w:sz w:val="32"/>
          <w:szCs w:val="32"/>
        </w:rPr>
        <w:t>2</w:t>
      </w:r>
      <w:r>
        <w:rPr>
          <w:rFonts w:hint="eastAsia" w:ascii="仿宋_GB2312" w:hAnsi="宋体" w:eastAsia="仿宋_GB2312" w:cs="仿宋_GB2312"/>
          <w:color w:val="010101"/>
          <w:kern w:val="0"/>
          <w:sz w:val="32"/>
          <w:szCs w:val="32"/>
        </w:rPr>
        <w:t>名，城乡居民健康生活方式逐步形成。在城市社区建设</w:t>
      </w:r>
      <w:r>
        <w:rPr>
          <w:rFonts w:ascii="仿宋_GB2312" w:hAnsi="宋体" w:eastAsia="仿宋_GB2312" w:cs="仿宋_GB2312"/>
          <w:color w:val="010101"/>
          <w:kern w:val="0"/>
          <w:sz w:val="32"/>
          <w:szCs w:val="32"/>
        </w:rPr>
        <w:t>15</w:t>
      </w:r>
      <w:r>
        <w:rPr>
          <w:rFonts w:hint="eastAsia" w:ascii="仿宋_GB2312" w:hAnsi="宋体" w:eastAsia="仿宋_GB2312" w:cs="仿宋_GB2312"/>
          <w:color w:val="010101"/>
          <w:kern w:val="0"/>
          <w:sz w:val="32"/>
          <w:szCs w:val="32"/>
        </w:rPr>
        <w:t>分钟健身圈，新建社区的体育设施全覆盖。实施农民体育健身工程，在乡镇、行政村实现公共体育设施全覆盖。重视体育社团组织建设，重视学生体质与国民体质监测，加速国民体质监测评价步伐。</w:t>
      </w:r>
    </w:p>
    <w:p>
      <w:pPr>
        <w:widowControl/>
        <w:spacing w:line="600" w:lineRule="exact"/>
        <w:ind w:firstLine="640" w:firstLineChars="200"/>
        <w:rPr>
          <w:rFonts w:ascii="仿宋_GB2312" w:hAnsi="宋体" w:eastAsia="仿宋_GB2312" w:cs="Times New Roman"/>
          <w:color w:val="010101"/>
          <w:kern w:val="0"/>
          <w:sz w:val="32"/>
          <w:szCs w:val="32"/>
        </w:rPr>
      </w:pPr>
      <w:r>
        <w:rPr>
          <w:rFonts w:hint="eastAsia" w:ascii="仿宋_GB2312" w:hAnsi="宋体" w:eastAsia="仿宋_GB2312" w:cs="仿宋_GB2312"/>
          <w:color w:val="010101"/>
          <w:kern w:val="0"/>
          <w:sz w:val="32"/>
          <w:szCs w:val="32"/>
        </w:rPr>
        <w:t>（牵头单位：市文体广新局，配合单位：市委宣传部、市财政局、市教育局、市民政局、市总工会）</w:t>
      </w:r>
    </w:p>
    <w:p>
      <w:pPr>
        <w:spacing w:line="600" w:lineRule="exact"/>
        <w:ind w:firstLine="643" w:firstLineChars="200"/>
        <w:rPr>
          <w:rFonts w:ascii="楷体_GB2312" w:hAnsi="宋体" w:eastAsia="楷体_GB2312" w:cs="Times New Roman"/>
          <w:b/>
          <w:bCs/>
          <w:sz w:val="32"/>
          <w:szCs w:val="32"/>
        </w:rPr>
      </w:pPr>
      <w:r>
        <w:rPr>
          <w:rFonts w:hint="eastAsia" w:ascii="楷体_GB2312" w:hAnsi="宋体" w:eastAsia="楷体_GB2312" w:cs="楷体_GB2312"/>
          <w:b/>
          <w:bCs/>
          <w:sz w:val="32"/>
          <w:szCs w:val="32"/>
        </w:rPr>
        <w:t>（六）促进食品与健康融合，发展健康食品产业</w:t>
      </w:r>
    </w:p>
    <w:p>
      <w:pPr>
        <w:widowControl/>
        <w:spacing w:line="600" w:lineRule="exact"/>
        <w:ind w:firstLine="640" w:firstLineChars="200"/>
        <w:rPr>
          <w:rFonts w:ascii="仿宋_GB2312" w:hAnsi="宋体" w:eastAsia="仿宋_GB2312" w:cs="Times New Roman"/>
          <w:color w:val="010101"/>
          <w:kern w:val="0"/>
          <w:sz w:val="32"/>
          <w:szCs w:val="32"/>
        </w:rPr>
      </w:pPr>
      <w:r>
        <w:rPr>
          <w:rFonts w:ascii="仿宋_GB2312" w:hAnsi="宋体" w:eastAsia="仿宋_GB2312" w:cs="仿宋_GB2312"/>
          <w:color w:val="010101"/>
          <w:kern w:val="0"/>
          <w:sz w:val="32"/>
          <w:szCs w:val="32"/>
        </w:rPr>
        <w:t>19</w:t>
      </w:r>
      <w:r>
        <w:rPr>
          <w:rFonts w:hint="eastAsia" w:ascii="仿宋_GB2312" w:hAnsi="宋体" w:eastAsia="仿宋_GB2312" w:cs="仿宋_GB2312"/>
          <w:color w:val="010101"/>
          <w:kern w:val="0"/>
          <w:sz w:val="32"/>
          <w:szCs w:val="32"/>
        </w:rPr>
        <w:t>．实施农产品质量安全保障工程。深入推进农业标准化。加快完善主要农产品标准体系，大力开展种植业标准化示范区、标准化生产基地建设，畜禽养殖标准化示范场和水产标准化健康养殖示范场建设，到</w:t>
      </w:r>
      <w:r>
        <w:rPr>
          <w:rFonts w:ascii="仿宋_GB2312" w:hAnsi="宋体" w:eastAsia="仿宋_GB2312" w:cs="仿宋_GB2312"/>
          <w:color w:val="010101"/>
          <w:kern w:val="0"/>
          <w:sz w:val="32"/>
          <w:szCs w:val="32"/>
        </w:rPr>
        <w:t>2020</w:t>
      </w:r>
      <w:r>
        <w:rPr>
          <w:rFonts w:hint="eastAsia" w:ascii="仿宋_GB2312" w:hAnsi="宋体" w:eastAsia="仿宋_GB2312" w:cs="仿宋_GB2312"/>
          <w:color w:val="010101"/>
          <w:kern w:val="0"/>
          <w:sz w:val="32"/>
          <w:szCs w:val="32"/>
        </w:rPr>
        <w:t>年，全市建立种植业标准化生产示范区</w:t>
      </w:r>
      <w:r>
        <w:rPr>
          <w:rFonts w:ascii="仿宋_GB2312" w:hAnsi="宋体" w:eastAsia="仿宋_GB2312" w:cs="仿宋_GB2312"/>
          <w:color w:val="010101"/>
          <w:kern w:val="0"/>
          <w:sz w:val="32"/>
          <w:szCs w:val="32"/>
        </w:rPr>
        <w:t>200</w:t>
      </w:r>
      <w:r>
        <w:rPr>
          <w:rFonts w:hint="eastAsia" w:ascii="仿宋_GB2312" w:hAnsi="宋体" w:eastAsia="仿宋_GB2312" w:cs="仿宋_GB2312"/>
          <w:color w:val="010101"/>
          <w:kern w:val="0"/>
          <w:sz w:val="32"/>
          <w:szCs w:val="32"/>
        </w:rPr>
        <w:t>个，示范面积</w:t>
      </w:r>
      <w:r>
        <w:rPr>
          <w:rFonts w:ascii="仿宋_GB2312" w:hAnsi="宋体" w:eastAsia="仿宋_GB2312" w:cs="仿宋_GB2312"/>
          <w:color w:val="010101"/>
          <w:kern w:val="0"/>
          <w:sz w:val="32"/>
          <w:szCs w:val="32"/>
        </w:rPr>
        <w:t>350</w:t>
      </w:r>
      <w:r>
        <w:rPr>
          <w:rFonts w:hint="eastAsia" w:ascii="仿宋_GB2312" w:hAnsi="宋体" w:eastAsia="仿宋_GB2312" w:cs="仿宋_GB2312"/>
          <w:color w:val="010101"/>
          <w:kern w:val="0"/>
          <w:sz w:val="32"/>
          <w:szCs w:val="32"/>
        </w:rPr>
        <w:t>万亩；创建国家级标准菜园</w:t>
      </w:r>
      <w:r>
        <w:rPr>
          <w:rFonts w:ascii="仿宋_GB2312" w:hAnsi="宋体" w:eastAsia="仿宋_GB2312" w:cs="仿宋_GB2312"/>
          <w:color w:val="010101"/>
          <w:kern w:val="0"/>
          <w:sz w:val="32"/>
          <w:szCs w:val="32"/>
        </w:rPr>
        <w:t>40</w:t>
      </w:r>
      <w:r>
        <w:rPr>
          <w:rFonts w:hint="eastAsia" w:ascii="仿宋_GB2312" w:hAnsi="宋体" w:eastAsia="仿宋_GB2312" w:cs="仿宋_GB2312"/>
          <w:color w:val="010101"/>
          <w:kern w:val="0"/>
          <w:sz w:val="32"/>
          <w:szCs w:val="32"/>
        </w:rPr>
        <w:t>个、标准茶园</w:t>
      </w:r>
      <w:r>
        <w:rPr>
          <w:rFonts w:ascii="仿宋_GB2312" w:hAnsi="宋体" w:eastAsia="仿宋_GB2312" w:cs="仿宋_GB2312"/>
          <w:color w:val="010101"/>
          <w:kern w:val="0"/>
          <w:sz w:val="32"/>
          <w:szCs w:val="32"/>
        </w:rPr>
        <w:t>20</w:t>
      </w:r>
      <w:r>
        <w:rPr>
          <w:rFonts w:hint="eastAsia" w:ascii="仿宋_GB2312" w:hAnsi="宋体" w:eastAsia="仿宋_GB2312" w:cs="仿宋_GB2312"/>
          <w:color w:val="010101"/>
          <w:kern w:val="0"/>
          <w:sz w:val="32"/>
          <w:szCs w:val="32"/>
        </w:rPr>
        <w:t>个、标准果园</w:t>
      </w:r>
      <w:r>
        <w:rPr>
          <w:rFonts w:ascii="仿宋_GB2312" w:hAnsi="宋体" w:eastAsia="仿宋_GB2312" w:cs="仿宋_GB2312"/>
          <w:color w:val="010101"/>
          <w:kern w:val="0"/>
          <w:sz w:val="32"/>
          <w:szCs w:val="32"/>
        </w:rPr>
        <w:t>10</w:t>
      </w:r>
      <w:r>
        <w:rPr>
          <w:rFonts w:hint="eastAsia" w:ascii="仿宋_GB2312" w:hAnsi="宋体" w:eastAsia="仿宋_GB2312" w:cs="仿宋_GB2312"/>
          <w:color w:val="010101"/>
          <w:kern w:val="0"/>
          <w:sz w:val="32"/>
          <w:szCs w:val="32"/>
        </w:rPr>
        <w:t>个；创建国家级畜禽标准化示范场</w:t>
      </w:r>
      <w:r>
        <w:rPr>
          <w:rFonts w:ascii="仿宋_GB2312" w:hAnsi="宋体" w:eastAsia="仿宋_GB2312" w:cs="仿宋_GB2312"/>
          <w:color w:val="010101"/>
          <w:kern w:val="0"/>
          <w:sz w:val="32"/>
          <w:szCs w:val="32"/>
        </w:rPr>
        <w:t>50</w:t>
      </w:r>
      <w:r>
        <w:rPr>
          <w:rFonts w:hint="eastAsia" w:ascii="仿宋_GB2312" w:hAnsi="宋体" w:eastAsia="仿宋_GB2312" w:cs="仿宋_GB2312"/>
          <w:color w:val="010101"/>
          <w:kern w:val="0"/>
          <w:sz w:val="32"/>
          <w:szCs w:val="32"/>
        </w:rPr>
        <w:t>个，国家级水产标准化健康养殖示范场</w:t>
      </w:r>
      <w:r>
        <w:rPr>
          <w:rFonts w:ascii="仿宋_GB2312" w:hAnsi="宋体" w:eastAsia="仿宋_GB2312" w:cs="仿宋_GB2312"/>
          <w:color w:val="010101"/>
          <w:kern w:val="0"/>
          <w:sz w:val="32"/>
          <w:szCs w:val="32"/>
        </w:rPr>
        <w:t>50</w:t>
      </w:r>
      <w:r>
        <w:rPr>
          <w:rFonts w:hint="eastAsia" w:ascii="仿宋_GB2312" w:hAnsi="宋体" w:eastAsia="仿宋_GB2312" w:cs="仿宋_GB2312"/>
          <w:color w:val="010101"/>
          <w:kern w:val="0"/>
          <w:sz w:val="32"/>
          <w:szCs w:val="32"/>
        </w:rPr>
        <w:t>个。</w:t>
      </w:r>
    </w:p>
    <w:p>
      <w:pPr>
        <w:widowControl/>
        <w:spacing w:line="600" w:lineRule="exact"/>
        <w:ind w:firstLine="640" w:firstLineChars="200"/>
        <w:rPr>
          <w:rFonts w:ascii="仿宋_GB2312" w:hAnsi="宋体" w:eastAsia="仿宋_GB2312" w:cs="Times New Roman"/>
          <w:color w:val="010101"/>
          <w:kern w:val="0"/>
          <w:sz w:val="32"/>
          <w:szCs w:val="32"/>
        </w:rPr>
      </w:pPr>
      <w:r>
        <w:rPr>
          <w:rFonts w:hint="eastAsia" w:ascii="仿宋_GB2312" w:hAnsi="宋体" w:eastAsia="仿宋_GB2312" w:cs="仿宋_GB2312"/>
          <w:color w:val="010101"/>
          <w:kern w:val="0"/>
          <w:sz w:val="32"/>
          <w:szCs w:val="32"/>
        </w:rPr>
        <w:t>健全“三品一标”农产品认证体系。加快发展无公害农产品、绿色食品、有机食品和地理标志农产品生产，支持生产企业、农民合作社、家庭农场、专业大户等新型农业经营主体开展“三品一标”认证，到</w:t>
      </w:r>
      <w:r>
        <w:rPr>
          <w:rFonts w:ascii="仿宋_GB2312" w:hAnsi="宋体" w:eastAsia="仿宋_GB2312" w:cs="仿宋_GB2312"/>
          <w:color w:val="010101"/>
          <w:kern w:val="0"/>
          <w:sz w:val="32"/>
          <w:szCs w:val="32"/>
        </w:rPr>
        <w:t>2020</w:t>
      </w:r>
      <w:r>
        <w:rPr>
          <w:rFonts w:hint="eastAsia" w:ascii="仿宋_GB2312" w:hAnsi="宋体" w:eastAsia="仿宋_GB2312" w:cs="仿宋_GB2312"/>
          <w:color w:val="010101"/>
          <w:kern w:val="0"/>
          <w:sz w:val="32"/>
          <w:szCs w:val="32"/>
        </w:rPr>
        <w:t>年“三品”认证农产品产量占农产品总产量的比重达到</w:t>
      </w:r>
      <w:r>
        <w:rPr>
          <w:rFonts w:ascii="仿宋_GB2312" w:hAnsi="宋体" w:eastAsia="仿宋_GB2312" w:cs="仿宋_GB2312"/>
          <w:color w:val="010101"/>
          <w:kern w:val="0"/>
          <w:sz w:val="32"/>
          <w:szCs w:val="32"/>
        </w:rPr>
        <w:t>40%</w:t>
      </w:r>
      <w:r>
        <w:rPr>
          <w:rFonts w:hint="eastAsia" w:ascii="仿宋_GB2312" w:hAnsi="宋体" w:eastAsia="仿宋_GB2312" w:cs="仿宋_GB2312"/>
          <w:color w:val="010101"/>
          <w:kern w:val="0"/>
          <w:sz w:val="32"/>
          <w:szCs w:val="32"/>
        </w:rPr>
        <w:t>。</w:t>
      </w:r>
    </w:p>
    <w:p>
      <w:pPr>
        <w:widowControl/>
        <w:spacing w:line="600" w:lineRule="exact"/>
        <w:ind w:firstLine="640" w:firstLineChars="200"/>
        <w:rPr>
          <w:rFonts w:ascii="仿宋_GB2312" w:hAnsi="宋体" w:eastAsia="仿宋_GB2312" w:cs="Times New Roman"/>
          <w:color w:val="010101"/>
          <w:kern w:val="0"/>
          <w:sz w:val="32"/>
          <w:szCs w:val="32"/>
        </w:rPr>
      </w:pPr>
      <w:r>
        <w:rPr>
          <w:rFonts w:hint="eastAsia" w:ascii="仿宋_GB2312" w:hAnsi="宋体" w:eastAsia="仿宋_GB2312" w:cs="仿宋_GB2312"/>
          <w:color w:val="010101"/>
          <w:kern w:val="0"/>
          <w:sz w:val="32"/>
          <w:szCs w:val="32"/>
        </w:rPr>
        <w:t>（牵头单位：市农业委，配合单位：市经信委、市食药监局、市工商局）</w:t>
      </w:r>
    </w:p>
    <w:p>
      <w:pPr>
        <w:widowControl/>
        <w:spacing w:line="600" w:lineRule="exact"/>
        <w:ind w:firstLine="640" w:firstLineChars="200"/>
        <w:rPr>
          <w:rFonts w:ascii="仿宋_GB2312" w:hAnsi="宋体" w:eastAsia="仿宋_GB2312" w:cs="Times New Roman"/>
          <w:color w:val="010101"/>
          <w:kern w:val="0"/>
          <w:sz w:val="32"/>
          <w:szCs w:val="32"/>
        </w:rPr>
      </w:pPr>
      <w:r>
        <w:rPr>
          <w:rFonts w:ascii="仿宋_GB2312" w:hAnsi="宋体" w:eastAsia="仿宋_GB2312" w:cs="仿宋_GB2312"/>
          <w:color w:val="010101"/>
          <w:kern w:val="0"/>
          <w:sz w:val="32"/>
          <w:szCs w:val="32"/>
        </w:rPr>
        <w:t>20</w:t>
      </w:r>
      <w:r>
        <w:rPr>
          <w:rFonts w:hint="eastAsia" w:ascii="仿宋_GB2312" w:hAnsi="宋体" w:eastAsia="仿宋_GB2312" w:cs="仿宋_GB2312"/>
          <w:color w:val="010101"/>
          <w:kern w:val="0"/>
          <w:sz w:val="32"/>
          <w:szCs w:val="32"/>
        </w:rPr>
        <w:t>．开发高附加值健康食品。加大食品精深加工研发力度，开发具有地方特色的绿色、营养、功能型茶类和果蔬类高端产品。推动益阳道地大宗中药材进入新资源食品目录，研究开发全营养配方食品和针对不同疾病配方食品、益阳特膳食品和特殊医学用途配方食品。积极培育高附加值健康食品益字品牌。建立食品加工科研开发基地。</w:t>
      </w:r>
    </w:p>
    <w:p>
      <w:pPr>
        <w:widowControl/>
        <w:spacing w:line="600" w:lineRule="exact"/>
        <w:ind w:firstLine="640" w:firstLineChars="200"/>
        <w:rPr>
          <w:rFonts w:ascii="仿宋_GB2312" w:hAnsi="宋体" w:eastAsia="仿宋_GB2312" w:cs="Times New Roman"/>
          <w:color w:val="010101"/>
          <w:kern w:val="0"/>
          <w:sz w:val="32"/>
          <w:szCs w:val="32"/>
        </w:rPr>
      </w:pPr>
      <w:r>
        <w:rPr>
          <w:rFonts w:hint="eastAsia" w:ascii="仿宋_GB2312" w:hAnsi="宋体" w:eastAsia="仿宋_GB2312" w:cs="仿宋_GB2312"/>
          <w:color w:val="010101"/>
          <w:kern w:val="0"/>
          <w:sz w:val="32"/>
          <w:szCs w:val="32"/>
        </w:rPr>
        <w:t>（牵头单位：市经信委，配合单位：市农委、市卫生计生委、市食药监局）</w:t>
      </w:r>
    </w:p>
    <w:p>
      <w:pPr>
        <w:widowControl/>
        <w:spacing w:line="600" w:lineRule="exact"/>
        <w:ind w:firstLine="640" w:firstLineChars="200"/>
        <w:rPr>
          <w:rFonts w:ascii="仿宋_GB2312" w:hAnsi="宋体" w:eastAsia="仿宋_GB2312" w:cs="Times New Roman"/>
          <w:color w:val="010101"/>
          <w:kern w:val="0"/>
          <w:sz w:val="32"/>
          <w:szCs w:val="32"/>
        </w:rPr>
      </w:pPr>
      <w:r>
        <w:rPr>
          <w:rFonts w:ascii="仿宋_GB2312" w:hAnsi="宋体" w:eastAsia="仿宋_GB2312" w:cs="仿宋_GB2312"/>
          <w:color w:val="010101"/>
          <w:kern w:val="0"/>
          <w:sz w:val="32"/>
          <w:szCs w:val="32"/>
        </w:rPr>
        <w:t>21</w:t>
      </w:r>
      <w:r>
        <w:rPr>
          <w:rFonts w:hint="eastAsia" w:ascii="仿宋_GB2312" w:hAnsi="宋体" w:eastAsia="仿宋_GB2312" w:cs="仿宋_GB2312"/>
          <w:color w:val="010101"/>
          <w:kern w:val="0"/>
          <w:sz w:val="32"/>
          <w:szCs w:val="32"/>
        </w:rPr>
        <w:t>．加强食品安全监管体系建设。全面落实《食品安全法》，完善食品和食用农产品质量安全全程监管、食品安全风险监测、质量追溯和信用评价等制度，重点推进肉及肉制品、乳及乳制品、酒类产品等行业食品质量安全追溯体系建设，严格实行问题食品召回制度。规模以上食品生产经营企业普遍推行良好生产经营规范，全面落实食品企业质量安全主体责任。推进食品企业诚信管理体系建设，建立诚信激励和失信惩戒机制。加强食品检验检测机构建设，整合检验检测资源。引导和支持企业加强食品检验检测能力建设，积极培育第三方检验检测市场。在食品安全监管体系中，建立和完善</w:t>
      </w:r>
      <w:r>
        <w:rPr>
          <w:rFonts w:ascii="仿宋_GB2312" w:hAnsi="宋体" w:eastAsia="仿宋_GB2312" w:cs="仿宋_GB2312"/>
          <w:color w:val="010101"/>
          <w:kern w:val="0"/>
          <w:sz w:val="32"/>
          <w:szCs w:val="32"/>
        </w:rPr>
        <w:t>HACCP</w:t>
      </w:r>
      <w:r>
        <w:rPr>
          <w:rFonts w:hint="eastAsia" w:ascii="仿宋_GB2312" w:hAnsi="宋体" w:eastAsia="仿宋_GB2312" w:cs="仿宋_GB2312"/>
          <w:color w:val="010101"/>
          <w:kern w:val="0"/>
          <w:sz w:val="32"/>
          <w:szCs w:val="32"/>
        </w:rPr>
        <w:t>、</w:t>
      </w:r>
      <w:r>
        <w:rPr>
          <w:rFonts w:ascii="仿宋_GB2312" w:hAnsi="宋体" w:eastAsia="仿宋_GB2312" w:cs="仿宋_GB2312"/>
          <w:color w:val="010101"/>
          <w:kern w:val="0"/>
          <w:sz w:val="32"/>
          <w:szCs w:val="32"/>
        </w:rPr>
        <w:t>SSOP</w:t>
      </w:r>
      <w:r>
        <w:rPr>
          <w:rFonts w:hint="eastAsia" w:ascii="仿宋_GB2312" w:hAnsi="宋体" w:eastAsia="仿宋_GB2312" w:cs="仿宋_GB2312"/>
          <w:color w:val="010101"/>
          <w:kern w:val="0"/>
          <w:sz w:val="32"/>
          <w:szCs w:val="32"/>
        </w:rPr>
        <w:t>、</w:t>
      </w:r>
      <w:r>
        <w:rPr>
          <w:rFonts w:ascii="仿宋_GB2312" w:hAnsi="宋体" w:eastAsia="仿宋_GB2312" w:cs="仿宋_GB2312"/>
          <w:color w:val="010101"/>
          <w:kern w:val="0"/>
          <w:sz w:val="32"/>
          <w:szCs w:val="32"/>
        </w:rPr>
        <w:t>GMP</w:t>
      </w:r>
      <w:r>
        <w:rPr>
          <w:rFonts w:hint="eastAsia" w:ascii="仿宋_GB2312" w:hAnsi="宋体" w:eastAsia="仿宋_GB2312" w:cs="仿宋_GB2312"/>
          <w:color w:val="010101"/>
          <w:kern w:val="0"/>
          <w:sz w:val="32"/>
          <w:szCs w:val="32"/>
        </w:rPr>
        <w:t>等相关体系。</w:t>
      </w:r>
    </w:p>
    <w:p>
      <w:pPr>
        <w:widowControl/>
        <w:spacing w:line="600" w:lineRule="exact"/>
        <w:ind w:firstLine="640" w:firstLineChars="200"/>
        <w:rPr>
          <w:rFonts w:ascii="仿宋_GB2312" w:hAnsi="宋体" w:eastAsia="仿宋_GB2312" w:cs="Times New Roman"/>
          <w:color w:val="010101"/>
          <w:kern w:val="0"/>
          <w:sz w:val="32"/>
          <w:szCs w:val="32"/>
        </w:rPr>
      </w:pPr>
      <w:r>
        <w:rPr>
          <w:rFonts w:hint="eastAsia" w:ascii="仿宋_GB2312" w:hAnsi="宋体" w:eastAsia="仿宋_GB2312" w:cs="仿宋_GB2312"/>
          <w:color w:val="010101"/>
          <w:kern w:val="0"/>
          <w:sz w:val="32"/>
          <w:szCs w:val="32"/>
        </w:rPr>
        <w:t>（牵头单位：市食药监局，配合单位：市卫生计生委、市经信委、市农委、市质监局、市商务局）</w:t>
      </w:r>
    </w:p>
    <w:p>
      <w:pPr>
        <w:spacing w:line="580" w:lineRule="exact"/>
        <w:ind w:firstLine="643" w:firstLineChars="200"/>
        <w:rPr>
          <w:rFonts w:ascii="楷体_GB2312" w:hAnsi="宋体" w:eastAsia="楷体_GB2312" w:cs="Times New Roman"/>
          <w:b/>
          <w:bCs/>
          <w:sz w:val="32"/>
          <w:szCs w:val="32"/>
        </w:rPr>
      </w:pPr>
      <w:r>
        <w:rPr>
          <w:rFonts w:hint="eastAsia" w:ascii="楷体_GB2312" w:hAnsi="宋体" w:eastAsia="楷体_GB2312" w:cs="楷体_GB2312"/>
          <w:b/>
          <w:bCs/>
          <w:sz w:val="32"/>
          <w:szCs w:val="32"/>
        </w:rPr>
        <w:t>（七）夯实产业融合基础，促进健康产业转型升级</w:t>
      </w:r>
    </w:p>
    <w:p>
      <w:pPr>
        <w:widowControl/>
        <w:spacing w:line="580" w:lineRule="exact"/>
        <w:ind w:firstLine="640" w:firstLineChars="200"/>
        <w:rPr>
          <w:rFonts w:ascii="仿宋_GB2312" w:hAnsi="宋体" w:eastAsia="仿宋_GB2312" w:cs="Times New Roman"/>
          <w:color w:val="010101"/>
          <w:kern w:val="0"/>
          <w:sz w:val="32"/>
          <w:szCs w:val="32"/>
        </w:rPr>
      </w:pPr>
      <w:r>
        <w:rPr>
          <w:rFonts w:ascii="仿宋_GB2312" w:hAnsi="宋体" w:eastAsia="仿宋_GB2312" w:cs="仿宋_GB2312"/>
          <w:color w:val="010101"/>
          <w:kern w:val="0"/>
          <w:sz w:val="32"/>
          <w:szCs w:val="32"/>
        </w:rPr>
        <w:t>22</w:t>
      </w:r>
      <w:r>
        <w:rPr>
          <w:rFonts w:hint="eastAsia" w:ascii="仿宋_GB2312" w:hAnsi="宋体" w:eastAsia="仿宋_GB2312" w:cs="仿宋_GB2312"/>
          <w:color w:val="010101"/>
          <w:kern w:val="0"/>
          <w:sz w:val="32"/>
          <w:szCs w:val="32"/>
        </w:rPr>
        <w:t>．加快健康产业集聚区和食品生产流通体系建设。引导健康产业集聚发展，</w:t>
      </w:r>
      <w:r>
        <w:rPr>
          <w:rFonts w:hint="eastAsia" w:ascii="仿宋_GB2312" w:hAnsi="宋体" w:eastAsia="仿宋_GB2312" w:cs="仿宋_GB2312"/>
          <w:sz w:val="32"/>
          <w:szCs w:val="32"/>
        </w:rPr>
        <w:t>将赫山区定位为全市健康产业发展的“示范区”</w:t>
      </w:r>
      <w:r>
        <w:rPr>
          <w:rFonts w:hint="eastAsia" w:ascii="仿宋_GB2312" w:hAnsi="宋体" w:eastAsia="仿宋_GB2312" w:cs="仿宋_GB2312"/>
          <w:color w:val="010101"/>
          <w:kern w:val="0"/>
          <w:sz w:val="32"/>
          <w:szCs w:val="32"/>
        </w:rPr>
        <w:t>；依托湖南中以高科打造辐射全省乃至中部地区的健康产业创新示范基地，发展现代医疗器械、康复装备和健康智能终端装备等产业；鼓励和支持津湘药业等优势医药流通企业并购重组、转型发展，发展电子医药商务，构建现代医药物流网络。着力打造“一个健康城市”“中医药和医疗器械研制高地、养生休闲胜地、健康服务基地”“一城三地”，带动大健康产业发展。鼓励建设外向型健康农产品加工区，承接国际国内知名健康食品企业生产基地转移。推动健康食品集散中心（或食品集散中心专属区）建设，建立健康食品冷链配送网络。建设健康食品物流研发基地，完善物流服务操作规程和标准，研发物流核心关键技术、配套装备和管理系统。</w:t>
      </w:r>
    </w:p>
    <w:p>
      <w:pPr>
        <w:widowControl/>
        <w:spacing w:line="580" w:lineRule="exact"/>
        <w:ind w:firstLine="640" w:firstLineChars="200"/>
        <w:rPr>
          <w:rFonts w:ascii="仿宋_GB2312" w:hAnsi="宋体" w:eastAsia="仿宋_GB2312" w:cs="Times New Roman"/>
          <w:color w:val="010101"/>
          <w:kern w:val="0"/>
          <w:sz w:val="32"/>
          <w:szCs w:val="32"/>
        </w:rPr>
      </w:pPr>
      <w:r>
        <w:rPr>
          <w:rFonts w:hint="eastAsia" w:ascii="仿宋_GB2312" w:hAnsi="宋体" w:eastAsia="仿宋_GB2312" w:cs="仿宋_GB2312"/>
          <w:color w:val="010101"/>
          <w:kern w:val="0"/>
          <w:sz w:val="32"/>
          <w:szCs w:val="32"/>
        </w:rPr>
        <w:t>（牵头单位：市发改委，配合单位：市卫生计生委、市经信委、市农委、市商务局、市食药监局、赫山区人民政府）</w:t>
      </w:r>
    </w:p>
    <w:p>
      <w:pPr>
        <w:widowControl/>
        <w:spacing w:line="580" w:lineRule="exact"/>
        <w:ind w:firstLine="640" w:firstLineChars="200"/>
        <w:rPr>
          <w:rFonts w:ascii="仿宋_GB2312" w:hAnsi="宋体" w:eastAsia="仿宋_GB2312" w:cs="Times New Roman"/>
          <w:color w:val="010101"/>
          <w:kern w:val="0"/>
          <w:sz w:val="32"/>
          <w:szCs w:val="32"/>
        </w:rPr>
      </w:pPr>
      <w:r>
        <w:rPr>
          <w:rFonts w:ascii="仿宋_GB2312" w:hAnsi="宋体" w:eastAsia="仿宋_GB2312" w:cs="仿宋_GB2312"/>
          <w:color w:val="010101"/>
          <w:kern w:val="0"/>
          <w:sz w:val="32"/>
          <w:szCs w:val="32"/>
        </w:rPr>
        <w:t>23.</w:t>
      </w:r>
      <w:r>
        <w:rPr>
          <w:rFonts w:hint="eastAsia" w:ascii="仿宋_GB2312" w:hAnsi="宋体" w:eastAsia="仿宋_GB2312" w:cs="仿宋_GB2312"/>
          <w:color w:val="010101"/>
          <w:kern w:val="0"/>
          <w:sz w:val="32"/>
          <w:szCs w:val="32"/>
        </w:rPr>
        <w:t>深化医药卫生体制改革。完善基本医疗卫生制度，重点推进分级诊疗体系、医院法人治理结构与治理机制、医保支付方式、药品信息追溯体系、医疗服务行为监管等方面改革，维护公共医疗卫生公益性，有效控制医药费用不合理增长，不断解决群众看病就医问题。</w:t>
      </w:r>
    </w:p>
    <w:p>
      <w:pPr>
        <w:widowControl/>
        <w:spacing w:line="580" w:lineRule="exact"/>
        <w:ind w:firstLine="640" w:firstLineChars="200"/>
        <w:rPr>
          <w:rFonts w:ascii="仿宋_GB2312" w:hAnsi="宋体" w:eastAsia="仿宋_GB2312" w:cs="Times New Roman"/>
          <w:color w:val="010101"/>
          <w:kern w:val="0"/>
          <w:sz w:val="32"/>
          <w:szCs w:val="32"/>
        </w:rPr>
      </w:pPr>
      <w:r>
        <w:rPr>
          <w:rFonts w:hint="eastAsia" w:ascii="仿宋_GB2312" w:hAnsi="宋体" w:eastAsia="仿宋_GB2312" w:cs="仿宋_GB2312"/>
          <w:color w:val="010101"/>
          <w:kern w:val="0"/>
          <w:sz w:val="32"/>
          <w:szCs w:val="32"/>
        </w:rPr>
        <w:t>（牵头单位：市卫生计生委，配合单位：市发改委、市人社局、市财政局、市食药监局）</w:t>
      </w:r>
    </w:p>
    <w:p>
      <w:pPr>
        <w:widowControl/>
        <w:numPr>
          <w:ilvl w:val="0"/>
          <w:numId w:val="1"/>
        </w:numPr>
        <w:spacing w:line="600" w:lineRule="exact"/>
        <w:ind w:firstLine="640" w:firstLineChars="200"/>
        <w:rPr>
          <w:rFonts w:ascii="仿宋_GB2312" w:hAnsi="宋体" w:eastAsia="仿宋_GB2312" w:cs="Times New Roman"/>
          <w:color w:val="010101"/>
          <w:kern w:val="0"/>
          <w:sz w:val="32"/>
          <w:szCs w:val="32"/>
        </w:rPr>
      </w:pPr>
      <w:r>
        <w:rPr>
          <w:rFonts w:hint="eastAsia" w:ascii="仿宋_GB2312" w:hAnsi="宋体" w:eastAsia="仿宋_GB2312" w:cs="仿宋_GB2312"/>
          <w:color w:val="010101"/>
          <w:kern w:val="0"/>
          <w:sz w:val="32"/>
          <w:szCs w:val="32"/>
        </w:rPr>
        <w:t>发展健康保险业。推进将商业健康保险的功能从基本医疗费用补偿向预防、治疗、康复为一体的综合性健康管理转变。全面实施城乡居民大病保险制度，委托具有资质的商业保险机构承办大病保险。推进个人税收优惠型健康保险试点。加大政府购买服务力度，委托有资质的商业保险机构参与各类医疗保险及工伤保险、医疗救助等经办服务。鼓励商业保险公司提供多样化、多层次、规范化的产品和服务，支持保险公司发展与基本医疗保险衔接的各类医疗、疾病保险和失能收入损失保险等健康保险产品。拓展健康保险服务领域，促进医养结合。鼓励商业保险机构参与医疗、体检、远程健康监测、健康促进等健康平台建设。建立政府、社会、个人多方筹资的老年护理保险制度。支持保险公司开发优质产品，开展食品安全责任保险。</w:t>
      </w:r>
    </w:p>
    <w:p>
      <w:pPr>
        <w:widowControl/>
        <w:spacing w:line="600" w:lineRule="exact"/>
        <w:ind w:firstLine="640" w:firstLineChars="200"/>
        <w:rPr>
          <w:rFonts w:ascii="仿宋_GB2312" w:hAnsi="宋体" w:eastAsia="仿宋_GB2312" w:cs="Times New Roman"/>
          <w:color w:val="010101"/>
          <w:spacing w:val="-6"/>
          <w:kern w:val="0"/>
          <w:sz w:val="32"/>
          <w:szCs w:val="32"/>
        </w:rPr>
      </w:pPr>
      <w:r>
        <w:rPr>
          <w:rFonts w:hint="eastAsia" w:ascii="仿宋_GB2312" w:hAnsi="宋体" w:eastAsia="仿宋_GB2312" w:cs="仿宋_GB2312"/>
          <w:color w:val="010101"/>
          <w:kern w:val="0"/>
          <w:sz w:val="32"/>
          <w:szCs w:val="32"/>
        </w:rPr>
        <w:t>（牵头单位：市人社局，配合单位：市保协、市食药监局）</w:t>
      </w:r>
    </w:p>
    <w:p>
      <w:pPr>
        <w:widowControl/>
        <w:numPr>
          <w:ilvl w:val="0"/>
          <w:numId w:val="1"/>
        </w:numPr>
        <w:spacing w:line="600" w:lineRule="exact"/>
        <w:ind w:firstLine="616" w:firstLineChars="200"/>
        <w:rPr>
          <w:rFonts w:ascii="仿宋_GB2312" w:hAnsi="宋体" w:eastAsia="仿宋_GB2312" w:cs="Times New Roman"/>
          <w:color w:val="010101"/>
          <w:spacing w:val="-6"/>
          <w:kern w:val="0"/>
          <w:sz w:val="32"/>
          <w:szCs w:val="32"/>
        </w:rPr>
      </w:pPr>
      <w:r>
        <w:rPr>
          <w:rFonts w:hint="eastAsia" w:ascii="仿宋_GB2312" w:hAnsi="宋体" w:eastAsia="仿宋_GB2312" w:cs="仿宋_GB2312"/>
          <w:color w:val="010101"/>
          <w:spacing w:val="-6"/>
          <w:kern w:val="0"/>
          <w:sz w:val="32"/>
          <w:szCs w:val="32"/>
        </w:rPr>
        <w:t>发展森林康养产业。以建设绿色、生态、类型多样的森林康养品牌基地为引领，打造国际国内森林康养知名目的地。到</w:t>
      </w:r>
      <w:r>
        <w:rPr>
          <w:rFonts w:ascii="仿宋_GB2312" w:hAnsi="宋体" w:eastAsia="仿宋_GB2312" w:cs="仿宋_GB2312"/>
          <w:color w:val="010101"/>
          <w:spacing w:val="-6"/>
          <w:kern w:val="0"/>
          <w:sz w:val="32"/>
          <w:szCs w:val="32"/>
        </w:rPr>
        <w:t>2020</w:t>
      </w:r>
      <w:r>
        <w:rPr>
          <w:rFonts w:hint="eastAsia" w:ascii="仿宋_GB2312" w:hAnsi="宋体" w:eastAsia="仿宋_GB2312" w:cs="仿宋_GB2312"/>
          <w:color w:val="010101"/>
          <w:spacing w:val="-6"/>
          <w:kern w:val="0"/>
          <w:sz w:val="32"/>
          <w:szCs w:val="32"/>
        </w:rPr>
        <w:t>年，形成集旅游、医疗、养生、康复、保健、教育、文化、体育等于一体的森林康养产业体系，全市规划建设</w:t>
      </w:r>
      <w:r>
        <w:rPr>
          <w:rFonts w:ascii="仿宋_GB2312" w:hAnsi="宋体" w:eastAsia="仿宋_GB2312" w:cs="仿宋_GB2312"/>
          <w:color w:val="010101"/>
          <w:spacing w:val="-6"/>
          <w:kern w:val="0"/>
          <w:sz w:val="32"/>
          <w:szCs w:val="32"/>
        </w:rPr>
        <w:t>10</w:t>
      </w:r>
      <w:r>
        <w:rPr>
          <w:rFonts w:hint="eastAsia" w:ascii="仿宋_GB2312" w:hAnsi="宋体" w:eastAsia="仿宋_GB2312" w:cs="仿宋_GB2312"/>
          <w:color w:val="010101"/>
          <w:spacing w:val="-6"/>
          <w:kern w:val="0"/>
          <w:sz w:val="32"/>
          <w:szCs w:val="32"/>
        </w:rPr>
        <w:t>个森林康养基地。</w:t>
      </w:r>
    </w:p>
    <w:p>
      <w:pPr>
        <w:widowControl/>
        <w:spacing w:line="600" w:lineRule="exact"/>
        <w:rPr>
          <w:rFonts w:ascii="仿宋_GB2312" w:hAnsi="宋体" w:eastAsia="仿宋_GB2312" w:cs="Times New Roman"/>
          <w:color w:val="010101"/>
          <w:spacing w:val="-6"/>
          <w:kern w:val="0"/>
          <w:sz w:val="32"/>
          <w:szCs w:val="32"/>
        </w:rPr>
      </w:pPr>
      <w:r>
        <w:rPr>
          <w:rFonts w:hint="eastAsia" w:ascii="仿宋_GB2312" w:hAnsi="宋体" w:eastAsia="仿宋_GB2312" w:cs="仿宋_GB2312"/>
          <w:color w:val="010101"/>
          <w:spacing w:val="-6"/>
          <w:kern w:val="0"/>
          <w:sz w:val="32"/>
          <w:szCs w:val="32"/>
        </w:rPr>
        <w:t>（牵头单位：市林业局，配合单位：市发改委、市国土局、市规划局、市卫生计生委、市旅游局、市教育局、市文体广新局）</w:t>
      </w:r>
    </w:p>
    <w:p>
      <w:pPr>
        <w:pStyle w:val="14"/>
        <w:snapToGrid w:val="0"/>
        <w:spacing w:line="600" w:lineRule="exact"/>
        <w:ind w:firstLine="640" w:firstLineChars="200"/>
        <w:jc w:val="both"/>
        <w:rPr>
          <w:rFonts w:ascii="仿宋_GB2312" w:hAnsi="Helvetica" w:eastAsia="仿宋_GB2312" w:cs="Times New Roman"/>
          <w:color w:val="3E3E3E"/>
          <w:sz w:val="32"/>
          <w:szCs w:val="32"/>
        </w:rPr>
      </w:pPr>
      <w:r>
        <w:rPr>
          <w:rFonts w:ascii="仿宋_GB2312" w:hAnsi="Helvetica" w:eastAsia="仿宋_GB2312" w:cs="仿宋_GB2312"/>
          <w:color w:val="3E3E3E"/>
          <w:sz w:val="32"/>
          <w:szCs w:val="32"/>
        </w:rPr>
        <w:t>26</w:t>
      </w:r>
      <w:r>
        <w:rPr>
          <w:rFonts w:hint="eastAsia" w:ascii="仿宋_GB2312" w:hAnsi="Helvetica" w:eastAsia="仿宋_GB2312" w:cs="仿宋_GB2312"/>
          <w:color w:val="3E3E3E"/>
          <w:sz w:val="32"/>
          <w:szCs w:val="32"/>
        </w:rPr>
        <w:t>．发展医疗金融产业。不断探索并深入开展</w:t>
      </w:r>
      <w:r>
        <w:rPr>
          <w:rFonts w:ascii="仿宋_GB2312" w:hAnsi="Helvetica" w:eastAsia="仿宋_GB2312" w:cs="仿宋_GB2312"/>
          <w:color w:val="3E3E3E"/>
          <w:sz w:val="32"/>
          <w:szCs w:val="32"/>
        </w:rPr>
        <w:t>P2P</w:t>
      </w:r>
      <w:r>
        <w:rPr>
          <w:rFonts w:hint="eastAsia" w:ascii="仿宋_GB2312" w:hAnsi="Helvetica" w:eastAsia="仿宋_GB2312" w:cs="仿宋_GB2312"/>
          <w:color w:val="3E3E3E"/>
          <w:sz w:val="32"/>
          <w:szCs w:val="32"/>
        </w:rPr>
        <w:t>网贷、</w:t>
      </w:r>
      <w:r>
        <w:fldChar w:fldCharType="begin"/>
      </w:r>
      <w:r>
        <w:instrText xml:space="preserve"> HYPERLINK "http://www.aidemed.com/news/556-cn.html" \t "_blank" \o "大数据" </w:instrText>
      </w:r>
      <w:r>
        <w:fldChar w:fldCharType="separate"/>
      </w:r>
      <w:r>
        <w:rPr>
          <w:rStyle w:val="9"/>
          <w:rFonts w:hint="eastAsia" w:ascii="仿宋_GB2312" w:hAnsi="Helvetica" w:eastAsia="仿宋_GB2312" w:cs="仿宋_GB2312"/>
          <w:sz w:val="32"/>
          <w:szCs w:val="32"/>
          <w:u w:val="none"/>
        </w:rPr>
        <w:t>大数据</w:t>
      </w:r>
      <w:r>
        <w:rPr>
          <w:rStyle w:val="9"/>
          <w:rFonts w:hint="eastAsia" w:ascii="仿宋_GB2312" w:hAnsi="Helvetica" w:eastAsia="仿宋_GB2312" w:cs="仿宋_GB2312"/>
          <w:sz w:val="32"/>
          <w:szCs w:val="32"/>
          <w:u w:val="none"/>
        </w:rPr>
        <w:fldChar w:fldCharType="end"/>
      </w:r>
      <w:r>
        <w:rPr>
          <w:rFonts w:hint="eastAsia" w:ascii="仿宋_GB2312" w:hAnsi="Helvetica" w:eastAsia="仿宋_GB2312" w:cs="仿宋_GB2312"/>
          <w:color w:val="3E3E3E"/>
          <w:sz w:val="32"/>
          <w:szCs w:val="32"/>
        </w:rPr>
        <w:t>金融、第三方支付、信息化金融机构、互助平台及互联网金融门户等医疗金融模式，实现金融与医院、医生和患者医疗健康领域之间的跨界融合，构建一个新的业态和一种新的经济形态，为城乡居民提供高效、便捷的智能化健康保障与服务，为深化医疗体制改革作出贡献。</w:t>
      </w:r>
    </w:p>
    <w:p>
      <w:pPr>
        <w:pStyle w:val="14"/>
        <w:snapToGrid w:val="0"/>
        <w:spacing w:line="600" w:lineRule="exact"/>
        <w:ind w:firstLine="640" w:firstLineChars="200"/>
        <w:jc w:val="both"/>
        <w:rPr>
          <w:rFonts w:ascii="仿宋_GB2312" w:hAnsi="宋体" w:eastAsia="仿宋_GB2312" w:cs="Times New Roman"/>
          <w:color w:val="auto"/>
          <w:sz w:val="32"/>
          <w:szCs w:val="32"/>
        </w:rPr>
      </w:pPr>
      <w:r>
        <w:rPr>
          <w:rFonts w:hint="eastAsia" w:ascii="仿宋_GB2312" w:hAnsi="Helvetica" w:eastAsia="仿宋_GB2312" w:cs="仿宋_GB2312"/>
          <w:color w:val="3E3E3E"/>
          <w:sz w:val="32"/>
          <w:szCs w:val="32"/>
        </w:rPr>
        <w:t>（牵头单位：市金融办，配合单位：市卫生计生委、市经信委、市工商局、市网信办）</w:t>
      </w:r>
    </w:p>
    <w:p>
      <w:pPr>
        <w:spacing w:line="600" w:lineRule="exact"/>
        <w:ind w:firstLine="640" w:firstLineChars="200"/>
        <w:rPr>
          <w:rFonts w:ascii="黑体" w:eastAsia="黑体" w:cs="Times New Roman"/>
          <w:sz w:val="32"/>
          <w:szCs w:val="32"/>
        </w:rPr>
      </w:pPr>
      <w:r>
        <w:rPr>
          <w:rFonts w:hint="eastAsia" w:ascii="黑体" w:eastAsia="黑体" w:cs="黑体"/>
          <w:sz w:val="32"/>
          <w:szCs w:val="32"/>
        </w:rPr>
        <w:t>三、组织实施</w:t>
      </w:r>
    </w:p>
    <w:p>
      <w:pPr>
        <w:pStyle w:val="14"/>
        <w:snapToGrid w:val="0"/>
        <w:spacing w:line="580" w:lineRule="exact"/>
        <w:ind w:firstLine="643" w:firstLineChars="200"/>
        <w:jc w:val="both"/>
        <w:rPr>
          <w:rFonts w:ascii="仿宋_GB2312" w:hAnsi="宋体" w:eastAsia="仿宋_GB2312" w:cs="Times New Roman"/>
          <w:color w:val="010101"/>
          <w:sz w:val="32"/>
          <w:szCs w:val="32"/>
        </w:rPr>
      </w:pPr>
      <w:r>
        <w:rPr>
          <w:rFonts w:hint="eastAsia" w:ascii="楷体_GB2312" w:hAnsi="宋体" w:eastAsia="楷体_GB2312" w:cs="楷体_GB2312"/>
          <w:b/>
          <w:bCs/>
          <w:color w:val="auto"/>
          <w:kern w:val="2"/>
          <w:sz w:val="32"/>
          <w:szCs w:val="32"/>
        </w:rPr>
        <w:t>（一）健全工作机制。</w:t>
      </w:r>
      <w:r>
        <w:rPr>
          <w:rFonts w:hint="eastAsia" w:ascii="楷体_GB2312" w:hAnsi="宋体" w:eastAsia="楷体_GB2312" w:cs="楷体_GB2312"/>
          <w:color w:val="auto"/>
          <w:kern w:val="2"/>
          <w:sz w:val="32"/>
          <w:szCs w:val="32"/>
        </w:rPr>
        <w:t>将健康产业发展纳入市政府重要议事日程，制定综合考核评价办法，全力抓好落实工作。</w:t>
      </w:r>
      <w:r>
        <w:rPr>
          <w:rFonts w:hint="eastAsia" w:ascii="仿宋_GB2312" w:hAnsi="宋体" w:eastAsia="仿宋_GB2312" w:cs="仿宋_GB2312"/>
          <w:color w:val="auto"/>
          <w:sz w:val="32"/>
          <w:szCs w:val="32"/>
        </w:rPr>
        <w:t>建立由市政府牵头，发改、卫生计生、经信、民政、财政、人社、国土、商务、工商、文体广新、食药监、统计、旅游、住建、规划、国土、农业、林业、交通、金融保险监管等部门参与的联席会议制度，明确工作职责，</w:t>
      </w:r>
      <w:r>
        <w:rPr>
          <w:rFonts w:hint="eastAsia" w:ascii="仿宋_GB2312" w:hAnsi="宋体" w:eastAsia="仿宋_GB2312" w:cs="仿宋_GB2312"/>
          <w:color w:val="010101"/>
          <w:sz w:val="32"/>
          <w:szCs w:val="32"/>
        </w:rPr>
        <w:t>加强沟通协调，形成工作合力。</w:t>
      </w:r>
      <w:r>
        <w:rPr>
          <w:rFonts w:hint="eastAsia" w:ascii="仿宋_GB2312" w:eastAsia="仿宋_GB2312" w:cs="仿宋_GB2312"/>
          <w:sz w:val="32"/>
          <w:szCs w:val="32"/>
        </w:rPr>
        <w:t>按照本方案的主要任务分工，各牵头部门制定具体的工作方案，进一步量化细化所承担的主要目标、任务和产业项目布局，并分解到年度分阶段分层次统筹推进</w:t>
      </w:r>
      <w:r>
        <w:rPr>
          <w:rFonts w:hint="eastAsia" w:ascii="仿宋_GB2312" w:hAnsi="宋体" w:eastAsia="仿宋_GB2312" w:cs="仿宋_GB2312"/>
          <w:color w:val="010101"/>
          <w:sz w:val="32"/>
          <w:szCs w:val="32"/>
        </w:rPr>
        <w:t>。</w:t>
      </w:r>
    </w:p>
    <w:p>
      <w:pPr>
        <w:pStyle w:val="14"/>
        <w:snapToGrid w:val="0"/>
        <w:spacing w:line="580" w:lineRule="exact"/>
        <w:ind w:firstLine="640" w:firstLineChars="200"/>
        <w:jc w:val="both"/>
        <w:rPr>
          <w:rFonts w:ascii="仿宋_GB2312" w:hAnsi="宋体" w:eastAsia="仿宋_GB2312" w:cs="Times New Roman"/>
          <w:color w:val="010101"/>
          <w:sz w:val="32"/>
          <w:szCs w:val="32"/>
        </w:rPr>
      </w:pPr>
      <w:r>
        <w:rPr>
          <w:rFonts w:hint="eastAsia" w:ascii="仿宋_GB2312" w:hAnsi="宋体" w:eastAsia="仿宋_GB2312" w:cs="仿宋_GB2312"/>
          <w:color w:val="010101"/>
          <w:sz w:val="32"/>
          <w:szCs w:val="32"/>
        </w:rPr>
        <w:t>（牵头单位：市政府，配合单位：市发改委、市人社局、市卫生计生委、市民政局、市旅游局、市文体广新局、市经信委、市农业委、市林业局、市统计局等</w:t>
      </w:r>
      <w:r>
        <w:rPr>
          <w:rFonts w:ascii="仿宋_GB2312" w:hAnsi="宋体" w:eastAsia="仿宋_GB2312" w:cs="仿宋_GB2312"/>
          <w:color w:val="010101"/>
          <w:sz w:val="32"/>
          <w:szCs w:val="32"/>
        </w:rPr>
        <w:t>20</w:t>
      </w:r>
      <w:r>
        <w:rPr>
          <w:rFonts w:hint="eastAsia" w:ascii="仿宋_GB2312" w:hAnsi="宋体" w:eastAsia="仿宋_GB2312" w:cs="仿宋_GB2312"/>
          <w:color w:val="010101"/>
          <w:sz w:val="32"/>
          <w:szCs w:val="32"/>
        </w:rPr>
        <w:t>家单位）</w:t>
      </w:r>
    </w:p>
    <w:p>
      <w:pPr>
        <w:pStyle w:val="14"/>
        <w:snapToGrid w:val="0"/>
        <w:spacing w:line="580" w:lineRule="exact"/>
        <w:ind w:firstLine="630" w:firstLineChars="196"/>
        <w:jc w:val="both"/>
        <w:rPr>
          <w:rFonts w:ascii="仿宋_GB2312" w:hAnsi="宋体" w:eastAsia="仿宋_GB2312" w:cs="Times New Roman"/>
          <w:color w:val="010101"/>
          <w:sz w:val="32"/>
          <w:szCs w:val="32"/>
        </w:rPr>
      </w:pPr>
      <w:r>
        <w:rPr>
          <w:rFonts w:hint="eastAsia" w:ascii="楷体_GB2312" w:hAnsi="宋体" w:eastAsia="楷体_GB2312" w:cs="楷体_GB2312"/>
          <w:b/>
          <w:bCs/>
          <w:color w:val="auto"/>
          <w:kern w:val="2"/>
          <w:sz w:val="32"/>
          <w:szCs w:val="32"/>
        </w:rPr>
        <w:t>（二）完善财税保障。</w:t>
      </w:r>
      <w:r>
        <w:rPr>
          <w:rFonts w:hint="eastAsia" w:ascii="仿宋_GB2312" w:hAnsi="宋体" w:eastAsia="仿宋_GB2312" w:cs="仿宋_GB2312"/>
          <w:color w:val="010101"/>
          <w:sz w:val="32"/>
          <w:szCs w:val="32"/>
        </w:rPr>
        <w:t>加大财政对基本公共服务投入力度，提高基本公共卫生、基本养老、公共体育等服务机构的财政保障水平。完善财政引导资金制度，加大服务业发展引导资金等对健康产业支持力度。鼓励条件成熟的区县（市）设立健康产业发展资金，鼓励财力较好的地方安排适当资金支持健康产业发展。经认定为高新技术企业的健康产业相关企业，依法享受高新技术企业税收优惠政策。对生产具有自主知识产权的药品、医疗器械和其他相关健康产品的企业，市本级相关专项资金按政策给予支持。对健康产业相关企业引进、开发具有重要支撑作用的国际先进技术和关键设备，按规定在进出口资质认定、关税减免、科技资助等方面给予支持。落实健康产业相关企业税收优惠政策。进一步清理规范健康服务机构相关行政事业性收费项目。</w:t>
      </w:r>
    </w:p>
    <w:p>
      <w:pPr>
        <w:pStyle w:val="14"/>
        <w:snapToGrid w:val="0"/>
        <w:spacing w:line="580" w:lineRule="exact"/>
        <w:ind w:firstLine="640" w:firstLineChars="200"/>
        <w:jc w:val="both"/>
        <w:rPr>
          <w:rFonts w:ascii="仿宋_GB2312" w:hAnsi="宋体" w:eastAsia="仿宋_GB2312" w:cs="Times New Roman"/>
          <w:color w:val="010101"/>
          <w:sz w:val="32"/>
          <w:szCs w:val="32"/>
        </w:rPr>
      </w:pPr>
      <w:r>
        <w:rPr>
          <w:rFonts w:hint="eastAsia" w:ascii="仿宋_GB2312" w:hAnsi="宋体" w:eastAsia="仿宋_GB2312" w:cs="仿宋_GB2312"/>
          <w:color w:val="010101"/>
          <w:sz w:val="32"/>
          <w:szCs w:val="32"/>
        </w:rPr>
        <w:t>（牵头单位：市财政局、市发改委、市科技局、市国税局、市地税局）</w:t>
      </w:r>
    </w:p>
    <w:p>
      <w:pPr>
        <w:pStyle w:val="14"/>
        <w:snapToGrid w:val="0"/>
        <w:spacing w:line="580" w:lineRule="exact"/>
        <w:ind w:firstLine="630" w:firstLineChars="196"/>
        <w:jc w:val="both"/>
        <w:rPr>
          <w:rFonts w:ascii="仿宋_GB2312" w:hAnsi="宋体" w:eastAsia="仿宋_GB2312" w:cs="Times New Roman"/>
          <w:color w:val="auto"/>
          <w:sz w:val="32"/>
          <w:szCs w:val="32"/>
        </w:rPr>
      </w:pPr>
      <w:r>
        <w:rPr>
          <w:rFonts w:hint="eastAsia" w:ascii="楷体_GB2312" w:hAnsi="宋体" w:eastAsia="楷体_GB2312" w:cs="楷体_GB2312"/>
          <w:b/>
          <w:bCs/>
          <w:color w:val="auto"/>
          <w:kern w:val="2"/>
          <w:sz w:val="32"/>
          <w:szCs w:val="32"/>
        </w:rPr>
        <w:t>（三）强化政策支持。</w:t>
      </w:r>
      <w:r>
        <w:rPr>
          <w:rFonts w:hint="eastAsia" w:ascii="仿宋_GB2312" w:hAnsi="宋体" w:eastAsia="仿宋_GB2312" w:cs="仿宋_GB2312"/>
          <w:color w:val="auto"/>
          <w:sz w:val="32"/>
          <w:szCs w:val="32"/>
        </w:rPr>
        <w:t>在市场准入、项目立项、土地供应、招商引资、技术创新、市场开拓等方面给予引导支持。在土地利用总体规划和城乡规划中统筹考虑健康产业发展需要，扩大健康产业用地供给，优先保障非营利性机构用地。引导社会资本发起设立益阳“大健康产业发展基金”，帮助解决产业发展中资金瓶颈。积极争取国家和省级政策支持，在混合所有制医疗机构、责任医生签约服务、社会办医（国家）联系点、智慧健康和网络医院、医师多点执业、医养结合、中医药健康服务基地等方面开展试点。</w:t>
      </w:r>
    </w:p>
    <w:p>
      <w:pPr>
        <w:pStyle w:val="14"/>
        <w:snapToGrid w:val="0"/>
        <w:spacing w:line="580" w:lineRule="exact"/>
        <w:ind w:firstLine="640" w:firstLineChars="200"/>
        <w:jc w:val="both"/>
        <w:rPr>
          <w:rFonts w:ascii="仿宋_GB2312" w:hAnsi="宋体" w:eastAsia="仿宋_GB2312" w:cs="Times New Roman"/>
          <w:color w:val="auto"/>
          <w:sz w:val="32"/>
          <w:szCs w:val="32"/>
        </w:rPr>
      </w:pPr>
      <w:r>
        <w:rPr>
          <w:rFonts w:hint="eastAsia" w:ascii="仿宋_GB2312" w:hAnsi="宋体" w:eastAsia="仿宋_GB2312" w:cs="仿宋_GB2312"/>
          <w:color w:val="auto"/>
          <w:sz w:val="32"/>
          <w:szCs w:val="32"/>
        </w:rPr>
        <w:t>（牵头单位：市政府办，配合单位：市发改委、市财政局、市国土局、市规划局、市金融办）</w:t>
      </w:r>
    </w:p>
    <w:p>
      <w:pPr>
        <w:pStyle w:val="14"/>
        <w:snapToGrid w:val="0"/>
        <w:spacing w:line="600" w:lineRule="exact"/>
        <w:ind w:firstLine="630" w:firstLineChars="196"/>
        <w:jc w:val="both"/>
        <w:rPr>
          <w:rFonts w:ascii="仿宋_GB2312" w:hAnsi="宋体" w:eastAsia="仿宋_GB2312" w:cs="Times New Roman"/>
          <w:color w:val="auto"/>
          <w:sz w:val="32"/>
          <w:szCs w:val="32"/>
        </w:rPr>
      </w:pPr>
      <w:r>
        <w:rPr>
          <w:rFonts w:hint="eastAsia" w:ascii="楷体_GB2312" w:hAnsi="宋体" w:eastAsia="楷体_GB2312" w:cs="楷体_GB2312"/>
          <w:b/>
          <w:bCs/>
          <w:color w:val="auto"/>
          <w:kern w:val="2"/>
          <w:sz w:val="32"/>
          <w:szCs w:val="32"/>
        </w:rPr>
        <w:t>（四）优化发展环境。</w:t>
      </w:r>
      <w:r>
        <w:rPr>
          <w:rFonts w:hint="eastAsia" w:ascii="仿宋_GB2312" w:hAnsi="宋体" w:eastAsia="仿宋_GB2312" w:cs="仿宋_GB2312"/>
          <w:color w:val="010101"/>
          <w:sz w:val="32"/>
          <w:szCs w:val="32"/>
        </w:rPr>
        <w:t>建立公开、透明、平等、规范的健康产业准入制度，凡是法律法规未明令禁入的领域，一律面向社会资本开放。规范和公开健康服务机构设立基本标准、审批程序，进一步缩短审批时限，下放审批权限。完善政策法规，进一步规范健康产业市场，防止不正当竞争。加强知识产权保护，严厉打击侵权行为，维护知识产权所有者的合法权益。建立健全健康产业标准体系，加强地方食品安全标准制修订，完善地方食品安全标准。完善行业工作机制，充分发挥健康产业协会、学会、联盟等行业组织的协调、服务和监管作用。依法规范健康服务机构和生产企业经营行为，强化质量监管和市场日常监管，严肃查处违法经营行为。</w:t>
      </w:r>
      <w:r>
        <w:rPr>
          <w:rFonts w:hint="eastAsia" w:ascii="仿宋_GB2312" w:hAnsi="宋体" w:eastAsia="仿宋_GB2312" w:cs="仿宋_GB2312"/>
          <w:color w:val="auto"/>
          <w:sz w:val="32"/>
          <w:szCs w:val="32"/>
        </w:rPr>
        <w:t>充分利用广播电视、报刊杂志及互联网等各类媒体深入广泛宣传健康知识，引导居民形成正确的健康消费观念，形成健康的生活方式。严格规范药品、保健食品、医疗机构等宣传和报道行为，严厉打击虚假宣传和不实报道，努力营造良好的健康消费环境。营造聚才环境、强化人才支撑。依托驻益高校、职业技术学校和医疗机构，培养健康产业发展需要的高素质应用型人才；出台有关高端人才引进的配套保障政策、营造人才集聚环境；建立与健康产业发展相适应的资格认证培训、岗位培训、人才培养与考核评估等培训服务体系，提高从业人员的素质。</w:t>
      </w:r>
    </w:p>
    <w:p>
      <w:pPr>
        <w:pStyle w:val="14"/>
        <w:snapToGrid w:val="0"/>
        <w:spacing w:line="600" w:lineRule="exact"/>
        <w:ind w:firstLine="640" w:firstLineChars="200"/>
        <w:jc w:val="both"/>
        <w:rPr>
          <w:rFonts w:ascii="仿宋_GB2312" w:hAnsi="宋体" w:eastAsia="仿宋_GB2312" w:cs="Times New Roman"/>
          <w:color w:val="auto"/>
          <w:sz w:val="32"/>
          <w:szCs w:val="32"/>
        </w:rPr>
      </w:pPr>
      <w:r>
        <w:rPr>
          <w:rFonts w:hint="eastAsia" w:ascii="仿宋_GB2312" w:hAnsi="宋体" w:eastAsia="仿宋_GB2312" w:cs="仿宋_GB2312"/>
          <w:color w:val="auto"/>
          <w:sz w:val="32"/>
          <w:szCs w:val="32"/>
        </w:rPr>
        <w:t>（牵头部门：市政府，配合单位：市发改委、市工商局、市食药监局、市文体广新局、市人社局、市教育局）</w:t>
      </w:r>
    </w:p>
    <w:p>
      <w:pPr>
        <w:pStyle w:val="14"/>
        <w:snapToGrid w:val="0"/>
        <w:spacing w:line="600" w:lineRule="exact"/>
        <w:ind w:firstLine="640" w:firstLineChars="200"/>
        <w:jc w:val="both"/>
        <w:rPr>
          <w:rFonts w:ascii="Times New Roman" w:hAnsi="宋体" w:eastAsia="仿宋" w:cs="Times New Roman"/>
          <w:color w:val="auto"/>
          <w:sz w:val="32"/>
          <w:szCs w:val="32"/>
        </w:rPr>
      </w:pPr>
    </w:p>
    <w:p>
      <w:pPr>
        <w:spacing w:line="600" w:lineRule="exact"/>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附件：益阳市健康产业“十三五”规划重大项目表（送审稿）</w:t>
      </w:r>
    </w:p>
    <w:p>
      <w:pPr>
        <w:spacing w:line="600" w:lineRule="exact"/>
        <w:ind w:firstLine="643" w:firstLineChars="200"/>
        <w:rPr>
          <w:rFonts w:ascii="楷体_GB2312" w:hAnsi="宋体" w:eastAsia="楷体_GB2312" w:cs="Times New Roman"/>
          <w:b/>
          <w:bCs/>
          <w:sz w:val="32"/>
          <w:szCs w:val="32"/>
        </w:rPr>
      </w:pPr>
    </w:p>
    <w:p>
      <w:pPr>
        <w:spacing w:line="600" w:lineRule="exact"/>
        <w:ind w:firstLine="643" w:firstLineChars="200"/>
        <w:rPr>
          <w:rFonts w:ascii="楷体_GB2312" w:hAnsi="宋体" w:eastAsia="楷体_GB2312" w:cs="Times New Roman"/>
          <w:b/>
          <w:bCs/>
          <w:sz w:val="32"/>
          <w:szCs w:val="32"/>
        </w:rPr>
      </w:pPr>
    </w:p>
    <w:p>
      <w:pPr>
        <w:spacing w:line="600" w:lineRule="exact"/>
        <w:ind w:firstLine="643" w:firstLineChars="200"/>
        <w:rPr>
          <w:rFonts w:ascii="楷体_GB2312" w:hAnsi="宋体" w:eastAsia="楷体_GB2312" w:cs="Times New Roman"/>
          <w:b/>
          <w:bCs/>
          <w:sz w:val="32"/>
          <w:szCs w:val="32"/>
        </w:rPr>
      </w:pPr>
    </w:p>
    <w:p>
      <w:pPr>
        <w:spacing w:line="600" w:lineRule="exact"/>
        <w:ind w:firstLine="643" w:firstLineChars="200"/>
        <w:rPr>
          <w:rFonts w:ascii="楷体_GB2312" w:hAnsi="宋体" w:eastAsia="楷体_GB2312" w:cs="Times New Roman"/>
          <w:b/>
          <w:bCs/>
          <w:sz w:val="32"/>
          <w:szCs w:val="32"/>
        </w:rPr>
      </w:pPr>
    </w:p>
    <w:p>
      <w:pPr>
        <w:spacing w:line="600" w:lineRule="exact"/>
        <w:ind w:firstLine="643" w:firstLineChars="200"/>
        <w:rPr>
          <w:rFonts w:ascii="楷体_GB2312" w:hAnsi="宋体" w:eastAsia="楷体_GB2312" w:cs="Times New Roman"/>
          <w:b/>
          <w:bCs/>
          <w:sz w:val="32"/>
          <w:szCs w:val="32"/>
        </w:rPr>
      </w:pPr>
    </w:p>
    <w:p>
      <w:pPr>
        <w:spacing w:line="600" w:lineRule="exact"/>
        <w:ind w:firstLine="643" w:firstLineChars="200"/>
        <w:rPr>
          <w:rFonts w:ascii="楷体_GB2312" w:hAnsi="宋体" w:eastAsia="楷体_GB2312" w:cs="Times New Roman"/>
          <w:b/>
          <w:bCs/>
          <w:sz w:val="32"/>
          <w:szCs w:val="32"/>
        </w:rPr>
      </w:pPr>
    </w:p>
    <w:p>
      <w:pPr>
        <w:spacing w:line="600" w:lineRule="exact"/>
        <w:ind w:firstLine="643" w:firstLineChars="200"/>
        <w:rPr>
          <w:rFonts w:ascii="楷体_GB2312" w:hAnsi="宋体" w:eastAsia="楷体_GB2312" w:cs="Times New Roman"/>
          <w:b/>
          <w:bCs/>
          <w:sz w:val="32"/>
          <w:szCs w:val="32"/>
        </w:rPr>
      </w:pPr>
    </w:p>
    <w:p>
      <w:pPr>
        <w:spacing w:line="600" w:lineRule="exact"/>
        <w:ind w:firstLine="643" w:firstLineChars="200"/>
        <w:rPr>
          <w:rFonts w:ascii="楷体_GB2312" w:hAnsi="宋体" w:eastAsia="楷体_GB2312" w:cs="Times New Roman"/>
          <w:b/>
          <w:bCs/>
          <w:sz w:val="32"/>
          <w:szCs w:val="32"/>
        </w:rPr>
      </w:pPr>
    </w:p>
    <w:p>
      <w:pPr>
        <w:spacing w:line="600" w:lineRule="exact"/>
        <w:ind w:firstLine="643" w:firstLineChars="200"/>
        <w:rPr>
          <w:rFonts w:ascii="楷体_GB2312" w:hAnsi="宋体" w:eastAsia="楷体_GB2312" w:cs="Times New Roman"/>
          <w:b/>
          <w:bCs/>
          <w:sz w:val="32"/>
          <w:szCs w:val="32"/>
        </w:rPr>
      </w:pPr>
    </w:p>
    <w:p>
      <w:pPr>
        <w:spacing w:line="600" w:lineRule="exact"/>
        <w:ind w:firstLine="643" w:firstLineChars="200"/>
        <w:rPr>
          <w:rFonts w:ascii="楷体_GB2312" w:hAnsi="宋体" w:eastAsia="楷体_GB2312" w:cs="Times New Roman"/>
          <w:b/>
          <w:bCs/>
          <w:sz w:val="32"/>
          <w:szCs w:val="32"/>
        </w:rPr>
      </w:pPr>
    </w:p>
    <w:p>
      <w:pPr>
        <w:spacing w:line="600" w:lineRule="exact"/>
        <w:rPr>
          <w:rFonts w:ascii="楷体_GB2312" w:hAnsi="宋体" w:eastAsia="楷体_GB2312" w:cs="Times New Roman"/>
          <w:b/>
          <w:bCs/>
          <w:sz w:val="32"/>
          <w:szCs w:val="32"/>
        </w:rPr>
      </w:pPr>
    </w:p>
    <w:sectPr>
      <w:footerReference r:id="rId3" w:type="default"/>
      <w:pgSz w:w="11906" w:h="16838"/>
      <w:pgMar w:top="1985" w:right="1474"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1FF"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仿宋" w:hAnsi="仿宋" w:eastAsia="仿宋" w:cs="Times New Roman"/>
        <w:sz w:val="24"/>
        <w:szCs w:val="24"/>
      </w:rPr>
    </w:pPr>
    <w:r>
      <w:rPr>
        <w:rStyle w:val="8"/>
        <w:rFonts w:ascii="仿宋" w:hAnsi="仿宋" w:eastAsia="仿宋" w:cs="仿宋"/>
        <w:sz w:val="24"/>
        <w:szCs w:val="24"/>
      </w:rPr>
      <w:fldChar w:fldCharType="begin"/>
    </w:r>
    <w:r>
      <w:rPr>
        <w:rStyle w:val="8"/>
        <w:rFonts w:ascii="仿宋" w:hAnsi="仿宋" w:eastAsia="仿宋" w:cs="仿宋"/>
        <w:sz w:val="24"/>
        <w:szCs w:val="24"/>
      </w:rPr>
      <w:instrText xml:space="preserve">PAGE  </w:instrText>
    </w:r>
    <w:r>
      <w:rPr>
        <w:rStyle w:val="8"/>
        <w:rFonts w:ascii="仿宋" w:hAnsi="仿宋" w:eastAsia="仿宋" w:cs="仿宋"/>
        <w:sz w:val="24"/>
        <w:szCs w:val="24"/>
      </w:rPr>
      <w:fldChar w:fldCharType="separate"/>
    </w:r>
    <w:r>
      <w:rPr>
        <w:rStyle w:val="8"/>
        <w:rFonts w:ascii="仿宋" w:hAnsi="仿宋" w:eastAsia="仿宋" w:cs="仿宋"/>
        <w:sz w:val="24"/>
        <w:szCs w:val="24"/>
      </w:rPr>
      <w:t>- 22 -</w:t>
    </w:r>
    <w:r>
      <w:rPr>
        <w:rStyle w:val="8"/>
        <w:rFonts w:ascii="仿宋" w:hAnsi="仿宋" w:eastAsia="仿宋" w:cs="仿宋"/>
        <w:sz w:val="24"/>
        <w:szCs w:val="24"/>
      </w:rPr>
      <w:fldChar w:fldCharType="end"/>
    </w:r>
  </w:p>
  <w:p>
    <w:pPr>
      <w:pStyle w:val="3"/>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8161A"/>
    <w:multiLevelType w:val="singleLevel"/>
    <w:tmpl w:val="58A8161A"/>
    <w:lvl w:ilvl="0" w:tentative="0">
      <w:start w:val="2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2C27"/>
    <w:rsid w:val="000160FF"/>
    <w:rsid w:val="00024787"/>
    <w:rsid w:val="0002721E"/>
    <w:rsid w:val="00035612"/>
    <w:rsid w:val="000405C9"/>
    <w:rsid w:val="00042455"/>
    <w:rsid w:val="00097B52"/>
    <w:rsid w:val="000B072E"/>
    <w:rsid w:val="000B5880"/>
    <w:rsid w:val="000C49CC"/>
    <w:rsid w:val="000F0C44"/>
    <w:rsid w:val="00100963"/>
    <w:rsid w:val="00106078"/>
    <w:rsid w:val="0012013D"/>
    <w:rsid w:val="0012189C"/>
    <w:rsid w:val="00121C0B"/>
    <w:rsid w:val="00140889"/>
    <w:rsid w:val="001517A6"/>
    <w:rsid w:val="00173B11"/>
    <w:rsid w:val="00184A4A"/>
    <w:rsid w:val="001860EE"/>
    <w:rsid w:val="001C0AE9"/>
    <w:rsid w:val="001D3B5B"/>
    <w:rsid w:val="001E612F"/>
    <w:rsid w:val="002171E6"/>
    <w:rsid w:val="00236D0E"/>
    <w:rsid w:val="002743F2"/>
    <w:rsid w:val="0027460E"/>
    <w:rsid w:val="00286C7D"/>
    <w:rsid w:val="00292C27"/>
    <w:rsid w:val="002A3F2D"/>
    <w:rsid w:val="002B1ACB"/>
    <w:rsid w:val="002B74E6"/>
    <w:rsid w:val="002C1CBA"/>
    <w:rsid w:val="002C7299"/>
    <w:rsid w:val="002D608C"/>
    <w:rsid w:val="002E7C34"/>
    <w:rsid w:val="00325CFE"/>
    <w:rsid w:val="0034715E"/>
    <w:rsid w:val="003522A9"/>
    <w:rsid w:val="00371DCE"/>
    <w:rsid w:val="00387B75"/>
    <w:rsid w:val="003A2973"/>
    <w:rsid w:val="003B0C51"/>
    <w:rsid w:val="003B3695"/>
    <w:rsid w:val="003B72DE"/>
    <w:rsid w:val="003C2C69"/>
    <w:rsid w:val="003D2931"/>
    <w:rsid w:val="003D472D"/>
    <w:rsid w:val="00402B5D"/>
    <w:rsid w:val="004069BB"/>
    <w:rsid w:val="0045276A"/>
    <w:rsid w:val="00483C59"/>
    <w:rsid w:val="00486DA6"/>
    <w:rsid w:val="004B5999"/>
    <w:rsid w:val="004C0F2C"/>
    <w:rsid w:val="004C561A"/>
    <w:rsid w:val="004D275E"/>
    <w:rsid w:val="004D3640"/>
    <w:rsid w:val="004F530F"/>
    <w:rsid w:val="004F7DD0"/>
    <w:rsid w:val="00500360"/>
    <w:rsid w:val="005016A8"/>
    <w:rsid w:val="00516758"/>
    <w:rsid w:val="0052110B"/>
    <w:rsid w:val="005220B9"/>
    <w:rsid w:val="0052475B"/>
    <w:rsid w:val="005A0D40"/>
    <w:rsid w:val="005A6E3F"/>
    <w:rsid w:val="005C1B0F"/>
    <w:rsid w:val="005C38BB"/>
    <w:rsid w:val="005E4031"/>
    <w:rsid w:val="005E4306"/>
    <w:rsid w:val="005F092C"/>
    <w:rsid w:val="005F5C3C"/>
    <w:rsid w:val="00601DFC"/>
    <w:rsid w:val="00635A51"/>
    <w:rsid w:val="00637103"/>
    <w:rsid w:val="0065191E"/>
    <w:rsid w:val="00657A3C"/>
    <w:rsid w:val="0069087C"/>
    <w:rsid w:val="006B04F9"/>
    <w:rsid w:val="006B553D"/>
    <w:rsid w:val="006C294B"/>
    <w:rsid w:val="006C3E31"/>
    <w:rsid w:val="006E158D"/>
    <w:rsid w:val="007108B1"/>
    <w:rsid w:val="0073475D"/>
    <w:rsid w:val="00734B3C"/>
    <w:rsid w:val="0077668D"/>
    <w:rsid w:val="007C27A1"/>
    <w:rsid w:val="007F4844"/>
    <w:rsid w:val="007F6D92"/>
    <w:rsid w:val="008029EC"/>
    <w:rsid w:val="0083488C"/>
    <w:rsid w:val="00860D1B"/>
    <w:rsid w:val="008629E2"/>
    <w:rsid w:val="008705D6"/>
    <w:rsid w:val="008936F4"/>
    <w:rsid w:val="008A54B0"/>
    <w:rsid w:val="008A6A52"/>
    <w:rsid w:val="008E5D36"/>
    <w:rsid w:val="009126DE"/>
    <w:rsid w:val="00922627"/>
    <w:rsid w:val="009439A3"/>
    <w:rsid w:val="00947909"/>
    <w:rsid w:val="00947935"/>
    <w:rsid w:val="00954EA3"/>
    <w:rsid w:val="00962895"/>
    <w:rsid w:val="009732C7"/>
    <w:rsid w:val="0097563F"/>
    <w:rsid w:val="00984F11"/>
    <w:rsid w:val="00985BC5"/>
    <w:rsid w:val="00992D31"/>
    <w:rsid w:val="009969D7"/>
    <w:rsid w:val="009A15BF"/>
    <w:rsid w:val="009C1227"/>
    <w:rsid w:val="009D4025"/>
    <w:rsid w:val="009F1019"/>
    <w:rsid w:val="00A152A1"/>
    <w:rsid w:val="00A6778E"/>
    <w:rsid w:val="00A757EF"/>
    <w:rsid w:val="00A80BF8"/>
    <w:rsid w:val="00A8335F"/>
    <w:rsid w:val="00A9296E"/>
    <w:rsid w:val="00A9337E"/>
    <w:rsid w:val="00A95EDF"/>
    <w:rsid w:val="00AC01D7"/>
    <w:rsid w:val="00AD3552"/>
    <w:rsid w:val="00AD6C18"/>
    <w:rsid w:val="00B1423E"/>
    <w:rsid w:val="00B27626"/>
    <w:rsid w:val="00B36C46"/>
    <w:rsid w:val="00B40DC6"/>
    <w:rsid w:val="00B4256F"/>
    <w:rsid w:val="00B52836"/>
    <w:rsid w:val="00B610E9"/>
    <w:rsid w:val="00B71035"/>
    <w:rsid w:val="00B71D29"/>
    <w:rsid w:val="00BE6F28"/>
    <w:rsid w:val="00BF33C2"/>
    <w:rsid w:val="00C22631"/>
    <w:rsid w:val="00C4168F"/>
    <w:rsid w:val="00C56CA8"/>
    <w:rsid w:val="00C9251D"/>
    <w:rsid w:val="00C968EE"/>
    <w:rsid w:val="00CB2AA1"/>
    <w:rsid w:val="00CC412B"/>
    <w:rsid w:val="00D33880"/>
    <w:rsid w:val="00D567BA"/>
    <w:rsid w:val="00D657B9"/>
    <w:rsid w:val="00D80A6B"/>
    <w:rsid w:val="00D86C5E"/>
    <w:rsid w:val="00D87BFF"/>
    <w:rsid w:val="00D93616"/>
    <w:rsid w:val="00D937C9"/>
    <w:rsid w:val="00DC76A1"/>
    <w:rsid w:val="00DD05B5"/>
    <w:rsid w:val="00DD08B5"/>
    <w:rsid w:val="00DD23BC"/>
    <w:rsid w:val="00DF20B3"/>
    <w:rsid w:val="00DF59B5"/>
    <w:rsid w:val="00E546C7"/>
    <w:rsid w:val="00E75D31"/>
    <w:rsid w:val="00E7770E"/>
    <w:rsid w:val="00E872F2"/>
    <w:rsid w:val="00E8784D"/>
    <w:rsid w:val="00E91DEF"/>
    <w:rsid w:val="00EA728B"/>
    <w:rsid w:val="00EB4F54"/>
    <w:rsid w:val="00EC3906"/>
    <w:rsid w:val="00ED68E5"/>
    <w:rsid w:val="00EE5403"/>
    <w:rsid w:val="00EF22B4"/>
    <w:rsid w:val="00F3390A"/>
    <w:rsid w:val="00F35515"/>
    <w:rsid w:val="00F67236"/>
    <w:rsid w:val="00F7158D"/>
    <w:rsid w:val="00FA14B7"/>
    <w:rsid w:val="00FA604D"/>
    <w:rsid w:val="00FD1ED4"/>
    <w:rsid w:val="00FD22AF"/>
    <w:rsid w:val="00FE55AC"/>
    <w:rsid w:val="00FE6708"/>
    <w:rsid w:val="00FF5471"/>
    <w:rsid w:val="00FF5FE8"/>
    <w:rsid w:val="01F23F8F"/>
    <w:rsid w:val="0CB91808"/>
    <w:rsid w:val="0CCD48BA"/>
    <w:rsid w:val="1240138C"/>
    <w:rsid w:val="177E35C1"/>
    <w:rsid w:val="1B0D31FE"/>
    <w:rsid w:val="1BD15AF9"/>
    <w:rsid w:val="21E664D9"/>
    <w:rsid w:val="25697936"/>
    <w:rsid w:val="28A57CFB"/>
    <w:rsid w:val="2E230FDF"/>
    <w:rsid w:val="36B91E8D"/>
    <w:rsid w:val="43716D51"/>
    <w:rsid w:val="43DC7982"/>
    <w:rsid w:val="46076F25"/>
    <w:rsid w:val="460B516C"/>
    <w:rsid w:val="46B97D48"/>
    <w:rsid w:val="4AF356C5"/>
    <w:rsid w:val="55D0586C"/>
    <w:rsid w:val="59483C23"/>
    <w:rsid w:val="5BA4291A"/>
    <w:rsid w:val="5C2650D4"/>
    <w:rsid w:val="5E91275C"/>
    <w:rsid w:val="64EE054D"/>
    <w:rsid w:val="67165099"/>
    <w:rsid w:val="6CCD0875"/>
    <w:rsid w:val="6F1B7B9D"/>
    <w:rsid w:val="705E3514"/>
    <w:rsid w:val="78872878"/>
    <w:rsid w:val="7DA61BF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qFormat="1" w:unhideWhenUsed="0"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99" w:name="toc 6"/>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index 6"/>
    <w:basedOn w:val="1"/>
    <w:next w:val="1"/>
    <w:semiHidden/>
    <w:qFormat/>
    <w:uiPriority w:val="99"/>
    <w:pPr>
      <w:widowControl/>
      <w:spacing w:line="600" w:lineRule="exact"/>
      <w:ind w:firstLine="616" w:firstLineChars="200"/>
    </w:pPr>
    <w:rPr>
      <w:rFonts w:ascii="仿宋_GB2312" w:hAnsi="仿宋" w:eastAsia="仿宋_GB2312" w:cs="仿宋_GB2312"/>
      <w:spacing w:val="-6"/>
      <w:kern w:val="0"/>
      <w:sz w:val="32"/>
      <w:szCs w:val="32"/>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2"/>
    <w:semiHidden/>
    <w:uiPriority w:val="99"/>
    <w:pPr>
      <w:pBdr>
        <w:bottom w:val="single" w:color="auto" w:sz="6" w:space="1"/>
      </w:pBdr>
      <w:tabs>
        <w:tab w:val="center" w:pos="4153"/>
        <w:tab w:val="right" w:pos="8306"/>
      </w:tabs>
      <w:snapToGrid w:val="0"/>
      <w:jc w:val="center"/>
    </w:pPr>
    <w:rPr>
      <w:sz w:val="18"/>
      <w:szCs w:val="18"/>
    </w:rPr>
  </w:style>
  <w:style w:type="paragraph" w:styleId="5">
    <w:name w:val="toc 6"/>
    <w:basedOn w:val="2"/>
    <w:next w:val="1"/>
    <w:semiHidden/>
    <w:uiPriority w:val="99"/>
    <w:pPr>
      <w:spacing w:before="100" w:beforeAutospacing="1" w:after="100" w:afterAutospacing="1"/>
      <w:jc w:val="left"/>
    </w:pPr>
    <w:rPr>
      <w:rFonts w:ascii="宋体" w:hAnsi="宋体" w:cs="宋体"/>
      <w:sz w:val="24"/>
      <w:szCs w:val="24"/>
    </w:rPr>
  </w:style>
  <w:style w:type="character" w:styleId="7">
    <w:name w:val="Strong"/>
    <w:basedOn w:val="6"/>
    <w:qFormat/>
    <w:uiPriority w:val="99"/>
    <w:rPr>
      <w:b/>
      <w:bCs/>
    </w:rPr>
  </w:style>
  <w:style w:type="character" w:styleId="8">
    <w:name w:val="page number"/>
    <w:basedOn w:val="6"/>
    <w:uiPriority w:val="99"/>
  </w:style>
  <w:style w:type="character" w:styleId="9">
    <w:name w:val="Hyperlink"/>
    <w:basedOn w:val="6"/>
    <w:uiPriority w:val="99"/>
    <w:rPr>
      <w:color w:val="333333"/>
      <w:u w:val="single"/>
      <w:shd w:val="clear" w:color="auto" w:fill="auto"/>
    </w:rPr>
  </w:style>
  <w:style w:type="character" w:customStyle="1" w:styleId="11">
    <w:name w:val="Footer Char"/>
    <w:basedOn w:val="6"/>
    <w:link w:val="3"/>
    <w:locked/>
    <w:uiPriority w:val="99"/>
    <w:rPr>
      <w:sz w:val="18"/>
      <w:szCs w:val="18"/>
    </w:rPr>
  </w:style>
  <w:style w:type="character" w:customStyle="1" w:styleId="12">
    <w:name w:val="Header Char"/>
    <w:basedOn w:val="6"/>
    <w:link w:val="4"/>
    <w:semiHidden/>
    <w:locked/>
    <w:uiPriority w:val="99"/>
    <w:rPr>
      <w:sz w:val="18"/>
      <w:szCs w:val="18"/>
    </w:rPr>
  </w:style>
  <w:style w:type="paragraph" w:customStyle="1" w:styleId="13">
    <w:name w:val="列出段落1"/>
    <w:basedOn w:val="1"/>
    <w:uiPriority w:val="99"/>
    <w:pPr>
      <w:ind w:firstLine="420" w:firstLineChars="200"/>
    </w:pPr>
  </w:style>
  <w:style w:type="paragraph" w:customStyle="1" w:styleId="14">
    <w:name w:val="Defaul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22</Pages>
  <Words>1842</Words>
  <Characters>10501</Characters>
  <Lines>0</Lines>
  <Paragraphs>0</Paragraphs>
  <TotalTime>0</TotalTime>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2017-07-17T09:36:00Z</dcterms:created>
  <dc:creator>Sky123.Org</dc:creator>
  <cp:lastModifiedBy>Administrator</cp:lastModifiedBy>
  <dcterms:modified xsi:type="dcterms:W3CDTF">2017-07-19T09:56:01Z</dcterms:modified>
  <dc:title>《益阳市关于促进五大融合加快发展健康产业实施方案》（代拟稿讨论稿）</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