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eastAsia="黑体" w:cs="Times New Roman"/>
          <w:sz w:val="36"/>
          <w:szCs w:val="32"/>
        </w:rPr>
      </w:pPr>
      <w:bookmarkStart w:id="0" w:name="_GoBack"/>
      <w:bookmarkEnd w:id="0"/>
      <w:r>
        <w:rPr>
          <w:rFonts w:hint="eastAsia" w:ascii="Arial" w:hAnsi="Arial" w:eastAsia="黑体" w:cs="Arial"/>
          <w:sz w:val="36"/>
          <w:szCs w:val="32"/>
          <w:lang w:eastAsia="zh-CN"/>
        </w:rPr>
        <w:t>益阳市</w:t>
      </w:r>
      <w:r>
        <w:rPr>
          <w:rFonts w:hint="eastAsia" w:ascii="Arial" w:hAnsi="Arial" w:eastAsia="黑体" w:cs="Arial"/>
          <w:sz w:val="36"/>
          <w:szCs w:val="32"/>
        </w:rPr>
        <w:t>水利局</w:t>
      </w:r>
      <w:r>
        <w:rPr>
          <w:rFonts w:eastAsia="黑体" w:cs="Times New Roman"/>
          <w:sz w:val="36"/>
          <w:szCs w:val="32"/>
        </w:rPr>
        <w:t>202</w:t>
      </w:r>
      <w:r>
        <w:rPr>
          <w:rFonts w:hint="eastAsia" w:eastAsia="黑体" w:cs="Times New Roman"/>
          <w:sz w:val="36"/>
          <w:szCs w:val="32"/>
        </w:rPr>
        <w:t>1</w:t>
      </w:r>
      <w:r>
        <w:rPr>
          <w:rFonts w:eastAsia="黑体" w:cs="Times New Roman"/>
          <w:sz w:val="36"/>
          <w:szCs w:val="32"/>
        </w:rPr>
        <w:t>年度水利发展资金</w:t>
      </w:r>
    </w:p>
    <w:p>
      <w:pPr>
        <w:ind w:firstLine="0" w:firstLineChars="0"/>
        <w:jc w:val="center"/>
        <w:rPr>
          <w:rFonts w:eastAsia="华文楷体" w:cs="Times New Roman"/>
          <w:sz w:val="36"/>
          <w:szCs w:val="32"/>
        </w:rPr>
      </w:pPr>
      <w:r>
        <w:rPr>
          <w:rFonts w:hint="eastAsia" w:eastAsia="黑体" w:cs="Times New Roman"/>
          <w:sz w:val="36"/>
          <w:szCs w:val="32"/>
          <w:lang w:eastAsia="zh-CN"/>
        </w:rPr>
        <w:t>（山洪灾害防治项目）</w:t>
      </w:r>
      <w:r>
        <w:rPr>
          <w:rFonts w:eastAsia="黑体" w:cs="Times New Roman"/>
          <w:sz w:val="36"/>
          <w:szCs w:val="32"/>
        </w:rPr>
        <w:t>绩效自评报告</w:t>
      </w:r>
    </w:p>
    <w:p>
      <w:pPr>
        <w:pStyle w:val="3"/>
        <w:spacing w:line="560" w:lineRule="exact"/>
        <w:ind w:firstLine="640"/>
        <w:rPr>
          <w:rFonts w:eastAsia="黑体" w:cs="Times New Roman"/>
          <w:b w:val="0"/>
          <w:bCs w:val="0"/>
        </w:rPr>
      </w:pPr>
      <w:r>
        <w:rPr>
          <w:rFonts w:eastAsia="黑体" w:cs="Times New Roman"/>
          <w:b w:val="0"/>
          <w:bCs w:val="0"/>
        </w:rPr>
        <w:t>一、概述</w:t>
      </w:r>
    </w:p>
    <w:p>
      <w:pPr>
        <w:pStyle w:val="4"/>
        <w:spacing w:line="560" w:lineRule="exact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（一）本省下达水利发展资金预算和绩效目标情况</w:t>
      </w:r>
    </w:p>
    <w:p>
      <w:pPr>
        <w:spacing w:line="560" w:lineRule="exact"/>
        <w:ind w:firstLine="640"/>
      </w:pPr>
      <w:r>
        <w:rPr>
          <w:rFonts w:hint="eastAsia"/>
        </w:rPr>
        <w:t>1、本省下达水利发展资金预算情况</w:t>
      </w:r>
    </w:p>
    <w:p>
      <w:pPr>
        <w:pStyle w:val="4"/>
        <w:spacing w:line="560" w:lineRule="exact"/>
        <w:ind w:firstLine="640"/>
        <w:rPr>
          <w:rFonts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color w:val="000000"/>
        </w:rPr>
        <w:t>《湖南省财政厅关于提前下达2021年第一批中央水利发展资金的通知》（湘财预〔2020〕306号）下达我</w:t>
      </w:r>
      <w:r>
        <w:rPr>
          <w:rFonts w:hint="eastAsia" w:ascii="仿宋_GB2312" w:hAnsi="仿宋_GB2312" w:cs="仿宋_GB2312"/>
          <w:color w:val="000000"/>
          <w:lang w:eastAsia="zh-CN"/>
        </w:rPr>
        <w:t>市市本级</w:t>
      </w:r>
      <w:r>
        <w:rPr>
          <w:rFonts w:hint="eastAsia" w:ascii="仿宋_GB2312" w:hAnsi="仿宋_GB2312" w:cs="仿宋_GB2312"/>
          <w:color w:val="000000"/>
        </w:rPr>
        <w:t>山洪灾害</w:t>
      </w:r>
      <w:r>
        <w:rPr>
          <w:rFonts w:hint="eastAsia" w:ascii="仿宋_GB2312" w:hAnsi="仿宋_GB2312" w:cs="仿宋_GB2312"/>
          <w:color w:val="000000"/>
          <w:lang w:eastAsia="zh-CN"/>
        </w:rPr>
        <w:t>防治资金</w:t>
      </w:r>
      <w:r>
        <w:rPr>
          <w:rFonts w:hint="eastAsia" w:ascii="仿宋_GB2312" w:hAnsi="仿宋_GB2312" w:cs="仿宋_GB2312"/>
          <w:color w:val="000000"/>
          <w:lang w:val="en-US" w:eastAsia="zh-CN"/>
        </w:rPr>
        <w:t>525</w:t>
      </w:r>
      <w:r>
        <w:rPr>
          <w:rFonts w:hint="eastAsia" w:ascii="仿宋_GB2312" w:hAnsi="仿宋_GB2312" w:cs="仿宋_GB2312"/>
          <w:color w:val="000000"/>
        </w:rPr>
        <w:t>万元。</w:t>
      </w:r>
    </w:p>
    <w:p>
      <w:pPr>
        <w:spacing w:line="560" w:lineRule="exact"/>
        <w:ind w:firstLine="800" w:firstLineChars="250"/>
        <w:rPr>
          <w:color w:val="000000"/>
        </w:rPr>
      </w:pPr>
      <w:r>
        <w:rPr>
          <w:rFonts w:hint="eastAsia"/>
          <w:color w:val="000000"/>
        </w:rPr>
        <w:t>2、绩效目标</w:t>
      </w:r>
    </w:p>
    <w:p>
      <w:pPr>
        <w:spacing w:line="600" w:lineRule="exact"/>
        <w:ind w:firstLine="640" w:firstLineChars="200"/>
        <w:rPr>
          <w:rFonts w:cs="Times New Roman"/>
          <w:color w:val="000000"/>
          <w:szCs w:val="32"/>
        </w:rPr>
      </w:pPr>
      <w:r>
        <w:rPr>
          <w:rFonts w:hint="eastAsia"/>
          <w:color w:val="000000"/>
          <w:lang w:eastAsia="zh-CN"/>
        </w:rPr>
        <w:t>山洪灾害防治非工程措施</w:t>
      </w:r>
      <w:r>
        <w:rPr>
          <w:rFonts w:hint="eastAsia"/>
          <w:color w:val="000000"/>
          <w:lang w:val="en-US" w:eastAsia="zh-CN"/>
        </w:rPr>
        <w:t>525</w:t>
      </w:r>
      <w:r>
        <w:rPr>
          <w:rFonts w:hint="eastAsia"/>
          <w:color w:val="000000"/>
        </w:rPr>
        <w:t>万元的绩效目标</w:t>
      </w:r>
      <w:r>
        <w:rPr>
          <w:rFonts w:hint="eastAsia"/>
          <w:color w:val="000000"/>
          <w:lang w:eastAsia="zh-CN"/>
        </w:rPr>
        <w:t>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通过山洪灾害非工程措施提质改造建设，进一步提升基层灾害防治能力。</w:t>
      </w:r>
      <w:r>
        <w:rPr>
          <w:rFonts w:hint="eastAsia"/>
          <w:color w:val="000000"/>
          <w:lang w:eastAsia="zh-CN"/>
        </w:rPr>
        <w:t>实施山洪灾害防治县数</w:t>
      </w:r>
      <w:r>
        <w:rPr>
          <w:rFonts w:hint="eastAsia"/>
          <w:color w:val="000000"/>
          <w:lang w:val="en-US" w:eastAsia="zh-CN"/>
        </w:rPr>
        <w:t>4个，</w:t>
      </w:r>
      <w:r>
        <w:rPr>
          <w:rFonts w:hint="eastAsia"/>
          <w:color w:val="000000"/>
          <w:lang w:eastAsia="zh-CN"/>
        </w:rPr>
        <w:t>保护人口数量</w:t>
      </w:r>
      <w:r>
        <w:rPr>
          <w:rFonts w:hint="eastAsia"/>
          <w:color w:val="000000"/>
          <w:lang w:val="en-US" w:eastAsia="zh-CN"/>
        </w:rPr>
        <w:t>99.17万人</w:t>
      </w:r>
      <w:r>
        <w:rPr>
          <w:rFonts w:hint="eastAsia" w:ascii="仿宋" w:hAnsi="仿宋" w:eastAsia="仿宋"/>
          <w:color w:val="000000"/>
          <w:szCs w:val="32"/>
        </w:rPr>
        <w:t>。</w:t>
      </w:r>
    </w:p>
    <w:p>
      <w:pPr>
        <w:spacing w:line="560" w:lineRule="exact"/>
        <w:ind w:firstLine="640"/>
        <w:rPr>
          <w:rFonts w:eastAsia="楷体_GB2312" w:cs="Times New Roman"/>
          <w:b/>
          <w:bCs/>
          <w:color w:val="000000"/>
        </w:rPr>
      </w:pPr>
      <w:r>
        <w:rPr>
          <w:rFonts w:hint="eastAsia" w:ascii="仿宋" w:hAnsi="仿宋" w:eastAsia="仿宋"/>
          <w:color w:val="000000"/>
          <w:szCs w:val="32"/>
        </w:rPr>
        <w:t>（二）</w:t>
      </w:r>
      <w:r>
        <w:rPr>
          <w:rFonts w:eastAsia="楷体_GB2312" w:cs="Times New Roman"/>
          <w:b/>
          <w:color w:val="000000"/>
        </w:rPr>
        <w:t>实施项目情况</w:t>
      </w:r>
    </w:p>
    <w:p>
      <w:pPr>
        <w:spacing w:line="560" w:lineRule="exact"/>
        <w:ind w:firstLine="640"/>
        <w:rPr>
          <w:rFonts w:cs="Times New Roman"/>
          <w:color w:val="000000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根据省水利厅《湖南省2021年度山洪灾害防治项目实施方案》(湘水办[2021]12号）文件要求，益阳市水利局承担2021年度山洪灾害防治项目建设实施工作任务，在坚决落实省厅下达建设任务的前提下，前后7次调整修改实施方案，于9月15日，组织专家及相关区县市对实施方案进行审查并下达批复。建设内容包括桃江县、赫山区、资阳区、沅江市4个城镇，16个集镇等重点城(集)镇调查评价工作；4个区县市防治区范围内45个雨量站、25个自动水位站、16个图像视频站等外设测站的山洪灾害监测预警能力巩固提升；4个区县市防治区范围内村镇130套简易雨量站、800套手摇警报器、1200面铜锣的群策群防体系建设。</w:t>
      </w:r>
    </w:p>
    <w:p>
      <w:pPr>
        <w:pStyle w:val="3"/>
        <w:spacing w:line="560" w:lineRule="exact"/>
        <w:ind w:firstLine="640"/>
        <w:rPr>
          <w:rFonts w:eastAsia="黑体" w:cs="Times New Roman"/>
          <w:b w:val="0"/>
          <w:bCs w:val="0"/>
        </w:rPr>
      </w:pPr>
      <w:r>
        <w:rPr>
          <w:rFonts w:eastAsia="黑体" w:cs="Times New Roman"/>
          <w:b w:val="0"/>
          <w:bCs w:val="0"/>
        </w:rPr>
        <w:t>二、绩效自评工作开展情况</w:t>
      </w:r>
    </w:p>
    <w:p>
      <w:pPr>
        <w:pStyle w:val="4"/>
        <w:spacing w:line="560" w:lineRule="exact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（一）自评依据</w:t>
      </w:r>
    </w:p>
    <w:p>
      <w:pPr>
        <w:spacing w:line="560" w:lineRule="exact"/>
        <w:ind w:firstLine="640"/>
      </w:pPr>
      <w:r>
        <w:rPr>
          <w:rFonts w:hint="eastAsia"/>
        </w:rPr>
        <w:t>1、</w:t>
      </w:r>
      <w:r>
        <w:rPr>
          <w:rFonts w:hint="eastAsia" w:ascii="仿宋_GB2312" w:hAnsi="仿宋_GB2312" w:cs="仿宋_GB2312"/>
          <w:color w:val="000000"/>
        </w:rPr>
        <w:t>《湖南省财政厅关于提前下达2021年第一批中央水利发展资金的通知》（湘财预〔2020〕306号）</w:t>
      </w:r>
    </w:p>
    <w:p>
      <w:pPr>
        <w:spacing w:line="560" w:lineRule="exact"/>
        <w:ind w:firstLine="640"/>
        <w:rPr>
          <w:rFonts w:ascii="仿宋_GB2312" w:hAnsi="仿宋_GB2312" w:cs="仿宋_GB2312"/>
          <w:color w:val="000000"/>
          <w:szCs w:val="32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 w:ascii="仿宋_GB2312" w:hAnsi="仿宋_GB2312" w:cs="仿宋_GB2312"/>
          <w:color w:val="000000"/>
          <w:szCs w:val="32"/>
        </w:rPr>
        <w:t>《湖南省财政厅关于下达2021年第三批省级新增水利预算资金的通知》（湘财农指〔2021〕78号）</w:t>
      </w:r>
    </w:p>
    <w:p>
      <w:pPr>
        <w:spacing w:line="560" w:lineRule="exact"/>
        <w:ind w:firstLine="64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、水利行业标准及技术规范，水利相关规划、实施方案，项目可行性研究报告、初步设计等批复文件，项目建设管理有关资料和数据等。</w:t>
      </w:r>
    </w:p>
    <w:p>
      <w:pPr>
        <w:spacing w:line="560" w:lineRule="exact"/>
        <w:ind w:firstLine="640"/>
        <w:rPr>
          <w:rFonts w:cs="Times New Roman"/>
          <w:color w:val="000000"/>
        </w:rPr>
      </w:pPr>
      <w:r>
        <w:rPr>
          <w:rFonts w:hint="eastAsia" w:cs="Times New Roman"/>
          <w:color w:val="000000"/>
          <w:lang w:val="en-US" w:eastAsia="zh-CN"/>
        </w:rPr>
        <w:t>4</w:t>
      </w:r>
      <w:r>
        <w:rPr>
          <w:rFonts w:hint="eastAsia" w:cs="Times New Roman"/>
          <w:color w:val="000000"/>
        </w:rPr>
        <w:t>、截至评价时，已形成的验收、审计、决算、稽察、检查报告等。</w:t>
      </w:r>
    </w:p>
    <w:p>
      <w:pPr>
        <w:pStyle w:val="4"/>
        <w:spacing w:line="560" w:lineRule="exact"/>
        <w:ind w:firstLine="481" w:firstLineChars="150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（二）自评方式</w:t>
      </w:r>
    </w:p>
    <w:p>
      <w:pPr>
        <w:spacing w:line="560" w:lineRule="exact"/>
        <w:ind w:firstLine="640"/>
      </w:pPr>
      <w:r>
        <w:rPr>
          <w:rFonts w:hint="eastAsia" w:cs="Times New Roman"/>
          <w:color w:val="000000"/>
        </w:rPr>
        <w:t>我局结合项目实施情况展开评价，从项目组织、项目管理、资金管理、实施效果等方面通过翻阅资料、现场查看等方法</w:t>
      </w:r>
      <w:r>
        <w:rPr>
          <w:rFonts w:hint="eastAsia"/>
        </w:rPr>
        <w:t>归纳问题，分析原因，提出建议，形成最终自评价报告。</w:t>
      </w:r>
    </w:p>
    <w:p>
      <w:pPr>
        <w:pStyle w:val="3"/>
        <w:spacing w:line="560" w:lineRule="exact"/>
        <w:ind w:firstLine="640"/>
        <w:rPr>
          <w:rFonts w:eastAsia="黑体" w:cs="Times New Roman"/>
          <w:b w:val="0"/>
          <w:bCs w:val="0"/>
        </w:rPr>
      </w:pPr>
      <w:r>
        <w:rPr>
          <w:rFonts w:eastAsia="黑体" w:cs="Times New Roman"/>
          <w:b w:val="0"/>
          <w:bCs w:val="0"/>
        </w:rPr>
        <w:t>三、绩效自评分析</w:t>
      </w:r>
    </w:p>
    <w:p>
      <w:pPr>
        <w:pStyle w:val="4"/>
        <w:spacing w:line="560" w:lineRule="exact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（一）项目资金情况分析</w:t>
      </w:r>
    </w:p>
    <w:p>
      <w:pPr>
        <w:spacing w:line="560" w:lineRule="exact"/>
        <w:ind w:firstLine="640"/>
        <w:rPr>
          <w:rFonts w:cs="Times New Roman"/>
        </w:rPr>
      </w:pPr>
      <w:r>
        <w:rPr>
          <w:rFonts w:cs="Times New Roman"/>
        </w:rPr>
        <w:t>1.资金到位情况</w:t>
      </w:r>
    </w:p>
    <w:p>
      <w:pPr>
        <w:spacing w:line="560" w:lineRule="exact"/>
        <w:ind w:firstLine="640"/>
        <w:rPr>
          <w:rFonts w:cs="Times New Roman"/>
        </w:rPr>
      </w:pPr>
      <w:r>
        <w:rPr>
          <w:rFonts w:cs="Times New Roman"/>
        </w:rPr>
        <w:t>202</w:t>
      </w:r>
      <w:r>
        <w:rPr>
          <w:rFonts w:hint="eastAsia" w:cs="Times New Roman"/>
        </w:rPr>
        <w:t>1</w:t>
      </w:r>
      <w:r>
        <w:rPr>
          <w:rFonts w:cs="Times New Roman"/>
        </w:rPr>
        <w:t>年度中央和省级财政资金</w:t>
      </w:r>
      <w:r>
        <w:rPr>
          <w:rFonts w:hint="eastAsia" w:cs="Times New Roman"/>
        </w:rPr>
        <w:t>均已到位，具体情况见下表。</w:t>
      </w:r>
    </w:p>
    <w:p>
      <w:pPr>
        <w:ind w:firstLine="0" w:firstLineChars="0"/>
        <w:jc w:val="center"/>
        <w:rPr>
          <w:rFonts w:cs="Times New Roman"/>
        </w:rPr>
      </w:pPr>
      <w:r>
        <w:rPr>
          <w:rFonts w:cs="Times New Roman"/>
        </w:rPr>
        <w:t>表3-1 202</w:t>
      </w:r>
      <w:r>
        <w:rPr>
          <w:rFonts w:hint="eastAsia" w:cs="Times New Roman"/>
        </w:rPr>
        <w:t>1</w:t>
      </w:r>
      <w:r>
        <w:rPr>
          <w:rFonts w:cs="Times New Roman"/>
        </w:rPr>
        <w:t>年度中央和省级财政资金到位情况表</w:t>
      </w:r>
    </w:p>
    <w:p>
      <w:pPr>
        <w:pStyle w:val="2"/>
      </w:pPr>
    </w:p>
    <w:tbl>
      <w:tblPr>
        <w:tblStyle w:val="11"/>
        <w:tblW w:w="8556" w:type="dxa"/>
        <w:tblInd w:w="0" w:type="dxa"/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2348"/>
        <w:gridCol w:w="551"/>
        <w:gridCol w:w="702"/>
        <w:gridCol w:w="821"/>
        <w:gridCol w:w="730"/>
        <w:gridCol w:w="711"/>
        <w:gridCol w:w="851"/>
        <w:gridCol w:w="848"/>
        <w:gridCol w:w="994"/>
      </w:tblGrid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10" w:hRule="atLeast"/>
          <w:tblHeader/>
        </w:trPr>
        <w:tc>
          <w:tcPr>
            <w:tcW w:w="2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分类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批复预算数（万元）</w:t>
            </w:r>
          </w:p>
        </w:tc>
        <w:tc>
          <w:tcPr>
            <w:tcW w:w="5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扣除脱贫县资金后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1" w:hRule="atLeast"/>
          <w:tblHeader/>
        </w:trPr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241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财政到位资金（万元）</w:t>
            </w:r>
          </w:p>
        </w:tc>
        <w:tc>
          <w:tcPr>
            <w:tcW w:w="99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中央和省级财政资金到位率（%）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7" w:hRule="atLeast"/>
          <w:tblHeader/>
        </w:trPr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总投资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5" w:hRule="atLeast"/>
          <w:tblHeader/>
        </w:trPr>
        <w:tc>
          <w:tcPr>
            <w:tcW w:w="2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中央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中央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9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0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山洪灾害防治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0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小计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100" w:firstLineChars="50"/>
              <w:rPr>
                <w:rFonts w:hint="default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100</w:t>
            </w:r>
          </w:p>
        </w:tc>
      </w:tr>
    </w:tbl>
    <w:p>
      <w:pPr>
        <w:ind w:firstLine="0" w:firstLineChars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注：财政资金到位率=(中央+省级财政到位资金)/（中央+省级资金预算数）</w:t>
      </w:r>
    </w:p>
    <w:p>
      <w:pPr>
        <w:spacing w:line="56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2.资金执行情况</w:t>
      </w:r>
    </w:p>
    <w:p>
      <w:pPr>
        <w:spacing w:line="560" w:lineRule="exact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项目资金严格按程序进行管理，建立健全了财务管理制度，资金做到了专款专用，无挪用和截留现象。我</w:t>
      </w:r>
      <w:r>
        <w:rPr>
          <w:rFonts w:hint="eastAsia" w:cs="Times New Roman"/>
          <w:szCs w:val="32"/>
          <w:lang w:eastAsia="zh-CN"/>
        </w:rPr>
        <w:t>市</w:t>
      </w:r>
      <w:r>
        <w:rPr>
          <w:rFonts w:hint="eastAsia" w:cs="Times New Roman"/>
          <w:szCs w:val="32"/>
        </w:rPr>
        <w:t>财政、水利部门按职责分工积极参与项目实施监督，各项目达到了预期治理目标。</w:t>
      </w:r>
      <w:r>
        <w:rPr>
          <w:rFonts w:cs="Times New Roman"/>
          <w:szCs w:val="32"/>
        </w:rPr>
        <w:t>截至202</w:t>
      </w:r>
      <w:r>
        <w:rPr>
          <w:rFonts w:hint="eastAsia" w:cs="Times New Roman"/>
          <w:szCs w:val="32"/>
        </w:rPr>
        <w:t>1</w:t>
      </w:r>
      <w:r>
        <w:rPr>
          <w:rFonts w:cs="Times New Roman"/>
          <w:szCs w:val="32"/>
        </w:rPr>
        <w:t>年12月底、202</w:t>
      </w:r>
      <w:r>
        <w:rPr>
          <w:rFonts w:hint="eastAsia" w:cs="Times New Roman"/>
          <w:szCs w:val="32"/>
        </w:rPr>
        <w:t>2</w:t>
      </w:r>
      <w:r>
        <w:rPr>
          <w:rFonts w:cs="Times New Roman"/>
          <w:szCs w:val="32"/>
        </w:rPr>
        <w:t>年6月底预算资金完成情况</w:t>
      </w:r>
      <w:r>
        <w:rPr>
          <w:rFonts w:hint="eastAsia" w:cs="Times New Roman"/>
          <w:szCs w:val="32"/>
        </w:rPr>
        <w:t>如下。</w:t>
      </w:r>
    </w:p>
    <w:p>
      <w:pPr>
        <w:ind w:firstLine="0" w:firstLineChars="0"/>
        <w:jc w:val="center"/>
        <w:rPr>
          <w:rFonts w:cs="Times New Roman"/>
        </w:rPr>
      </w:pPr>
      <w:r>
        <w:rPr>
          <w:rFonts w:cs="Times New Roman"/>
        </w:rPr>
        <w:t>表3-2 202</w:t>
      </w:r>
      <w:r>
        <w:rPr>
          <w:rFonts w:hint="eastAsia" w:cs="Times New Roman"/>
        </w:rPr>
        <w:t>1</w:t>
      </w:r>
      <w:r>
        <w:rPr>
          <w:rFonts w:cs="Times New Roman"/>
        </w:rPr>
        <w:t>年度水利发展资金执行情况表</w:t>
      </w:r>
    </w:p>
    <w:tbl>
      <w:tblPr>
        <w:tblStyle w:val="11"/>
        <w:tblW w:w="8408" w:type="dxa"/>
        <w:tblInd w:w="0" w:type="dxa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481"/>
        <w:gridCol w:w="1339"/>
        <w:gridCol w:w="1147"/>
        <w:gridCol w:w="1149"/>
        <w:gridCol w:w="1147"/>
        <w:gridCol w:w="1145"/>
      </w:tblGrid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81" w:hRule="atLeast"/>
          <w:tblHeader/>
        </w:trPr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分  类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投资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2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完成投资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2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投资完成率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（%）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5" w:hRule="atLeast"/>
          <w:tblHeader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  <w:tblHeader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截至202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年12月底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截至202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年6月底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截至202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年12月底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截至202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年6月底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山洪灾害防治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485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92.38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44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小计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485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92.38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</w:tbl>
    <w:p>
      <w:pPr>
        <w:spacing w:line="260" w:lineRule="exact"/>
        <w:ind w:firstLine="0" w:firstLineChars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注：1、根据</w:t>
      </w:r>
      <w:r>
        <w:rPr>
          <w:rFonts w:cs="Times New Roman"/>
          <w:color w:val="000000"/>
          <w:kern w:val="0"/>
          <w:sz w:val="20"/>
          <w:szCs w:val="20"/>
        </w:rPr>
        <w:t>扣除</w:t>
      </w:r>
      <w:r>
        <w:rPr>
          <w:rFonts w:hint="eastAsia" w:cs="Times New Roman"/>
          <w:color w:val="000000"/>
          <w:kern w:val="0"/>
          <w:sz w:val="20"/>
          <w:szCs w:val="20"/>
        </w:rPr>
        <w:t>国家级</w:t>
      </w:r>
      <w:r>
        <w:rPr>
          <w:rFonts w:cs="Times New Roman"/>
          <w:color w:val="000000"/>
          <w:kern w:val="0"/>
          <w:sz w:val="20"/>
          <w:szCs w:val="20"/>
        </w:rPr>
        <w:t>脱贫县资金</w:t>
      </w:r>
      <w:r>
        <w:rPr>
          <w:rFonts w:cs="Times New Roman"/>
          <w:sz w:val="20"/>
          <w:szCs w:val="20"/>
        </w:rPr>
        <w:t>后的投资（A）、完成投资（B）（包括中央财政资金、地方财政资金和其他资金）计算投资完成率（B/A）；2、表中数据不含</w:t>
      </w:r>
      <w:r>
        <w:rPr>
          <w:rFonts w:hint="eastAsia" w:cs="Times New Roman"/>
          <w:sz w:val="20"/>
          <w:szCs w:val="20"/>
        </w:rPr>
        <w:t>国家级</w:t>
      </w:r>
      <w:r>
        <w:rPr>
          <w:rFonts w:cs="Times New Roman"/>
          <w:sz w:val="20"/>
          <w:szCs w:val="20"/>
        </w:rPr>
        <w:t>脱贫县</w:t>
      </w:r>
    </w:p>
    <w:p>
      <w:pPr>
        <w:spacing w:line="56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3.资金管理情况</w:t>
      </w:r>
    </w:p>
    <w:p>
      <w:pPr>
        <w:widowControl w:val="0"/>
        <w:spacing w:line="56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资金管理</w:t>
      </w:r>
      <w:r>
        <w:rPr>
          <w:rFonts w:hint="eastAsia" w:cs="Times New Roman"/>
          <w:szCs w:val="32"/>
        </w:rPr>
        <w:t>严格按下达的资金预算文件、《湖南省水利发展资金管理办法》执行，所有项目没有违规使用资金的行为。</w:t>
      </w:r>
    </w:p>
    <w:p>
      <w:pPr>
        <w:pStyle w:val="4"/>
        <w:spacing w:line="560" w:lineRule="exact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（二）项目管理情况分析</w:t>
      </w:r>
    </w:p>
    <w:p>
      <w:pPr>
        <w:spacing w:line="56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1.组织实施</w:t>
      </w:r>
    </w:p>
    <w:p>
      <w:pPr>
        <w:widowControl w:val="0"/>
        <w:spacing w:line="560" w:lineRule="exact"/>
        <w:ind w:firstLine="640"/>
      </w:pPr>
      <w:r>
        <w:rPr>
          <w:rFonts w:hint="eastAsia"/>
        </w:rPr>
        <w:t>为切实加强领导，确保绩效评价工作落实到位，我局成立了绩效评价工作领导小组，及时布置绩效评价工作任务、开展绩效评价工作。</w:t>
      </w:r>
    </w:p>
    <w:p>
      <w:pPr>
        <w:widowControl w:val="0"/>
        <w:spacing w:line="560" w:lineRule="exact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在工程实施中，项目法人严格按照项目法人责任制、招标投标制、建设监理制和合同管理制及批复的设计文件，完善了项目建设相关手续，加强工程建设管理，严格控制建设标准，精心组织施工，确保工程质量。</w:t>
      </w:r>
    </w:p>
    <w:p>
      <w:pPr>
        <w:spacing w:line="56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2.绩效管理</w:t>
      </w:r>
    </w:p>
    <w:p>
      <w:pPr>
        <w:spacing w:line="560" w:lineRule="exact"/>
        <w:ind w:firstLine="640"/>
      </w:pPr>
      <w:r>
        <w:rPr>
          <w:rFonts w:hint="eastAsia"/>
        </w:rPr>
        <w:t>为确保绩效评价工作落实到位，我局制定了绩效管理办法，要求项目法人及时向上级单位申报绩效目标，并不定期的对项目实施的进度和资金拨付情况进行抽查，检查绩效目标情况。</w:t>
      </w:r>
      <w:r>
        <w:rPr>
          <w:rFonts w:hint="eastAsia"/>
          <w:szCs w:val="32"/>
        </w:rPr>
        <w:t>制定了相关规定，科学认真地分析影响项目实施成效的各个方面的因素，确保自评材料填报结果真实可靠，并及时形成、上报绩效自评报告。</w:t>
      </w:r>
    </w:p>
    <w:p>
      <w:pPr>
        <w:pStyle w:val="2"/>
        <w:spacing w:line="560" w:lineRule="exact"/>
        <w:ind w:left="298" w:leftChars="31" w:hanging="199" w:hangingChars="62"/>
        <w:rPr>
          <w:rFonts w:eastAsia="楷体_GB2312" w:cs="Times New Roman"/>
          <w:b/>
          <w:bCs/>
        </w:rPr>
      </w:pPr>
      <w:r>
        <w:rPr>
          <w:rFonts w:eastAsia="楷体_GB2312" w:cs="Times New Roman"/>
          <w:b/>
        </w:rPr>
        <w:t>（三）产出指标完成情况分析</w:t>
      </w:r>
    </w:p>
    <w:p>
      <w:pPr>
        <w:spacing w:line="56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1.项目数量指标</w:t>
      </w:r>
    </w:p>
    <w:p>
      <w:pPr>
        <w:widowControl w:val="0"/>
        <w:spacing w:line="560" w:lineRule="exact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对项目实施进度、完成数量与质量、项目实施的成本（预算）控制情况与节约情况等进行了分析，数量指标实际完成情况如下</w:t>
      </w:r>
      <w:r>
        <w:rPr>
          <w:rFonts w:cs="Times New Roman"/>
          <w:szCs w:val="32"/>
        </w:rPr>
        <w:t>。</w:t>
      </w:r>
    </w:p>
    <w:p>
      <w:pPr>
        <w:spacing w:line="56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表</w:t>
      </w:r>
      <w:r>
        <w:rPr>
          <w:rFonts w:cs="Times New Roman"/>
          <w:szCs w:val="32"/>
          <w:lang w:val="zh-CN"/>
        </w:rPr>
        <w:t>3</w:t>
      </w:r>
      <w:r>
        <w:rPr>
          <w:rFonts w:hint="eastAsia" w:cs="Times New Roman"/>
          <w:szCs w:val="32"/>
        </w:rPr>
        <w:t>-</w:t>
      </w:r>
      <w:r>
        <w:rPr>
          <w:rFonts w:cs="Times New Roman"/>
          <w:szCs w:val="32"/>
          <w:lang w:val="zh-CN"/>
        </w:rPr>
        <w:t xml:space="preserve">3 </w:t>
      </w:r>
      <w:r>
        <w:rPr>
          <w:rFonts w:hint="eastAsia" w:cs="Times New Roman"/>
          <w:szCs w:val="32"/>
        </w:rPr>
        <w:t>2021</w:t>
      </w:r>
      <w:r>
        <w:rPr>
          <w:rFonts w:cs="Times New Roman"/>
          <w:szCs w:val="32"/>
        </w:rPr>
        <w:t>年度水利发展资金项目数量指标情况表</w:t>
      </w:r>
    </w:p>
    <w:tbl>
      <w:tblPr>
        <w:tblStyle w:val="11"/>
        <w:tblW w:w="499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7"/>
        <w:gridCol w:w="4008"/>
        <w:gridCol w:w="596"/>
        <w:gridCol w:w="748"/>
        <w:gridCol w:w="8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exact"/>
          <w:jc w:val="center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30"/>
              <w:spacing w:line="12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预期</w:t>
            </w:r>
          </w:p>
          <w:p>
            <w:pPr>
              <w:pStyle w:val="30"/>
              <w:spacing w:line="12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30"/>
              <w:spacing w:line="12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实际完成</w:t>
            </w:r>
          </w:p>
          <w:p>
            <w:pPr>
              <w:pStyle w:val="30"/>
              <w:spacing w:line="12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山洪灾害防治</w:t>
            </w: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实施</w:t>
            </w:r>
            <w:r>
              <w:rPr>
                <w:rFonts w:hint="eastAsia"/>
                <w:color w:val="000000"/>
                <w:sz w:val="18"/>
                <w:szCs w:val="18"/>
              </w:rPr>
              <w:t>山洪灾害防治非工程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措施县数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</w:tbl>
    <w:p>
      <w:pPr>
        <w:spacing w:line="56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2.项目质量指标</w:t>
      </w:r>
    </w:p>
    <w:p>
      <w:pPr>
        <w:widowControl w:val="0"/>
        <w:spacing w:line="560" w:lineRule="exact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工程建设均符合设计、国家和行业技术标准以及合同约定的标准要求，工程建设不存在质量问题等</w:t>
      </w:r>
      <w:r>
        <w:rPr>
          <w:rFonts w:cs="Times New Roman"/>
          <w:szCs w:val="32"/>
        </w:rPr>
        <w:t>。</w:t>
      </w:r>
    </w:p>
    <w:p>
      <w:pPr>
        <w:spacing w:line="56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3.项目时效指标</w:t>
      </w:r>
    </w:p>
    <w:p>
      <w:pPr>
        <w:spacing w:line="56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截至202</w:t>
      </w:r>
      <w:r>
        <w:rPr>
          <w:rFonts w:hint="eastAsia" w:cs="Times New Roman"/>
          <w:szCs w:val="32"/>
        </w:rPr>
        <w:t>2</w:t>
      </w:r>
      <w:r>
        <w:rPr>
          <w:rFonts w:cs="Times New Roman"/>
          <w:szCs w:val="32"/>
        </w:rPr>
        <w:t>年6月底，项目开工、完工及验收情况</w:t>
      </w:r>
      <w:r>
        <w:rPr>
          <w:rFonts w:hint="eastAsia" w:cs="Times New Roman"/>
          <w:szCs w:val="32"/>
        </w:rPr>
        <w:t>如下。</w:t>
      </w:r>
    </w:p>
    <w:p>
      <w:pPr>
        <w:spacing w:line="560" w:lineRule="exact"/>
        <w:ind w:firstLine="0" w:firstLineChars="0"/>
        <w:jc w:val="center"/>
        <w:rPr>
          <w:rFonts w:cs="Times New Roman"/>
        </w:rPr>
      </w:pPr>
      <w:r>
        <w:rPr>
          <w:rFonts w:cs="Times New Roman"/>
        </w:rPr>
        <w:t>表3-</w:t>
      </w:r>
      <w:r>
        <w:rPr>
          <w:rFonts w:hint="eastAsia" w:cs="Times New Roman"/>
        </w:rPr>
        <w:t>4</w:t>
      </w:r>
      <w:r>
        <w:rPr>
          <w:rFonts w:cs="Times New Roman"/>
        </w:rPr>
        <w:t xml:space="preserve"> 202</w:t>
      </w:r>
      <w:r>
        <w:rPr>
          <w:rFonts w:hint="eastAsia" w:cs="Times New Roman"/>
        </w:rPr>
        <w:t>1</w:t>
      </w:r>
      <w:r>
        <w:rPr>
          <w:rFonts w:cs="Times New Roman"/>
        </w:rPr>
        <w:t>年度水利发展资金项目实施情况表</w:t>
      </w:r>
    </w:p>
    <w:tbl>
      <w:tblPr>
        <w:tblStyle w:val="11"/>
        <w:tblW w:w="8408" w:type="dxa"/>
        <w:tblInd w:w="0" w:type="dxa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3412"/>
        <w:gridCol w:w="713"/>
        <w:gridCol w:w="713"/>
        <w:gridCol w:w="713"/>
        <w:gridCol w:w="713"/>
        <w:gridCol w:w="718"/>
        <w:gridCol w:w="713"/>
        <w:gridCol w:w="713"/>
      </w:tblGrid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36" w:hRule="atLeast"/>
          <w:tblHeader/>
        </w:trPr>
        <w:tc>
          <w:tcPr>
            <w:tcW w:w="3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分  类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实施项目数（个）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完工率（%）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验收率（%）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  <w:tblHeader/>
        </w:trPr>
        <w:tc>
          <w:tcPr>
            <w:tcW w:w="3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总数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开工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完工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验收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验收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山洪灾害防治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100</w:t>
            </w:r>
          </w:p>
        </w:tc>
      </w:tr>
    </w:tbl>
    <w:p>
      <w:pPr>
        <w:spacing w:line="560" w:lineRule="exact"/>
        <w:ind w:firstLine="640"/>
        <w:rPr>
          <w:rFonts w:cs="Times New Roman"/>
        </w:rPr>
      </w:pPr>
      <w:r>
        <w:rPr>
          <w:rFonts w:cs="Times New Roman"/>
        </w:rPr>
        <w:t>4.项目成本指标</w:t>
      </w:r>
    </w:p>
    <w:p>
      <w:pPr>
        <w:widowControl w:val="0"/>
        <w:spacing w:line="560" w:lineRule="exact"/>
        <w:ind w:firstLine="640"/>
        <w:rPr>
          <w:rFonts w:cs="Times New Roman"/>
        </w:rPr>
      </w:pPr>
      <w:r>
        <w:rPr>
          <w:rFonts w:hint="eastAsia" w:cs="Times New Roman"/>
          <w:lang w:eastAsia="zh-CN"/>
        </w:rPr>
        <w:t>山洪灾害防治</w:t>
      </w:r>
      <w:r>
        <w:rPr>
          <w:rFonts w:hint="eastAsia" w:cs="Times New Roman"/>
        </w:rPr>
        <w:t>项目的实施成本控制在概算内。</w:t>
      </w:r>
    </w:p>
    <w:p>
      <w:pPr>
        <w:pStyle w:val="4"/>
        <w:spacing w:line="560" w:lineRule="exact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（四）效益指标完成情况分析</w:t>
      </w:r>
    </w:p>
    <w:p>
      <w:pPr>
        <w:spacing w:line="560" w:lineRule="exact"/>
        <w:ind w:firstLine="640"/>
        <w:rPr>
          <w:rFonts w:cs="Times New Roman"/>
        </w:rPr>
      </w:pPr>
      <w:r>
        <w:rPr>
          <w:rFonts w:cs="Times New Roman"/>
        </w:rPr>
        <w:t>对照</w:t>
      </w:r>
      <w:r>
        <w:rPr>
          <w:rFonts w:cs="Times New Roman"/>
          <w:szCs w:val="32"/>
        </w:rPr>
        <w:t>批复绩效目标及调整报备或报批后的绩效目标</w:t>
      </w:r>
      <w:r>
        <w:rPr>
          <w:rFonts w:cs="Times New Roman"/>
        </w:rPr>
        <w:t>，各效益指标实际完成情况</w:t>
      </w:r>
      <w:r>
        <w:rPr>
          <w:rFonts w:hint="eastAsia" w:cs="Times New Roman"/>
        </w:rPr>
        <w:t>分析如下。</w:t>
      </w:r>
    </w:p>
    <w:p>
      <w:pPr>
        <w:pStyle w:val="31"/>
        <w:numPr>
          <w:ilvl w:val="0"/>
          <w:numId w:val="1"/>
        </w:numPr>
        <w:spacing w:line="560" w:lineRule="exact"/>
        <w:ind w:firstLineChars="0"/>
        <w:rPr>
          <w:rFonts w:cs="Times New Roman"/>
          <w:color w:val="000000"/>
        </w:rPr>
      </w:pPr>
      <w:r>
        <w:rPr>
          <w:rFonts w:cs="Times New Roman"/>
          <w:color w:val="000000"/>
        </w:rPr>
        <w:t>项目实施的经济效益分析</w:t>
      </w:r>
    </w:p>
    <w:p>
      <w:pPr>
        <w:spacing w:line="600" w:lineRule="exact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</w:rPr>
        <w:t>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完成了4个区县市防治区范围内45个雨量站、25个自动水位站、16个图像视频站等外设测站，4个区县市防治区的群策群防体系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建设。</w:t>
      </w:r>
    </w:p>
    <w:p>
      <w:pPr>
        <w:spacing w:line="560" w:lineRule="exact"/>
        <w:ind w:firstLine="640" w:firstLineChars="0"/>
        <w:rPr>
          <w:rFonts w:cs="Times New Roman"/>
          <w:color w:val="000000"/>
        </w:rPr>
      </w:pPr>
      <w:r>
        <w:rPr>
          <w:rFonts w:hint="eastAsia" w:cs="Times New Roman"/>
          <w:color w:val="000000"/>
        </w:rPr>
        <w:t>2.</w:t>
      </w:r>
      <w:r>
        <w:rPr>
          <w:rFonts w:cs="Times New Roman"/>
          <w:color w:val="000000"/>
        </w:rPr>
        <w:t>项目实施的社会效益分析</w:t>
      </w:r>
    </w:p>
    <w:p>
      <w:pPr>
        <w:widowControl w:val="0"/>
        <w:spacing w:line="560" w:lineRule="exact"/>
        <w:ind w:firstLine="640"/>
        <w:outlineLvl w:val="0"/>
        <w:rPr>
          <w:rFonts w:cs="Times New Roman"/>
          <w:color w:val="000000"/>
        </w:rPr>
      </w:pPr>
      <w:r>
        <w:rPr>
          <w:rFonts w:hint="eastAsia" w:cs="Times New Roman"/>
          <w:color w:val="000000"/>
          <w:lang w:eastAsia="zh-CN"/>
        </w:rPr>
        <w:t>项目完成了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包括桃江县、赫山区、资阳区、沅江市4个城镇，16个集镇等重点城(集)镇调查评价工作。</w:t>
      </w:r>
      <w:r>
        <w:rPr>
          <w:rFonts w:hint="eastAsia" w:cs="Times New Roman"/>
          <w:color w:val="000000"/>
          <w:lang w:eastAsia="zh-CN"/>
        </w:rPr>
        <w:t>山洪灾害防治惠及</w:t>
      </w:r>
      <w:r>
        <w:rPr>
          <w:rFonts w:hint="eastAsia" w:cs="Times New Roman"/>
          <w:color w:val="000000"/>
          <w:lang w:val="en-US" w:eastAsia="zh-CN"/>
        </w:rPr>
        <w:t>4区县，</w:t>
      </w:r>
      <w:r>
        <w:rPr>
          <w:rFonts w:hint="eastAsia" w:cs="Times New Roman"/>
          <w:color w:val="000000"/>
          <w:lang w:eastAsia="zh-CN"/>
        </w:rPr>
        <w:t>保护人口</w:t>
      </w:r>
      <w:r>
        <w:rPr>
          <w:rFonts w:hint="eastAsia" w:cs="Times New Roman"/>
          <w:color w:val="000000"/>
          <w:lang w:val="en-US" w:eastAsia="zh-CN"/>
        </w:rPr>
        <w:t>99.17万人</w:t>
      </w:r>
      <w:r>
        <w:rPr>
          <w:rFonts w:hint="eastAsia" w:cs="Times New Roman"/>
          <w:color w:val="000000"/>
          <w:lang w:eastAsia="zh-CN"/>
        </w:rPr>
        <w:t>，</w:t>
      </w:r>
      <w:r>
        <w:rPr>
          <w:rFonts w:hint="eastAsia" w:cs="Times New Roman"/>
          <w:color w:val="000000"/>
        </w:rPr>
        <w:t>确保了水利工程完整及安全运行。</w:t>
      </w:r>
    </w:p>
    <w:p>
      <w:pPr>
        <w:spacing w:line="560" w:lineRule="exact"/>
        <w:ind w:firstLine="640" w:firstLineChars="0"/>
        <w:rPr>
          <w:rFonts w:cs="Times New Roman"/>
        </w:rPr>
      </w:pPr>
      <w:r>
        <w:rPr>
          <w:rFonts w:cs="Times New Roman"/>
        </w:rPr>
        <w:t>3.项目实施的生态效益分析</w:t>
      </w:r>
    </w:p>
    <w:p>
      <w:pPr>
        <w:widowControl w:val="0"/>
        <w:spacing w:line="560" w:lineRule="exact"/>
        <w:ind w:firstLine="640"/>
        <w:outlineLvl w:val="0"/>
        <w:rPr>
          <w:rFonts w:cs="Times New Roman"/>
        </w:rPr>
      </w:pPr>
      <w:r>
        <w:rPr>
          <w:rFonts w:hint="eastAsia" w:cs="Times New Roman"/>
        </w:rPr>
        <w:t>工程实施后，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山洪灾害监测预警能力巩固提升，</w:t>
      </w:r>
      <w:r>
        <w:rPr>
          <w:rFonts w:hint="eastAsia" w:cs="Times New Roman"/>
        </w:rPr>
        <w:t>生态</w:t>
      </w:r>
      <w:r>
        <w:rPr>
          <w:rFonts w:hint="eastAsia" w:cs="Times New Roman"/>
          <w:lang w:eastAsia="zh-CN"/>
        </w:rPr>
        <w:t>环境得以改善</w:t>
      </w:r>
      <w:r>
        <w:rPr>
          <w:rFonts w:hint="eastAsia" w:cs="Times New Roman"/>
        </w:rPr>
        <w:t>。</w:t>
      </w:r>
    </w:p>
    <w:p>
      <w:pPr>
        <w:spacing w:line="560" w:lineRule="exact"/>
        <w:ind w:firstLine="640"/>
        <w:rPr>
          <w:rFonts w:cs="Times New Roman"/>
        </w:rPr>
      </w:pPr>
      <w:r>
        <w:rPr>
          <w:rFonts w:cs="Times New Roman"/>
        </w:rPr>
        <w:t>4.项目实施的可持续影响分析</w:t>
      </w:r>
    </w:p>
    <w:p>
      <w:pPr>
        <w:widowControl w:val="0"/>
        <w:spacing w:line="560" w:lineRule="exact"/>
        <w:ind w:firstLine="640"/>
        <w:outlineLvl w:val="0"/>
        <w:rPr>
          <w:rFonts w:cs="Times New Roman"/>
        </w:rPr>
      </w:pPr>
      <w:r>
        <w:rPr>
          <w:rFonts w:hint="eastAsia" w:cs="Times New Roman"/>
        </w:rPr>
        <w:t>到目前为止，所有项目已基本完成，工程运行良好，能达到</w:t>
      </w:r>
      <w:r>
        <w:rPr>
          <w:rFonts w:hint="eastAsia" w:cs="Times New Roman"/>
          <w:lang w:eastAsia="zh-CN"/>
        </w:rPr>
        <w:t>设计</w:t>
      </w:r>
      <w:r>
        <w:rPr>
          <w:rFonts w:hint="eastAsia" w:cs="Times New Roman"/>
        </w:rPr>
        <w:t>使用年限。</w:t>
      </w:r>
    </w:p>
    <w:p>
      <w:pPr>
        <w:pStyle w:val="4"/>
        <w:spacing w:line="560" w:lineRule="exact"/>
        <w:ind w:firstLine="481" w:firstLineChars="150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（五）满意度指标完成情况分析</w:t>
      </w:r>
    </w:p>
    <w:p>
      <w:pPr>
        <w:widowControl w:val="0"/>
        <w:spacing w:line="560" w:lineRule="exact"/>
        <w:ind w:firstLine="640"/>
        <w:rPr>
          <w:rFonts w:cs="Times New Roman"/>
        </w:rPr>
      </w:pPr>
      <w:r>
        <w:rPr>
          <w:rFonts w:hint="eastAsia" w:cs="Times New Roman"/>
        </w:rPr>
        <w:t>项目完工后，我局向受益周边群众发放调查问卷</w:t>
      </w:r>
      <w:r>
        <w:rPr>
          <w:rFonts w:hint="eastAsia" w:cs="Times New Roman"/>
          <w:lang w:val="en-US" w:eastAsia="zh-CN"/>
        </w:rPr>
        <w:t>100</w:t>
      </w:r>
      <w:r>
        <w:rPr>
          <w:rFonts w:hint="eastAsia" w:cs="Times New Roman"/>
        </w:rPr>
        <w:t>份，回收</w:t>
      </w:r>
      <w:r>
        <w:rPr>
          <w:rFonts w:hint="eastAsia" w:cs="Times New Roman"/>
          <w:lang w:val="en-US" w:eastAsia="zh-CN"/>
        </w:rPr>
        <w:t>100</w:t>
      </w:r>
      <w:r>
        <w:rPr>
          <w:rFonts w:hint="eastAsia" w:cs="Times New Roman"/>
        </w:rPr>
        <w:t>份，</w:t>
      </w:r>
      <w:r>
        <w:rPr>
          <w:rFonts w:cs="Times New Roman"/>
        </w:rPr>
        <w:t>满意度调查结果</w:t>
      </w:r>
      <w:r>
        <w:rPr>
          <w:rFonts w:hint="eastAsia" w:cs="Times New Roman"/>
        </w:rPr>
        <w:t>统计如下</w:t>
      </w:r>
      <w:r>
        <w:rPr>
          <w:rFonts w:cs="Times New Roman"/>
        </w:rPr>
        <w:t>。</w:t>
      </w:r>
    </w:p>
    <w:p>
      <w:pPr>
        <w:spacing w:line="560" w:lineRule="exact"/>
        <w:ind w:firstLine="0" w:firstLineChars="0"/>
        <w:jc w:val="center"/>
        <w:rPr>
          <w:rFonts w:cs="Times New Roman"/>
        </w:rPr>
      </w:pPr>
      <w:r>
        <w:rPr>
          <w:rFonts w:cs="Times New Roman"/>
        </w:rPr>
        <w:t>表3-</w:t>
      </w:r>
      <w:r>
        <w:rPr>
          <w:rFonts w:hint="eastAsia" w:cs="Times New Roman"/>
        </w:rPr>
        <w:t>5</w:t>
      </w:r>
      <w:r>
        <w:rPr>
          <w:rFonts w:cs="Times New Roman"/>
        </w:rPr>
        <w:t xml:space="preserve"> 2020年度水利发展资金项目实施满意度调查情况表</w:t>
      </w:r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609"/>
        <w:gridCol w:w="1998"/>
        <w:gridCol w:w="15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县级</w:t>
            </w: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调查问卷数（份）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平均满意度（分）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市本级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ind w:firstLine="0" w:firstLineChars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注：表中数据不含脱贫县</w:t>
      </w:r>
    </w:p>
    <w:p>
      <w:pPr>
        <w:spacing w:line="560" w:lineRule="exact"/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四、偏离绩效目标原因和下一步改进措施</w:t>
      </w:r>
    </w:p>
    <w:p>
      <w:pPr>
        <w:pStyle w:val="2"/>
        <w:spacing w:line="560" w:lineRule="exact"/>
        <w:ind w:left="1280" w:hanging="640"/>
      </w:pPr>
      <w:r>
        <w:rPr>
          <w:rFonts w:hint="eastAsia"/>
        </w:rPr>
        <w:t>无</w:t>
      </w:r>
    </w:p>
    <w:p>
      <w:pPr>
        <w:pStyle w:val="3"/>
        <w:spacing w:line="560" w:lineRule="exact"/>
        <w:ind w:firstLine="640"/>
        <w:rPr>
          <w:rFonts w:eastAsia="黑体" w:cs="Times New Roman"/>
          <w:b w:val="0"/>
          <w:bCs w:val="0"/>
          <w:szCs w:val="32"/>
        </w:rPr>
      </w:pPr>
      <w:r>
        <w:rPr>
          <w:rFonts w:hint="eastAsia" w:eastAsia="黑体" w:cs="Times New Roman"/>
          <w:b w:val="0"/>
          <w:bCs w:val="0"/>
          <w:szCs w:val="32"/>
        </w:rPr>
        <w:t>五</w:t>
      </w:r>
      <w:r>
        <w:rPr>
          <w:rFonts w:eastAsia="黑体" w:cs="Times New Roman"/>
          <w:b w:val="0"/>
          <w:bCs w:val="0"/>
          <w:szCs w:val="32"/>
        </w:rPr>
        <w:t>、综合评价结论</w:t>
      </w:r>
    </w:p>
    <w:p>
      <w:pPr>
        <w:widowControl w:val="0"/>
        <w:spacing w:line="560" w:lineRule="exact"/>
        <w:ind w:firstLine="640"/>
        <w:outlineLvl w:val="0"/>
      </w:pPr>
      <w:r>
        <w:rPr>
          <w:rFonts w:hint="eastAsia" w:ascii="仿宋" w:hAnsi="仿宋" w:eastAsia="仿宋" w:cs="仿宋"/>
          <w:szCs w:val="32"/>
        </w:rPr>
        <w:t>为切实加强领导，确保完成全年总体目标落实到位，我局成立了绩效评价领导小组，并对各项目实施进度和资金拨付情况进行检查，截止到目前为止，各项目总体目标基本完成。所有项目在决策、管理、绩效等方面的控制上都取得了一定的成效，群众满意度也很高。2021度水利发展资金</w:t>
      </w:r>
      <w:r>
        <w:rPr>
          <w:rFonts w:hint="eastAsia" w:ascii="仿宋" w:hAnsi="仿宋" w:eastAsia="仿宋" w:cs="仿宋"/>
          <w:szCs w:val="32"/>
          <w:lang w:eastAsia="zh-CN"/>
        </w:rPr>
        <w:t>山洪灾害防治项目</w:t>
      </w:r>
      <w:r>
        <w:rPr>
          <w:rFonts w:hint="eastAsia" w:ascii="仿宋" w:hAnsi="仿宋" w:eastAsia="仿宋" w:cs="仿宋"/>
          <w:color w:val="000000"/>
          <w:szCs w:val="32"/>
        </w:rPr>
        <w:t>绩效自评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92</w:t>
      </w:r>
      <w:r>
        <w:rPr>
          <w:rFonts w:hint="eastAsia" w:ascii="仿宋" w:hAnsi="仿宋" w:eastAsia="仿宋" w:cs="仿宋"/>
          <w:color w:val="000000"/>
          <w:szCs w:val="32"/>
        </w:rPr>
        <w:t>分。</w:t>
      </w:r>
    </w:p>
    <w:p>
      <w:pPr>
        <w:pStyle w:val="3"/>
        <w:spacing w:line="560" w:lineRule="exact"/>
        <w:ind w:firstLine="640"/>
        <w:rPr>
          <w:rFonts w:eastAsia="黑体" w:cs="Times New Roman"/>
          <w:b w:val="0"/>
          <w:bCs w:val="0"/>
          <w:szCs w:val="32"/>
        </w:rPr>
      </w:pPr>
      <w:r>
        <w:rPr>
          <w:rFonts w:hint="eastAsia" w:eastAsia="黑体" w:cs="Times New Roman"/>
          <w:b w:val="0"/>
          <w:bCs w:val="0"/>
          <w:szCs w:val="32"/>
        </w:rPr>
        <w:t>六</w:t>
      </w:r>
      <w:r>
        <w:rPr>
          <w:rFonts w:eastAsia="黑体" w:cs="Times New Roman"/>
          <w:b w:val="0"/>
          <w:bCs w:val="0"/>
          <w:szCs w:val="32"/>
        </w:rPr>
        <w:t>、绩效评价结果拟应用和公开情况</w:t>
      </w:r>
    </w:p>
    <w:p>
      <w:pPr>
        <w:spacing w:line="560" w:lineRule="exact"/>
        <w:ind w:firstLine="6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建立健全评价结果与资金分配挂钩的奖惩机制，并在一定范围内公开绩效评价结果。</w:t>
      </w:r>
    </w:p>
    <w:p>
      <w:pPr>
        <w:pStyle w:val="3"/>
        <w:spacing w:line="560" w:lineRule="exact"/>
        <w:ind w:firstLine="640"/>
        <w:rPr>
          <w:rFonts w:eastAsia="黑体" w:cs="Times New Roman"/>
          <w:b w:val="0"/>
          <w:bCs w:val="0"/>
          <w:szCs w:val="32"/>
        </w:rPr>
      </w:pPr>
      <w:r>
        <w:rPr>
          <w:rFonts w:hint="eastAsia" w:eastAsia="黑体" w:cs="Times New Roman"/>
          <w:b w:val="0"/>
          <w:bCs w:val="0"/>
          <w:szCs w:val="32"/>
        </w:rPr>
        <w:t>七</w:t>
      </w:r>
      <w:r>
        <w:rPr>
          <w:rFonts w:eastAsia="黑体" w:cs="Times New Roman"/>
          <w:b w:val="0"/>
          <w:bCs w:val="0"/>
          <w:szCs w:val="32"/>
        </w:rPr>
        <w:t>、其他需说明的问题</w:t>
      </w:r>
    </w:p>
    <w:p>
      <w:pPr>
        <w:spacing w:line="560" w:lineRule="exact"/>
        <w:ind w:firstLine="640"/>
        <w:rPr>
          <w:rFonts w:cs="Times New Roman"/>
          <w:color w:val="000000"/>
          <w:szCs w:val="32"/>
        </w:rPr>
      </w:pPr>
      <w:r>
        <w:rPr>
          <w:rFonts w:hint="eastAsia" w:cs="Times New Roman"/>
          <w:color w:val="000000"/>
          <w:szCs w:val="32"/>
        </w:rPr>
        <w:t>无</w:t>
      </w:r>
    </w:p>
    <w:p>
      <w:pPr>
        <w:tabs>
          <w:tab w:val="left" w:pos="312"/>
        </w:tabs>
        <w:spacing w:line="560" w:lineRule="exact"/>
        <w:ind w:left="64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altName w:val="微软雅黑"/>
    <w:panose1 w:val="00000000000000000000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  <w:jc w:val="center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 xml:space="preserve">PAGE   \* MERGEFORMAT</w:instrText>
    </w:r>
    <w:r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  <w:lang w:val="zh-CN"/>
      </w:rPr>
      <w:t>4</w:t>
    </w:r>
    <w:r>
      <w:rPr>
        <w:rFonts w:cs="Times New Roman"/>
        <w:sz w:val="20"/>
        <w:szCs w:val="20"/>
      </w:rPr>
      <w:fldChar w:fldCharType="end"/>
    </w:r>
  </w:p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431AD"/>
    <w:multiLevelType w:val="multilevel"/>
    <w:tmpl w:val="5D5431AD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08"/>
    <w:rsid w:val="00002D8A"/>
    <w:rsid w:val="00012364"/>
    <w:rsid w:val="00013465"/>
    <w:rsid w:val="00014CAD"/>
    <w:rsid w:val="00020CF5"/>
    <w:rsid w:val="00027DF4"/>
    <w:rsid w:val="0003365D"/>
    <w:rsid w:val="00053432"/>
    <w:rsid w:val="0005405E"/>
    <w:rsid w:val="00055853"/>
    <w:rsid w:val="0005654E"/>
    <w:rsid w:val="000575FB"/>
    <w:rsid w:val="000579CF"/>
    <w:rsid w:val="000601F2"/>
    <w:rsid w:val="00064AA3"/>
    <w:rsid w:val="000723A3"/>
    <w:rsid w:val="00085210"/>
    <w:rsid w:val="00086883"/>
    <w:rsid w:val="00090FC7"/>
    <w:rsid w:val="000A7DB9"/>
    <w:rsid w:val="000B2959"/>
    <w:rsid w:val="000C5C46"/>
    <w:rsid w:val="000E37FA"/>
    <w:rsid w:val="000E4C6C"/>
    <w:rsid w:val="00103444"/>
    <w:rsid w:val="0012057E"/>
    <w:rsid w:val="00123A17"/>
    <w:rsid w:val="0013498A"/>
    <w:rsid w:val="00135D86"/>
    <w:rsid w:val="001373DF"/>
    <w:rsid w:val="00140681"/>
    <w:rsid w:val="00145CCF"/>
    <w:rsid w:val="00147044"/>
    <w:rsid w:val="001500D2"/>
    <w:rsid w:val="00170459"/>
    <w:rsid w:val="0018340E"/>
    <w:rsid w:val="001859AF"/>
    <w:rsid w:val="001876C3"/>
    <w:rsid w:val="001A647E"/>
    <w:rsid w:val="001B4882"/>
    <w:rsid w:val="001B6CC5"/>
    <w:rsid w:val="001D0AF8"/>
    <w:rsid w:val="001F1307"/>
    <w:rsid w:val="00200B6E"/>
    <w:rsid w:val="00201719"/>
    <w:rsid w:val="002060E8"/>
    <w:rsid w:val="00220EF5"/>
    <w:rsid w:val="00231EF9"/>
    <w:rsid w:val="00240DE9"/>
    <w:rsid w:val="0026291A"/>
    <w:rsid w:val="002633FB"/>
    <w:rsid w:val="00285F0C"/>
    <w:rsid w:val="002867FC"/>
    <w:rsid w:val="00287D33"/>
    <w:rsid w:val="00290900"/>
    <w:rsid w:val="00293FF6"/>
    <w:rsid w:val="002C1F1F"/>
    <w:rsid w:val="002C2938"/>
    <w:rsid w:val="002C4D7B"/>
    <w:rsid w:val="002C750C"/>
    <w:rsid w:val="002D27DE"/>
    <w:rsid w:val="002D2F44"/>
    <w:rsid w:val="002D40FB"/>
    <w:rsid w:val="002E70F3"/>
    <w:rsid w:val="002E76AF"/>
    <w:rsid w:val="002F32E7"/>
    <w:rsid w:val="00301D60"/>
    <w:rsid w:val="00320AD9"/>
    <w:rsid w:val="0032648B"/>
    <w:rsid w:val="00332111"/>
    <w:rsid w:val="0034512A"/>
    <w:rsid w:val="00357073"/>
    <w:rsid w:val="00361597"/>
    <w:rsid w:val="00380F8A"/>
    <w:rsid w:val="003824AF"/>
    <w:rsid w:val="003B1C56"/>
    <w:rsid w:val="003B77D6"/>
    <w:rsid w:val="003E01F1"/>
    <w:rsid w:val="003E578A"/>
    <w:rsid w:val="003F3FF5"/>
    <w:rsid w:val="00423224"/>
    <w:rsid w:val="00445B20"/>
    <w:rsid w:val="0047288E"/>
    <w:rsid w:val="00480286"/>
    <w:rsid w:val="00480D9A"/>
    <w:rsid w:val="00496A7D"/>
    <w:rsid w:val="004A0BFA"/>
    <w:rsid w:val="004A3DCD"/>
    <w:rsid w:val="004C0C46"/>
    <w:rsid w:val="004C51DE"/>
    <w:rsid w:val="0050753F"/>
    <w:rsid w:val="00511077"/>
    <w:rsid w:val="0051714F"/>
    <w:rsid w:val="0053068F"/>
    <w:rsid w:val="00535F81"/>
    <w:rsid w:val="005420C7"/>
    <w:rsid w:val="00544610"/>
    <w:rsid w:val="0054672D"/>
    <w:rsid w:val="00550698"/>
    <w:rsid w:val="00551F0F"/>
    <w:rsid w:val="00564C56"/>
    <w:rsid w:val="0057769E"/>
    <w:rsid w:val="00584ADC"/>
    <w:rsid w:val="005A47D9"/>
    <w:rsid w:val="005D1171"/>
    <w:rsid w:val="005D2092"/>
    <w:rsid w:val="005D7D1C"/>
    <w:rsid w:val="005E6875"/>
    <w:rsid w:val="005F36F6"/>
    <w:rsid w:val="00616078"/>
    <w:rsid w:val="006201A8"/>
    <w:rsid w:val="00622CC1"/>
    <w:rsid w:val="00624AE3"/>
    <w:rsid w:val="0065316A"/>
    <w:rsid w:val="00653819"/>
    <w:rsid w:val="00661C6A"/>
    <w:rsid w:val="00665CA8"/>
    <w:rsid w:val="0069117D"/>
    <w:rsid w:val="006967D9"/>
    <w:rsid w:val="006A7F09"/>
    <w:rsid w:val="006B4EEE"/>
    <w:rsid w:val="006C2B9E"/>
    <w:rsid w:val="006D4D92"/>
    <w:rsid w:val="006D62D8"/>
    <w:rsid w:val="006F5E54"/>
    <w:rsid w:val="006F62BD"/>
    <w:rsid w:val="00704C48"/>
    <w:rsid w:val="007141A8"/>
    <w:rsid w:val="007145BC"/>
    <w:rsid w:val="00720B2B"/>
    <w:rsid w:val="00725800"/>
    <w:rsid w:val="007455E6"/>
    <w:rsid w:val="007470F9"/>
    <w:rsid w:val="00753B8B"/>
    <w:rsid w:val="007678F7"/>
    <w:rsid w:val="007724CA"/>
    <w:rsid w:val="00773CE5"/>
    <w:rsid w:val="0079311F"/>
    <w:rsid w:val="007B013A"/>
    <w:rsid w:val="007B0ABB"/>
    <w:rsid w:val="007B3836"/>
    <w:rsid w:val="007B7137"/>
    <w:rsid w:val="007C7E66"/>
    <w:rsid w:val="007D5885"/>
    <w:rsid w:val="007E1987"/>
    <w:rsid w:val="007E3104"/>
    <w:rsid w:val="007F0808"/>
    <w:rsid w:val="007F191A"/>
    <w:rsid w:val="007F3550"/>
    <w:rsid w:val="007F4374"/>
    <w:rsid w:val="007F7064"/>
    <w:rsid w:val="00802AAE"/>
    <w:rsid w:val="008410A9"/>
    <w:rsid w:val="008462F8"/>
    <w:rsid w:val="00863BE8"/>
    <w:rsid w:val="00863E87"/>
    <w:rsid w:val="00877B7F"/>
    <w:rsid w:val="008804D7"/>
    <w:rsid w:val="008839E5"/>
    <w:rsid w:val="0088423B"/>
    <w:rsid w:val="008857EB"/>
    <w:rsid w:val="00895CDF"/>
    <w:rsid w:val="008A1303"/>
    <w:rsid w:val="008A4A31"/>
    <w:rsid w:val="008C2580"/>
    <w:rsid w:val="008D020F"/>
    <w:rsid w:val="008D3C72"/>
    <w:rsid w:val="008F6BA1"/>
    <w:rsid w:val="009071A1"/>
    <w:rsid w:val="00924E67"/>
    <w:rsid w:val="009373C7"/>
    <w:rsid w:val="0094041F"/>
    <w:rsid w:val="00943161"/>
    <w:rsid w:val="00944EC1"/>
    <w:rsid w:val="00961799"/>
    <w:rsid w:val="009700E5"/>
    <w:rsid w:val="00980EEE"/>
    <w:rsid w:val="00986426"/>
    <w:rsid w:val="00992822"/>
    <w:rsid w:val="009A0E7B"/>
    <w:rsid w:val="009A1AF2"/>
    <w:rsid w:val="009A2B21"/>
    <w:rsid w:val="009A6E08"/>
    <w:rsid w:val="009E5135"/>
    <w:rsid w:val="009E543F"/>
    <w:rsid w:val="009F3904"/>
    <w:rsid w:val="00A021BD"/>
    <w:rsid w:val="00A101DB"/>
    <w:rsid w:val="00A13C49"/>
    <w:rsid w:val="00A249B8"/>
    <w:rsid w:val="00A35312"/>
    <w:rsid w:val="00A3771F"/>
    <w:rsid w:val="00A405B4"/>
    <w:rsid w:val="00A411D4"/>
    <w:rsid w:val="00A53250"/>
    <w:rsid w:val="00A839F6"/>
    <w:rsid w:val="00A86C6C"/>
    <w:rsid w:val="00A93110"/>
    <w:rsid w:val="00A9324C"/>
    <w:rsid w:val="00AA5432"/>
    <w:rsid w:val="00AA6E5F"/>
    <w:rsid w:val="00AB3D78"/>
    <w:rsid w:val="00AD6CF4"/>
    <w:rsid w:val="00AE6DAE"/>
    <w:rsid w:val="00AF39A7"/>
    <w:rsid w:val="00B00E06"/>
    <w:rsid w:val="00B00FB1"/>
    <w:rsid w:val="00B01FF2"/>
    <w:rsid w:val="00B04388"/>
    <w:rsid w:val="00B07DAB"/>
    <w:rsid w:val="00B33A0E"/>
    <w:rsid w:val="00B35FD0"/>
    <w:rsid w:val="00B37457"/>
    <w:rsid w:val="00B420FA"/>
    <w:rsid w:val="00B42BB4"/>
    <w:rsid w:val="00B477E8"/>
    <w:rsid w:val="00B53C28"/>
    <w:rsid w:val="00B5681B"/>
    <w:rsid w:val="00B8383C"/>
    <w:rsid w:val="00B97A4A"/>
    <w:rsid w:val="00BA1AD8"/>
    <w:rsid w:val="00BA2FDB"/>
    <w:rsid w:val="00BB2BB9"/>
    <w:rsid w:val="00BC02B7"/>
    <w:rsid w:val="00BC16B7"/>
    <w:rsid w:val="00BD0B3A"/>
    <w:rsid w:val="00BF3C9D"/>
    <w:rsid w:val="00BF781C"/>
    <w:rsid w:val="00C00315"/>
    <w:rsid w:val="00C17E66"/>
    <w:rsid w:val="00C21900"/>
    <w:rsid w:val="00C36626"/>
    <w:rsid w:val="00C41FE0"/>
    <w:rsid w:val="00C513CE"/>
    <w:rsid w:val="00C570C4"/>
    <w:rsid w:val="00C70424"/>
    <w:rsid w:val="00C71256"/>
    <w:rsid w:val="00C717FA"/>
    <w:rsid w:val="00C82E25"/>
    <w:rsid w:val="00C852F3"/>
    <w:rsid w:val="00C90674"/>
    <w:rsid w:val="00C92DA1"/>
    <w:rsid w:val="00CA0337"/>
    <w:rsid w:val="00CA635E"/>
    <w:rsid w:val="00CC295C"/>
    <w:rsid w:val="00CC5028"/>
    <w:rsid w:val="00CD5277"/>
    <w:rsid w:val="00CD62EB"/>
    <w:rsid w:val="00CE6EB8"/>
    <w:rsid w:val="00CF52F0"/>
    <w:rsid w:val="00D04052"/>
    <w:rsid w:val="00D1438F"/>
    <w:rsid w:val="00D25CF8"/>
    <w:rsid w:val="00D36C99"/>
    <w:rsid w:val="00D67CB3"/>
    <w:rsid w:val="00D74B44"/>
    <w:rsid w:val="00D814D9"/>
    <w:rsid w:val="00D851BC"/>
    <w:rsid w:val="00D85338"/>
    <w:rsid w:val="00D86267"/>
    <w:rsid w:val="00D90A4F"/>
    <w:rsid w:val="00D9111D"/>
    <w:rsid w:val="00D93C25"/>
    <w:rsid w:val="00D979D1"/>
    <w:rsid w:val="00DA256F"/>
    <w:rsid w:val="00DB35F2"/>
    <w:rsid w:val="00DB4DCB"/>
    <w:rsid w:val="00DC3D04"/>
    <w:rsid w:val="00DC6435"/>
    <w:rsid w:val="00DD476D"/>
    <w:rsid w:val="00DF0146"/>
    <w:rsid w:val="00DF419F"/>
    <w:rsid w:val="00DF5A11"/>
    <w:rsid w:val="00DF7239"/>
    <w:rsid w:val="00E016A9"/>
    <w:rsid w:val="00E061F7"/>
    <w:rsid w:val="00E12F40"/>
    <w:rsid w:val="00E25971"/>
    <w:rsid w:val="00E47A9F"/>
    <w:rsid w:val="00E5507C"/>
    <w:rsid w:val="00E62C8B"/>
    <w:rsid w:val="00E661E0"/>
    <w:rsid w:val="00E747D2"/>
    <w:rsid w:val="00E94640"/>
    <w:rsid w:val="00E94D32"/>
    <w:rsid w:val="00EA099F"/>
    <w:rsid w:val="00EA3DD1"/>
    <w:rsid w:val="00EA6591"/>
    <w:rsid w:val="00EA7515"/>
    <w:rsid w:val="00EB285E"/>
    <w:rsid w:val="00EC3DB7"/>
    <w:rsid w:val="00ED1286"/>
    <w:rsid w:val="00ED1F1A"/>
    <w:rsid w:val="00ED20AA"/>
    <w:rsid w:val="00EE1BBD"/>
    <w:rsid w:val="00EF3CE9"/>
    <w:rsid w:val="00F010AB"/>
    <w:rsid w:val="00F03039"/>
    <w:rsid w:val="00F0409D"/>
    <w:rsid w:val="00F057BF"/>
    <w:rsid w:val="00F06591"/>
    <w:rsid w:val="00F10363"/>
    <w:rsid w:val="00F13170"/>
    <w:rsid w:val="00F1566D"/>
    <w:rsid w:val="00F22DF1"/>
    <w:rsid w:val="00F301CE"/>
    <w:rsid w:val="00F404AA"/>
    <w:rsid w:val="00F43A4A"/>
    <w:rsid w:val="00F5028C"/>
    <w:rsid w:val="00F76FB4"/>
    <w:rsid w:val="00FC00DB"/>
    <w:rsid w:val="00FC15FE"/>
    <w:rsid w:val="00FF46FB"/>
    <w:rsid w:val="00FF4CC7"/>
    <w:rsid w:val="048A5AB1"/>
    <w:rsid w:val="0561520D"/>
    <w:rsid w:val="0C4A6663"/>
    <w:rsid w:val="138B7B78"/>
    <w:rsid w:val="18F00522"/>
    <w:rsid w:val="1A0330F7"/>
    <w:rsid w:val="1E843B74"/>
    <w:rsid w:val="22237DDB"/>
    <w:rsid w:val="2FA27421"/>
    <w:rsid w:val="302C5BBC"/>
    <w:rsid w:val="3A23680A"/>
    <w:rsid w:val="3ADA503E"/>
    <w:rsid w:val="5842234E"/>
    <w:rsid w:val="5A9B5077"/>
    <w:rsid w:val="5B4D56CB"/>
    <w:rsid w:val="628273A3"/>
    <w:rsid w:val="62B31A84"/>
    <w:rsid w:val="64BF295A"/>
    <w:rsid w:val="69052D36"/>
    <w:rsid w:val="71F57E24"/>
    <w:rsid w:val="7A6B1CE8"/>
    <w:rsid w:val="BF79FA82"/>
    <w:rsid w:val="E6A90BCD"/>
    <w:rsid w:val="FA3E8FB7"/>
    <w:rsid w:val="FFBF88C8"/>
    <w:rsid w:val="FFFF4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outlineLvl w:val="0"/>
    </w:pPr>
    <w:rPr>
      <w:b/>
      <w:bCs/>
      <w:kern w:val="44"/>
      <w:szCs w:val="44"/>
    </w:rPr>
  </w:style>
  <w:style w:type="paragraph" w:styleId="4">
    <w:name w:val="heading 2"/>
    <w:basedOn w:val="1"/>
    <w:next w:val="1"/>
    <w:link w:val="15"/>
    <w:unhideWhenUsed/>
    <w:qFormat/>
    <w:uiPriority w:val="9"/>
    <w:pPr>
      <w:keepNext/>
      <w:keepLines/>
      <w:outlineLvl w:val="1"/>
    </w:pPr>
    <w:rPr>
      <w:rFonts w:cs="Times New Roman"/>
      <w:bCs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5">
    <w:name w:val="Document Map"/>
    <w:basedOn w:val="1"/>
    <w:link w:val="16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17"/>
    <w:unhideWhenUsed/>
    <w:qFormat/>
    <w:uiPriority w:val="99"/>
    <w:pPr>
      <w:jc w:val="left"/>
    </w:pPr>
  </w:style>
  <w:style w:type="paragraph" w:styleId="7">
    <w:name w:val="Balloon Text"/>
    <w:basedOn w:val="1"/>
    <w:link w:val="18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21"/>
    <w:unhideWhenUsed/>
    <w:qFormat/>
    <w:uiPriority w:val="99"/>
    <w:rPr>
      <w:b/>
      <w:bCs/>
    </w:rPr>
  </w:style>
  <w:style w:type="character" w:styleId="13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3"/>
    <w:qFormat/>
    <w:uiPriority w:val="9"/>
    <w:rPr>
      <w:rFonts w:ascii="Times New Roman" w:hAnsi="Times New Roman" w:eastAsia="仿宋_GB2312"/>
      <w:b/>
      <w:bCs/>
      <w:kern w:val="44"/>
      <w:sz w:val="28"/>
      <w:szCs w:val="44"/>
    </w:rPr>
  </w:style>
  <w:style w:type="character" w:customStyle="1" w:styleId="15">
    <w:name w:val="标题 2 Char"/>
    <w:basedOn w:val="12"/>
    <w:link w:val="4"/>
    <w:qFormat/>
    <w:uiPriority w:val="9"/>
    <w:rPr>
      <w:rFonts w:ascii="Times New Roman" w:hAnsi="Times New Roman" w:eastAsia="仿宋_GB2312" w:cs="Times New Roman"/>
      <w:bCs/>
      <w:sz w:val="28"/>
      <w:szCs w:val="32"/>
    </w:rPr>
  </w:style>
  <w:style w:type="character" w:customStyle="1" w:styleId="16">
    <w:name w:val="文档结构图 Char"/>
    <w:basedOn w:val="12"/>
    <w:link w:val="5"/>
    <w:semiHidden/>
    <w:qFormat/>
    <w:uiPriority w:val="99"/>
    <w:rPr>
      <w:rFonts w:ascii="宋体" w:cs="Times New Roman"/>
      <w:kern w:val="2"/>
      <w:sz w:val="18"/>
      <w:szCs w:val="18"/>
    </w:rPr>
  </w:style>
  <w:style w:type="character" w:customStyle="1" w:styleId="17">
    <w:name w:val="批注文字 Char"/>
    <w:basedOn w:val="12"/>
    <w:link w:val="6"/>
    <w:semiHidden/>
    <w:qFormat/>
    <w:uiPriority w:val="99"/>
    <w:rPr>
      <w:rFonts w:eastAsia="仿宋_GB2312" w:cs="Times New Roman"/>
      <w:kern w:val="2"/>
      <w:sz w:val="28"/>
      <w:szCs w:val="22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9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21">
    <w:name w:val="批注主题 Char"/>
    <w:basedOn w:val="17"/>
    <w:link w:val="10"/>
    <w:semiHidden/>
    <w:qFormat/>
    <w:uiPriority w:val="99"/>
    <w:rPr>
      <w:rFonts w:eastAsia="仿宋_GB2312" w:cs="Times New Roman"/>
      <w:b/>
      <w:bCs/>
      <w:kern w:val="2"/>
      <w:sz w:val="28"/>
      <w:szCs w:val="22"/>
    </w:rPr>
  </w:style>
  <w:style w:type="paragraph" w:customStyle="1" w:styleId="22">
    <w:name w:val="正文1"/>
    <w:basedOn w:val="1"/>
    <w:link w:val="23"/>
    <w:qFormat/>
    <w:uiPriority w:val="0"/>
    <w:pPr>
      <w:widowControl w:val="0"/>
      <w:adjustRightInd w:val="0"/>
      <w:snapToGrid w:val="0"/>
      <w:ind w:firstLine="640"/>
    </w:pPr>
    <w:rPr>
      <w:rFonts w:cs="Times New Roman"/>
      <w:szCs w:val="32"/>
    </w:rPr>
  </w:style>
  <w:style w:type="character" w:customStyle="1" w:styleId="23">
    <w:name w:val="正文1 Char"/>
    <w:basedOn w:val="12"/>
    <w:link w:val="22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24">
    <w:name w:val="表名"/>
    <w:basedOn w:val="1"/>
    <w:link w:val="25"/>
    <w:qFormat/>
    <w:uiPriority w:val="0"/>
    <w:pPr>
      <w:widowControl w:val="0"/>
      <w:adjustRightInd w:val="0"/>
      <w:snapToGrid w:val="0"/>
      <w:spacing w:afterLines="50" w:line="240" w:lineRule="auto"/>
      <w:ind w:firstLine="0" w:firstLineChars="0"/>
    </w:pPr>
    <w:rPr>
      <w:rFonts w:cs="Times New Roman"/>
      <w:b/>
      <w:kern w:val="0"/>
      <w:szCs w:val="32"/>
    </w:rPr>
  </w:style>
  <w:style w:type="character" w:customStyle="1" w:styleId="25">
    <w:name w:val="表名 Char"/>
    <w:basedOn w:val="12"/>
    <w:link w:val="24"/>
    <w:qFormat/>
    <w:uiPriority w:val="0"/>
    <w:rPr>
      <w:rFonts w:ascii="Times New Roman" w:hAnsi="Times New Roman" w:eastAsia="仿宋_GB2312" w:cs="Times New Roman"/>
      <w:b/>
      <w:kern w:val="0"/>
      <w:sz w:val="32"/>
      <w:szCs w:val="32"/>
    </w:rPr>
  </w:style>
  <w:style w:type="paragraph" w:customStyle="1" w:styleId="26">
    <w:name w:val="列表段落1"/>
    <w:basedOn w:val="1"/>
    <w:qFormat/>
    <w:uiPriority w:val="34"/>
    <w:pPr>
      <w:ind w:firstLine="420"/>
    </w:pPr>
  </w:style>
  <w:style w:type="paragraph" w:customStyle="1" w:styleId="27">
    <w:name w:val="修订1"/>
    <w:semiHidden/>
    <w:qFormat/>
    <w:uiPriority w:val="99"/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28">
    <w:name w:val="Body text|2"/>
    <w:basedOn w:val="1"/>
    <w:qFormat/>
    <w:uiPriority w:val="0"/>
    <w:pPr>
      <w:widowControl w:val="0"/>
      <w:spacing w:after="270"/>
      <w:jc w:val="center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29">
    <w:name w:val="Body text|1"/>
    <w:basedOn w:val="1"/>
    <w:qFormat/>
    <w:uiPriority w:val="0"/>
    <w:pPr>
      <w:widowControl w:val="0"/>
      <w:spacing w:after="100" w:line="480" w:lineRule="auto"/>
      <w:ind w:firstLine="360"/>
    </w:pPr>
    <w:rPr>
      <w:rFonts w:ascii="MingLiU" w:hAnsi="MingLiU" w:eastAsia="MingLiU" w:cs="MingLiU"/>
      <w:sz w:val="18"/>
      <w:szCs w:val="18"/>
      <w:lang w:val="zh-TW" w:eastAsia="zh-TW" w:bidi="zh-TW"/>
    </w:rPr>
  </w:style>
  <w:style w:type="paragraph" w:customStyle="1" w:styleId="30">
    <w:name w:val="Other|1"/>
    <w:basedOn w:val="1"/>
    <w:qFormat/>
    <w:uiPriority w:val="0"/>
    <w:pPr>
      <w:widowControl w:val="0"/>
      <w:spacing w:line="41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styleId="31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780</Words>
  <Characters>4450</Characters>
  <Lines>37</Lines>
  <Paragraphs>10</Paragraphs>
  <TotalTime>4.66666666666667</TotalTime>
  <ScaleCrop>false</ScaleCrop>
  <LinksUpToDate>false</LinksUpToDate>
  <CharactersWithSpaces>5220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2019-04-19T16:50:00Z</dcterms:created>
  <dc:creator>张三</dc:creator>
  <cp:lastModifiedBy>kylin</cp:lastModifiedBy>
  <cp:lastPrinted>2022-06-09T15:49:00Z</cp:lastPrinted>
  <dcterms:modified xsi:type="dcterms:W3CDTF">2022-10-21T08:38:15Z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