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黑体" w:eastAsia="方正小标宋简体" w:cs="Times New Roman"/>
          <w:kern w:val="1"/>
          <w:sz w:val="44"/>
          <w:szCs w:val="44"/>
        </w:rPr>
      </w:pPr>
      <w:bookmarkStart w:id="0" w:name="_GoBack"/>
      <w:bookmarkEnd w:id="0"/>
      <w:r>
        <w:rPr>
          <w:rFonts w:hint="eastAsia" w:ascii="方正小标宋简体" w:hAnsi="黑体" w:eastAsia="方正小标宋简体" w:cs="方正小标宋简体"/>
          <w:kern w:val="1"/>
          <w:sz w:val="44"/>
          <w:szCs w:val="44"/>
        </w:rPr>
        <w:t>益阳市劳动人事争议仲裁院</w:t>
      </w:r>
    </w:p>
    <w:p>
      <w:pPr>
        <w:spacing w:line="680" w:lineRule="exact"/>
        <w:jc w:val="center"/>
        <w:rPr>
          <w:rFonts w:ascii="方正小标宋简体" w:eastAsia="方正小标宋简体" w:cs="Times New Roman"/>
          <w:sz w:val="44"/>
          <w:szCs w:val="44"/>
        </w:rPr>
      </w:pPr>
      <w:r>
        <w:rPr>
          <w:rFonts w:ascii="方正小标宋简体" w:hAnsi="黑体" w:eastAsia="方正小标宋简体" w:cs="方正小标宋简体"/>
          <w:kern w:val="1"/>
          <w:sz w:val="44"/>
          <w:szCs w:val="44"/>
        </w:rPr>
        <w:t>2018</w:t>
      </w:r>
      <w:r>
        <w:rPr>
          <w:rFonts w:hint="eastAsia" w:ascii="方正小标宋简体" w:hAnsi="黑体" w:eastAsia="方正小标宋简体" w:cs="方正小标宋简体"/>
          <w:kern w:val="1"/>
          <w:sz w:val="44"/>
          <w:szCs w:val="44"/>
        </w:rPr>
        <w:t>年决算公开说明</w:t>
      </w:r>
    </w:p>
    <w:p>
      <w:pPr>
        <w:jc w:val="center"/>
        <w:rPr>
          <w:rFonts w:ascii="宋体" w:cs="Times New Roman"/>
          <w:sz w:val="44"/>
          <w:szCs w:val="44"/>
        </w:rPr>
      </w:pPr>
    </w:p>
    <w:p>
      <w:pPr>
        <w:spacing w:line="60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第一部分</w:t>
      </w:r>
      <w:r>
        <w:rPr>
          <w:rFonts w:ascii="Times New Roman" w:hAnsi="Times New Roman" w:eastAsia="方正仿宋简体" w:cs="Times New Roman"/>
          <w:b/>
          <w:bCs/>
          <w:sz w:val="32"/>
          <w:szCs w:val="32"/>
        </w:rPr>
        <w:t xml:space="preserve"> </w:t>
      </w:r>
      <w:r>
        <w:rPr>
          <w:rFonts w:hint="eastAsia" w:ascii="Times New Roman" w:hAnsi="Times New Roman" w:eastAsia="方正仿宋简体" w:cs="方正仿宋简体"/>
          <w:b/>
          <w:bCs/>
          <w:sz w:val="32"/>
          <w:szCs w:val="32"/>
        </w:rPr>
        <w:t>市仲裁院概况</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一、主要职能</w:t>
      </w:r>
    </w:p>
    <w:p>
      <w:pPr>
        <w:spacing w:line="600" w:lineRule="exact"/>
        <w:ind w:firstLine="640" w:firstLineChars="200"/>
        <w:rPr>
          <w:rFonts w:ascii="Times New Roman" w:hAnsi="Times New Roman" w:eastAsia="方正仿宋简体" w:cs="Times New Roman"/>
          <w:kern w:val="1"/>
          <w:sz w:val="32"/>
          <w:szCs w:val="32"/>
        </w:rPr>
      </w:pPr>
      <w:r>
        <w:rPr>
          <w:rFonts w:hint="eastAsia" w:ascii="Times New Roman" w:hAnsi="Times New Roman" w:eastAsia="方正仿宋简体" w:cs="方正仿宋简体"/>
          <w:kern w:val="1"/>
          <w:sz w:val="32"/>
          <w:szCs w:val="32"/>
        </w:rPr>
        <w:t>益阳仲裁院是参照公务员管理的事业单位，主要负责拟定并组织实施本市劳动争议仲裁中长期规划和政策</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组织宣传法律法规和劳动争议预防工作</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负责处理市以上企事业单位劳动争议仲裁案件</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指导各区、县</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市</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劳动争议仲裁工作</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负责全市劳动争议专、兼职仲裁员的培训和评聘工作</w:t>
      </w:r>
      <w:r>
        <w:rPr>
          <w:rFonts w:ascii="Times New Roman" w:hAnsi="Times New Roman" w:eastAsia="方正仿宋简体" w:cs="Times New Roman"/>
          <w:kern w:val="1"/>
          <w:sz w:val="32"/>
          <w:szCs w:val="32"/>
        </w:rPr>
        <w:t>;</w:t>
      </w:r>
      <w:r>
        <w:rPr>
          <w:rFonts w:hint="eastAsia" w:ascii="Times New Roman" w:hAnsi="Times New Roman" w:eastAsia="方正仿宋简体" w:cs="方正仿宋简体"/>
          <w:kern w:val="1"/>
          <w:sz w:val="32"/>
          <w:szCs w:val="32"/>
        </w:rPr>
        <w:t>承办市委、市政府和市劳动和社会保障局交办的其它事项。</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二、机构设置</w:t>
      </w:r>
    </w:p>
    <w:p>
      <w:pPr>
        <w:spacing w:line="600" w:lineRule="exact"/>
        <w:ind w:firstLine="600"/>
        <w:rPr>
          <w:rFonts w:ascii="Times New Roman" w:hAnsi="Times New Roman" w:eastAsia="方正仿宋简体" w:cs="Times New Roman"/>
          <w:kern w:val="1"/>
          <w:sz w:val="32"/>
          <w:szCs w:val="32"/>
        </w:rPr>
      </w:pPr>
      <w:r>
        <w:rPr>
          <w:rFonts w:hint="eastAsia" w:ascii="Times New Roman" w:hAnsi="Times New Roman" w:eastAsia="方正仿宋简体" w:cs="方正仿宋简体"/>
          <w:kern w:val="1"/>
          <w:sz w:val="32"/>
          <w:szCs w:val="32"/>
        </w:rPr>
        <w:t>益阳市劳动人事争议仲裁院核定编制</w:t>
      </w:r>
      <w:r>
        <w:rPr>
          <w:rFonts w:ascii="Times New Roman" w:hAnsi="Times New Roman" w:eastAsia="方正仿宋简体" w:cs="Times New Roman"/>
          <w:kern w:val="1"/>
          <w:sz w:val="32"/>
          <w:szCs w:val="32"/>
        </w:rPr>
        <w:t>9</w:t>
      </w:r>
      <w:r>
        <w:rPr>
          <w:rFonts w:hint="eastAsia" w:ascii="Times New Roman" w:hAnsi="Times New Roman" w:eastAsia="方正仿宋简体" w:cs="方正仿宋简体"/>
          <w:kern w:val="1"/>
          <w:sz w:val="32"/>
          <w:szCs w:val="32"/>
        </w:rPr>
        <w:t>个，共有在职干职工</w:t>
      </w:r>
      <w:r>
        <w:rPr>
          <w:rFonts w:ascii="Times New Roman" w:hAnsi="Times New Roman" w:eastAsia="方正仿宋简体" w:cs="Times New Roman"/>
          <w:kern w:val="1"/>
          <w:sz w:val="32"/>
          <w:szCs w:val="32"/>
        </w:rPr>
        <w:t>9</w:t>
      </w:r>
      <w:r>
        <w:rPr>
          <w:rFonts w:hint="eastAsia" w:ascii="Times New Roman" w:hAnsi="Times New Roman" w:eastAsia="方正仿宋简体" w:cs="方正仿宋简体"/>
          <w:kern w:val="1"/>
          <w:sz w:val="32"/>
          <w:szCs w:val="32"/>
        </w:rPr>
        <w:t>人。市仲裁院共有内设科室</w:t>
      </w:r>
      <w:r>
        <w:rPr>
          <w:rFonts w:ascii="Times New Roman" w:hAnsi="Times New Roman" w:eastAsia="方正仿宋简体" w:cs="Times New Roman"/>
          <w:kern w:val="1"/>
          <w:sz w:val="32"/>
          <w:szCs w:val="32"/>
        </w:rPr>
        <w:t>3</w:t>
      </w:r>
      <w:r>
        <w:rPr>
          <w:rFonts w:hint="eastAsia" w:ascii="Times New Roman" w:hAnsi="Times New Roman" w:eastAsia="方正仿宋简体" w:cs="方正仿宋简体"/>
          <w:kern w:val="1"/>
          <w:sz w:val="32"/>
          <w:szCs w:val="32"/>
        </w:rPr>
        <w:t>个，</w:t>
      </w:r>
      <w:r>
        <w:rPr>
          <w:rFonts w:hint="eastAsia" w:ascii="宋体" w:hAnsi="宋体" w:cs="宋体"/>
          <w:kern w:val="1"/>
          <w:sz w:val="32"/>
          <w:szCs w:val="32"/>
        </w:rPr>
        <w:t>分别是综合办公室、立案庭、仲裁庭</w:t>
      </w:r>
      <w:r>
        <w:rPr>
          <w:rFonts w:hint="eastAsia" w:ascii="Times New Roman" w:hAnsi="Times New Roman" w:eastAsia="方正仿宋简体" w:cs="方正仿宋简体"/>
          <w:kern w:val="1"/>
          <w:sz w:val="32"/>
          <w:szCs w:val="32"/>
        </w:rPr>
        <w:t>。</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三、部门决算单位构成</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kern w:val="1"/>
          <w:sz w:val="32"/>
          <w:szCs w:val="32"/>
        </w:rPr>
        <w:t>从决算单位构成看，益阳市仲裁院部门决算包括：</w:t>
      </w:r>
      <w:r>
        <w:rPr>
          <w:rFonts w:hint="eastAsia" w:ascii="Times New Roman" w:hAnsi="Times New Roman" w:eastAsia="方正仿宋简体" w:cs="方正仿宋简体"/>
          <w:sz w:val="32"/>
          <w:szCs w:val="32"/>
        </w:rPr>
        <w:t>益阳市劳动人事争议仲裁院。</w:t>
      </w:r>
    </w:p>
    <w:tbl>
      <w:tblPr>
        <w:tblStyle w:val="5"/>
        <w:tblW w:w="0" w:type="auto"/>
        <w:tblInd w:w="-8" w:type="dxa"/>
        <w:tblLayout w:type="autofit"/>
        <w:tblCellMar>
          <w:top w:w="0" w:type="dxa"/>
          <w:left w:w="10" w:type="dxa"/>
          <w:bottom w:w="0" w:type="dxa"/>
          <w:right w:w="10" w:type="dxa"/>
        </w:tblCellMar>
      </w:tblPr>
      <w:tblGrid>
        <w:gridCol w:w="2276"/>
        <w:gridCol w:w="6393"/>
      </w:tblGrid>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序号</w:t>
            </w:r>
          </w:p>
        </w:tc>
        <w:tc>
          <w:tcPr>
            <w:tcW w:w="6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单位名称</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1</w:t>
            </w:r>
          </w:p>
        </w:tc>
        <w:tc>
          <w:tcPr>
            <w:tcW w:w="63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益阳市劳动人事争议仲裁院</w:t>
            </w:r>
          </w:p>
        </w:tc>
      </w:tr>
    </w:tbl>
    <w:p>
      <w:pPr>
        <w:spacing w:line="60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第二部分</w:t>
      </w:r>
      <w:r>
        <w:rPr>
          <w:rFonts w:ascii="Times New Roman" w:hAnsi="Times New Roman" w:eastAsia="方正仿宋简体" w:cs="Times New Roman"/>
          <w:b/>
          <w:bCs/>
          <w:sz w:val="32"/>
          <w:szCs w:val="32"/>
        </w:rPr>
        <w:t xml:space="preserve"> </w:t>
      </w:r>
      <w:r>
        <w:rPr>
          <w:rFonts w:hint="eastAsia" w:ascii="Times New Roman" w:hAnsi="Times New Roman" w:eastAsia="方正仿宋简体" w:cs="方正仿宋简体"/>
          <w:b/>
          <w:bCs/>
          <w:sz w:val="32"/>
          <w:szCs w:val="32"/>
        </w:rPr>
        <w:t>市仲裁院</w:t>
      </w:r>
      <w:r>
        <w:rPr>
          <w:rFonts w:ascii="Times New Roman" w:hAnsi="Times New Roman" w:eastAsia="方正仿宋简体" w:cs="Times New Roman"/>
          <w:b/>
          <w:bCs/>
          <w:sz w:val="32"/>
          <w:szCs w:val="32"/>
        </w:rPr>
        <w:t xml:space="preserve">2018 </w:t>
      </w:r>
      <w:r>
        <w:rPr>
          <w:rFonts w:hint="eastAsia" w:ascii="Times New Roman" w:hAnsi="Times New Roman" w:eastAsia="方正仿宋简体" w:cs="方正仿宋简体"/>
          <w:b/>
          <w:bCs/>
          <w:sz w:val="32"/>
          <w:szCs w:val="32"/>
        </w:rPr>
        <w:t>年度部门决算表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：收入支出决算总表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：收入决算表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：支出决算表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：财政拨款收入支出决算总表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：一般公共预算财政拨款支出决算表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6</w:t>
      </w:r>
      <w:r>
        <w:rPr>
          <w:rFonts w:hint="eastAsia" w:ascii="Times New Roman" w:hAnsi="Times New Roman" w:eastAsia="方正仿宋简体" w:cs="方正仿宋简体"/>
          <w:sz w:val="32"/>
          <w:szCs w:val="32"/>
        </w:rPr>
        <w:t>：一般公共预算财政拨款基本支出决算表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：一般公共预算财政拨款</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三公</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经费支出决算表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表</w:t>
      </w:r>
      <w:r>
        <w:rPr>
          <w:rFonts w:ascii="Times New Roman" w:hAnsi="Times New Roman" w:eastAsia="方正仿宋简体" w:cs="Times New Roman"/>
          <w:sz w:val="32"/>
          <w:szCs w:val="32"/>
        </w:rPr>
        <w:t>8</w:t>
      </w:r>
      <w:r>
        <w:rPr>
          <w:rFonts w:hint="eastAsia" w:ascii="Times New Roman" w:hAnsi="Times New Roman" w:eastAsia="方正仿宋简体" w:cs="方正仿宋简体"/>
          <w:sz w:val="32"/>
          <w:szCs w:val="32"/>
        </w:rPr>
        <w:t>：政府性基金预算财政拨款收入支出决算表无数据，市仲裁院没有政府性基金收入，也没有政府性基金安排的支出，故本表无数据。</w:t>
      </w:r>
    </w:p>
    <w:p>
      <w:pPr>
        <w:spacing w:line="60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第三部分</w:t>
      </w:r>
      <w:r>
        <w:rPr>
          <w:rFonts w:ascii="Times New Roman" w:hAnsi="Times New Roman" w:eastAsia="方正仿宋简体" w:cs="Times New Roman"/>
          <w:b/>
          <w:bCs/>
          <w:sz w:val="32"/>
          <w:szCs w:val="32"/>
        </w:rPr>
        <w:t xml:space="preserve"> </w:t>
      </w:r>
      <w:r>
        <w:rPr>
          <w:rFonts w:hint="eastAsia" w:ascii="Times New Roman" w:hAnsi="Times New Roman" w:eastAsia="方正仿宋简体" w:cs="方正仿宋简体"/>
          <w:b/>
          <w:bCs/>
          <w:sz w:val="32"/>
          <w:szCs w:val="32"/>
        </w:rPr>
        <w:t>市仲裁院</w:t>
      </w:r>
      <w:r>
        <w:rPr>
          <w:rFonts w:ascii="Times New Roman" w:hAnsi="Times New Roman" w:eastAsia="方正仿宋简体" w:cs="Times New Roman"/>
          <w:b/>
          <w:bCs/>
          <w:sz w:val="32"/>
          <w:szCs w:val="32"/>
        </w:rPr>
        <w:t xml:space="preserve">2018 </w:t>
      </w:r>
      <w:r>
        <w:rPr>
          <w:rFonts w:hint="eastAsia" w:ascii="Times New Roman" w:hAnsi="Times New Roman" w:eastAsia="方正仿宋简体" w:cs="方正仿宋简体"/>
          <w:b/>
          <w:bCs/>
          <w:sz w:val="32"/>
          <w:szCs w:val="32"/>
        </w:rPr>
        <w:t>年度部门决算情况说明</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一、关于市仲裁院</w:t>
      </w:r>
      <w:r>
        <w:rPr>
          <w:rFonts w:ascii="黑体" w:hAnsi="黑体" w:eastAsia="黑体" w:cs="黑体"/>
          <w:sz w:val="32"/>
          <w:szCs w:val="32"/>
        </w:rPr>
        <w:t xml:space="preserve"> 2018 </w:t>
      </w:r>
      <w:r>
        <w:rPr>
          <w:rFonts w:hint="eastAsia" w:ascii="黑体" w:hAnsi="黑体" w:eastAsia="黑体" w:cs="黑体"/>
          <w:sz w:val="32"/>
          <w:szCs w:val="32"/>
        </w:rPr>
        <w:t>年度收入支出决算总体情况说明</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市仲裁院</w:t>
      </w: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年度收入总计</w:t>
      </w:r>
      <w:r>
        <w:rPr>
          <w:rFonts w:ascii="Times New Roman" w:hAnsi="Times New Roman" w:eastAsia="方正仿宋简体" w:cs="Times New Roman"/>
          <w:sz w:val="32"/>
          <w:szCs w:val="32"/>
        </w:rPr>
        <w:t>141.15</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2.41</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；支出总计</w:t>
      </w:r>
      <w:r>
        <w:rPr>
          <w:rFonts w:ascii="Times New Roman" w:hAnsi="Times New Roman" w:eastAsia="方正仿宋简体" w:cs="Times New Roman"/>
          <w:sz w:val="32"/>
          <w:szCs w:val="32"/>
        </w:rPr>
        <w:t>140.69</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。主要原因：</w:t>
      </w:r>
      <w:r>
        <w:rPr>
          <w:rFonts w:hint="eastAsia" w:ascii="Times New Roman" w:hAnsi="Times New Roman" w:eastAsia="方正仿宋简体" w:cs="方正仿宋简体"/>
          <w:kern w:val="1"/>
          <w:sz w:val="32"/>
          <w:szCs w:val="32"/>
        </w:rPr>
        <w:t>机关事业单位人员基本工资标准</w:t>
      </w:r>
      <w:r>
        <w:rPr>
          <w:rFonts w:hint="eastAsia" w:ascii="Times New Roman" w:hAnsi="Times New Roman" w:eastAsia="方正仿宋简体" w:cs="方正仿宋简体"/>
          <w:sz w:val="32"/>
          <w:szCs w:val="32"/>
        </w:rPr>
        <w:t>和绩效奖金发放标准调高，补发调整工资和绩效奖金。</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二、关于市仲裁院</w:t>
      </w:r>
      <w:r>
        <w:rPr>
          <w:rFonts w:ascii="黑体" w:hAnsi="黑体" w:eastAsia="黑体" w:cs="黑体"/>
          <w:sz w:val="32"/>
          <w:szCs w:val="32"/>
        </w:rPr>
        <w:t xml:space="preserve">2018 </w:t>
      </w:r>
      <w:r>
        <w:rPr>
          <w:rFonts w:hint="eastAsia" w:ascii="黑体" w:hAnsi="黑体" w:eastAsia="黑体" w:cs="黑体"/>
          <w:sz w:val="32"/>
          <w:szCs w:val="32"/>
        </w:rPr>
        <w:t>年度收入决算情况说明</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年度收入合计</w:t>
      </w:r>
      <w:r>
        <w:rPr>
          <w:rFonts w:ascii="Times New Roman" w:hAnsi="Times New Roman" w:eastAsia="方正仿宋简体" w:cs="Times New Roman"/>
          <w:sz w:val="32"/>
          <w:szCs w:val="32"/>
        </w:rPr>
        <w:t xml:space="preserve"> 141.15</w:t>
      </w:r>
      <w:r>
        <w:rPr>
          <w:rFonts w:hint="eastAsia" w:ascii="Times New Roman" w:hAnsi="Times New Roman" w:eastAsia="方正仿宋简体" w:cs="方正仿宋简体"/>
          <w:sz w:val="32"/>
          <w:szCs w:val="32"/>
        </w:rPr>
        <w:t>万元，其中：财政拨款收入</w:t>
      </w:r>
      <w:r>
        <w:rPr>
          <w:rFonts w:ascii="Times New Roman" w:hAnsi="Times New Roman" w:eastAsia="方正仿宋简体" w:cs="Times New Roman"/>
          <w:sz w:val="32"/>
          <w:szCs w:val="32"/>
        </w:rPr>
        <w:t>141.15</w:t>
      </w:r>
      <w:r>
        <w:rPr>
          <w:rFonts w:hint="eastAsia" w:ascii="Times New Roman" w:hAnsi="Times New Roman" w:eastAsia="方正仿宋简体" w:cs="方正仿宋简体"/>
          <w:sz w:val="32"/>
          <w:szCs w:val="32"/>
        </w:rPr>
        <w:t>万元。</w:t>
      </w:r>
      <w:r>
        <w:rPr>
          <w:rFonts w:ascii="Times New Roman" w:hAnsi="Times New Roman" w:eastAsia="方正仿宋简体" w:cs="Times New Roman"/>
          <w:sz w:val="32"/>
          <w:szCs w:val="32"/>
        </w:rPr>
        <w:t xml:space="preserve"> </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三、关于市仲裁院</w:t>
      </w:r>
      <w:r>
        <w:rPr>
          <w:rFonts w:ascii="黑体" w:hAnsi="黑体" w:eastAsia="黑体" w:cs="黑体"/>
          <w:sz w:val="32"/>
          <w:szCs w:val="32"/>
        </w:rPr>
        <w:t>2018</w:t>
      </w:r>
      <w:r>
        <w:rPr>
          <w:rFonts w:hint="eastAsia" w:ascii="黑体" w:hAnsi="黑体" w:eastAsia="黑体" w:cs="黑体"/>
          <w:sz w:val="32"/>
          <w:szCs w:val="32"/>
        </w:rPr>
        <w:t>年度支出决算情况说明</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年度支出合计</w:t>
      </w:r>
      <w:r>
        <w:rPr>
          <w:rFonts w:ascii="Times New Roman" w:hAnsi="Times New Roman" w:eastAsia="方正仿宋简体" w:cs="Times New Roman"/>
          <w:sz w:val="32"/>
          <w:szCs w:val="32"/>
        </w:rPr>
        <w:t>140.69</w:t>
      </w:r>
      <w:r>
        <w:rPr>
          <w:rFonts w:hint="eastAsia" w:ascii="Times New Roman" w:hAnsi="Times New Roman" w:eastAsia="方正仿宋简体" w:cs="方正仿宋简体"/>
          <w:sz w:val="32"/>
          <w:szCs w:val="32"/>
        </w:rPr>
        <w:t>万元，其中：基本支出</w:t>
      </w:r>
      <w:r>
        <w:rPr>
          <w:rFonts w:ascii="Times New Roman" w:hAnsi="Times New Roman" w:eastAsia="方正仿宋简体" w:cs="Times New Roman"/>
          <w:sz w:val="32"/>
          <w:szCs w:val="32"/>
        </w:rPr>
        <w:t>119.15</w:t>
      </w:r>
      <w:r>
        <w:rPr>
          <w:rFonts w:hint="eastAsia" w:ascii="Times New Roman" w:hAnsi="Times New Roman" w:eastAsia="方正仿宋简体" w:cs="方正仿宋简体"/>
          <w:sz w:val="32"/>
          <w:szCs w:val="32"/>
        </w:rPr>
        <w:t>万元，占</w:t>
      </w:r>
      <w:r>
        <w:rPr>
          <w:rFonts w:ascii="Times New Roman" w:hAnsi="Times New Roman" w:eastAsia="方正仿宋简体" w:cs="Times New Roman"/>
          <w:sz w:val="32"/>
          <w:szCs w:val="32"/>
        </w:rPr>
        <w:t xml:space="preserve"> 84.69%</w:t>
      </w:r>
      <w:r>
        <w:rPr>
          <w:rFonts w:hint="eastAsia" w:ascii="Times New Roman" w:hAnsi="Times New Roman" w:eastAsia="方正仿宋简体" w:cs="方正仿宋简体"/>
          <w:sz w:val="32"/>
          <w:szCs w:val="32"/>
        </w:rPr>
        <w:t>；项目支出</w:t>
      </w:r>
      <w:r>
        <w:rPr>
          <w:rFonts w:ascii="Times New Roman" w:hAnsi="Times New Roman" w:eastAsia="方正仿宋简体" w:cs="Times New Roman"/>
          <w:sz w:val="32"/>
          <w:szCs w:val="32"/>
        </w:rPr>
        <w:t>21.54</w:t>
      </w:r>
      <w:r>
        <w:rPr>
          <w:rFonts w:hint="eastAsia" w:ascii="Times New Roman" w:hAnsi="Times New Roman" w:eastAsia="方正仿宋简体" w:cs="方正仿宋简体"/>
          <w:sz w:val="32"/>
          <w:szCs w:val="32"/>
        </w:rPr>
        <w:t>万元，占</w:t>
      </w:r>
      <w:r>
        <w:rPr>
          <w:rFonts w:ascii="Times New Roman" w:hAnsi="Times New Roman" w:eastAsia="方正仿宋简体" w:cs="Times New Roman"/>
          <w:sz w:val="32"/>
          <w:szCs w:val="32"/>
        </w:rPr>
        <w:t>15.31%</w:t>
      </w:r>
      <w:r>
        <w:rPr>
          <w:rFonts w:hint="eastAsia" w:ascii="Times New Roman" w:hAnsi="Times New Roman" w:eastAsia="方正仿宋简体" w:cs="方正仿宋简体"/>
          <w:sz w:val="32"/>
          <w:szCs w:val="32"/>
        </w:rPr>
        <w:t>。</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四、关于市仲裁院</w:t>
      </w:r>
      <w:r>
        <w:rPr>
          <w:rFonts w:ascii="黑体" w:hAnsi="黑体" w:eastAsia="黑体" w:cs="黑体"/>
          <w:sz w:val="32"/>
          <w:szCs w:val="32"/>
        </w:rPr>
        <w:t xml:space="preserve">2018 </w:t>
      </w:r>
      <w:r>
        <w:rPr>
          <w:rFonts w:hint="eastAsia" w:ascii="黑体" w:hAnsi="黑体" w:eastAsia="黑体" w:cs="黑体"/>
          <w:sz w:val="32"/>
          <w:szCs w:val="32"/>
        </w:rPr>
        <w:t>年度财政拨款收入支出决算总体情况说明</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2018 </w:t>
      </w:r>
      <w:r>
        <w:rPr>
          <w:rFonts w:hint="eastAsia" w:ascii="Times New Roman" w:hAnsi="Times New Roman" w:eastAsia="方正仿宋简体" w:cs="方正仿宋简体"/>
          <w:sz w:val="32"/>
          <w:szCs w:val="32"/>
        </w:rPr>
        <w:t>年度财政拨款收入总计</w:t>
      </w:r>
      <w:r>
        <w:rPr>
          <w:rFonts w:ascii="Times New Roman" w:hAnsi="Times New Roman" w:eastAsia="方正仿宋简体" w:cs="Times New Roman"/>
          <w:sz w:val="32"/>
          <w:szCs w:val="32"/>
        </w:rPr>
        <w:t>141.15</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2.41</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；财政拨款支出总计</w:t>
      </w:r>
      <w:r>
        <w:rPr>
          <w:rFonts w:ascii="Times New Roman" w:hAnsi="Times New Roman" w:eastAsia="方正仿宋简体" w:cs="Times New Roman"/>
          <w:sz w:val="32"/>
          <w:szCs w:val="32"/>
        </w:rPr>
        <w:t>140.69</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。主要原因：</w:t>
      </w:r>
      <w:r>
        <w:rPr>
          <w:rFonts w:hint="eastAsia" w:ascii="Times New Roman" w:hAnsi="Times New Roman" w:eastAsia="方正仿宋简体" w:cs="方正仿宋简体"/>
          <w:kern w:val="1"/>
          <w:sz w:val="32"/>
          <w:szCs w:val="32"/>
        </w:rPr>
        <w:t>机关事业单位人员基本工资标准</w:t>
      </w:r>
      <w:r>
        <w:rPr>
          <w:rFonts w:hint="eastAsia" w:ascii="Times New Roman" w:hAnsi="Times New Roman" w:eastAsia="方正仿宋简体" w:cs="方正仿宋简体"/>
          <w:sz w:val="32"/>
          <w:szCs w:val="32"/>
        </w:rPr>
        <w:t>和绩效奖金发放标准调高，补发调整工资和绩效奖金。</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五、关于市仲裁院</w:t>
      </w:r>
      <w:r>
        <w:rPr>
          <w:rFonts w:ascii="黑体" w:hAnsi="黑体" w:eastAsia="黑体" w:cs="黑体"/>
          <w:sz w:val="32"/>
          <w:szCs w:val="32"/>
        </w:rPr>
        <w:t xml:space="preserve">2018 </w:t>
      </w:r>
      <w:r>
        <w:rPr>
          <w:rFonts w:hint="eastAsia" w:ascii="黑体" w:hAnsi="黑体" w:eastAsia="黑体" w:cs="黑体"/>
          <w:sz w:val="32"/>
          <w:szCs w:val="32"/>
        </w:rPr>
        <w:t>年度一般公共预算财政拨款收入支出决算情况说明</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（一）一般公共预算财政拨款收入支出决算总体情</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2018 </w:t>
      </w:r>
      <w:r>
        <w:rPr>
          <w:rFonts w:hint="eastAsia" w:ascii="Times New Roman" w:hAnsi="Times New Roman" w:eastAsia="方正仿宋简体" w:cs="方正仿宋简体"/>
          <w:sz w:val="32"/>
          <w:szCs w:val="32"/>
        </w:rPr>
        <w:t>年度一般公共预算财政拨款收入总计</w:t>
      </w:r>
      <w:r>
        <w:rPr>
          <w:rFonts w:ascii="Times New Roman" w:hAnsi="Times New Roman" w:eastAsia="方正仿宋简体" w:cs="Times New Roman"/>
          <w:sz w:val="32"/>
          <w:szCs w:val="32"/>
        </w:rPr>
        <w:t>141.15</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2.41</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；一般公共预算财政拨款支出总计</w:t>
      </w:r>
      <w:r>
        <w:rPr>
          <w:rFonts w:ascii="Times New Roman" w:hAnsi="Times New Roman" w:eastAsia="方正仿宋简体" w:cs="Times New Roman"/>
          <w:sz w:val="32"/>
          <w:szCs w:val="32"/>
        </w:rPr>
        <w:t>140.69</w:t>
      </w:r>
      <w:r>
        <w:rPr>
          <w:rFonts w:hint="eastAsia" w:ascii="Times New Roman" w:hAnsi="Times New Roman" w:eastAsia="方正仿宋简体" w:cs="方正仿宋简体"/>
          <w:sz w:val="32"/>
          <w:szCs w:val="32"/>
        </w:rPr>
        <w:t>万元，比上年同期增加</w:t>
      </w:r>
      <w:r>
        <w:rPr>
          <w:rFonts w:ascii="Times New Roman" w:hAnsi="Times New Roman" w:eastAsia="方正仿宋简体" w:cs="Times New Roman"/>
          <w:sz w:val="32"/>
          <w:szCs w:val="32"/>
        </w:rPr>
        <w:t>2.4</w:t>
      </w:r>
      <w:r>
        <w:rPr>
          <w:rFonts w:hint="eastAsia" w:ascii="Times New Roman" w:hAnsi="Times New Roman" w:eastAsia="方正仿宋简体" w:cs="方正仿宋简体"/>
          <w:sz w:val="32"/>
          <w:szCs w:val="32"/>
        </w:rPr>
        <w:t>万元，增长</w:t>
      </w:r>
      <w:r>
        <w:rPr>
          <w:rFonts w:ascii="Times New Roman" w:hAnsi="Times New Roman" w:eastAsia="方正仿宋简体" w:cs="Times New Roman"/>
          <w:sz w:val="32"/>
          <w:szCs w:val="32"/>
        </w:rPr>
        <w:t>1.74%</w:t>
      </w:r>
      <w:r>
        <w:rPr>
          <w:rFonts w:hint="eastAsia" w:ascii="Times New Roman" w:hAnsi="Times New Roman" w:eastAsia="方正仿宋简体" w:cs="方正仿宋简体"/>
          <w:sz w:val="32"/>
          <w:szCs w:val="32"/>
        </w:rPr>
        <w:t>。主要原因：</w:t>
      </w:r>
      <w:r>
        <w:rPr>
          <w:rFonts w:hint="eastAsia" w:ascii="Times New Roman" w:hAnsi="Times New Roman" w:eastAsia="方正仿宋简体" w:cs="方正仿宋简体"/>
          <w:kern w:val="1"/>
          <w:sz w:val="32"/>
          <w:szCs w:val="32"/>
        </w:rPr>
        <w:t>机关事业单位人员基本工资标准</w:t>
      </w:r>
      <w:r>
        <w:rPr>
          <w:rFonts w:hint="eastAsia" w:ascii="Times New Roman" w:hAnsi="Times New Roman" w:eastAsia="方正仿宋简体" w:cs="方正仿宋简体"/>
          <w:sz w:val="32"/>
          <w:szCs w:val="32"/>
        </w:rPr>
        <w:t>和绩效奖金发放标准调高，补发调整工资和绩效奖金。</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（二）一般公共预算财政拨款支出决算构成情况</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kern w:val="1"/>
          <w:sz w:val="32"/>
          <w:szCs w:val="32"/>
        </w:rPr>
        <w:t>社会保障和就业支出</w:t>
      </w:r>
      <w:r>
        <w:rPr>
          <w:rFonts w:ascii="Times New Roman" w:hAnsi="Times New Roman" w:eastAsia="方正仿宋简体" w:cs="Times New Roman"/>
          <w:kern w:val="1"/>
          <w:sz w:val="32"/>
          <w:szCs w:val="32"/>
        </w:rPr>
        <w:t>126.83</w:t>
      </w:r>
      <w:r>
        <w:rPr>
          <w:rFonts w:hint="eastAsia" w:ascii="Times New Roman" w:hAnsi="Times New Roman" w:eastAsia="方正仿宋简体" w:cs="方正仿宋简体"/>
          <w:kern w:val="1"/>
          <w:sz w:val="32"/>
          <w:szCs w:val="32"/>
        </w:rPr>
        <w:t>万元，占</w:t>
      </w:r>
      <w:r>
        <w:rPr>
          <w:rFonts w:ascii="Times New Roman" w:hAnsi="Times New Roman" w:eastAsia="方正仿宋简体" w:cs="Times New Roman"/>
          <w:kern w:val="1"/>
          <w:sz w:val="32"/>
          <w:szCs w:val="32"/>
        </w:rPr>
        <w:t>90.15%</w:t>
      </w:r>
      <w:r>
        <w:rPr>
          <w:rFonts w:hint="eastAsia" w:ascii="Times New Roman" w:hAnsi="Times New Roman" w:eastAsia="方正仿宋简体" w:cs="方正仿宋简体"/>
          <w:kern w:val="1"/>
          <w:sz w:val="32"/>
          <w:szCs w:val="32"/>
        </w:rPr>
        <w:t>；医疗卫生与计划生育支出</w:t>
      </w:r>
      <w:r>
        <w:rPr>
          <w:rFonts w:ascii="Times New Roman" w:hAnsi="Times New Roman" w:eastAsia="方正仿宋简体" w:cs="Times New Roman"/>
          <w:kern w:val="1"/>
          <w:sz w:val="32"/>
          <w:szCs w:val="32"/>
        </w:rPr>
        <w:t>6.3</w:t>
      </w:r>
      <w:r>
        <w:rPr>
          <w:rFonts w:hint="eastAsia" w:ascii="Times New Roman" w:hAnsi="Times New Roman" w:eastAsia="方正仿宋简体" w:cs="方正仿宋简体"/>
          <w:kern w:val="1"/>
          <w:sz w:val="32"/>
          <w:szCs w:val="32"/>
        </w:rPr>
        <w:t>万元，占</w:t>
      </w:r>
      <w:r>
        <w:rPr>
          <w:rFonts w:ascii="Times New Roman" w:hAnsi="Times New Roman" w:eastAsia="方正仿宋简体" w:cs="Times New Roman"/>
          <w:kern w:val="1"/>
          <w:sz w:val="32"/>
          <w:szCs w:val="32"/>
        </w:rPr>
        <w:t>4.48%</w:t>
      </w:r>
      <w:r>
        <w:rPr>
          <w:rFonts w:hint="eastAsia" w:ascii="Times New Roman" w:hAnsi="Times New Roman" w:eastAsia="方正仿宋简体" w:cs="方正仿宋简体"/>
          <w:kern w:val="1"/>
          <w:sz w:val="32"/>
          <w:szCs w:val="32"/>
        </w:rPr>
        <w:t>；住房保障支出</w:t>
      </w:r>
      <w:r>
        <w:rPr>
          <w:rFonts w:ascii="Times New Roman" w:hAnsi="Times New Roman" w:eastAsia="方正仿宋简体" w:cs="Times New Roman"/>
          <w:kern w:val="1"/>
          <w:sz w:val="32"/>
          <w:szCs w:val="32"/>
        </w:rPr>
        <w:t>7.56</w:t>
      </w:r>
      <w:r>
        <w:rPr>
          <w:rFonts w:hint="eastAsia" w:ascii="Times New Roman" w:hAnsi="Times New Roman" w:eastAsia="方正仿宋简体" w:cs="方正仿宋简体"/>
          <w:kern w:val="1"/>
          <w:sz w:val="32"/>
          <w:szCs w:val="32"/>
        </w:rPr>
        <w:t>万元，占</w:t>
      </w:r>
      <w:r>
        <w:rPr>
          <w:rFonts w:ascii="Times New Roman" w:hAnsi="Times New Roman" w:eastAsia="方正仿宋简体" w:cs="Times New Roman"/>
          <w:kern w:val="1"/>
          <w:sz w:val="32"/>
          <w:szCs w:val="32"/>
        </w:rPr>
        <w:t>5.37%</w:t>
      </w:r>
      <w:r>
        <w:rPr>
          <w:rFonts w:hint="eastAsia" w:ascii="Times New Roman" w:hAnsi="Times New Roman" w:eastAsia="方正仿宋简体" w:cs="方正仿宋简体"/>
          <w:kern w:val="1"/>
          <w:sz w:val="32"/>
          <w:szCs w:val="32"/>
        </w:rPr>
        <w:t>。</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（三）一般公共预算财政拨款支出决算具体情况</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kern w:val="1"/>
          <w:sz w:val="32"/>
          <w:szCs w:val="32"/>
        </w:rPr>
        <w:t>1</w:t>
      </w:r>
      <w:r>
        <w:rPr>
          <w:rFonts w:hint="eastAsia" w:ascii="Times New Roman" w:hAnsi="Times New Roman" w:eastAsia="方正仿宋简体" w:cs="方正仿宋简体"/>
          <w:kern w:val="1"/>
          <w:sz w:val="32"/>
          <w:szCs w:val="32"/>
        </w:rPr>
        <w:t>、工资福利支出财政拨款支出</w:t>
      </w:r>
      <w:r>
        <w:rPr>
          <w:rFonts w:ascii="Times New Roman" w:hAnsi="Times New Roman" w:eastAsia="方正仿宋简体" w:cs="Times New Roman"/>
          <w:kern w:val="1"/>
          <w:sz w:val="32"/>
          <w:szCs w:val="32"/>
        </w:rPr>
        <w:t>89.65</w:t>
      </w:r>
      <w:r>
        <w:rPr>
          <w:rFonts w:hint="eastAsia" w:ascii="Times New Roman" w:hAnsi="Times New Roman" w:eastAsia="方正仿宋简体" w:cs="方正仿宋简体"/>
          <w:kern w:val="1"/>
          <w:sz w:val="32"/>
          <w:szCs w:val="32"/>
        </w:rPr>
        <w:t>万元，主要用于发放工资津贴、奖金及缴纳社保等。</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kern w:val="1"/>
          <w:sz w:val="32"/>
          <w:szCs w:val="32"/>
        </w:rPr>
        <w:t>2</w:t>
      </w:r>
      <w:r>
        <w:rPr>
          <w:rFonts w:hint="eastAsia" w:ascii="Times New Roman" w:hAnsi="Times New Roman" w:eastAsia="方正仿宋简体" w:cs="方正仿宋简体"/>
          <w:kern w:val="1"/>
          <w:sz w:val="32"/>
          <w:szCs w:val="32"/>
        </w:rPr>
        <w:t>、商品和服务支出财政拨款支出</w:t>
      </w:r>
      <w:r>
        <w:rPr>
          <w:rFonts w:ascii="Times New Roman" w:hAnsi="Times New Roman" w:eastAsia="方正仿宋简体" w:cs="Times New Roman"/>
          <w:kern w:val="1"/>
          <w:sz w:val="32"/>
          <w:szCs w:val="32"/>
        </w:rPr>
        <w:t>9.56</w:t>
      </w:r>
      <w:r>
        <w:rPr>
          <w:rFonts w:hint="eastAsia" w:ascii="Times New Roman" w:hAnsi="Times New Roman" w:eastAsia="方正仿宋简体" w:cs="方正仿宋简体"/>
          <w:kern w:val="1"/>
          <w:sz w:val="32"/>
          <w:szCs w:val="32"/>
        </w:rPr>
        <w:t>万元，主要用于日常公务运行支出、发放公务交通补贴及公务员面试、军转干部安置、劳动保障监察执法等专项开支。</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kern w:val="1"/>
          <w:sz w:val="32"/>
          <w:szCs w:val="32"/>
        </w:rPr>
        <w:t>3</w:t>
      </w:r>
      <w:r>
        <w:rPr>
          <w:rFonts w:hint="eastAsia" w:ascii="Times New Roman" w:hAnsi="Times New Roman" w:eastAsia="方正仿宋简体" w:cs="方正仿宋简体"/>
          <w:kern w:val="1"/>
          <w:sz w:val="32"/>
          <w:szCs w:val="32"/>
        </w:rPr>
        <w:t>、对个人及家庭的补助财政拨款支出</w:t>
      </w:r>
      <w:r>
        <w:rPr>
          <w:rFonts w:ascii="Times New Roman" w:hAnsi="Times New Roman" w:eastAsia="方正仿宋简体" w:cs="Times New Roman"/>
          <w:kern w:val="1"/>
          <w:sz w:val="32"/>
          <w:szCs w:val="32"/>
        </w:rPr>
        <w:t>19.94</w:t>
      </w:r>
      <w:r>
        <w:rPr>
          <w:rFonts w:hint="eastAsia" w:ascii="Times New Roman" w:hAnsi="Times New Roman" w:eastAsia="方正仿宋简体" w:cs="方正仿宋简体"/>
          <w:kern w:val="1"/>
          <w:sz w:val="32"/>
          <w:szCs w:val="32"/>
        </w:rPr>
        <w:t>万元，主要用于发放政务分厅窗口补贴、住房公积金等。</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六、关于市仲裁院</w:t>
      </w:r>
      <w:r>
        <w:rPr>
          <w:rFonts w:ascii="黑体" w:hAnsi="黑体" w:eastAsia="黑体" w:cs="黑体"/>
          <w:sz w:val="32"/>
          <w:szCs w:val="32"/>
        </w:rPr>
        <w:t xml:space="preserve">2018 </w:t>
      </w:r>
      <w:r>
        <w:rPr>
          <w:rFonts w:hint="eastAsia" w:ascii="黑体" w:hAnsi="黑体" w:eastAsia="黑体" w:cs="黑体"/>
          <w:sz w:val="32"/>
          <w:szCs w:val="32"/>
        </w:rPr>
        <w:t>年度一般公共预算财政拨款基本支出决算情况说明</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年度一般公共预算财政拨款基本支出</w:t>
      </w:r>
      <w:r>
        <w:rPr>
          <w:rFonts w:ascii="Times New Roman" w:hAnsi="Times New Roman" w:eastAsia="方正仿宋简体" w:cs="Times New Roman"/>
          <w:sz w:val="32"/>
          <w:szCs w:val="32"/>
        </w:rPr>
        <w:t>119.15</w:t>
      </w:r>
      <w:r>
        <w:rPr>
          <w:rFonts w:hint="eastAsia" w:ascii="Times New Roman" w:hAnsi="Times New Roman" w:eastAsia="方正仿宋简体" w:cs="方正仿宋简体"/>
          <w:sz w:val="32"/>
          <w:szCs w:val="32"/>
        </w:rPr>
        <w:t>万元，其中人员经费支出</w:t>
      </w:r>
      <w:r>
        <w:rPr>
          <w:rFonts w:ascii="Times New Roman" w:hAnsi="Times New Roman" w:eastAsia="方正仿宋简体" w:cs="Times New Roman"/>
          <w:sz w:val="32"/>
          <w:szCs w:val="32"/>
        </w:rPr>
        <w:t>109.59</w:t>
      </w:r>
      <w:r>
        <w:rPr>
          <w:rFonts w:hint="eastAsia" w:ascii="Times New Roman" w:hAnsi="Times New Roman" w:eastAsia="方正仿宋简体" w:cs="方正仿宋简体"/>
          <w:sz w:val="32"/>
          <w:szCs w:val="32"/>
        </w:rPr>
        <w:t>万元，主要包括：基本工资</w:t>
      </w:r>
      <w:r>
        <w:rPr>
          <w:rFonts w:ascii="Times New Roman" w:hAnsi="Times New Roman" w:eastAsia="方正仿宋简体" w:cs="Times New Roman"/>
          <w:sz w:val="32"/>
          <w:szCs w:val="32"/>
        </w:rPr>
        <w:t>34.85</w:t>
      </w:r>
      <w:r>
        <w:rPr>
          <w:rFonts w:hint="eastAsia" w:ascii="Times New Roman" w:hAnsi="Times New Roman" w:eastAsia="方正仿宋简体" w:cs="方正仿宋简体"/>
          <w:sz w:val="32"/>
          <w:szCs w:val="32"/>
        </w:rPr>
        <w:t>万元、津贴补贴</w:t>
      </w:r>
      <w:r>
        <w:rPr>
          <w:rFonts w:ascii="Times New Roman" w:hAnsi="Times New Roman" w:eastAsia="方正仿宋简体" w:cs="Times New Roman"/>
          <w:sz w:val="32"/>
          <w:szCs w:val="32"/>
        </w:rPr>
        <w:t>27.26</w:t>
      </w:r>
      <w:r>
        <w:rPr>
          <w:rFonts w:hint="eastAsia" w:ascii="Times New Roman" w:hAnsi="Times New Roman" w:eastAsia="方正仿宋简体" w:cs="方正仿宋简体"/>
          <w:sz w:val="32"/>
          <w:szCs w:val="32"/>
        </w:rPr>
        <w:t>万元、奖金</w:t>
      </w:r>
      <w:r>
        <w:rPr>
          <w:rFonts w:ascii="Times New Roman" w:hAnsi="Times New Roman" w:eastAsia="方正仿宋简体" w:cs="Times New Roman"/>
          <w:sz w:val="32"/>
          <w:szCs w:val="32"/>
        </w:rPr>
        <w:t>3.08</w:t>
      </w:r>
      <w:r>
        <w:rPr>
          <w:rFonts w:hint="eastAsia" w:ascii="Times New Roman" w:hAnsi="Times New Roman" w:eastAsia="方正仿宋简体" w:cs="方正仿宋简体"/>
          <w:sz w:val="32"/>
          <w:szCs w:val="32"/>
        </w:rPr>
        <w:t>万元、机关事业单位基本养老保险费</w:t>
      </w:r>
      <w:r>
        <w:rPr>
          <w:rFonts w:ascii="Times New Roman" w:hAnsi="Times New Roman" w:eastAsia="方正仿宋简体" w:cs="Times New Roman"/>
          <w:sz w:val="32"/>
          <w:szCs w:val="32"/>
        </w:rPr>
        <w:t>4.38</w:t>
      </w:r>
      <w:r>
        <w:rPr>
          <w:rFonts w:hint="eastAsia" w:ascii="Times New Roman" w:hAnsi="Times New Roman" w:eastAsia="方正仿宋简体" w:cs="方正仿宋简体"/>
          <w:sz w:val="32"/>
          <w:szCs w:val="32"/>
        </w:rPr>
        <w:t>万元、职工基本医疗保险缴费</w:t>
      </w:r>
      <w:r>
        <w:rPr>
          <w:rFonts w:ascii="Times New Roman" w:hAnsi="Times New Roman" w:eastAsia="方正仿宋简体" w:cs="Times New Roman"/>
          <w:sz w:val="32"/>
          <w:szCs w:val="32"/>
        </w:rPr>
        <w:t>4.76</w:t>
      </w:r>
      <w:r>
        <w:rPr>
          <w:rFonts w:hint="eastAsia" w:ascii="Times New Roman" w:hAnsi="Times New Roman" w:eastAsia="方正仿宋简体" w:cs="方正仿宋简体"/>
          <w:sz w:val="32"/>
          <w:szCs w:val="32"/>
        </w:rPr>
        <w:t>万元、公务员医疗补助缴费</w:t>
      </w:r>
      <w:r>
        <w:rPr>
          <w:rFonts w:ascii="Times New Roman" w:hAnsi="Times New Roman" w:eastAsia="方正仿宋简体" w:cs="Times New Roman"/>
          <w:sz w:val="32"/>
          <w:szCs w:val="32"/>
        </w:rPr>
        <w:t>2.84</w:t>
      </w:r>
      <w:r>
        <w:rPr>
          <w:rFonts w:hint="eastAsia" w:ascii="Times New Roman" w:hAnsi="Times New Roman" w:eastAsia="方正仿宋简体" w:cs="方正仿宋简体"/>
          <w:sz w:val="32"/>
          <w:szCs w:val="32"/>
        </w:rPr>
        <w:t>万元、其他社会保障缴费</w:t>
      </w:r>
      <w:r>
        <w:rPr>
          <w:rFonts w:ascii="Times New Roman" w:hAnsi="Times New Roman" w:eastAsia="方正仿宋简体" w:cs="Times New Roman"/>
          <w:sz w:val="32"/>
          <w:szCs w:val="32"/>
        </w:rPr>
        <w:t>1.51</w:t>
      </w:r>
      <w:r>
        <w:rPr>
          <w:rFonts w:hint="eastAsia" w:ascii="Times New Roman" w:hAnsi="Times New Roman" w:eastAsia="方正仿宋简体" w:cs="方正仿宋简体"/>
          <w:sz w:val="32"/>
          <w:szCs w:val="32"/>
        </w:rPr>
        <w:t>万元、住房公积金</w:t>
      </w:r>
      <w:r>
        <w:rPr>
          <w:rFonts w:ascii="Times New Roman" w:hAnsi="Times New Roman" w:eastAsia="方正仿宋简体" w:cs="Times New Roman"/>
          <w:sz w:val="32"/>
          <w:szCs w:val="32"/>
        </w:rPr>
        <w:t>10.97</w:t>
      </w:r>
      <w:r>
        <w:rPr>
          <w:rFonts w:hint="eastAsia" w:ascii="Times New Roman" w:hAnsi="Times New Roman" w:eastAsia="方正仿宋简体" w:cs="方正仿宋简体"/>
          <w:sz w:val="32"/>
          <w:szCs w:val="32"/>
        </w:rPr>
        <w:t>万元、对个人和家庭的补助</w:t>
      </w:r>
      <w:r>
        <w:rPr>
          <w:rFonts w:ascii="Times New Roman" w:hAnsi="Times New Roman" w:eastAsia="方正仿宋简体" w:cs="Times New Roman"/>
          <w:sz w:val="32"/>
          <w:szCs w:val="32"/>
        </w:rPr>
        <w:t>19.94</w:t>
      </w:r>
      <w:r>
        <w:rPr>
          <w:rFonts w:hint="eastAsia" w:ascii="Times New Roman" w:hAnsi="Times New Roman" w:eastAsia="方正仿宋简体" w:cs="方正仿宋简体"/>
          <w:sz w:val="32"/>
          <w:szCs w:val="32"/>
        </w:rPr>
        <w:t>万元；公用经费支出</w:t>
      </w:r>
      <w:r>
        <w:rPr>
          <w:rFonts w:ascii="Times New Roman" w:hAnsi="Times New Roman" w:eastAsia="方正仿宋简体" w:cs="Times New Roman"/>
          <w:sz w:val="32"/>
          <w:szCs w:val="32"/>
        </w:rPr>
        <w:t>9.56</w:t>
      </w:r>
      <w:r>
        <w:rPr>
          <w:rFonts w:hint="eastAsia" w:ascii="Times New Roman" w:hAnsi="Times New Roman" w:eastAsia="方正仿宋简体" w:cs="方正仿宋简体"/>
          <w:sz w:val="32"/>
          <w:szCs w:val="32"/>
        </w:rPr>
        <w:t>万元，主要包括：办公费</w:t>
      </w:r>
      <w:r>
        <w:rPr>
          <w:rFonts w:ascii="Times New Roman" w:hAnsi="Times New Roman" w:eastAsia="方正仿宋简体" w:cs="Times New Roman"/>
          <w:sz w:val="32"/>
          <w:szCs w:val="32"/>
        </w:rPr>
        <w:t>0.76</w:t>
      </w:r>
      <w:r>
        <w:rPr>
          <w:rFonts w:hint="eastAsia" w:ascii="Times New Roman" w:hAnsi="Times New Roman" w:eastAsia="方正仿宋简体" w:cs="方正仿宋简体"/>
          <w:sz w:val="32"/>
          <w:szCs w:val="32"/>
        </w:rPr>
        <w:t>万元、邮电费</w:t>
      </w:r>
      <w:r>
        <w:rPr>
          <w:rFonts w:ascii="Times New Roman" w:hAnsi="Times New Roman" w:eastAsia="方正仿宋简体" w:cs="Times New Roman"/>
          <w:sz w:val="32"/>
          <w:szCs w:val="32"/>
        </w:rPr>
        <w:t>0.47</w:t>
      </w:r>
      <w:r>
        <w:rPr>
          <w:rFonts w:hint="eastAsia" w:ascii="Times New Roman" w:hAnsi="Times New Roman" w:eastAsia="方正仿宋简体" w:cs="方正仿宋简体"/>
          <w:sz w:val="32"/>
          <w:szCs w:val="32"/>
        </w:rPr>
        <w:t>万元、差旅费</w:t>
      </w:r>
      <w:r>
        <w:rPr>
          <w:rFonts w:ascii="Times New Roman" w:hAnsi="Times New Roman" w:eastAsia="方正仿宋简体" w:cs="Times New Roman"/>
          <w:sz w:val="32"/>
          <w:szCs w:val="32"/>
        </w:rPr>
        <w:t>0.5</w:t>
      </w:r>
      <w:r>
        <w:rPr>
          <w:rFonts w:hint="eastAsia" w:ascii="Times New Roman" w:hAnsi="Times New Roman" w:eastAsia="方正仿宋简体" w:cs="方正仿宋简体"/>
          <w:sz w:val="32"/>
          <w:szCs w:val="32"/>
        </w:rPr>
        <w:t>万元、公务接待费</w:t>
      </w:r>
      <w:r>
        <w:rPr>
          <w:rFonts w:ascii="Times New Roman" w:hAnsi="Times New Roman" w:eastAsia="方正仿宋简体" w:cs="Times New Roman"/>
          <w:sz w:val="32"/>
          <w:szCs w:val="32"/>
        </w:rPr>
        <w:t>0.43</w:t>
      </w:r>
      <w:r>
        <w:rPr>
          <w:rFonts w:hint="eastAsia" w:ascii="Times New Roman" w:hAnsi="Times New Roman" w:eastAsia="方正仿宋简体" w:cs="方正仿宋简体"/>
          <w:sz w:val="32"/>
          <w:szCs w:val="32"/>
        </w:rPr>
        <w:t>万元、工会经费</w:t>
      </w:r>
      <w:r>
        <w:rPr>
          <w:rFonts w:ascii="Times New Roman" w:hAnsi="Times New Roman" w:eastAsia="方正仿宋简体" w:cs="Times New Roman"/>
          <w:sz w:val="32"/>
          <w:szCs w:val="32"/>
        </w:rPr>
        <w:t>4.26</w:t>
      </w:r>
      <w:r>
        <w:rPr>
          <w:rFonts w:hint="eastAsia" w:ascii="Times New Roman" w:hAnsi="Times New Roman" w:eastAsia="方正仿宋简体" w:cs="方正仿宋简体"/>
          <w:sz w:val="32"/>
          <w:szCs w:val="32"/>
        </w:rPr>
        <w:t>万元、福利费</w:t>
      </w:r>
      <w:r>
        <w:rPr>
          <w:rFonts w:ascii="Times New Roman" w:hAnsi="Times New Roman" w:eastAsia="方正仿宋简体" w:cs="Times New Roman"/>
          <w:sz w:val="32"/>
          <w:szCs w:val="32"/>
        </w:rPr>
        <w:t>1.86</w:t>
      </w:r>
      <w:r>
        <w:rPr>
          <w:rFonts w:hint="eastAsia" w:ascii="Times New Roman" w:hAnsi="Times New Roman" w:eastAsia="方正仿宋简体" w:cs="方正仿宋简体"/>
          <w:sz w:val="32"/>
          <w:szCs w:val="32"/>
        </w:rPr>
        <w:t>万元、其他交通费用</w:t>
      </w:r>
      <w:r>
        <w:rPr>
          <w:rFonts w:ascii="Times New Roman" w:hAnsi="Times New Roman" w:eastAsia="方正仿宋简体" w:cs="Times New Roman"/>
          <w:sz w:val="32"/>
          <w:szCs w:val="32"/>
        </w:rPr>
        <w:t>0.37</w:t>
      </w:r>
      <w:r>
        <w:rPr>
          <w:rFonts w:hint="eastAsia" w:ascii="Times New Roman" w:hAnsi="Times New Roman" w:eastAsia="方正仿宋简体" w:cs="方正仿宋简体"/>
          <w:sz w:val="32"/>
          <w:szCs w:val="32"/>
        </w:rPr>
        <w:t>万元、其他商品服务支出</w:t>
      </w:r>
      <w:r>
        <w:rPr>
          <w:rFonts w:ascii="Times New Roman" w:hAnsi="Times New Roman" w:eastAsia="方正仿宋简体" w:cs="Times New Roman"/>
          <w:sz w:val="32"/>
          <w:szCs w:val="32"/>
        </w:rPr>
        <w:t>0.91</w:t>
      </w:r>
      <w:r>
        <w:rPr>
          <w:rFonts w:hint="eastAsia" w:ascii="Times New Roman" w:hAnsi="Times New Roman" w:eastAsia="方正仿宋简体" w:cs="方正仿宋简体"/>
          <w:sz w:val="32"/>
          <w:szCs w:val="32"/>
        </w:rPr>
        <w:t>万元。</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七、关于市仲裁院</w:t>
      </w:r>
      <w:r>
        <w:rPr>
          <w:rFonts w:ascii="黑体" w:hAnsi="黑体" w:eastAsia="黑体" w:cs="黑体"/>
          <w:sz w:val="32"/>
          <w:szCs w:val="32"/>
        </w:rPr>
        <w:t xml:space="preserve">2018 </w:t>
      </w:r>
      <w:r>
        <w:rPr>
          <w:rFonts w:hint="eastAsia" w:ascii="黑体" w:hAnsi="黑体" w:eastAsia="黑体" w:cs="黑体"/>
          <w:sz w:val="32"/>
          <w:szCs w:val="32"/>
        </w:rPr>
        <w:t>年度政府性基金预算财政拨款支出决算情况说明</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本院没有政府性基金收入，也没有政府性基金安排的支出，故本表无数据。</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八、关于市仲裁院</w:t>
      </w:r>
      <w:r>
        <w:rPr>
          <w:rFonts w:ascii="黑体" w:hAnsi="黑体" w:eastAsia="黑体" w:cs="黑体"/>
          <w:sz w:val="32"/>
          <w:szCs w:val="32"/>
        </w:rPr>
        <w:t xml:space="preserve">2018 </w:t>
      </w:r>
      <w:r>
        <w:rPr>
          <w:rFonts w:hint="eastAsia" w:ascii="黑体" w:hAnsi="黑体" w:eastAsia="黑体" w:cs="黑体"/>
          <w:sz w:val="32"/>
          <w:szCs w:val="32"/>
        </w:rPr>
        <w:t>年度一般公共预算财政拨款</w:t>
      </w:r>
      <w:r>
        <w:rPr>
          <w:rFonts w:ascii="黑体" w:hAnsi="黑体" w:eastAsia="黑体" w:cs="Times New Roman"/>
          <w:sz w:val="32"/>
          <w:szCs w:val="32"/>
        </w:rPr>
        <w:t>“</w:t>
      </w:r>
      <w:r>
        <w:rPr>
          <w:rFonts w:hint="eastAsia" w:ascii="黑体" w:hAnsi="黑体" w:eastAsia="黑体" w:cs="黑体"/>
          <w:sz w:val="32"/>
          <w:szCs w:val="32"/>
        </w:rPr>
        <w:t>三公</w:t>
      </w:r>
      <w:r>
        <w:rPr>
          <w:rFonts w:ascii="黑体" w:hAnsi="黑体" w:eastAsia="黑体" w:cs="Times New Roman"/>
          <w:sz w:val="32"/>
          <w:szCs w:val="32"/>
        </w:rPr>
        <w:t>”</w:t>
      </w:r>
      <w:r>
        <w:rPr>
          <w:rFonts w:hint="eastAsia" w:ascii="黑体" w:hAnsi="黑体" w:eastAsia="黑体" w:cs="黑体"/>
          <w:sz w:val="32"/>
          <w:szCs w:val="32"/>
        </w:rPr>
        <w:t>经费支出决算情况说明</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三公</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经费财政拨款支出决算为</w:t>
      </w:r>
      <w:r>
        <w:rPr>
          <w:rFonts w:ascii="Times New Roman" w:hAnsi="Times New Roman" w:eastAsia="方正仿宋简体" w:cs="Times New Roman"/>
          <w:sz w:val="32"/>
          <w:szCs w:val="32"/>
        </w:rPr>
        <w:t>2.01</w:t>
      </w:r>
      <w:r>
        <w:rPr>
          <w:rFonts w:hint="eastAsia" w:ascii="Times New Roman" w:hAnsi="Times New Roman" w:eastAsia="方正仿宋简体" w:cs="方正仿宋简体"/>
          <w:sz w:val="32"/>
          <w:szCs w:val="32"/>
        </w:rPr>
        <w:t>万元，其中：因公出国（境）费支出决算为</w:t>
      </w:r>
      <w:r>
        <w:rPr>
          <w:rFonts w:ascii="Times New Roman" w:hAnsi="Times New Roman" w:eastAsia="方正仿宋简体" w:cs="Times New Roman"/>
          <w:sz w:val="32"/>
          <w:szCs w:val="32"/>
        </w:rPr>
        <w:t xml:space="preserve"> 0</w:t>
      </w:r>
      <w:r>
        <w:rPr>
          <w:rFonts w:hint="eastAsia" w:ascii="Times New Roman" w:hAnsi="Times New Roman" w:eastAsia="方正仿宋简体" w:cs="方正仿宋简体"/>
          <w:sz w:val="32"/>
          <w:szCs w:val="32"/>
        </w:rPr>
        <w:t>万元，占</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；公务用车购置及运行费支出决算为</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万元，占</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；公务接待费支出决算为</w:t>
      </w:r>
      <w:r>
        <w:rPr>
          <w:rFonts w:ascii="Times New Roman" w:hAnsi="Times New Roman" w:eastAsia="方正仿宋简体" w:cs="Times New Roman"/>
          <w:sz w:val="32"/>
          <w:szCs w:val="32"/>
        </w:rPr>
        <w:t xml:space="preserve"> 0.82</w:t>
      </w:r>
      <w:r>
        <w:rPr>
          <w:rFonts w:hint="eastAsia" w:ascii="Times New Roman" w:hAnsi="Times New Roman" w:eastAsia="方正仿宋简体" w:cs="方正仿宋简体"/>
          <w:sz w:val="32"/>
          <w:szCs w:val="32"/>
        </w:rPr>
        <w:t>万元，占</w:t>
      </w:r>
      <w:r>
        <w:rPr>
          <w:rFonts w:ascii="Times New Roman" w:hAnsi="Times New Roman" w:eastAsia="方正仿宋简体" w:cs="Times New Roman"/>
          <w:sz w:val="32"/>
          <w:szCs w:val="32"/>
        </w:rPr>
        <w:t>37.27%</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三公</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经费支出决算数小于上年决算数的主要原因：</w:t>
      </w:r>
      <w:r>
        <w:rPr>
          <w:rFonts w:hint="eastAsia" w:ascii="Times New Roman" w:hAnsi="Times New Roman" w:eastAsia="方正仿宋简体" w:cs="方正仿宋简体"/>
          <w:kern w:val="1"/>
          <w:sz w:val="32"/>
          <w:szCs w:val="32"/>
        </w:rPr>
        <w:t>单位厉行节约，严格控制三公经费开支。</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、因公出国（境）情况说明</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因公出国（境）团组数</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个，</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、公务用车购置及运行经费情况说明</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公务用车购置支出：无。</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运行经费支出：无。</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、公务接待情况说明</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公务接待支出</w:t>
      </w:r>
      <w:r>
        <w:rPr>
          <w:rFonts w:ascii="Times New Roman" w:hAnsi="Times New Roman" w:eastAsia="方正仿宋简体" w:cs="Times New Roman"/>
          <w:sz w:val="32"/>
          <w:szCs w:val="32"/>
        </w:rPr>
        <w:t>0.82</w:t>
      </w:r>
      <w:r>
        <w:rPr>
          <w:rFonts w:hint="eastAsia" w:ascii="Times New Roman" w:hAnsi="Times New Roman" w:eastAsia="方正仿宋简体" w:cs="方正仿宋简体"/>
          <w:sz w:val="32"/>
          <w:szCs w:val="32"/>
        </w:rPr>
        <w:t>万元，国内公务接待</w:t>
      </w:r>
      <w:r>
        <w:rPr>
          <w:rFonts w:ascii="Times New Roman" w:hAnsi="Times New Roman" w:eastAsia="方正仿宋简体" w:cs="Times New Roman"/>
          <w:sz w:val="32"/>
          <w:szCs w:val="32"/>
        </w:rPr>
        <w:t>27</w:t>
      </w:r>
      <w:r>
        <w:rPr>
          <w:rFonts w:hint="eastAsia" w:ascii="Times New Roman" w:hAnsi="Times New Roman" w:eastAsia="方正仿宋简体" w:cs="方正仿宋简体"/>
          <w:sz w:val="32"/>
          <w:szCs w:val="32"/>
        </w:rPr>
        <w:t>批次，接待</w:t>
      </w:r>
      <w:r>
        <w:rPr>
          <w:rFonts w:ascii="Times New Roman" w:hAnsi="Times New Roman" w:eastAsia="方正仿宋简体" w:cs="Times New Roman"/>
          <w:sz w:val="32"/>
          <w:szCs w:val="32"/>
        </w:rPr>
        <w:t>216</w:t>
      </w:r>
      <w:r>
        <w:rPr>
          <w:rFonts w:hint="eastAsia" w:ascii="Times New Roman" w:hAnsi="Times New Roman" w:eastAsia="方正仿宋简体" w:cs="方正仿宋简体"/>
          <w:sz w:val="32"/>
          <w:szCs w:val="32"/>
        </w:rPr>
        <w:t>人。接待支出主要用于餐饮。</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九、关于</w:t>
      </w:r>
      <w:r>
        <w:rPr>
          <w:rFonts w:ascii="黑体" w:hAnsi="黑体" w:eastAsia="黑体" w:cs="黑体"/>
          <w:sz w:val="32"/>
          <w:szCs w:val="32"/>
        </w:rPr>
        <w:t xml:space="preserve"> 2018 </w:t>
      </w:r>
      <w:r>
        <w:rPr>
          <w:rFonts w:hint="eastAsia" w:ascii="黑体" w:hAnsi="黑体" w:eastAsia="黑体" w:cs="黑体"/>
          <w:sz w:val="32"/>
          <w:szCs w:val="32"/>
        </w:rPr>
        <w:t>年度预算绩效情况说明</w:t>
      </w:r>
    </w:p>
    <w:p>
      <w:pPr>
        <w:pStyle w:val="4"/>
        <w:widowControl w:val="0"/>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kern w:val="1"/>
          <w:sz w:val="32"/>
          <w:szCs w:val="32"/>
        </w:rPr>
        <w:t>一是加强绩效目标管理。本院按照有关政策文件和市财政局要求开展预算绩效管理工作，</w:t>
      </w:r>
      <w:r>
        <w:rPr>
          <w:rFonts w:hint="eastAsia" w:ascii="Times New Roman" w:hAnsi="Times New Roman" w:eastAsia="方正仿宋简体" w:cs="方正仿宋简体"/>
          <w:color w:val="000000"/>
          <w:sz w:val="32"/>
          <w:szCs w:val="32"/>
          <w:shd w:val="clear" w:color="auto" w:fill="FFFFFF"/>
        </w:rPr>
        <w:t>我院认真对照评估指标，对</w:t>
      </w:r>
      <w:r>
        <w:rPr>
          <w:rFonts w:ascii="Times New Roman" w:hAnsi="Times New Roman" w:eastAsia="方正仿宋简体" w:cs="Times New Roman"/>
          <w:color w:val="000000"/>
          <w:sz w:val="32"/>
          <w:szCs w:val="32"/>
          <w:shd w:val="clear" w:color="auto" w:fill="FFFFFF"/>
        </w:rPr>
        <w:t>2018</w:t>
      </w:r>
      <w:r>
        <w:rPr>
          <w:rFonts w:hint="eastAsia" w:ascii="Times New Roman" w:hAnsi="Times New Roman" w:eastAsia="方正仿宋简体" w:cs="方正仿宋简体"/>
          <w:color w:val="000000"/>
          <w:sz w:val="32"/>
          <w:szCs w:val="32"/>
          <w:shd w:val="clear" w:color="auto" w:fill="FFFFFF"/>
        </w:rPr>
        <w:t>年度所有预算资金进行绩效考评。根据设定的绩效目标，对预算资金支出经济性、效率性、有效性和可持性进行客观、公正的评价，对评价指标进行打分并撰写绩效报告。</w:t>
      </w:r>
      <w:r>
        <w:rPr>
          <w:rFonts w:hint="eastAsia" w:ascii="Times New Roman" w:hAnsi="Times New Roman" w:eastAsia="方正仿宋简体" w:cs="方正仿宋简体"/>
          <w:kern w:val="1"/>
          <w:sz w:val="32"/>
          <w:szCs w:val="32"/>
        </w:rPr>
        <w:t>二是开展绩效运行跟踪监控。在编制</w:t>
      </w:r>
      <w:r>
        <w:rPr>
          <w:rFonts w:ascii="Times New Roman" w:hAnsi="Times New Roman" w:eastAsia="方正仿宋简体" w:cs="Times New Roman"/>
          <w:kern w:val="1"/>
          <w:sz w:val="32"/>
          <w:szCs w:val="32"/>
        </w:rPr>
        <w:t>2019</w:t>
      </w:r>
      <w:r>
        <w:rPr>
          <w:rFonts w:hint="eastAsia" w:ascii="Times New Roman" w:hAnsi="Times New Roman" w:eastAsia="方正仿宋简体" w:cs="方正仿宋简体"/>
          <w:kern w:val="1"/>
          <w:sz w:val="32"/>
          <w:szCs w:val="32"/>
        </w:rPr>
        <w:t>年部门预算时，本院将所有预算资金纳入绩效目标管理，实现了绩效目标与部门预算同步编制、同步申报。经市人大批准后，在规定时间内，市财政局将绩效目标批复给本部门作为预算执行和监督的依据。三是做好绩效自评和结果公开。根据市财政局文件要求，</w:t>
      </w:r>
      <w:r>
        <w:rPr>
          <w:rFonts w:hint="eastAsia" w:ascii="Times New Roman" w:hAnsi="Times New Roman" w:eastAsia="方正仿宋简体" w:cs="方正仿宋简体"/>
          <w:color w:val="000000"/>
          <w:sz w:val="32"/>
          <w:szCs w:val="32"/>
          <w:shd w:val="clear" w:color="auto" w:fill="FFFFFF"/>
        </w:rPr>
        <w:t>我院成立了绩效评价工作领导小组，负责绩效评价工作的组织领导和具体实施。</w:t>
      </w:r>
      <w:r>
        <w:rPr>
          <w:rFonts w:hint="eastAsia" w:ascii="Times New Roman" w:hAnsi="Times New Roman" w:eastAsia="方正仿宋简体" w:cs="方正仿宋简体"/>
          <w:kern w:val="1"/>
          <w:sz w:val="32"/>
          <w:szCs w:val="32"/>
        </w:rPr>
        <w:t>对</w:t>
      </w:r>
      <w:r>
        <w:rPr>
          <w:rFonts w:ascii="Times New Roman" w:hAnsi="Times New Roman" w:eastAsia="方正仿宋简体" w:cs="Times New Roman"/>
          <w:kern w:val="1"/>
          <w:sz w:val="32"/>
          <w:szCs w:val="32"/>
        </w:rPr>
        <w:t>2018</w:t>
      </w:r>
      <w:r>
        <w:rPr>
          <w:rFonts w:hint="eastAsia" w:ascii="Times New Roman" w:hAnsi="Times New Roman" w:eastAsia="方正仿宋简体" w:cs="方正仿宋简体"/>
          <w:kern w:val="1"/>
          <w:sz w:val="32"/>
          <w:szCs w:val="32"/>
        </w:rPr>
        <w:t>年部门整体支出开展了绩效自评，并于</w:t>
      </w:r>
      <w:r>
        <w:rPr>
          <w:rFonts w:ascii="Times New Roman" w:hAnsi="Times New Roman" w:eastAsia="方正仿宋简体" w:cs="Times New Roman"/>
          <w:kern w:val="1"/>
          <w:sz w:val="32"/>
          <w:szCs w:val="32"/>
        </w:rPr>
        <w:t>2019</w:t>
      </w:r>
      <w:r>
        <w:rPr>
          <w:rFonts w:hint="eastAsia" w:ascii="Times New Roman" w:hAnsi="Times New Roman" w:eastAsia="方正仿宋简体" w:cs="方正仿宋简体"/>
          <w:kern w:val="1"/>
          <w:sz w:val="32"/>
          <w:szCs w:val="32"/>
        </w:rPr>
        <w:t>年</w:t>
      </w:r>
      <w:r>
        <w:rPr>
          <w:rFonts w:ascii="Times New Roman" w:hAnsi="Times New Roman" w:eastAsia="方正仿宋简体" w:cs="Times New Roman"/>
          <w:kern w:val="1"/>
          <w:sz w:val="32"/>
          <w:szCs w:val="32"/>
        </w:rPr>
        <w:t>4</w:t>
      </w:r>
      <w:r>
        <w:rPr>
          <w:rFonts w:hint="eastAsia" w:ascii="Times New Roman" w:hAnsi="Times New Roman" w:eastAsia="方正仿宋简体" w:cs="方正仿宋简体"/>
          <w:kern w:val="1"/>
          <w:sz w:val="32"/>
          <w:szCs w:val="32"/>
        </w:rPr>
        <w:t>月</w:t>
      </w:r>
      <w:r>
        <w:rPr>
          <w:rFonts w:ascii="Times New Roman" w:hAnsi="Times New Roman" w:eastAsia="方正仿宋简体" w:cs="Times New Roman"/>
          <w:kern w:val="1"/>
          <w:sz w:val="32"/>
          <w:szCs w:val="32"/>
        </w:rPr>
        <w:t>28</w:t>
      </w:r>
      <w:r>
        <w:rPr>
          <w:rFonts w:hint="eastAsia" w:ascii="Times New Roman" w:hAnsi="Times New Roman" w:eastAsia="方正仿宋简体" w:cs="方正仿宋简体"/>
          <w:kern w:val="1"/>
          <w:sz w:val="32"/>
          <w:szCs w:val="32"/>
        </w:rPr>
        <w:t>日将自评结果在人力资源和社会保障局网站进行了公开。四是扎实做好整改工作。</w:t>
      </w:r>
      <w:r>
        <w:rPr>
          <w:rFonts w:hint="eastAsia" w:ascii="Times New Roman" w:hAnsi="Times New Roman" w:eastAsia="方正仿宋简体" w:cs="方正仿宋简体"/>
          <w:color w:val="000000"/>
          <w:sz w:val="32"/>
          <w:szCs w:val="32"/>
        </w:rPr>
        <w:t>强化预算管理，提高单位预算执行力度。加强资产管理，做好资产信息系统的维护工作，及时录入更新购置资产，使资产变动情况与信息系统数据一致。做好政府采购预算，严格按照预算实施政府采购。</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十、其他重要事项的情况说明</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（一）预决算收支增减变化情况</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kern w:val="1"/>
          <w:sz w:val="32"/>
          <w:szCs w:val="32"/>
        </w:rPr>
        <w:t>2018</w:t>
      </w:r>
      <w:r>
        <w:rPr>
          <w:rFonts w:hint="eastAsia" w:ascii="Times New Roman" w:hAnsi="Times New Roman" w:eastAsia="方正仿宋简体" w:cs="方正仿宋简体"/>
          <w:kern w:val="1"/>
          <w:sz w:val="32"/>
          <w:szCs w:val="32"/>
        </w:rPr>
        <w:t>年度部门预算收入</w:t>
      </w:r>
      <w:r>
        <w:rPr>
          <w:rFonts w:ascii="Times New Roman" w:hAnsi="Times New Roman" w:eastAsia="方正仿宋简体" w:cs="Times New Roman"/>
          <w:kern w:val="1"/>
          <w:sz w:val="32"/>
          <w:szCs w:val="32"/>
        </w:rPr>
        <w:t>130.56</w:t>
      </w:r>
      <w:r>
        <w:rPr>
          <w:rFonts w:hint="eastAsia" w:ascii="Times New Roman" w:hAnsi="Times New Roman" w:eastAsia="方正仿宋简体" w:cs="方正仿宋简体"/>
          <w:kern w:val="1"/>
          <w:sz w:val="32"/>
          <w:szCs w:val="32"/>
        </w:rPr>
        <w:t>万元，其中一般公共预算财政拨款</w:t>
      </w:r>
      <w:r>
        <w:rPr>
          <w:rFonts w:ascii="Times New Roman" w:hAnsi="Times New Roman" w:eastAsia="方正仿宋简体" w:cs="Times New Roman"/>
          <w:kern w:val="1"/>
          <w:sz w:val="32"/>
          <w:szCs w:val="32"/>
        </w:rPr>
        <w:t>130.56</w:t>
      </w:r>
      <w:r>
        <w:rPr>
          <w:rFonts w:hint="eastAsia" w:ascii="Times New Roman" w:hAnsi="Times New Roman" w:eastAsia="方正仿宋简体" w:cs="方正仿宋简体"/>
          <w:kern w:val="1"/>
          <w:sz w:val="32"/>
          <w:szCs w:val="32"/>
        </w:rPr>
        <w:t>万元。部门预算支出</w:t>
      </w:r>
      <w:r>
        <w:rPr>
          <w:rFonts w:ascii="Times New Roman" w:hAnsi="Times New Roman" w:eastAsia="方正仿宋简体" w:cs="Times New Roman"/>
          <w:kern w:val="1"/>
          <w:sz w:val="32"/>
          <w:szCs w:val="32"/>
        </w:rPr>
        <w:t>130.56</w:t>
      </w:r>
      <w:r>
        <w:rPr>
          <w:rFonts w:hint="eastAsia" w:ascii="Times New Roman" w:hAnsi="Times New Roman" w:eastAsia="方正仿宋简体" w:cs="方正仿宋简体"/>
          <w:kern w:val="1"/>
          <w:sz w:val="32"/>
          <w:szCs w:val="32"/>
        </w:rPr>
        <w:t>万元，其中一般公共拨款支出</w:t>
      </w:r>
      <w:r>
        <w:rPr>
          <w:rFonts w:ascii="Times New Roman" w:hAnsi="Times New Roman" w:eastAsia="方正仿宋简体" w:cs="Times New Roman"/>
          <w:kern w:val="1"/>
          <w:sz w:val="32"/>
          <w:szCs w:val="32"/>
        </w:rPr>
        <w:t>130.56</w:t>
      </w:r>
      <w:r>
        <w:rPr>
          <w:rFonts w:hint="eastAsia" w:ascii="Times New Roman" w:hAnsi="Times New Roman" w:eastAsia="方正仿宋简体" w:cs="方正仿宋简体"/>
          <w:kern w:val="1"/>
          <w:sz w:val="32"/>
          <w:szCs w:val="32"/>
        </w:rPr>
        <w:t>万元。</w:t>
      </w:r>
    </w:p>
    <w:p>
      <w:pPr>
        <w:spacing w:line="600" w:lineRule="exact"/>
        <w:ind w:firstLine="640" w:firstLineChars="200"/>
        <w:rPr>
          <w:rFonts w:ascii="Times New Roman" w:hAnsi="Times New Roman" w:eastAsia="方正仿宋简体" w:cs="Times New Roman"/>
          <w:kern w:val="1"/>
          <w:sz w:val="32"/>
          <w:szCs w:val="32"/>
        </w:rPr>
      </w:pPr>
      <w:r>
        <w:rPr>
          <w:rFonts w:ascii="Times New Roman" w:hAnsi="Times New Roman" w:eastAsia="方正仿宋简体" w:cs="Times New Roman"/>
          <w:kern w:val="1"/>
          <w:sz w:val="32"/>
          <w:szCs w:val="32"/>
        </w:rPr>
        <w:t>2018</w:t>
      </w:r>
      <w:r>
        <w:rPr>
          <w:rFonts w:hint="eastAsia" w:ascii="Times New Roman" w:hAnsi="Times New Roman" w:eastAsia="方正仿宋简体" w:cs="方正仿宋简体"/>
          <w:kern w:val="1"/>
          <w:sz w:val="32"/>
          <w:szCs w:val="32"/>
        </w:rPr>
        <w:t>年度部门决算收入</w:t>
      </w:r>
      <w:r>
        <w:rPr>
          <w:rFonts w:ascii="Times New Roman" w:hAnsi="Times New Roman" w:eastAsia="方正仿宋简体" w:cs="Times New Roman"/>
          <w:kern w:val="1"/>
          <w:sz w:val="32"/>
          <w:szCs w:val="32"/>
        </w:rPr>
        <w:t>141.15</w:t>
      </w:r>
      <w:r>
        <w:rPr>
          <w:rFonts w:hint="eastAsia" w:ascii="Times New Roman" w:hAnsi="Times New Roman" w:eastAsia="方正仿宋简体" w:cs="方正仿宋简体"/>
          <w:kern w:val="1"/>
          <w:sz w:val="32"/>
          <w:szCs w:val="32"/>
        </w:rPr>
        <w:t>万元，较预算收入增加</w:t>
      </w:r>
      <w:r>
        <w:rPr>
          <w:rFonts w:ascii="Times New Roman" w:hAnsi="Times New Roman" w:eastAsia="方正仿宋简体" w:cs="Times New Roman"/>
          <w:kern w:val="1"/>
          <w:sz w:val="32"/>
          <w:szCs w:val="32"/>
        </w:rPr>
        <w:t>10.59</w:t>
      </w:r>
      <w:r>
        <w:rPr>
          <w:rFonts w:hint="eastAsia" w:ascii="Times New Roman" w:hAnsi="Times New Roman" w:eastAsia="方正仿宋简体" w:cs="方正仿宋简体"/>
          <w:kern w:val="1"/>
          <w:sz w:val="32"/>
          <w:szCs w:val="32"/>
        </w:rPr>
        <w:t>万元；其中一般财政拨款收入</w:t>
      </w:r>
      <w:r>
        <w:rPr>
          <w:rFonts w:ascii="Times New Roman" w:hAnsi="Times New Roman" w:eastAsia="方正仿宋简体" w:cs="Times New Roman"/>
          <w:kern w:val="1"/>
          <w:sz w:val="32"/>
          <w:szCs w:val="32"/>
        </w:rPr>
        <w:t>141.15</w:t>
      </w:r>
      <w:r>
        <w:rPr>
          <w:rFonts w:hint="eastAsia" w:ascii="Times New Roman" w:hAnsi="Times New Roman" w:eastAsia="方正仿宋简体" w:cs="方正仿宋简体"/>
          <w:kern w:val="1"/>
          <w:sz w:val="32"/>
          <w:szCs w:val="32"/>
        </w:rPr>
        <w:t>万元，较预算收入增加</w:t>
      </w:r>
      <w:r>
        <w:rPr>
          <w:rFonts w:ascii="Times New Roman" w:hAnsi="Times New Roman" w:eastAsia="方正仿宋简体" w:cs="Times New Roman"/>
          <w:kern w:val="1"/>
          <w:sz w:val="32"/>
          <w:szCs w:val="32"/>
        </w:rPr>
        <w:t>10.59</w:t>
      </w:r>
      <w:r>
        <w:rPr>
          <w:rFonts w:hint="eastAsia" w:ascii="Times New Roman" w:hAnsi="Times New Roman" w:eastAsia="方正仿宋简体" w:cs="方正仿宋简体"/>
          <w:kern w:val="1"/>
          <w:sz w:val="32"/>
          <w:szCs w:val="32"/>
        </w:rPr>
        <w:t>万元。部门决算支出</w:t>
      </w:r>
      <w:r>
        <w:rPr>
          <w:rFonts w:ascii="Times New Roman" w:hAnsi="Times New Roman" w:eastAsia="方正仿宋简体" w:cs="Times New Roman"/>
          <w:kern w:val="1"/>
          <w:sz w:val="32"/>
          <w:szCs w:val="32"/>
        </w:rPr>
        <w:t>140.69</w:t>
      </w:r>
      <w:r>
        <w:rPr>
          <w:rFonts w:hint="eastAsia" w:ascii="Times New Roman" w:hAnsi="Times New Roman" w:eastAsia="方正仿宋简体" w:cs="方正仿宋简体"/>
          <w:kern w:val="1"/>
          <w:sz w:val="32"/>
          <w:szCs w:val="32"/>
        </w:rPr>
        <w:t>万元，较预算支出增加</w:t>
      </w:r>
      <w:r>
        <w:rPr>
          <w:rFonts w:ascii="Times New Roman" w:hAnsi="Times New Roman" w:eastAsia="方正仿宋简体" w:cs="Times New Roman"/>
          <w:kern w:val="1"/>
          <w:sz w:val="32"/>
          <w:szCs w:val="32"/>
        </w:rPr>
        <w:t>10.13</w:t>
      </w:r>
      <w:r>
        <w:rPr>
          <w:rFonts w:hint="eastAsia" w:ascii="Times New Roman" w:hAnsi="Times New Roman" w:eastAsia="方正仿宋简体" w:cs="方正仿宋简体"/>
          <w:kern w:val="1"/>
          <w:sz w:val="32"/>
          <w:szCs w:val="32"/>
        </w:rPr>
        <w:t>万元；其中一般财政拨款支出</w:t>
      </w:r>
      <w:r>
        <w:rPr>
          <w:rFonts w:ascii="Times New Roman" w:hAnsi="Times New Roman" w:eastAsia="方正仿宋简体" w:cs="Times New Roman"/>
          <w:kern w:val="1"/>
          <w:sz w:val="32"/>
          <w:szCs w:val="32"/>
        </w:rPr>
        <w:t>140.69</w:t>
      </w:r>
      <w:r>
        <w:rPr>
          <w:rFonts w:hint="eastAsia" w:ascii="Times New Roman" w:hAnsi="Times New Roman" w:eastAsia="方正仿宋简体" w:cs="方正仿宋简体"/>
          <w:kern w:val="1"/>
          <w:sz w:val="32"/>
          <w:szCs w:val="32"/>
        </w:rPr>
        <w:t>万元，较预算支出增加</w:t>
      </w:r>
      <w:r>
        <w:rPr>
          <w:rFonts w:ascii="Times New Roman" w:hAnsi="Times New Roman" w:eastAsia="方正仿宋简体" w:cs="Times New Roman"/>
          <w:kern w:val="1"/>
          <w:sz w:val="32"/>
          <w:szCs w:val="32"/>
        </w:rPr>
        <w:t>10.13</w:t>
      </w:r>
      <w:r>
        <w:rPr>
          <w:rFonts w:hint="eastAsia" w:ascii="Times New Roman" w:hAnsi="Times New Roman" w:eastAsia="方正仿宋简体" w:cs="方正仿宋简体"/>
          <w:kern w:val="1"/>
          <w:sz w:val="32"/>
          <w:szCs w:val="32"/>
        </w:rPr>
        <w:t>万元。</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（二）机关运行经费支出情况</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年度机关运行经费支出</w:t>
      </w:r>
      <w:r>
        <w:rPr>
          <w:rFonts w:ascii="Times New Roman" w:hAnsi="Times New Roman" w:eastAsia="方正仿宋简体" w:cs="Times New Roman"/>
          <w:sz w:val="32"/>
          <w:szCs w:val="32"/>
        </w:rPr>
        <w:t>9.56</w:t>
      </w:r>
      <w:r>
        <w:rPr>
          <w:rFonts w:hint="eastAsia" w:ascii="Times New Roman" w:hAnsi="Times New Roman" w:eastAsia="方正仿宋简体" w:cs="方正仿宋简体"/>
          <w:sz w:val="32"/>
          <w:szCs w:val="32"/>
        </w:rPr>
        <w:t>万元，较上年减少</w:t>
      </w:r>
      <w:r>
        <w:rPr>
          <w:rFonts w:ascii="Times New Roman" w:hAnsi="Times New Roman" w:eastAsia="方正仿宋简体" w:cs="Times New Roman"/>
          <w:sz w:val="32"/>
          <w:szCs w:val="32"/>
        </w:rPr>
        <w:t>13.12</w:t>
      </w:r>
      <w:r>
        <w:rPr>
          <w:rFonts w:hint="eastAsia" w:ascii="Times New Roman" w:hAnsi="Times New Roman" w:eastAsia="方正仿宋简体" w:cs="方正仿宋简体"/>
          <w:sz w:val="32"/>
          <w:szCs w:val="32"/>
        </w:rPr>
        <w:t>万元，减少</w:t>
      </w:r>
      <w:r>
        <w:rPr>
          <w:rFonts w:ascii="Times New Roman" w:hAnsi="Times New Roman" w:eastAsia="方正仿宋简体" w:cs="Times New Roman"/>
          <w:sz w:val="32"/>
          <w:szCs w:val="32"/>
        </w:rPr>
        <w:t>57.85%</w:t>
      </w:r>
      <w:r>
        <w:rPr>
          <w:rFonts w:hint="eastAsia" w:ascii="Times New Roman" w:hAnsi="Times New Roman" w:eastAsia="方正仿宋简体" w:cs="方正仿宋简体"/>
          <w:sz w:val="32"/>
          <w:szCs w:val="32"/>
        </w:rPr>
        <w:t>，主要原因是：</w:t>
      </w:r>
      <w:r>
        <w:rPr>
          <w:rFonts w:hint="eastAsia" w:ascii="Times New Roman" w:hAnsi="Times New Roman" w:eastAsia="方正仿宋简体" w:cs="方正仿宋简体"/>
          <w:kern w:val="1"/>
          <w:sz w:val="32"/>
          <w:szCs w:val="32"/>
        </w:rPr>
        <w:t>单位厉行节约，严格控制经费开支；另一个原因是公用经费不足，大部分的机关运行费在项目支出中开支了。</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（三）政府采购支出情况</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年度政府采购</w:t>
      </w:r>
      <w:r>
        <w:rPr>
          <w:rFonts w:ascii="Times New Roman" w:hAnsi="Times New Roman" w:eastAsia="方正仿宋简体" w:cs="Times New Roman"/>
          <w:sz w:val="32"/>
          <w:szCs w:val="32"/>
        </w:rPr>
        <w:t>0</w:t>
      </w:r>
      <w:r>
        <w:rPr>
          <w:rFonts w:hint="eastAsia" w:ascii="Times New Roman" w:hAnsi="Times New Roman" w:eastAsia="方正仿宋简体" w:cs="方正仿宋简体"/>
          <w:sz w:val="32"/>
          <w:szCs w:val="32"/>
        </w:rPr>
        <w:t>万元。</w:t>
      </w:r>
    </w:p>
    <w:p>
      <w:pPr>
        <w:spacing w:line="600" w:lineRule="exact"/>
        <w:ind w:firstLine="640" w:firstLineChars="200"/>
        <w:rPr>
          <w:rFonts w:ascii="方正楷体简体" w:hAnsi="Times New Roman" w:eastAsia="方正楷体简体" w:cs="Times New Roman"/>
          <w:sz w:val="32"/>
          <w:szCs w:val="32"/>
        </w:rPr>
      </w:pPr>
      <w:r>
        <w:rPr>
          <w:rFonts w:hint="eastAsia" w:ascii="方正楷体简体" w:hAnsi="Times New Roman" w:eastAsia="方正楷体简体" w:cs="方正楷体简体"/>
          <w:sz w:val="32"/>
          <w:szCs w:val="32"/>
        </w:rPr>
        <w:t>（四）国有资产占用情况</w:t>
      </w:r>
    </w:p>
    <w:p>
      <w:pPr>
        <w:spacing w:line="600" w:lineRule="exact"/>
        <w:ind w:firstLine="640" w:firstLineChars="200"/>
        <w:rPr>
          <w:rFonts w:ascii="Times New Roman" w:hAnsi="Times New Roman" w:eastAsia="方正仿宋简体" w:cs="Times New Roman"/>
          <w:kern w:val="1"/>
          <w:sz w:val="32"/>
          <w:szCs w:val="32"/>
        </w:rPr>
      </w:pPr>
      <w:r>
        <w:rPr>
          <w:rFonts w:hint="eastAsia" w:ascii="Times New Roman" w:hAnsi="Times New Roman" w:eastAsia="方正仿宋简体" w:cs="方正仿宋简体"/>
          <w:sz w:val="32"/>
          <w:szCs w:val="32"/>
        </w:rPr>
        <w:t>截至</w:t>
      </w: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31</w:t>
      </w:r>
      <w:r>
        <w:rPr>
          <w:rFonts w:hint="eastAsia" w:ascii="Times New Roman" w:hAnsi="Times New Roman" w:eastAsia="方正仿宋简体" w:cs="方正仿宋简体"/>
          <w:sz w:val="32"/>
          <w:szCs w:val="32"/>
        </w:rPr>
        <w:t>日，</w:t>
      </w:r>
      <w:r>
        <w:rPr>
          <w:rFonts w:hint="eastAsia" w:ascii="Times New Roman" w:hAnsi="Times New Roman" w:eastAsia="方正仿宋简体" w:cs="方正仿宋简体"/>
          <w:kern w:val="1"/>
          <w:sz w:val="32"/>
          <w:szCs w:val="32"/>
        </w:rPr>
        <w:t>账面共有车辆</w:t>
      </w:r>
      <w:r>
        <w:rPr>
          <w:rFonts w:ascii="Times New Roman" w:hAnsi="Times New Roman" w:eastAsia="方正仿宋简体" w:cs="Times New Roman"/>
          <w:kern w:val="1"/>
          <w:sz w:val="32"/>
          <w:szCs w:val="32"/>
        </w:rPr>
        <w:t>1</w:t>
      </w:r>
      <w:r>
        <w:rPr>
          <w:rFonts w:hint="eastAsia" w:ascii="Times New Roman" w:hAnsi="Times New Roman" w:eastAsia="方正仿宋简体" w:cs="方正仿宋简体"/>
          <w:kern w:val="1"/>
          <w:sz w:val="32"/>
          <w:szCs w:val="32"/>
        </w:rPr>
        <w:t>辆，车改后实际有车</w:t>
      </w:r>
      <w:r>
        <w:rPr>
          <w:rFonts w:ascii="Times New Roman" w:hAnsi="Times New Roman" w:eastAsia="方正仿宋简体" w:cs="Times New Roman"/>
          <w:kern w:val="1"/>
          <w:sz w:val="32"/>
          <w:szCs w:val="32"/>
        </w:rPr>
        <w:t>0</w:t>
      </w:r>
      <w:r>
        <w:rPr>
          <w:rFonts w:hint="eastAsia" w:ascii="Times New Roman" w:hAnsi="Times New Roman" w:eastAsia="方正仿宋简体" w:cs="方正仿宋简体"/>
          <w:kern w:val="1"/>
          <w:sz w:val="32"/>
          <w:szCs w:val="32"/>
        </w:rPr>
        <w:t>辆。</w:t>
      </w:r>
    </w:p>
    <w:p>
      <w:pPr>
        <w:spacing w:line="60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第四部分</w:t>
      </w:r>
      <w:r>
        <w:rPr>
          <w:rFonts w:ascii="Times New Roman" w:hAnsi="Times New Roman" w:eastAsia="方正仿宋简体" w:cs="Times New Roman"/>
          <w:b/>
          <w:bCs/>
          <w:sz w:val="32"/>
          <w:szCs w:val="32"/>
        </w:rPr>
        <w:t xml:space="preserve"> </w:t>
      </w:r>
      <w:r>
        <w:rPr>
          <w:rFonts w:hint="eastAsia" w:ascii="Times New Roman" w:hAnsi="Times New Roman" w:eastAsia="方正仿宋简体" w:cs="方正仿宋简体"/>
          <w:b/>
          <w:bCs/>
          <w:sz w:val="32"/>
          <w:szCs w:val="32"/>
        </w:rPr>
        <w:t>名词解释</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一、财政拨款收入：</w:t>
      </w:r>
      <w:r>
        <w:rPr>
          <w:rFonts w:hint="eastAsia" w:ascii="Times New Roman" w:hAnsi="Times New Roman" w:eastAsia="方正仿宋简体" w:cs="方正仿宋简体"/>
          <w:sz w:val="32"/>
          <w:szCs w:val="32"/>
        </w:rPr>
        <w:t>指中央财政当年拨付的资金。</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二、事业收入：</w:t>
      </w:r>
      <w:r>
        <w:rPr>
          <w:rFonts w:hint="eastAsia" w:ascii="Times New Roman" w:hAnsi="Times New Roman" w:eastAsia="方正仿宋简体" w:cs="方正仿宋简体"/>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三、经营收入：</w:t>
      </w:r>
      <w:r>
        <w:rPr>
          <w:rFonts w:hint="eastAsia" w:ascii="Times New Roman" w:hAnsi="Times New Roman" w:eastAsia="方正仿宋简体" w:cs="方正仿宋简体"/>
          <w:sz w:val="32"/>
          <w:szCs w:val="32"/>
        </w:rPr>
        <w:t>指事业单位在专业业务活动及其辅助活动之外开展非独立核算经营活动取得的收入。如：中国财政杂志社广告收入等。</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四、其他收入：</w:t>
      </w:r>
      <w:r>
        <w:rPr>
          <w:rFonts w:hint="eastAsia" w:ascii="Times New Roman" w:hAnsi="Times New Roman" w:eastAsia="方正仿宋简体" w:cs="方正仿宋简体"/>
          <w:sz w:val="32"/>
          <w:szCs w:val="32"/>
        </w:rPr>
        <w:t>指除上述</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财政拨款收入</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事业收入</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经营收入</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等以外的收入。主要是按规定动用的售房收入、存款利息收入等。</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五、用事业基金弥补收支差额：</w:t>
      </w:r>
      <w:r>
        <w:rPr>
          <w:rFonts w:hint="eastAsia" w:ascii="Times New Roman" w:hAnsi="Times New Roman" w:eastAsia="方正仿宋简体" w:cs="方正仿宋简体"/>
          <w:sz w:val="32"/>
          <w:szCs w:val="32"/>
        </w:rPr>
        <w:t>指事业单位在当年的</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财政拨款收入</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事业收入</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经营收入</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其他收入</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六、年初结转和结余：</w:t>
      </w:r>
      <w:r>
        <w:rPr>
          <w:rFonts w:hint="eastAsia" w:ascii="Times New Roman" w:hAnsi="Times New Roman" w:eastAsia="方正仿宋简体" w:cs="方正仿宋简体"/>
          <w:sz w:val="32"/>
          <w:szCs w:val="32"/>
        </w:rPr>
        <w:t>指以前年度尚未完成、结转到本年按有关规定继续使用的资金。</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七、结余分配：</w:t>
      </w:r>
      <w:r>
        <w:rPr>
          <w:rFonts w:hint="eastAsia" w:ascii="Times New Roman" w:hAnsi="Times New Roman" w:eastAsia="方正仿宋简体" w:cs="方正仿宋简体"/>
          <w:sz w:val="32"/>
          <w:szCs w:val="32"/>
        </w:rPr>
        <w:t>指事业单位按规定提取的职工福利基金、事业基金和缴纳的所得税，以及建设单位按规定应交回的基本建设竣工项目结余资金。</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八、年末结转和结余：</w:t>
      </w:r>
      <w:r>
        <w:rPr>
          <w:rFonts w:hint="eastAsia" w:ascii="Times New Roman" w:hAnsi="Times New Roman" w:eastAsia="方正仿宋简体" w:cs="方正仿宋简体"/>
          <w:sz w:val="32"/>
          <w:szCs w:val="32"/>
        </w:rPr>
        <w:t>指本年度或以前年度预算安排、因客观条件发生变化无法按原计划实施，需要延迟到以后年度按有关规定继续使用的资金。</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九、基本支出：</w:t>
      </w:r>
      <w:r>
        <w:rPr>
          <w:rFonts w:hint="eastAsia" w:ascii="Times New Roman" w:hAnsi="Times New Roman" w:eastAsia="方正仿宋简体" w:cs="方正仿宋简体"/>
          <w:sz w:val="32"/>
          <w:szCs w:val="32"/>
        </w:rPr>
        <w:t>指为保障机构正常运转、完成日常工</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作任务而发生的人员支出和公用支出。</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十、项目支出：</w:t>
      </w:r>
      <w:r>
        <w:rPr>
          <w:rFonts w:hint="eastAsia" w:ascii="Times New Roman" w:hAnsi="Times New Roman" w:eastAsia="方正仿宋简体" w:cs="方正仿宋简体"/>
          <w:sz w:val="32"/>
          <w:szCs w:val="32"/>
        </w:rPr>
        <w:t>指在基本支出之外为完成特定行政任务和事业发展目标所发生的支出。</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十一、经营支出：</w:t>
      </w:r>
      <w:r>
        <w:rPr>
          <w:rFonts w:hint="eastAsia" w:ascii="Times New Roman" w:hAnsi="Times New Roman" w:eastAsia="方正仿宋简体" w:cs="方正仿宋简体"/>
          <w:sz w:val="32"/>
          <w:szCs w:val="32"/>
        </w:rPr>
        <w:t>指事业单位在专业业务活动及其辅助活动之外开展非独立核算经营活动发生的支出。</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十二、</w:t>
      </w:r>
      <w:r>
        <w:rPr>
          <w:rFonts w:ascii="黑体" w:hAnsi="黑体" w:eastAsia="黑体" w:cs="Times New Roman"/>
          <w:sz w:val="32"/>
          <w:szCs w:val="32"/>
        </w:rPr>
        <w:t>“</w:t>
      </w:r>
      <w:r>
        <w:rPr>
          <w:rFonts w:hint="eastAsia" w:ascii="黑体" w:hAnsi="黑体" w:eastAsia="黑体" w:cs="黑体"/>
          <w:sz w:val="32"/>
          <w:szCs w:val="32"/>
        </w:rPr>
        <w:t>三公</w:t>
      </w:r>
      <w:r>
        <w:rPr>
          <w:rFonts w:ascii="黑体" w:hAnsi="黑体" w:eastAsia="黑体" w:cs="Times New Roman"/>
          <w:sz w:val="32"/>
          <w:szCs w:val="32"/>
        </w:rPr>
        <w:t>”</w:t>
      </w:r>
      <w:r>
        <w:rPr>
          <w:rFonts w:hint="eastAsia" w:ascii="黑体" w:hAnsi="黑体" w:eastAsia="黑体" w:cs="黑体"/>
          <w:sz w:val="32"/>
          <w:szCs w:val="32"/>
        </w:rPr>
        <w:t>经费：</w:t>
      </w:r>
      <w:r>
        <w:rPr>
          <w:rFonts w:hint="eastAsia" w:ascii="Times New Roman" w:hAnsi="Times New Roman" w:eastAsia="方正仿宋简体" w:cs="方正仿宋简体"/>
          <w:sz w:val="32"/>
          <w:szCs w:val="32"/>
        </w:rPr>
        <w:t>纳入中央财政预决算管理的</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三公</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Times New Roman" w:hAnsi="Times New Roman" w:eastAsia="方正仿宋简体" w:cs="Times New Roman"/>
          <w:sz w:val="32"/>
          <w:szCs w:val="32"/>
        </w:rPr>
        <w:t xml:space="preserve"> </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十三、机关运行经费：</w:t>
      </w:r>
      <w:r>
        <w:rPr>
          <w:rFonts w:hint="eastAsia" w:ascii="Times New Roman" w:hAnsi="Times New Roman" w:eastAsia="方正仿宋简体" w:cs="方正仿宋简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985" w:right="1361" w:bottom="1814" w:left="1644"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宋体" w:cs="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w:t>
    </w:r>
    <w:r>
      <w:rPr>
        <w:rStyle w:val="7"/>
        <w:rFonts w:ascii="宋体" w:hAnsi="宋体" w:cs="宋体"/>
        <w:sz w:val="28"/>
        <w:szCs w:val="28"/>
      </w:rPr>
      <w:fldChar w:fldCharType="end"/>
    </w:r>
  </w:p>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characterSpacingControl w:val="doNotCompress"/>
  <w:noLineBreaksAfter w:lang="zh-CN" w:val="$([{£¥·‘“〈《「『【〔〖〝﹙﹛﹝＄（．［｛￡￥"/>
  <w:noLineBreaksBefore w:lang="zh-CN" w:val="!%),.:;&gt;?]}¢¨°·ˇˉ―‖’”…‰′″›℃∶、。〃〉》」』】〕〗〞︶︺︾﹀﹄﹚﹜﹞！＂％＇），．：；？］｀｜｝～￠"/>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5498F"/>
    <w:rsid w:val="0007702D"/>
    <w:rsid w:val="00082A68"/>
    <w:rsid w:val="00106556"/>
    <w:rsid w:val="0011267F"/>
    <w:rsid w:val="001352FB"/>
    <w:rsid w:val="00286C85"/>
    <w:rsid w:val="00361F25"/>
    <w:rsid w:val="003638A2"/>
    <w:rsid w:val="00426B2D"/>
    <w:rsid w:val="00474791"/>
    <w:rsid w:val="004B7F53"/>
    <w:rsid w:val="004D5898"/>
    <w:rsid w:val="00555406"/>
    <w:rsid w:val="00562475"/>
    <w:rsid w:val="00577A71"/>
    <w:rsid w:val="00582244"/>
    <w:rsid w:val="006C2606"/>
    <w:rsid w:val="006F62E4"/>
    <w:rsid w:val="00732CB0"/>
    <w:rsid w:val="00786BAF"/>
    <w:rsid w:val="0079704E"/>
    <w:rsid w:val="008D6CA5"/>
    <w:rsid w:val="008E7761"/>
    <w:rsid w:val="00903FEA"/>
    <w:rsid w:val="00951E5A"/>
    <w:rsid w:val="00955E9F"/>
    <w:rsid w:val="009A478E"/>
    <w:rsid w:val="009B4C5A"/>
    <w:rsid w:val="00A461AE"/>
    <w:rsid w:val="00B17543"/>
    <w:rsid w:val="00B27C51"/>
    <w:rsid w:val="00B44575"/>
    <w:rsid w:val="00B561CA"/>
    <w:rsid w:val="00BD0975"/>
    <w:rsid w:val="00CA0197"/>
    <w:rsid w:val="00CF7A26"/>
    <w:rsid w:val="00D22F6B"/>
    <w:rsid w:val="00D84D17"/>
    <w:rsid w:val="00D85BBA"/>
    <w:rsid w:val="00DA2A0B"/>
    <w:rsid w:val="00DA6033"/>
    <w:rsid w:val="00DA7769"/>
    <w:rsid w:val="00DD6127"/>
    <w:rsid w:val="00DE5B39"/>
    <w:rsid w:val="00F22375"/>
    <w:rsid w:val="00F322AD"/>
    <w:rsid w:val="00F35C36"/>
    <w:rsid w:val="00F94200"/>
    <w:rsid w:val="669509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 w:type="character" w:styleId="8">
    <w:name w:val="Hyperlink"/>
    <w:basedOn w:val="6"/>
    <w:qFormat/>
    <w:uiPriority w:val="99"/>
    <w:rPr>
      <w:color w:val="0000FF"/>
      <w:u w:val="single"/>
    </w:rPr>
  </w:style>
  <w:style w:type="character" w:customStyle="1" w:styleId="9">
    <w:name w:val="页眉 Char"/>
    <w:basedOn w:val="6"/>
    <w:link w:val="3"/>
    <w:semiHidden/>
    <w:qFormat/>
    <w:locked/>
    <w:uiPriority w:val="99"/>
    <w:rPr>
      <w:sz w:val="18"/>
      <w:szCs w:val="18"/>
    </w:rPr>
  </w:style>
  <w:style w:type="character" w:customStyle="1" w:styleId="10">
    <w:name w:val="页脚 Char"/>
    <w:basedOn w:val="6"/>
    <w:link w:val="2"/>
    <w:semiHidden/>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621</Words>
  <Characters>3543</Characters>
  <Lines>29</Lines>
  <Paragraphs>8</Paragraphs>
  <TotalTime>118</TotalTime>
  <ScaleCrop>false</ScaleCrop>
  <LinksUpToDate>false</LinksUpToDate>
  <CharactersWithSpaces>4156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User</dc:creator>
  <cp:lastModifiedBy>Administrator</cp:lastModifiedBy>
  <dcterms:modified xsi:type="dcterms:W3CDTF">2020-01-16T01:01:59Z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