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黑体" w:hAnsi="黑体" w:eastAsia="黑体" w:cs="黑体"/>
          <w:b/>
          <w:bCs/>
          <w:i w:val="0"/>
          <w:caps w:val="0"/>
          <w:color w:val="000000"/>
          <w:spacing w:val="0"/>
          <w:sz w:val="44"/>
          <w:szCs w:val="44"/>
          <w:shd w:val="clear" w:fill="FFFFFF"/>
          <w:lang w:val="en-US" w:eastAsia="zh-CN"/>
        </w:rPr>
      </w:pPr>
      <w:r>
        <w:rPr>
          <w:rFonts w:hint="eastAsia" w:ascii="黑体" w:hAnsi="黑体" w:eastAsia="黑体" w:cs="黑体"/>
          <w:b/>
          <w:bCs/>
          <w:i w:val="0"/>
          <w:caps w:val="0"/>
          <w:color w:val="000000"/>
          <w:spacing w:val="0"/>
          <w:sz w:val="44"/>
          <w:szCs w:val="44"/>
          <w:shd w:val="clear" w:fill="FFFFFF"/>
          <w:lang w:val="en-US" w:eastAsia="zh-CN"/>
        </w:rPr>
        <w:t>益阳市军队离退休干部团圆休养所   2018年度部门决算公开</w:t>
      </w:r>
    </w:p>
    <w:p>
      <w:pPr>
        <w:jc w:val="center"/>
        <w:rPr>
          <w:rFonts w:ascii="黑体" w:hAnsi="黑体" w:eastAsia="黑体" w:cs="黑体"/>
          <w:b/>
          <w:bCs/>
          <w:sz w:val="30"/>
          <w:szCs w:val="30"/>
        </w:rPr>
      </w:pPr>
    </w:p>
    <w:p>
      <w:pPr>
        <w:jc w:val="center"/>
        <w:rPr>
          <w:rFonts w:ascii="黑体" w:hAnsi="黑体" w:eastAsia="黑体" w:cs="黑体"/>
          <w:b/>
          <w:bCs/>
          <w:sz w:val="44"/>
        </w:rPr>
      </w:pPr>
      <w:r>
        <w:rPr>
          <w:rFonts w:hint="eastAsia" w:ascii="黑体" w:hAnsi="黑体" w:eastAsia="黑体" w:cs="黑体"/>
          <w:b/>
          <w:bCs/>
          <w:sz w:val="44"/>
        </w:rPr>
        <w:t>目 录</w:t>
      </w:r>
    </w:p>
    <w:p>
      <w:pPr>
        <w:ind w:firstLine="3200"/>
        <w:rPr>
          <w:rFonts w:ascii="仿宋" w:hAnsi="仿宋" w:eastAsia="仿宋" w:cs="仿宋"/>
          <w:sz w:val="32"/>
        </w:rPr>
      </w:pPr>
    </w:p>
    <w:p>
      <w:pPr>
        <w:rPr>
          <w:rFonts w:hint="eastAsia" w:ascii="仿宋" w:hAnsi="仿宋" w:eastAsia="仿宋" w:cs="仿宋"/>
          <w:sz w:val="32"/>
        </w:rPr>
      </w:pPr>
      <w:r>
        <w:rPr>
          <w:rFonts w:hint="eastAsia" w:ascii="仿宋" w:hAnsi="仿宋" w:eastAsia="仿宋" w:cs="仿宋"/>
          <w:b/>
          <w:bCs/>
          <w:sz w:val="32"/>
        </w:rPr>
        <w:t>第一部分 益阳市军队离退休干部团圆休养所概况</w:t>
      </w:r>
      <w:r>
        <w:rPr>
          <w:rFonts w:hint="eastAsia" w:ascii="仿宋" w:hAnsi="仿宋" w:eastAsia="仿宋" w:cs="仿宋"/>
          <w:sz w:val="32"/>
        </w:rPr>
        <w:t xml:space="preserve"> </w:t>
      </w:r>
    </w:p>
    <w:p>
      <w:pPr>
        <w:rPr>
          <w:rFonts w:hint="eastAsia" w:ascii="仿宋" w:hAnsi="仿宋" w:eastAsia="仿宋" w:cs="仿宋"/>
          <w:sz w:val="32"/>
        </w:rPr>
      </w:pPr>
      <w:r>
        <w:rPr>
          <w:rFonts w:hint="eastAsia" w:ascii="仿宋" w:hAnsi="仿宋" w:eastAsia="仿宋" w:cs="仿宋"/>
          <w:sz w:val="32"/>
        </w:rPr>
        <w:t xml:space="preserve">一、主要职能 </w:t>
      </w:r>
    </w:p>
    <w:p>
      <w:pPr>
        <w:rPr>
          <w:rFonts w:hint="eastAsia" w:ascii="仿宋" w:hAnsi="仿宋" w:eastAsia="仿宋" w:cs="仿宋"/>
          <w:sz w:val="32"/>
        </w:rPr>
      </w:pPr>
      <w:r>
        <w:rPr>
          <w:rFonts w:hint="eastAsia" w:ascii="仿宋" w:hAnsi="仿宋" w:eastAsia="仿宋" w:cs="仿宋"/>
          <w:sz w:val="32"/>
        </w:rPr>
        <w:t>二、机构设置</w:t>
      </w:r>
    </w:p>
    <w:p>
      <w:pPr>
        <w:rPr>
          <w:rFonts w:hint="eastAsia" w:ascii="仿宋" w:hAnsi="仿宋" w:eastAsia="仿宋" w:cs="仿宋"/>
          <w:sz w:val="32"/>
        </w:rPr>
      </w:pPr>
      <w:r>
        <w:rPr>
          <w:rFonts w:hint="eastAsia" w:ascii="仿宋" w:hAnsi="仿宋" w:eastAsia="仿宋" w:cs="仿宋"/>
          <w:sz w:val="32"/>
        </w:rPr>
        <w:t>三、部门决算单位构成</w:t>
      </w:r>
    </w:p>
    <w:p>
      <w:pPr>
        <w:rPr>
          <w:rFonts w:hint="eastAsia" w:ascii="仿宋" w:hAnsi="仿宋" w:eastAsia="仿宋" w:cs="仿宋"/>
          <w:sz w:val="32"/>
        </w:rPr>
      </w:pPr>
    </w:p>
    <w:p>
      <w:pPr>
        <w:rPr>
          <w:rFonts w:hint="eastAsia" w:ascii="仿宋" w:hAnsi="仿宋" w:eastAsia="仿宋" w:cs="仿宋"/>
          <w:b/>
          <w:bCs/>
          <w:sz w:val="32"/>
        </w:rPr>
      </w:pPr>
      <w:r>
        <w:rPr>
          <w:rFonts w:hint="eastAsia" w:ascii="仿宋" w:hAnsi="仿宋" w:eastAsia="仿宋" w:cs="仿宋"/>
          <w:b/>
          <w:bCs/>
          <w:sz w:val="32"/>
        </w:rPr>
        <w:t xml:space="preserve">第二部分 益阳市军队离退休干部团圆休养所2018年度部门决算表 </w:t>
      </w:r>
    </w:p>
    <w:p>
      <w:pPr>
        <w:rPr>
          <w:rFonts w:hint="eastAsia" w:ascii="仿宋" w:hAnsi="仿宋" w:eastAsia="仿宋" w:cs="仿宋"/>
          <w:sz w:val="32"/>
        </w:rPr>
      </w:pPr>
      <w:r>
        <w:rPr>
          <w:rFonts w:hint="eastAsia" w:ascii="仿宋" w:hAnsi="仿宋" w:eastAsia="仿宋" w:cs="仿宋"/>
          <w:sz w:val="32"/>
        </w:rPr>
        <w:t xml:space="preserve">一、收入支出决算总表 </w:t>
      </w:r>
    </w:p>
    <w:p>
      <w:pPr>
        <w:rPr>
          <w:rFonts w:hint="eastAsia" w:ascii="仿宋" w:hAnsi="仿宋" w:eastAsia="仿宋" w:cs="仿宋"/>
          <w:sz w:val="32"/>
        </w:rPr>
      </w:pPr>
      <w:r>
        <w:rPr>
          <w:rFonts w:hint="eastAsia" w:ascii="仿宋" w:hAnsi="仿宋" w:eastAsia="仿宋" w:cs="仿宋"/>
          <w:sz w:val="32"/>
        </w:rPr>
        <w:t xml:space="preserve">二、收入决算表 </w:t>
      </w:r>
    </w:p>
    <w:p>
      <w:pPr>
        <w:rPr>
          <w:rFonts w:hint="eastAsia" w:ascii="仿宋" w:hAnsi="仿宋" w:eastAsia="仿宋" w:cs="仿宋"/>
          <w:sz w:val="32"/>
        </w:rPr>
      </w:pPr>
      <w:r>
        <w:rPr>
          <w:rFonts w:hint="eastAsia" w:ascii="仿宋" w:hAnsi="仿宋" w:eastAsia="仿宋" w:cs="仿宋"/>
          <w:sz w:val="32"/>
        </w:rPr>
        <w:t xml:space="preserve">三、支出决算表 </w:t>
      </w:r>
    </w:p>
    <w:p>
      <w:pPr>
        <w:rPr>
          <w:rFonts w:hint="eastAsia" w:ascii="仿宋" w:hAnsi="仿宋" w:eastAsia="仿宋" w:cs="仿宋"/>
          <w:sz w:val="32"/>
        </w:rPr>
      </w:pPr>
      <w:r>
        <w:rPr>
          <w:rFonts w:hint="eastAsia" w:ascii="仿宋" w:hAnsi="仿宋" w:eastAsia="仿宋" w:cs="仿宋"/>
          <w:sz w:val="32"/>
        </w:rPr>
        <w:t xml:space="preserve">四、财政拨款收入支出决算总表 </w:t>
      </w:r>
    </w:p>
    <w:p>
      <w:pPr>
        <w:rPr>
          <w:rFonts w:hint="eastAsia" w:ascii="仿宋" w:hAnsi="仿宋" w:eastAsia="仿宋" w:cs="仿宋"/>
          <w:sz w:val="32"/>
        </w:rPr>
      </w:pPr>
      <w:r>
        <w:rPr>
          <w:rFonts w:hint="eastAsia" w:ascii="仿宋" w:hAnsi="仿宋" w:eastAsia="仿宋" w:cs="仿宋"/>
          <w:sz w:val="32"/>
        </w:rPr>
        <w:t xml:space="preserve">五、一般公共预算财政拨款支出决算表 </w:t>
      </w:r>
    </w:p>
    <w:p>
      <w:pPr>
        <w:rPr>
          <w:rFonts w:hint="eastAsia" w:ascii="仿宋" w:hAnsi="仿宋" w:eastAsia="仿宋" w:cs="仿宋"/>
          <w:sz w:val="32"/>
        </w:rPr>
      </w:pPr>
      <w:r>
        <w:rPr>
          <w:rFonts w:hint="eastAsia" w:ascii="仿宋" w:hAnsi="仿宋" w:eastAsia="仿宋" w:cs="仿宋"/>
          <w:sz w:val="32"/>
        </w:rPr>
        <w:t xml:space="preserve">六、一般公共预算财政拨款基本支出决算表 </w:t>
      </w:r>
    </w:p>
    <w:p>
      <w:pPr>
        <w:rPr>
          <w:rFonts w:hint="eastAsia" w:ascii="仿宋" w:hAnsi="仿宋" w:eastAsia="仿宋" w:cs="仿宋"/>
          <w:sz w:val="32"/>
        </w:rPr>
      </w:pPr>
      <w:r>
        <w:rPr>
          <w:rFonts w:hint="eastAsia" w:ascii="仿宋" w:hAnsi="仿宋" w:eastAsia="仿宋" w:cs="仿宋"/>
          <w:sz w:val="32"/>
        </w:rPr>
        <w:t xml:space="preserve">七、一般公共预算财政拨款“三公”经费支出决算表 </w:t>
      </w:r>
    </w:p>
    <w:p>
      <w:pPr>
        <w:rPr>
          <w:rFonts w:hint="eastAsia" w:ascii="仿宋" w:hAnsi="仿宋" w:eastAsia="仿宋" w:cs="仿宋"/>
          <w:sz w:val="32"/>
        </w:rPr>
      </w:pPr>
      <w:r>
        <w:rPr>
          <w:rFonts w:hint="eastAsia" w:ascii="仿宋" w:hAnsi="仿宋" w:eastAsia="仿宋" w:cs="仿宋"/>
          <w:sz w:val="32"/>
        </w:rPr>
        <w:t xml:space="preserve">八、政府性基金预算财政拨款收入支出决算表 </w:t>
      </w:r>
    </w:p>
    <w:p>
      <w:pPr>
        <w:rPr>
          <w:rFonts w:hint="eastAsia" w:ascii="仿宋" w:hAnsi="仿宋" w:eastAsia="仿宋" w:cs="仿宋"/>
          <w:sz w:val="32"/>
        </w:rPr>
      </w:pPr>
    </w:p>
    <w:p>
      <w:pPr>
        <w:rPr>
          <w:rFonts w:hint="eastAsia" w:ascii="仿宋" w:hAnsi="仿宋" w:eastAsia="仿宋" w:cs="仿宋"/>
          <w:b/>
          <w:bCs/>
          <w:sz w:val="32"/>
        </w:rPr>
      </w:pPr>
      <w:r>
        <w:rPr>
          <w:rFonts w:hint="eastAsia" w:ascii="仿宋" w:hAnsi="仿宋" w:eastAsia="仿宋" w:cs="仿宋"/>
          <w:b/>
          <w:bCs/>
          <w:sz w:val="32"/>
        </w:rPr>
        <w:t>第三部分 益阳市军队离退休干部团圆休养所2018年度部门决算情况说明</w:t>
      </w:r>
    </w:p>
    <w:p>
      <w:pPr>
        <w:rPr>
          <w:rFonts w:hint="eastAsia" w:ascii="仿宋" w:hAnsi="仿宋" w:eastAsia="仿宋" w:cs="仿宋"/>
          <w:b/>
          <w:bCs/>
          <w:sz w:val="32"/>
        </w:rPr>
      </w:pPr>
    </w:p>
    <w:p>
      <w:pPr>
        <w:rPr>
          <w:rFonts w:hint="eastAsia" w:ascii="仿宋" w:hAnsi="仿宋" w:eastAsia="仿宋" w:cs="仿宋"/>
          <w:b/>
          <w:bCs/>
          <w:sz w:val="32"/>
        </w:rPr>
      </w:pPr>
      <w:r>
        <w:rPr>
          <w:rFonts w:hint="eastAsia" w:ascii="仿宋" w:hAnsi="仿宋" w:eastAsia="仿宋" w:cs="仿宋"/>
          <w:b/>
          <w:bCs/>
          <w:sz w:val="32"/>
        </w:rPr>
        <w:t>第四部分 名词解释</w:t>
      </w:r>
    </w:p>
    <w:p>
      <w:pPr>
        <w:jc w:val="center"/>
        <w:rPr>
          <w:rFonts w:hint="eastAsia" w:ascii="仿宋" w:hAnsi="仿宋" w:eastAsia="仿宋" w:cs="仿宋"/>
          <w:sz w:val="44"/>
        </w:rPr>
      </w:pPr>
    </w:p>
    <w:p>
      <w:pPr>
        <w:jc w:val="center"/>
        <w:rPr>
          <w:rFonts w:hint="eastAsia" w:ascii="仿宋" w:hAnsi="仿宋" w:eastAsia="仿宋" w:cs="仿宋"/>
          <w:b/>
          <w:bCs/>
          <w:sz w:val="44"/>
        </w:rPr>
      </w:pPr>
      <w:r>
        <w:rPr>
          <w:rFonts w:hint="eastAsia" w:ascii="仿宋" w:hAnsi="仿宋" w:eastAsia="仿宋" w:cs="仿宋"/>
          <w:b/>
          <w:bCs/>
          <w:sz w:val="44"/>
        </w:rPr>
        <w:t>第一部分                             益阳市军队离退休干部团圆休养概况</w:t>
      </w:r>
    </w:p>
    <w:p>
      <w:pPr>
        <w:jc w:val="center"/>
        <w:rPr>
          <w:rFonts w:hint="eastAsia" w:ascii="仿宋" w:hAnsi="仿宋" w:eastAsia="仿宋" w:cs="仿宋"/>
          <w:b/>
          <w:bCs/>
          <w:sz w:val="44"/>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一、主要职能</w:t>
      </w:r>
    </w:p>
    <w:p>
      <w:pPr>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1、全面落实</w:t>
      </w:r>
      <w:r>
        <w:rPr>
          <w:rFonts w:hint="eastAsia" w:ascii="仿宋" w:hAnsi="仿宋" w:eastAsia="仿宋" w:cs="仿宋"/>
          <w:color w:val="000000"/>
          <w:sz w:val="32"/>
          <w:szCs w:val="32"/>
        </w:rPr>
        <w:t>党和国家关于军队移交地方政府接收安置服务管理的离退休人员的方针、政策和上级民政部门的有关规定；规范管理创新服务、营造休养条件、发挥军休员的积极作用，实现“老有所养、老有所医、老有所学、老有所教、老有所乐、老有所为”的休养目标。</w:t>
      </w:r>
    </w:p>
    <w:p>
      <w:pPr>
        <w:ind w:firstLine="640" w:firstLineChars="200"/>
        <w:rPr>
          <w:rFonts w:hint="eastAsia" w:ascii="仿宋" w:hAnsi="仿宋" w:eastAsia="仿宋" w:cs="仿宋"/>
          <w:sz w:val="30"/>
          <w:szCs w:val="30"/>
        </w:rPr>
      </w:pPr>
      <w:r>
        <w:rPr>
          <w:rFonts w:hint="eastAsia" w:ascii="仿宋" w:hAnsi="仿宋" w:eastAsia="仿宋" w:cs="仿宋"/>
          <w:color w:val="000000"/>
          <w:sz w:val="32"/>
          <w:szCs w:val="32"/>
        </w:rPr>
        <w:t>2、</w:t>
      </w:r>
      <w:r>
        <w:rPr>
          <w:rFonts w:hint="eastAsia" w:ascii="仿宋" w:hAnsi="仿宋" w:eastAsia="仿宋" w:cs="仿宋"/>
          <w:sz w:val="30"/>
          <w:szCs w:val="30"/>
        </w:rPr>
        <w:t>根据市民政局（市军队离退休干部安置管理办公室）下达的接收安置计划，完成军队移交给益阳市人民政府的离退休干部、士官、伤病残人员和职工的交接任务，开展军地走访协调相关事务。</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3、落实军休员的政治待遇。按党章开展党建工作，保障其参与权、知情权等政治待遇。参加地方政府有关重要会议和庆典、组织军地互访，开展建军节、春节等政治主题慰问活动。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4、落实军休员的生活待遇。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（1）及时足额发放军休干部离退休费、护理费（公勤费）、滚动增资及各种补贴，组织和发放军休职工离退休费和地方津补贴。定期走访、及时解决服务群体当中实际困难。</w:t>
      </w:r>
    </w:p>
    <w:p>
      <w:pPr>
        <w:ind w:firstLine="640"/>
        <w:rPr>
          <w:rFonts w:hint="eastAsia" w:ascii="仿宋" w:hAnsi="仿宋" w:eastAsia="仿宋" w:cs="仿宋"/>
          <w:sz w:val="30"/>
          <w:szCs w:val="30"/>
        </w:rPr>
      </w:pPr>
      <w:r>
        <w:rPr>
          <w:rFonts w:hint="eastAsia" w:ascii="仿宋" w:hAnsi="仿宋" w:eastAsia="仿宋" w:cs="仿宋"/>
          <w:sz w:val="30"/>
          <w:szCs w:val="30"/>
        </w:rPr>
        <w:t>（2）健全和提升医疗保障服务。参加地方医保、开展医疗和养生科普活动、定期组织体检，落实和保障伤病残军休员的医疗条件，使用社会优待等资源逐步构建医疗与照护相结合的康养环境。</w:t>
      </w:r>
    </w:p>
    <w:p>
      <w:pPr>
        <w:ind w:firstLine="640"/>
        <w:rPr>
          <w:rFonts w:hint="eastAsia" w:ascii="仿宋" w:hAnsi="仿宋" w:eastAsia="仿宋" w:cs="仿宋"/>
          <w:sz w:val="30"/>
          <w:szCs w:val="30"/>
        </w:rPr>
      </w:pPr>
      <w:r>
        <w:rPr>
          <w:rFonts w:hint="eastAsia" w:ascii="仿宋" w:hAnsi="仿宋" w:eastAsia="仿宋" w:cs="仿宋"/>
          <w:sz w:val="30"/>
          <w:szCs w:val="30"/>
        </w:rPr>
        <w:t>（3）办妥军休干部、军休职工和随军遗属的丧葬、抚恤、优待等善后事宜。</w:t>
      </w:r>
    </w:p>
    <w:p>
      <w:pPr>
        <w:ind w:firstLine="600" w:firstLineChars="200"/>
        <w:rPr>
          <w:rFonts w:hint="eastAsia" w:ascii="仿宋" w:hAnsi="仿宋" w:eastAsia="仿宋" w:cs="仿宋"/>
          <w:color w:val="000000"/>
          <w:sz w:val="32"/>
          <w:szCs w:val="32"/>
        </w:rPr>
      </w:pPr>
      <w:r>
        <w:rPr>
          <w:rFonts w:hint="eastAsia" w:ascii="仿宋" w:hAnsi="仿宋" w:eastAsia="仿宋" w:cs="仿宋"/>
          <w:sz w:val="30"/>
          <w:szCs w:val="30"/>
        </w:rPr>
        <w:t>5、开展照护工作和文健活动，完成各类军休员的照护工作。常态化</w:t>
      </w:r>
      <w:r>
        <w:rPr>
          <w:rFonts w:hint="eastAsia" w:ascii="仿宋" w:hAnsi="仿宋" w:eastAsia="仿宋" w:cs="仿宋"/>
          <w:color w:val="000000"/>
          <w:sz w:val="32"/>
          <w:szCs w:val="32"/>
        </w:rPr>
        <w:t>计划与实施体育娱乐项目，做到分类开展、安全有益全覆盖；定期开展文化主题活动，适时安全地组织旅游等户外活动，适度参与公益事业。</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6、开展自身建设。强化基础设施建设，提高宜居水平，加强门球场、荣誉室、娱乐室等休养场地和设施建设，并完善服务管理。</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二、机构设置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从机构设置看，益阳市军队离退休干部团圆休养所内设科室4个：办公室、财务室、综勤办、文健办。</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三、部门决算单位构成</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从决算单位构成看，益阳市军队离退休干部团圆休养所部门决算包括：益阳市军队离退休干部团圆休养所部门决算。</w:t>
      </w:r>
    </w:p>
    <w:tbl>
      <w:tblPr>
        <w:tblStyle w:val="5"/>
        <w:tblpPr w:leftFromText="180" w:rightFromText="180" w:vertAnchor="text" w:horzAnchor="page" w:tblpX="2617" w:tblpY="180"/>
        <w:tblOverlap w:val="never"/>
        <w:tblW w:w="7240" w:type="dxa"/>
        <w:tblInd w:w="0" w:type="dxa"/>
        <w:tblLayout w:type="fixed"/>
        <w:tblCellMar>
          <w:top w:w="0" w:type="dxa"/>
          <w:left w:w="10" w:type="dxa"/>
          <w:bottom w:w="0" w:type="dxa"/>
          <w:right w:w="10" w:type="dxa"/>
        </w:tblCellMar>
      </w:tblPr>
      <w:tblGrid>
        <w:gridCol w:w="1730"/>
        <w:gridCol w:w="5510"/>
      </w:tblGrid>
      <w:tr>
        <w:tblPrEx>
          <w:tblCellMar>
            <w:top w:w="0" w:type="dxa"/>
            <w:left w:w="10" w:type="dxa"/>
            <w:bottom w:w="0" w:type="dxa"/>
            <w:right w:w="10" w:type="dxa"/>
          </w:tblCellMar>
        </w:tblPrEx>
        <w:trPr>
          <w:trHeight w:val="369" w:hRule="atLeast"/>
        </w:trPr>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widowControl/>
              <w:spacing w:beforeAutospacing="1"/>
              <w:jc w:val="center"/>
              <w:rPr>
                <w:rFonts w:hint="eastAsia" w:ascii="仿宋" w:hAnsi="仿宋" w:eastAsia="仿宋" w:cs="仿宋"/>
              </w:rPr>
            </w:pPr>
            <w:r>
              <w:rPr>
                <w:rFonts w:hint="eastAsia" w:ascii="仿宋" w:hAnsi="仿宋" w:eastAsia="仿宋" w:cs="仿宋"/>
                <w:b/>
                <w:sz w:val="28"/>
                <w:szCs w:val="28"/>
              </w:rPr>
              <w:t>序号</w:t>
            </w:r>
          </w:p>
        </w:tc>
        <w:tc>
          <w:tcPr>
            <w:tcW w:w="5510" w:type="dxa"/>
            <w:tcBorders>
              <w:top w:val="single" w:color="000000" w:sz="4" w:space="0"/>
              <w:left w:val="nil"/>
              <w:bottom w:val="single" w:color="000000" w:sz="4" w:space="0"/>
              <w:right w:val="single" w:color="000000" w:sz="4" w:space="0"/>
            </w:tcBorders>
            <w:shd w:val="clear" w:color="auto" w:fill="FFFFFF"/>
            <w:tcMar>
              <w:left w:w="108" w:type="dxa"/>
              <w:right w:w="108" w:type="dxa"/>
            </w:tcMar>
          </w:tcPr>
          <w:p>
            <w:pPr>
              <w:widowControl/>
              <w:spacing w:beforeAutospacing="1"/>
              <w:jc w:val="center"/>
              <w:rPr>
                <w:rFonts w:hint="eastAsia" w:ascii="仿宋" w:hAnsi="仿宋" w:eastAsia="仿宋" w:cs="仿宋"/>
              </w:rPr>
            </w:pPr>
            <w:r>
              <w:rPr>
                <w:rFonts w:hint="eastAsia" w:ascii="仿宋" w:hAnsi="仿宋" w:eastAsia="仿宋" w:cs="仿宋"/>
                <w:b/>
                <w:sz w:val="28"/>
                <w:szCs w:val="28"/>
              </w:rPr>
              <w:t>单位名称</w:t>
            </w:r>
          </w:p>
        </w:tc>
      </w:tr>
      <w:tr>
        <w:tblPrEx>
          <w:tblCellMar>
            <w:top w:w="0" w:type="dxa"/>
            <w:left w:w="10" w:type="dxa"/>
            <w:bottom w:w="0" w:type="dxa"/>
            <w:right w:w="10" w:type="dxa"/>
          </w:tblCellMar>
        </w:tblPrEx>
        <w:trPr>
          <w:trHeight w:val="389" w:hRule="atLeast"/>
        </w:trPr>
        <w:tc>
          <w:tcPr>
            <w:tcW w:w="1730" w:type="dxa"/>
            <w:tcBorders>
              <w:top w:val="single" w:color="000000" w:sz="4" w:space="0"/>
              <w:left w:val="single" w:color="000000" w:sz="4" w:space="0"/>
              <w:bottom w:val="single" w:color="000000" w:sz="4" w:space="0"/>
              <w:right w:val="single" w:color="000000" w:sz="4" w:space="0"/>
            </w:tcBorders>
            <w:shd w:val="clear" w:color="auto" w:fill="FFFFFF"/>
            <w:tcMar>
              <w:left w:w="108" w:type="dxa"/>
              <w:right w:w="108" w:type="dxa"/>
            </w:tcMar>
          </w:tcPr>
          <w:p>
            <w:pPr>
              <w:widowControl/>
              <w:spacing w:beforeAutospacing="1"/>
              <w:jc w:val="center"/>
              <w:rPr>
                <w:rFonts w:hint="eastAsia" w:ascii="仿宋" w:hAnsi="仿宋" w:eastAsia="仿宋" w:cs="仿宋"/>
              </w:rPr>
            </w:pPr>
            <w:r>
              <w:rPr>
                <w:rFonts w:hint="eastAsia" w:ascii="仿宋" w:hAnsi="仿宋" w:eastAsia="仿宋" w:cs="仿宋"/>
                <w:b/>
                <w:sz w:val="28"/>
                <w:szCs w:val="28"/>
              </w:rPr>
              <w:t>1</w:t>
            </w:r>
          </w:p>
        </w:tc>
        <w:tc>
          <w:tcPr>
            <w:tcW w:w="5510" w:type="dxa"/>
            <w:tcBorders>
              <w:top w:val="single" w:color="000000" w:sz="4" w:space="0"/>
              <w:left w:val="nil"/>
              <w:bottom w:val="single" w:color="000000" w:sz="4" w:space="0"/>
              <w:right w:val="single" w:color="000000" w:sz="4" w:space="0"/>
            </w:tcBorders>
            <w:shd w:val="clear" w:color="auto" w:fill="FFFFFF"/>
            <w:tcMar>
              <w:left w:w="108" w:type="dxa"/>
              <w:right w:w="108" w:type="dxa"/>
            </w:tcMar>
          </w:tcPr>
          <w:p>
            <w:pPr>
              <w:widowControl/>
              <w:spacing w:beforeAutospacing="1"/>
              <w:jc w:val="left"/>
              <w:rPr>
                <w:rFonts w:hint="eastAsia" w:ascii="仿宋" w:hAnsi="仿宋" w:eastAsia="仿宋" w:cs="仿宋"/>
              </w:rPr>
            </w:pPr>
            <w:r>
              <w:rPr>
                <w:rFonts w:hint="eastAsia" w:ascii="仿宋" w:hAnsi="仿宋" w:eastAsia="仿宋" w:cs="仿宋"/>
                <w:color w:val="000000"/>
                <w:sz w:val="28"/>
                <w:szCs w:val="28"/>
                <w:shd w:val="clear" w:color="auto" w:fill="FFFFFF"/>
              </w:rPr>
              <w:t>益阳市军队离退休干部团圆休养所</w:t>
            </w:r>
          </w:p>
        </w:tc>
      </w:tr>
    </w:tbl>
    <w:p>
      <w:pPr>
        <w:ind w:firstLine="480" w:firstLineChars="200"/>
        <w:rPr>
          <w:rFonts w:hint="eastAsia" w:ascii="仿宋" w:hAnsi="仿宋" w:eastAsia="仿宋" w:cs="仿宋"/>
          <w:color w:val="000000"/>
          <w:sz w:val="24"/>
          <w:szCs w:val="24"/>
          <w:shd w:val="clear" w:color="auto" w:fill="FFFFFF"/>
        </w:rPr>
      </w:pPr>
    </w:p>
    <w:p>
      <w:pPr>
        <w:rPr>
          <w:rFonts w:hint="eastAsia" w:ascii="仿宋" w:hAnsi="仿宋" w:eastAsia="仿宋" w:cs="仿宋"/>
          <w:sz w:val="32"/>
        </w:rPr>
      </w:pPr>
    </w:p>
    <w:p>
      <w:pPr>
        <w:jc w:val="center"/>
        <w:rPr>
          <w:rFonts w:hint="eastAsia" w:ascii="仿宋" w:hAnsi="仿宋" w:eastAsia="仿宋" w:cs="仿宋"/>
          <w:sz w:val="44"/>
        </w:rPr>
      </w:pPr>
    </w:p>
    <w:p>
      <w:pPr>
        <w:jc w:val="center"/>
        <w:rPr>
          <w:rFonts w:hint="eastAsia" w:ascii="仿宋" w:hAnsi="仿宋" w:eastAsia="仿宋" w:cs="仿宋"/>
          <w:sz w:val="44"/>
        </w:rPr>
      </w:pPr>
      <w:r>
        <w:rPr>
          <w:rFonts w:hint="eastAsia" w:ascii="仿宋" w:hAnsi="仿宋" w:eastAsia="仿宋" w:cs="仿宋"/>
          <w:sz w:val="44"/>
        </w:rPr>
        <w:t>第二部分 益阳市军队离退休干部团圆休养2018年度部门决算表</w:t>
      </w:r>
    </w:p>
    <w:p>
      <w:pPr>
        <w:jc w:val="left"/>
        <w:rPr>
          <w:rFonts w:hint="eastAsia" w:ascii="仿宋" w:hAnsi="仿宋" w:eastAsia="仿宋" w:cs="仿宋"/>
          <w:sz w:val="32"/>
        </w:rPr>
      </w:pPr>
    </w:p>
    <w:p>
      <w:pPr>
        <w:ind w:firstLine="640" w:firstLineChars="200"/>
        <w:jc w:val="left"/>
        <w:rPr>
          <w:rFonts w:hint="eastAsia" w:ascii="仿宋" w:hAnsi="仿宋" w:eastAsia="仿宋" w:cs="仿宋"/>
          <w:sz w:val="32"/>
        </w:rPr>
      </w:pPr>
      <w:r>
        <w:rPr>
          <w:rFonts w:hint="eastAsia" w:ascii="仿宋" w:hAnsi="仿宋" w:eastAsia="仿宋" w:cs="仿宋"/>
          <w:sz w:val="32"/>
        </w:rPr>
        <w:t>表1：收入支出决算总表</w:t>
      </w:r>
    </w:p>
    <w:p>
      <w:pPr>
        <w:ind w:firstLine="640" w:firstLineChars="200"/>
        <w:jc w:val="left"/>
        <w:rPr>
          <w:rFonts w:hint="eastAsia" w:ascii="仿宋" w:hAnsi="仿宋" w:eastAsia="仿宋" w:cs="仿宋"/>
          <w:sz w:val="32"/>
        </w:rPr>
      </w:pPr>
      <w:r>
        <w:rPr>
          <w:rFonts w:hint="eastAsia" w:ascii="仿宋" w:hAnsi="仿宋" w:eastAsia="仿宋" w:cs="仿宋"/>
          <w:sz w:val="32"/>
        </w:rPr>
        <w:t>表2：收入决算表</w:t>
      </w:r>
    </w:p>
    <w:p>
      <w:pPr>
        <w:ind w:firstLine="640" w:firstLineChars="200"/>
        <w:jc w:val="left"/>
        <w:rPr>
          <w:rFonts w:hint="eastAsia" w:ascii="仿宋" w:hAnsi="仿宋" w:eastAsia="仿宋" w:cs="仿宋"/>
          <w:sz w:val="32"/>
        </w:rPr>
      </w:pPr>
      <w:r>
        <w:rPr>
          <w:rFonts w:hint="eastAsia" w:ascii="仿宋" w:hAnsi="仿宋" w:eastAsia="仿宋" w:cs="仿宋"/>
          <w:sz w:val="32"/>
        </w:rPr>
        <w:t>表3：支出决算表</w:t>
      </w:r>
    </w:p>
    <w:p>
      <w:pPr>
        <w:ind w:firstLine="640" w:firstLineChars="200"/>
        <w:jc w:val="left"/>
        <w:rPr>
          <w:rFonts w:hint="eastAsia" w:ascii="仿宋" w:hAnsi="仿宋" w:eastAsia="仿宋" w:cs="仿宋"/>
          <w:sz w:val="32"/>
        </w:rPr>
      </w:pPr>
      <w:r>
        <w:rPr>
          <w:rFonts w:hint="eastAsia" w:ascii="仿宋" w:hAnsi="仿宋" w:eastAsia="仿宋" w:cs="仿宋"/>
          <w:sz w:val="32"/>
        </w:rPr>
        <w:t>表4：财政拨款收入支出决算总表</w:t>
      </w:r>
    </w:p>
    <w:p>
      <w:pPr>
        <w:ind w:firstLine="640" w:firstLineChars="200"/>
        <w:jc w:val="left"/>
        <w:rPr>
          <w:rFonts w:hint="eastAsia" w:ascii="仿宋" w:hAnsi="仿宋" w:eastAsia="仿宋" w:cs="仿宋"/>
          <w:sz w:val="32"/>
        </w:rPr>
      </w:pPr>
      <w:r>
        <w:rPr>
          <w:rFonts w:hint="eastAsia" w:ascii="仿宋" w:hAnsi="仿宋" w:eastAsia="仿宋" w:cs="仿宋"/>
          <w:sz w:val="32"/>
        </w:rPr>
        <w:t>表5：一般公共预算财政拨款支出决算表</w:t>
      </w:r>
    </w:p>
    <w:p>
      <w:pPr>
        <w:ind w:firstLine="640" w:firstLineChars="200"/>
        <w:jc w:val="left"/>
        <w:rPr>
          <w:rFonts w:hint="eastAsia" w:ascii="仿宋" w:hAnsi="仿宋" w:eastAsia="仿宋" w:cs="仿宋"/>
          <w:sz w:val="32"/>
        </w:rPr>
      </w:pPr>
      <w:r>
        <w:rPr>
          <w:rFonts w:hint="eastAsia" w:ascii="仿宋" w:hAnsi="仿宋" w:eastAsia="仿宋" w:cs="仿宋"/>
          <w:sz w:val="32"/>
        </w:rPr>
        <w:t>表6：一般公共预算财政拨款基本支出决算表</w:t>
      </w:r>
    </w:p>
    <w:p>
      <w:pPr>
        <w:ind w:firstLine="640" w:firstLineChars="200"/>
        <w:jc w:val="left"/>
        <w:rPr>
          <w:rFonts w:hint="eastAsia" w:ascii="仿宋" w:hAnsi="仿宋" w:eastAsia="仿宋" w:cs="仿宋"/>
          <w:sz w:val="32"/>
        </w:rPr>
      </w:pPr>
      <w:r>
        <w:rPr>
          <w:rFonts w:hint="eastAsia" w:ascii="仿宋" w:hAnsi="仿宋" w:eastAsia="仿宋" w:cs="仿宋"/>
          <w:sz w:val="32"/>
        </w:rPr>
        <w:t>表7：一般公共预算财政拨款“三公”经费支出决算表</w:t>
      </w:r>
    </w:p>
    <w:p>
      <w:pPr>
        <w:ind w:firstLine="640" w:firstLineChars="200"/>
        <w:jc w:val="left"/>
        <w:rPr>
          <w:rFonts w:hint="eastAsia" w:ascii="仿宋" w:hAnsi="仿宋" w:eastAsia="仿宋" w:cs="仿宋"/>
          <w:sz w:val="32"/>
        </w:rPr>
      </w:pPr>
      <w:r>
        <w:rPr>
          <w:rFonts w:hint="eastAsia" w:ascii="仿宋" w:hAnsi="仿宋" w:eastAsia="仿宋" w:cs="仿宋"/>
          <w:sz w:val="32"/>
        </w:rPr>
        <w:t>表8：政府性基金预算财政拨款收入支出决算表</w:t>
      </w:r>
    </w:p>
    <w:p>
      <w:pPr>
        <w:jc w:val="left"/>
        <w:rPr>
          <w:rFonts w:hint="eastAsia" w:ascii="仿宋" w:hAnsi="仿宋" w:eastAsia="仿宋" w:cs="仿宋"/>
          <w:sz w:val="32"/>
        </w:rPr>
      </w:pPr>
    </w:p>
    <w:p>
      <w:pPr>
        <w:jc w:val="center"/>
        <w:rPr>
          <w:rFonts w:hint="eastAsia" w:ascii="仿宋" w:hAnsi="仿宋" w:eastAsia="仿宋" w:cs="仿宋"/>
          <w:b/>
          <w:bCs/>
          <w:sz w:val="44"/>
        </w:rPr>
      </w:pPr>
      <w:r>
        <w:rPr>
          <w:rFonts w:hint="eastAsia" w:ascii="仿宋" w:hAnsi="仿宋" w:eastAsia="仿宋" w:cs="仿宋"/>
          <w:b/>
          <w:bCs/>
          <w:sz w:val="44"/>
        </w:rPr>
        <w:t>第三部分 益阳市军队离退休干部团圆休养2018年度部门决算情况说明</w:t>
      </w:r>
    </w:p>
    <w:p>
      <w:pPr>
        <w:ind w:firstLine="640"/>
        <w:jc w:val="left"/>
        <w:rPr>
          <w:rFonts w:hint="eastAsia" w:ascii="仿宋" w:hAnsi="仿宋" w:eastAsia="仿宋" w:cs="仿宋"/>
          <w:b/>
          <w:bCs/>
          <w:sz w:val="32"/>
        </w:rPr>
      </w:pPr>
    </w:p>
    <w:p>
      <w:pPr>
        <w:ind w:firstLine="640"/>
        <w:jc w:val="left"/>
        <w:rPr>
          <w:rFonts w:hint="eastAsia" w:ascii="仿宋" w:hAnsi="仿宋" w:eastAsia="仿宋" w:cs="仿宋"/>
          <w:b/>
          <w:bCs/>
          <w:sz w:val="32"/>
        </w:rPr>
      </w:pPr>
      <w:r>
        <w:rPr>
          <w:rFonts w:hint="eastAsia" w:ascii="仿宋" w:hAnsi="仿宋" w:eastAsia="仿宋" w:cs="仿宋"/>
          <w:b/>
          <w:bCs/>
          <w:sz w:val="32"/>
        </w:rPr>
        <w:t>一、关于益阳市军队离退休干部团圆休养2018年度收入支出决算总体情况说明</w:t>
      </w:r>
    </w:p>
    <w:p>
      <w:pPr>
        <w:ind w:firstLine="640"/>
        <w:jc w:val="left"/>
        <w:rPr>
          <w:rFonts w:hint="eastAsia" w:ascii="仿宋" w:hAnsi="仿宋" w:eastAsia="仿宋" w:cs="仿宋"/>
          <w:sz w:val="32"/>
          <w:szCs w:val="32"/>
        </w:rPr>
      </w:pPr>
      <w:r>
        <w:rPr>
          <w:rFonts w:hint="eastAsia" w:ascii="仿宋" w:hAnsi="仿宋" w:eastAsia="仿宋" w:cs="仿宋"/>
          <w:sz w:val="32"/>
        </w:rPr>
        <w:t>2018年度收入总计1816.88万元，比上年同期减少38.02万元，下降2.05%；支出总计1863.98万元，比上年同期减少58.72万元，下降3.05%；主要原因：</w:t>
      </w:r>
      <w:r>
        <w:rPr>
          <w:rFonts w:hint="eastAsia" w:ascii="仿宋" w:hAnsi="仿宋" w:eastAsia="仿宋" w:cs="仿宋"/>
          <w:sz w:val="32"/>
          <w:szCs w:val="32"/>
        </w:rPr>
        <w:t>新建安置住宅项目建设资金投入减少。</w:t>
      </w:r>
    </w:p>
    <w:p>
      <w:pPr>
        <w:ind w:firstLine="640" w:firstLineChars="200"/>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二、关于益阳市军队离退休干部团圆休养2018年度收入决算情况说明</w:t>
      </w:r>
    </w:p>
    <w:p>
      <w:pPr>
        <w:ind w:firstLine="640"/>
        <w:jc w:val="left"/>
        <w:rPr>
          <w:rFonts w:hint="eastAsia" w:ascii="仿宋" w:hAnsi="仿宋" w:eastAsia="仿宋" w:cs="仿宋"/>
          <w:sz w:val="32"/>
        </w:rPr>
      </w:pPr>
      <w:r>
        <w:rPr>
          <w:rFonts w:hint="eastAsia" w:ascii="仿宋" w:hAnsi="仿宋" w:eastAsia="仿宋" w:cs="仿宋"/>
          <w:sz w:val="32"/>
        </w:rPr>
        <w:t>2018年度收入合计1816.88万元，其中：财政拨款收入1719.88万元，占94.66%；上级补助收入97.00万元，占5.34%。</w:t>
      </w:r>
    </w:p>
    <w:p>
      <w:pPr>
        <w:ind w:firstLine="640" w:firstLineChars="200"/>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三、关于益阳市军队离退休干部团圆休养2018年度支出决算情况说明</w:t>
      </w:r>
    </w:p>
    <w:p>
      <w:pPr>
        <w:ind w:firstLine="640"/>
        <w:jc w:val="left"/>
        <w:rPr>
          <w:rFonts w:hint="eastAsia" w:ascii="仿宋" w:hAnsi="仿宋" w:eastAsia="仿宋" w:cs="仿宋"/>
          <w:sz w:val="32"/>
        </w:rPr>
      </w:pPr>
      <w:r>
        <w:rPr>
          <w:rFonts w:hint="eastAsia" w:ascii="仿宋" w:hAnsi="仿宋" w:eastAsia="仿宋" w:cs="仿宋"/>
          <w:sz w:val="32"/>
        </w:rPr>
        <w:t>2018年度支出合计1863.98万元，其中：基本支出1176.90万元，占63.14%；项目支出687.07万元，占36.86%。</w:t>
      </w:r>
    </w:p>
    <w:p>
      <w:pPr>
        <w:ind w:firstLine="640" w:firstLineChars="200"/>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四、关于益阳市军队离退休干部团圆休养2018年度财政拨款收入支出决算总体情况说明</w:t>
      </w:r>
    </w:p>
    <w:p>
      <w:pPr>
        <w:ind w:firstLine="640"/>
        <w:jc w:val="left"/>
        <w:rPr>
          <w:rFonts w:hint="eastAsia" w:ascii="仿宋" w:hAnsi="仿宋" w:eastAsia="仿宋" w:cs="仿宋"/>
          <w:sz w:val="32"/>
          <w:szCs w:val="32"/>
        </w:rPr>
      </w:pPr>
      <w:r>
        <w:rPr>
          <w:rFonts w:hint="eastAsia" w:ascii="仿宋" w:hAnsi="仿宋" w:eastAsia="仿宋" w:cs="仿宋"/>
          <w:sz w:val="32"/>
        </w:rPr>
        <w:t xml:space="preserve"> 2018年度财政拨款收入总计1719.88万元，比上年同期减少8.52万元，下降0.49%；财政拨款支出总计1741.07万元，比上年同期增加12.67万元，增长0.73%。主要原因：</w:t>
      </w:r>
      <w:r>
        <w:rPr>
          <w:rFonts w:hint="eastAsia" w:ascii="仿宋" w:hAnsi="仿宋" w:eastAsia="仿宋" w:cs="仿宋"/>
          <w:sz w:val="32"/>
          <w:szCs w:val="32"/>
        </w:rPr>
        <w:t>今年新接收了一名军休干部、军休人员年度滚动增资和调资、工作人员定期增资。</w:t>
      </w:r>
    </w:p>
    <w:p>
      <w:pPr>
        <w:ind w:firstLine="640"/>
        <w:jc w:val="left"/>
        <w:rPr>
          <w:rFonts w:hint="eastAsia" w:ascii="仿宋" w:hAnsi="仿宋" w:eastAsia="仿宋" w:cs="仿宋"/>
          <w:sz w:val="32"/>
          <w:szCs w:val="32"/>
        </w:rPr>
      </w:pPr>
    </w:p>
    <w:p>
      <w:pPr>
        <w:ind w:firstLine="640"/>
        <w:jc w:val="left"/>
        <w:rPr>
          <w:rFonts w:hint="eastAsia" w:ascii="仿宋" w:hAnsi="仿宋" w:eastAsia="仿宋" w:cs="仿宋"/>
          <w:b/>
          <w:bCs/>
          <w:sz w:val="32"/>
        </w:rPr>
      </w:pPr>
      <w:r>
        <w:rPr>
          <w:rFonts w:hint="eastAsia" w:ascii="仿宋" w:hAnsi="仿宋" w:eastAsia="仿宋" w:cs="仿宋"/>
          <w:b/>
          <w:bCs/>
          <w:sz w:val="32"/>
        </w:rPr>
        <w:t>五、关于益阳市军队离退休干部团圆休养2018年度一般公共预算财政拨款收入支出决算情况说明</w:t>
      </w:r>
    </w:p>
    <w:p>
      <w:pPr>
        <w:ind w:firstLine="640" w:firstLineChars="200"/>
        <w:jc w:val="left"/>
        <w:rPr>
          <w:rFonts w:hint="eastAsia" w:ascii="仿宋" w:hAnsi="仿宋" w:eastAsia="仿宋" w:cs="仿宋"/>
          <w:sz w:val="32"/>
        </w:rPr>
      </w:pPr>
      <w:r>
        <w:rPr>
          <w:rFonts w:hint="eastAsia" w:ascii="仿宋" w:hAnsi="仿宋" w:eastAsia="仿宋" w:cs="仿宋"/>
          <w:sz w:val="32"/>
        </w:rPr>
        <w:t>（一）一般公共预算财政拨款收入支出决算总体情况。</w:t>
      </w:r>
    </w:p>
    <w:p>
      <w:pPr>
        <w:ind w:firstLine="640" w:firstLineChars="200"/>
        <w:jc w:val="left"/>
        <w:rPr>
          <w:rFonts w:hint="eastAsia" w:ascii="仿宋" w:hAnsi="仿宋" w:eastAsia="仿宋" w:cs="仿宋"/>
          <w:sz w:val="32"/>
        </w:rPr>
      </w:pPr>
      <w:r>
        <w:rPr>
          <w:rFonts w:hint="eastAsia" w:ascii="仿宋" w:hAnsi="仿宋" w:eastAsia="仿宋" w:cs="仿宋"/>
          <w:sz w:val="32"/>
          <w:szCs w:val="32"/>
          <w:shd w:val="clear" w:color="auto" w:fill="FFFFFF"/>
        </w:rPr>
        <w:t>2018年度一般公共预算财政拨款收入总计1719.88万元，比上年同期减少8.52万元，下降0.49%；</w:t>
      </w:r>
      <w:r>
        <w:rPr>
          <w:rFonts w:hint="eastAsia" w:ascii="仿宋" w:hAnsi="仿宋" w:eastAsia="仿宋" w:cs="仿宋"/>
          <w:sz w:val="32"/>
        </w:rPr>
        <w:t>2018年度一般公共预算财政拨款支出总计1741.07万元，比上年同期增加12.67万元，增长0.73%。主要原因：</w:t>
      </w:r>
      <w:r>
        <w:rPr>
          <w:rFonts w:hint="eastAsia" w:ascii="仿宋" w:hAnsi="仿宋" w:eastAsia="仿宋" w:cs="仿宋"/>
          <w:sz w:val="32"/>
          <w:szCs w:val="32"/>
        </w:rPr>
        <w:t>今年新接收了一名军休干部、军休人员年度滚动增资和调资、工作人员定期增资。</w:t>
      </w:r>
    </w:p>
    <w:p>
      <w:pPr>
        <w:numPr>
          <w:ilvl w:val="0"/>
          <w:numId w:val="1"/>
        </w:numPr>
        <w:ind w:firstLine="640" w:firstLineChars="200"/>
        <w:jc w:val="left"/>
        <w:rPr>
          <w:rFonts w:hint="eastAsia" w:ascii="仿宋" w:hAnsi="仿宋" w:eastAsia="仿宋" w:cs="仿宋"/>
          <w:sz w:val="32"/>
        </w:rPr>
      </w:pPr>
      <w:r>
        <w:rPr>
          <w:rFonts w:hint="eastAsia" w:ascii="仿宋" w:hAnsi="仿宋" w:eastAsia="仿宋" w:cs="仿宋"/>
          <w:sz w:val="32"/>
        </w:rPr>
        <w:t>一般公共预算财政拨款支出决算构成情况。</w:t>
      </w:r>
    </w:p>
    <w:p>
      <w:pPr>
        <w:ind w:firstLine="640" w:firstLineChars="200"/>
        <w:jc w:val="left"/>
        <w:rPr>
          <w:rFonts w:hint="eastAsia" w:ascii="仿宋" w:hAnsi="仿宋" w:eastAsia="仿宋" w:cs="仿宋"/>
          <w:sz w:val="32"/>
        </w:rPr>
      </w:pPr>
      <w:r>
        <w:rPr>
          <w:rFonts w:hint="eastAsia" w:ascii="仿宋" w:hAnsi="仿宋" w:eastAsia="仿宋" w:cs="仿宋"/>
          <w:sz w:val="32"/>
          <w:szCs w:val="32"/>
          <w:shd w:val="clear" w:color="auto" w:fill="FFFFFF"/>
        </w:rPr>
        <w:t>社会保障和就业支出1727.81万元，占99.24%；医疗卫生与计划生育支出4.74万元，占0.27%；住房保障支出8.52万元，占0.49%。</w:t>
      </w:r>
    </w:p>
    <w:p>
      <w:pPr>
        <w:ind w:firstLine="640" w:firstLineChars="20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640"/>
        <w:jc w:val="left"/>
        <w:rPr>
          <w:rFonts w:hint="eastAsia" w:ascii="仿宋" w:hAnsi="仿宋" w:eastAsia="仿宋" w:cs="仿宋"/>
          <w:sz w:val="32"/>
        </w:rPr>
      </w:pPr>
      <w:r>
        <w:rPr>
          <w:rFonts w:hint="eastAsia" w:ascii="仿宋" w:hAnsi="仿宋" w:eastAsia="仿宋" w:cs="仿宋"/>
          <w:sz w:val="32"/>
        </w:rPr>
        <w:t>1、2080502事业单位离退休0.80万元，主要用于单位退休人员第13个月工资的发放。</w:t>
      </w:r>
    </w:p>
    <w:p>
      <w:pPr>
        <w:ind w:firstLine="640" w:firstLineChars="200"/>
        <w:jc w:val="left"/>
        <w:rPr>
          <w:rFonts w:hint="eastAsia" w:ascii="仿宋" w:hAnsi="仿宋" w:eastAsia="仿宋" w:cs="仿宋"/>
          <w:sz w:val="32"/>
        </w:rPr>
      </w:pPr>
      <w:r>
        <w:rPr>
          <w:rFonts w:hint="eastAsia" w:ascii="仿宋" w:hAnsi="仿宋" w:eastAsia="仿宋" w:cs="仿宋"/>
          <w:sz w:val="32"/>
        </w:rPr>
        <w:t>2、2080505机关事业单位基本养老保险缴费支出14.20万元，主要用于单位工作人员的养老保险的缴纳支出。</w:t>
      </w:r>
    </w:p>
    <w:p>
      <w:pPr>
        <w:ind w:firstLine="640" w:firstLineChars="200"/>
        <w:jc w:val="left"/>
        <w:rPr>
          <w:rFonts w:hint="eastAsia" w:ascii="仿宋" w:hAnsi="仿宋" w:eastAsia="仿宋" w:cs="仿宋"/>
          <w:sz w:val="32"/>
        </w:rPr>
      </w:pPr>
      <w:r>
        <w:rPr>
          <w:rFonts w:hint="eastAsia" w:ascii="仿宋" w:hAnsi="仿宋" w:eastAsia="仿宋" w:cs="仿宋"/>
          <w:sz w:val="32"/>
        </w:rPr>
        <w:t>3、2080899其他优抚支出40.00万元，主要用于军休遗属的生活补助费发放和军休人员的抚恤金发放。</w:t>
      </w:r>
    </w:p>
    <w:p>
      <w:pPr>
        <w:ind w:firstLine="640"/>
        <w:jc w:val="left"/>
        <w:rPr>
          <w:rFonts w:hint="eastAsia" w:ascii="仿宋" w:hAnsi="仿宋" w:eastAsia="仿宋" w:cs="仿宋"/>
          <w:sz w:val="32"/>
        </w:rPr>
      </w:pPr>
      <w:r>
        <w:rPr>
          <w:rFonts w:hint="eastAsia" w:ascii="仿宋" w:hAnsi="仿宋" w:eastAsia="仿宋" w:cs="仿宋"/>
          <w:sz w:val="32"/>
        </w:rPr>
        <w:t>4、2080902军队移交政府的离退休人员安置1310.27万元，主要用于军休人员的工资发放、调资、医疗保险费用、各类活动费用和</w:t>
      </w:r>
      <w:r>
        <w:rPr>
          <w:rFonts w:hint="eastAsia" w:ascii="仿宋" w:hAnsi="仿宋" w:eastAsia="仿宋" w:cs="仿宋"/>
          <w:sz w:val="32"/>
          <w:szCs w:val="32"/>
        </w:rPr>
        <w:t>新建安置住宅项目建设的资金投入</w:t>
      </w:r>
      <w:r>
        <w:rPr>
          <w:rFonts w:hint="eastAsia"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rPr>
        <w:t>5、2080903军队移交政府离退休干部管理机构362.19万元，主要用于单位工作人员的工资、调资和公务费用。</w:t>
      </w:r>
    </w:p>
    <w:p>
      <w:pPr>
        <w:ind w:firstLine="640"/>
        <w:jc w:val="left"/>
        <w:rPr>
          <w:rFonts w:hint="eastAsia" w:ascii="仿宋" w:hAnsi="仿宋" w:eastAsia="仿宋" w:cs="仿宋"/>
          <w:sz w:val="32"/>
        </w:rPr>
      </w:pPr>
      <w:r>
        <w:rPr>
          <w:rFonts w:hint="eastAsia" w:ascii="仿宋" w:hAnsi="仿宋" w:eastAsia="仿宋" w:cs="仿宋"/>
          <w:sz w:val="32"/>
        </w:rPr>
        <w:t>6、2081002老年福利0.35万元，主要用于单位退休人员的福利支出。</w:t>
      </w:r>
    </w:p>
    <w:p>
      <w:pPr>
        <w:ind w:firstLine="640"/>
        <w:jc w:val="left"/>
        <w:rPr>
          <w:rFonts w:hint="eastAsia" w:ascii="仿宋" w:hAnsi="仿宋" w:eastAsia="仿宋" w:cs="仿宋"/>
          <w:sz w:val="32"/>
        </w:rPr>
      </w:pPr>
      <w:r>
        <w:rPr>
          <w:rFonts w:hint="eastAsia" w:ascii="仿宋" w:hAnsi="仿宋" w:eastAsia="仿宋" w:cs="仿宋"/>
          <w:sz w:val="32"/>
        </w:rPr>
        <w:t>7、2101102事业单位医疗4.74万元，主要用于单位工作人员的医疗保险费用的缴纳。</w:t>
      </w:r>
    </w:p>
    <w:p>
      <w:pPr>
        <w:ind w:firstLine="640"/>
        <w:jc w:val="left"/>
        <w:rPr>
          <w:rFonts w:hint="eastAsia" w:ascii="仿宋" w:hAnsi="仿宋" w:eastAsia="仿宋" w:cs="仿宋"/>
          <w:sz w:val="32"/>
        </w:rPr>
      </w:pPr>
      <w:r>
        <w:rPr>
          <w:rFonts w:hint="eastAsia" w:ascii="仿宋" w:hAnsi="仿宋" w:eastAsia="仿宋" w:cs="仿宋"/>
          <w:sz w:val="32"/>
        </w:rPr>
        <w:t>8、2210201住房公积金8.52万元，主要用于单位工作人员的住房公积金单位缴纳的部分。</w:t>
      </w:r>
    </w:p>
    <w:p>
      <w:pPr>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六、关于益阳市军队离退休干部团圆休养2018年度一般公共预算财政拨款基本支出决算情况说明</w:t>
      </w:r>
    </w:p>
    <w:p>
      <w:pPr>
        <w:ind w:firstLine="640"/>
        <w:jc w:val="left"/>
        <w:rPr>
          <w:rFonts w:hint="eastAsia" w:ascii="仿宋" w:hAnsi="仿宋" w:eastAsia="仿宋" w:cs="仿宋"/>
          <w:sz w:val="32"/>
        </w:rPr>
      </w:pPr>
      <w:r>
        <w:rPr>
          <w:rFonts w:hint="eastAsia" w:ascii="仿宋" w:hAnsi="仿宋" w:eastAsia="仿宋" w:cs="仿宋"/>
          <w:sz w:val="32"/>
        </w:rPr>
        <w:t>2018 年度一般公共预算财政拨款基本支出1053.99万元，其中人员经费支出943.08万元，主要包括：基本工资，绩效工资，机关事业单位基本养老保险缴费，职工基本医疗保险缴费，其他社会保障缴费，住房公积金，医疗费，其他工资福利支出，退休费（退休工作人员和军休人费退休费），抚恤金，生活补助，医疗费补助，奖励金，其他对个和家庭的补助支出（军休人员活动经费）；公用经费支出110.91万元，主要包括：办公费，印刷费，水费，电费，邮电费，物业管理费，差旅费，维修（护）费，公务接待费，劳务费，工会经费，福利费，公务用车运行维护费。</w:t>
      </w:r>
    </w:p>
    <w:p>
      <w:pPr>
        <w:ind w:firstLine="640"/>
        <w:jc w:val="left"/>
        <w:rPr>
          <w:rFonts w:hint="eastAsia" w:ascii="仿宋" w:hAnsi="仿宋" w:eastAsia="仿宋" w:cs="仿宋"/>
          <w:sz w:val="32"/>
        </w:rPr>
      </w:pPr>
    </w:p>
    <w:p>
      <w:pPr>
        <w:ind w:firstLine="640"/>
        <w:jc w:val="left"/>
        <w:rPr>
          <w:rFonts w:hint="eastAsia" w:ascii="仿宋" w:hAnsi="仿宋" w:eastAsia="仿宋" w:cs="仿宋"/>
          <w:b/>
          <w:bCs/>
          <w:sz w:val="32"/>
        </w:rPr>
      </w:pPr>
      <w:r>
        <w:rPr>
          <w:rFonts w:hint="eastAsia" w:ascii="仿宋" w:hAnsi="仿宋" w:eastAsia="仿宋" w:cs="仿宋"/>
          <w:b/>
          <w:bCs/>
          <w:sz w:val="32"/>
        </w:rPr>
        <w:t>七、关于益阳市军队离退休干部团圆休养2018年度一般公共预算财政拨款“三公”经费支出决算情况说明</w:t>
      </w:r>
    </w:p>
    <w:p>
      <w:pPr>
        <w:ind w:firstLine="640"/>
        <w:jc w:val="left"/>
        <w:rPr>
          <w:rFonts w:hint="eastAsia" w:ascii="仿宋" w:hAnsi="仿宋" w:eastAsia="仿宋" w:cs="仿宋"/>
          <w:sz w:val="32"/>
        </w:rPr>
      </w:pPr>
      <w:r>
        <w:rPr>
          <w:rFonts w:hint="eastAsia" w:ascii="仿宋" w:hAnsi="仿宋" w:eastAsia="仿宋" w:cs="仿宋"/>
          <w:sz w:val="32"/>
        </w:rPr>
        <w:t>（一）“三公”经费财政拨款支出决算总体情况说明。</w:t>
      </w:r>
    </w:p>
    <w:p>
      <w:pPr>
        <w:ind w:firstLine="640" w:firstLineChars="200"/>
        <w:jc w:val="left"/>
        <w:rPr>
          <w:rFonts w:hint="eastAsia" w:ascii="仿宋" w:hAnsi="仿宋" w:eastAsia="仿宋" w:cs="仿宋"/>
          <w:sz w:val="32"/>
        </w:rPr>
      </w:pPr>
      <w:r>
        <w:rPr>
          <w:rFonts w:hint="eastAsia" w:ascii="仿宋" w:hAnsi="仿宋" w:eastAsia="仿宋" w:cs="仿宋"/>
          <w:sz w:val="32"/>
        </w:rPr>
        <w:t>2018 年度“三公”经费一般公共预算财政拨款预算为0万元，</w:t>
      </w:r>
      <w:r>
        <w:rPr>
          <w:rFonts w:hint="eastAsia" w:ascii="仿宋" w:hAnsi="仿宋" w:eastAsia="仿宋" w:cs="仿宋"/>
          <w:i w:val="0"/>
          <w:caps w:val="0"/>
          <w:color w:val="000000"/>
          <w:spacing w:val="0"/>
          <w:sz w:val="32"/>
          <w:szCs w:val="32"/>
          <w:shd w:val="clear" w:fill="FFFFFF"/>
          <w:lang w:eastAsia="zh-CN"/>
        </w:rPr>
        <w:t>支出</w:t>
      </w:r>
      <w:r>
        <w:rPr>
          <w:rFonts w:hint="eastAsia" w:ascii="仿宋" w:hAnsi="仿宋" w:eastAsia="仿宋" w:cs="仿宋"/>
          <w:i w:val="0"/>
          <w:caps w:val="0"/>
          <w:color w:val="000000"/>
          <w:spacing w:val="0"/>
          <w:sz w:val="32"/>
          <w:szCs w:val="32"/>
          <w:shd w:val="clear" w:fill="FFFFFF"/>
        </w:rPr>
        <w:t>决算为</w:t>
      </w:r>
      <w:r>
        <w:rPr>
          <w:rFonts w:hint="eastAsia" w:ascii="仿宋" w:hAnsi="仿宋" w:eastAsia="仿宋" w:cs="仿宋"/>
          <w:i w:val="0"/>
          <w:caps w:val="0"/>
          <w:color w:val="000000"/>
          <w:spacing w:val="0"/>
          <w:sz w:val="32"/>
          <w:szCs w:val="32"/>
          <w:shd w:val="clear" w:fill="FFFFFF"/>
          <w:lang w:val="en-US" w:eastAsia="zh-CN"/>
        </w:rPr>
        <w:t>25.67</w:t>
      </w:r>
      <w:r>
        <w:rPr>
          <w:rFonts w:hint="eastAsia" w:ascii="仿宋" w:hAnsi="仿宋" w:eastAsia="仿宋" w:cs="仿宋"/>
          <w:i w:val="0"/>
          <w:caps w:val="0"/>
          <w:color w:val="000000"/>
          <w:spacing w:val="0"/>
          <w:sz w:val="32"/>
          <w:szCs w:val="32"/>
          <w:shd w:val="clear" w:fill="FFFFFF"/>
        </w:rPr>
        <w:t>万元，</w:t>
      </w:r>
      <w:r>
        <w:rPr>
          <w:rFonts w:hint="eastAsia" w:ascii="仿宋" w:hAnsi="仿宋" w:eastAsia="仿宋" w:cs="仿宋"/>
          <w:sz w:val="32"/>
        </w:rPr>
        <w:t>其中：因公出国（境）费支出决算为0万元，公务用车购置及运行费支出决算为14.29万元</w:t>
      </w:r>
      <w:r>
        <w:rPr>
          <w:rFonts w:hint="eastAsia" w:ascii="仿宋" w:hAnsi="仿宋" w:eastAsia="仿宋" w:cs="仿宋"/>
          <w:sz w:val="32"/>
          <w:lang w:eastAsia="zh-CN"/>
        </w:rPr>
        <w:t>（其中</w:t>
      </w:r>
      <w:r>
        <w:rPr>
          <w:rFonts w:hint="eastAsia" w:ascii="仿宋" w:hAnsi="仿宋" w:eastAsia="仿宋" w:cs="仿宋"/>
          <w:sz w:val="32"/>
        </w:rPr>
        <w:t>公务用车购置</w:t>
      </w:r>
      <w:r>
        <w:rPr>
          <w:rFonts w:hint="eastAsia" w:ascii="仿宋" w:hAnsi="仿宋" w:eastAsia="仿宋" w:cs="仿宋"/>
          <w:sz w:val="32"/>
          <w:lang w:eastAsia="zh-CN"/>
        </w:rPr>
        <w:t>费</w:t>
      </w:r>
      <w:r>
        <w:rPr>
          <w:rFonts w:hint="eastAsia" w:ascii="仿宋" w:hAnsi="仿宋" w:eastAsia="仿宋" w:cs="仿宋"/>
          <w:sz w:val="32"/>
          <w:lang w:val="en-US" w:eastAsia="zh-CN"/>
        </w:rPr>
        <w:t>0万元，公务用车运行维护费14.29万元</w:t>
      </w:r>
      <w:r>
        <w:rPr>
          <w:rFonts w:hint="eastAsia" w:ascii="仿宋" w:hAnsi="仿宋" w:eastAsia="仿宋" w:cs="仿宋"/>
          <w:sz w:val="32"/>
          <w:lang w:eastAsia="zh-CN"/>
        </w:rPr>
        <w:t>）</w:t>
      </w:r>
      <w:r>
        <w:rPr>
          <w:rFonts w:hint="eastAsia" w:ascii="仿宋" w:hAnsi="仿宋" w:eastAsia="仿宋" w:cs="仿宋"/>
          <w:sz w:val="32"/>
        </w:rPr>
        <w:t>，公务接待费支出决算为11.38万元</w:t>
      </w:r>
      <w:r>
        <w:rPr>
          <w:rFonts w:hint="eastAsia" w:ascii="仿宋" w:hAnsi="仿宋" w:eastAsia="仿宋" w:cs="仿宋"/>
          <w:sz w:val="32"/>
          <w:lang w:eastAsia="zh-CN"/>
        </w:rPr>
        <w:t>。</w:t>
      </w:r>
      <w:r>
        <w:rPr>
          <w:rFonts w:hint="eastAsia" w:ascii="仿宋" w:hAnsi="仿宋" w:eastAsia="仿宋" w:cs="仿宋"/>
          <w:i w:val="0"/>
          <w:caps w:val="0"/>
          <w:color w:val="000000"/>
          <w:spacing w:val="0"/>
          <w:kern w:val="0"/>
          <w:sz w:val="32"/>
          <w:szCs w:val="32"/>
          <w:shd w:val="clear" w:fill="FFFFFF"/>
          <w:lang w:val="en-US" w:eastAsia="zh-CN" w:bidi="ar"/>
        </w:rPr>
        <w:t>2018年度“三公”经费支出决算数大于预算数的主要原因：</w:t>
      </w:r>
      <w:r>
        <w:rPr>
          <w:rFonts w:hint="eastAsia" w:ascii="仿宋" w:hAnsi="仿宋" w:eastAsia="仿宋" w:cs="仿宋"/>
          <w:sz w:val="32"/>
        </w:rPr>
        <w:t>没有财政预算安排，</w:t>
      </w:r>
      <w:r>
        <w:rPr>
          <w:rFonts w:hint="eastAsia" w:ascii="仿宋" w:hAnsi="仿宋" w:eastAsia="仿宋" w:cs="仿宋"/>
          <w:sz w:val="32"/>
          <w:szCs w:val="32"/>
        </w:rPr>
        <w:t>支出均为自有经费</w:t>
      </w:r>
      <w:r>
        <w:rPr>
          <w:rFonts w:hint="eastAsia" w:ascii="仿宋" w:hAnsi="仿宋" w:eastAsia="仿宋" w:cs="仿宋"/>
          <w:sz w:val="32"/>
          <w:szCs w:val="32"/>
          <w:lang w:eastAsia="zh-CN"/>
        </w:rPr>
        <w:t>，无法比对</w:t>
      </w:r>
      <w:r>
        <w:rPr>
          <w:rFonts w:hint="eastAsia" w:ascii="仿宋" w:hAnsi="仿宋" w:eastAsia="仿宋" w:cs="仿宋"/>
          <w:sz w:val="32"/>
          <w:szCs w:val="32"/>
        </w:rPr>
        <w:t>。</w:t>
      </w:r>
    </w:p>
    <w:p>
      <w:pPr>
        <w:ind w:firstLine="640" w:firstLineChars="200"/>
        <w:jc w:val="left"/>
        <w:rPr>
          <w:rFonts w:hint="eastAsia" w:ascii="仿宋" w:hAnsi="仿宋" w:eastAsia="仿宋" w:cs="仿宋"/>
          <w:sz w:val="32"/>
        </w:rPr>
      </w:pPr>
      <w:r>
        <w:rPr>
          <w:rFonts w:hint="eastAsia" w:ascii="仿宋" w:hAnsi="仿宋" w:eastAsia="仿宋" w:cs="仿宋"/>
          <w:sz w:val="32"/>
        </w:rPr>
        <w:t>（二）“三公”经费财政拨款支出决算具体情况说明。</w:t>
      </w:r>
    </w:p>
    <w:p>
      <w:pPr>
        <w:ind w:firstLine="640"/>
        <w:jc w:val="left"/>
        <w:rPr>
          <w:rFonts w:hint="eastAsia" w:ascii="仿宋" w:hAnsi="仿宋" w:eastAsia="仿宋" w:cs="仿宋"/>
          <w:sz w:val="32"/>
          <w:szCs w:val="32"/>
        </w:rPr>
      </w:pPr>
      <w:r>
        <w:rPr>
          <w:rFonts w:hint="eastAsia" w:ascii="仿宋" w:hAnsi="仿宋" w:eastAsia="仿宋" w:cs="仿宋"/>
          <w:sz w:val="32"/>
        </w:rPr>
        <w:t>2018 年度“三公”经费财政拨款支出决算为25.67万元，</w:t>
      </w:r>
      <w:r>
        <w:rPr>
          <w:rFonts w:hint="eastAsia" w:ascii="仿宋" w:hAnsi="仿宋" w:eastAsia="仿宋" w:cs="仿宋"/>
          <w:i w:val="0"/>
          <w:caps w:val="0"/>
          <w:color w:val="000000"/>
          <w:spacing w:val="0"/>
          <w:sz w:val="32"/>
          <w:szCs w:val="32"/>
          <w:shd w:val="clear" w:fill="FFFFFF"/>
          <w:lang w:val="en-US" w:eastAsia="zh-CN"/>
        </w:rPr>
        <w:t>比上年同期减少8.25万元，下降24.32%。</w:t>
      </w:r>
      <w:r>
        <w:rPr>
          <w:rFonts w:hint="eastAsia" w:ascii="仿宋" w:hAnsi="仿宋" w:eastAsia="仿宋" w:cs="仿宋"/>
          <w:sz w:val="32"/>
        </w:rPr>
        <w:t>其中：因公出国（境）费支出决算为0万元，占0%；公务用车购置及运行费支出决算为14.29万元</w:t>
      </w:r>
      <w:r>
        <w:rPr>
          <w:rFonts w:hint="eastAsia" w:ascii="仿宋" w:hAnsi="仿宋" w:eastAsia="仿宋" w:cs="仿宋"/>
          <w:sz w:val="32"/>
          <w:lang w:eastAsia="zh-CN"/>
        </w:rPr>
        <w:t>（其中</w:t>
      </w:r>
      <w:r>
        <w:rPr>
          <w:rFonts w:hint="eastAsia" w:ascii="仿宋" w:hAnsi="仿宋" w:eastAsia="仿宋" w:cs="仿宋"/>
          <w:sz w:val="32"/>
        </w:rPr>
        <w:t>公务用车购置</w:t>
      </w:r>
      <w:r>
        <w:rPr>
          <w:rFonts w:hint="eastAsia" w:ascii="仿宋" w:hAnsi="仿宋" w:eastAsia="仿宋" w:cs="仿宋"/>
          <w:sz w:val="32"/>
          <w:lang w:eastAsia="zh-CN"/>
        </w:rPr>
        <w:t>费</w:t>
      </w:r>
      <w:r>
        <w:rPr>
          <w:rFonts w:hint="eastAsia" w:ascii="仿宋" w:hAnsi="仿宋" w:eastAsia="仿宋" w:cs="仿宋"/>
          <w:sz w:val="32"/>
          <w:lang w:val="en-US" w:eastAsia="zh-CN"/>
        </w:rPr>
        <w:t>0万元，公务用车运行维护费14.29万元</w:t>
      </w:r>
      <w:r>
        <w:rPr>
          <w:rFonts w:hint="eastAsia" w:ascii="仿宋" w:hAnsi="仿宋" w:eastAsia="仿宋" w:cs="仿宋"/>
          <w:sz w:val="32"/>
          <w:lang w:eastAsia="zh-CN"/>
        </w:rPr>
        <w:t>）</w:t>
      </w:r>
      <w:r>
        <w:rPr>
          <w:rFonts w:hint="eastAsia" w:ascii="仿宋" w:hAnsi="仿宋" w:eastAsia="仿宋" w:cs="仿宋"/>
          <w:sz w:val="32"/>
        </w:rPr>
        <w:t>，占55.67%；公务接待费支出决算为11.38万元，占44.33%。2018 年度“三公”经费支出决算数小于上年决算数的主要因：</w:t>
      </w:r>
      <w:r>
        <w:rPr>
          <w:rFonts w:hint="eastAsia" w:ascii="仿宋" w:hAnsi="仿宋" w:eastAsia="仿宋" w:cs="仿宋"/>
          <w:sz w:val="32"/>
          <w:szCs w:val="32"/>
        </w:rPr>
        <w:t>严格控制支出，加强内部管理。</w:t>
      </w:r>
    </w:p>
    <w:p>
      <w:pPr>
        <w:ind w:firstLine="640" w:firstLineChars="200"/>
        <w:jc w:val="left"/>
        <w:rPr>
          <w:rFonts w:hint="eastAsia" w:ascii="仿宋" w:hAnsi="仿宋" w:eastAsia="仿宋" w:cs="仿宋"/>
          <w:sz w:val="32"/>
        </w:rPr>
      </w:pPr>
      <w:r>
        <w:rPr>
          <w:rFonts w:hint="eastAsia" w:ascii="仿宋" w:hAnsi="仿宋" w:eastAsia="仿宋" w:cs="仿宋"/>
          <w:sz w:val="32"/>
        </w:rPr>
        <w:t>1、因公出国（境）情况说明</w:t>
      </w:r>
    </w:p>
    <w:p>
      <w:pPr>
        <w:ind w:firstLine="640"/>
        <w:jc w:val="left"/>
        <w:rPr>
          <w:rFonts w:hint="eastAsia" w:ascii="仿宋" w:hAnsi="仿宋" w:eastAsia="仿宋" w:cs="仿宋"/>
          <w:sz w:val="32"/>
        </w:rPr>
      </w:pPr>
      <w:r>
        <w:rPr>
          <w:rFonts w:hint="eastAsia" w:ascii="仿宋" w:hAnsi="仿宋" w:eastAsia="仿宋" w:cs="仿宋"/>
          <w:sz w:val="32"/>
        </w:rPr>
        <w:t>因公出国（境）团组数0个，0人。</w:t>
      </w:r>
    </w:p>
    <w:p>
      <w:pPr>
        <w:ind w:firstLine="640"/>
        <w:jc w:val="left"/>
        <w:rPr>
          <w:rFonts w:hint="eastAsia" w:ascii="仿宋" w:hAnsi="仿宋" w:eastAsia="仿宋" w:cs="仿宋"/>
          <w:sz w:val="32"/>
        </w:rPr>
      </w:pPr>
      <w:r>
        <w:rPr>
          <w:rFonts w:hint="eastAsia" w:ascii="仿宋" w:hAnsi="仿宋" w:eastAsia="仿宋" w:cs="仿宋"/>
          <w:sz w:val="32"/>
        </w:rPr>
        <w:t>2、公务用车购置及运行经费情况说明</w:t>
      </w:r>
    </w:p>
    <w:p>
      <w:pPr>
        <w:ind w:firstLine="640"/>
        <w:jc w:val="left"/>
        <w:rPr>
          <w:rFonts w:hint="eastAsia" w:ascii="仿宋" w:hAnsi="仿宋" w:eastAsia="仿宋" w:cs="仿宋"/>
          <w:sz w:val="32"/>
        </w:rPr>
      </w:pPr>
      <w:r>
        <w:rPr>
          <w:rFonts w:hint="eastAsia" w:ascii="仿宋" w:hAnsi="仿宋" w:eastAsia="仿宋" w:cs="仿宋"/>
          <w:sz w:val="32"/>
        </w:rPr>
        <w:t>公务用车购置支出0万元，购置数0台，保有量2台。</w:t>
      </w:r>
    </w:p>
    <w:p>
      <w:pPr>
        <w:ind w:firstLine="640"/>
        <w:jc w:val="left"/>
        <w:rPr>
          <w:rFonts w:hint="eastAsia" w:ascii="仿宋" w:hAnsi="仿宋" w:eastAsia="仿宋" w:cs="仿宋"/>
          <w:sz w:val="32"/>
        </w:rPr>
      </w:pPr>
      <w:r>
        <w:rPr>
          <w:rFonts w:hint="eastAsia" w:ascii="仿宋" w:hAnsi="仿宋" w:eastAsia="仿宋" w:cs="仿宋"/>
          <w:sz w:val="32"/>
        </w:rPr>
        <w:t>公务用车运行维护费支出14.29万元，主要用于汽车燃油费、车辆维修费、车辆保险费、过桥过路费、安全行驶奖、行驶公里数补贴等。</w:t>
      </w:r>
    </w:p>
    <w:p>
      <w:pPr>
        <w:ind w:firstLine="640"/>
        <w:jc w:val="left"/>
        <w:rPr>
          <w:rFonts w:hint="eastAsia" w:ascii="仿宋" w:hAnsi="仿宋" w:eastAsia="仿宋" w:cs="仿宋"/>
          <w:sz w:val="32"/>
        </w:rPr>
      </w:pPr>
      <w:r>
        <w:rPr>
          <w:rFonts w:hint="eastAsia" w:ascii="仿宋" w:hAnsi="仿宋" w:eastAsia="仿宋" w:cs="仿宋"/>
          <w:sz w:val="32"/>
        </w:rPr>
        <w:t>3、公务接待情况说明</w:t>
      </w:r>
    </w:p>
    <w:p>
      <w:pPr>
        <w:ind w:firstLine="640"/>
        <w:jc w:val="left"/>
        <w:rPr>
          <w:rFonts w:hint="eastAsia" w:ascii="仿宋" w:hAnsi="仿宋" w:eastAsia="仿宋" w:cs="仿宋"/>
          <w:sz w:val="32"/>
        </w:rPr>
      </w:pPr>
      <w:r>
        <w:rPr>
          <w:rFonts w:hint="eastAsia" w:ascii="仿宋" w:hAnsi="仿宋" w:eastAsia="仿宋" w:cs="仿宋"/>
          <w:sz w:val="32"/>
        </w:rPr>
        <w:t>公务接待支出11.38万元，国内公务接待316批次，接待1225人。接待支出主要用于各类公务接待费用。</w:t>
      </w:r>
    </w:p>
    <w:p>
      <w:pPr>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八、关于益阳市军队离退休干部团圆休养2018年度政府性基金预算财政拨款支出决算情况说明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表8无数据，</w:t>
      </w:r>
      <w:r>
        <w:rPr>
          <w:rFonts w:hint="eastAsia" w:ascii="仿宋" w:hAnsi="仿宋" w:eastAsia="仿宋" w:cs="仿宋"/>
          <w:i w:val="0"/>
          <w:caps w:val="0"/>
          <w:color w:val="000000"/>
          <w:spacing w:val="0"/>
          <w:sz w:val="32"/>
          <w:szCs w:val="32"/>
          <w:shd w:val="clear" w:fill="FFFFFF"/>
          <w:lang w:val="en-US" w:eastAsia="zh-CN"/>
        </w:rPr>
        <w:t>益阳市军队离退休干部团圆休养所</w:t>
      </w:r>
      <w:r>
        <w:rPr>
          <w:rFonts w:hint="eastAsia" w:ascii="仿宋" w:hAnsi="仿宋" w:eastAsia="仿宋" w:cs="仿宋"/>
          <w:i w:val="0"/>
          <w:caps w:val="0"/>
          <w:color w:val="000000"/>
          <w:spacing w:val="0"/>
          <w:sz w:val="32"/>
          <w:szCs w:val="32"/>
          <w:shd w:val="clear" w:fill="FFFFFF"/>
        </w:rPr>
        <w:t>没有政府性基金收入，也没有政府性基金安排的支出，故本表无数据。</w:t>
      </w:r>
    </w:p>
    <w:p>
      <w:pPr>
        <w:ind w:firstLine="640"/>
        <w:jc w:val="left"/>
        <w:rPr>
          <w:rFonts w:hint="eastAsia" w:ascii="仿宋" w:hAnsi="仿宋" w:eastAsia="仿宋" w:cs="仿宋"/>
          <w:sz w:val="32"/>
        </w:rPr>
      </w:pPr>
    </w:p>
    <w:p>
      <w:pPr>
        <w:ind w:firstLine="643" w:firstLineChars="200"/>
        <w:jc w:val="left"/>
        <w:rPr>
          <w:rFonts w:hint="eastAsia" w:ascii="仿宋" w:hAnsi="仿宋" w:eastAsia="仿宋" w:cs="仿宋"/>
          <w:b/>
          <w:bCs/>
          <w:sz w:val="32"/>
        </w:rPr>
      </w:pPr>
      <w:r>
        <w:rPr>
          <w:rFonts w:hint="eastAsia" w:ascii="仿宋" w:hAnsi="仿宋" w:eastAsia="仿宋" w:cs="仿宋"/>
          <w:b/>
          <w:bCs/>
          <w:sz w:val="32"/>
        </w:rPr>
        <w:t>九、益阳市军队离退休干部团圆休养其他重要事项的情况说明</w:t>
      </w:r>
    </w:p>
    <w:p>
      <w:pPr>
        <w:ind w:firstLine="640" w:firstLineChars="200"/>
        <w:jc w:val="left"/>
        <w:rPr>
          <w:rFonts w:hint="eastAsia" w:ascii="仿宋" w:hAnsi="仿宋" w:eastAsia="仿宋" w:cs="仿宋"/>
          <w:sz w:val="32"/>
        </w:rPr>
      </w:pPr>
      <w:r>
        <w:rPr>
          <w:rFonts w:hint="eastAsia" w:ascii="仿宋" w:hAnsi="仿宋" w:eastAsia="仿宋" w:cs="仿宋"/>
          <w:sz w:val="32"/>
        </w:rPr>
        <w:t>（一）预决算收支增减变化情况。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2018年</w:t>
      </w:r>
      <w:r>
        <w:rPr>
          <w:rFonts w:hint="eastAsia" w:ascii="仿宋" w:hAnsi="仿宋" w:eastAsia="仿宋" w:cs="仿宋"/>
          <w:sz w:val="32"/>
          <w:szCs w:val="32"/>
          <w:lang w:eastAsia="zh-CN"/>
        </w:rPr>
        <w:t>本年收入</w:t>
      </w:r>
      <w:r>
        <w:rPr>
          <w:rFonts w:hint="eastAsia" w:ascii="仿宋" w:hAnsi="仿宋" w:eastAsia="仿宋" w:cs="仿宋"/>
          <w:sz w:val="32"/>
          <w:szCs w:val="32"/>
        </w:rPr>
        <w:t>年初预算数1400.59万元，调整预算</w:t>
      </w:r>
      <w:r>
        <w:rPr>
          <w:rFonts w:hint="eastAsia" w:ascii="仿宋" w:hAnsi="仿宋" w:eastAsia="仿宋" w:cs="仿宋"/>
          <w:sz w:val="32"/>
          <w:szCs w:val="32"/>
          <w:lang w:eastAsia="zh-CN"/>
        </w:rPr>
        <w:t>数</w:t>
      </w:r>
      <w:r>
        <w:rPr>
          <w:rFonts w:hint="eastAsia" w:ascii="仿宋" w:hAnsi="仿宋" w:eastAsia="仿宋" w:cs="仿宋"/>
          <w:sz w:val="32"/>
          <w:szCs w:val="32"/>
        </w:rPr>
        <w:t>1816.88万元，决算数1816.88万元；2018年</w:t>
      </w:r>
      <w:r>
        <w:rPr>
          <w:rFonts w:hint="eastAsia" w:ascii="仿宋" w:hAnsi="仿宋" w:eastAsia="仿宋" w:cs="仿宋"/>
          <w:sz w:val="32"/>
          <w:szCs w:val="32"/>
          <w:lang w:eastAsia="zh-CN"/>
        </w:rPr>
        <w:t>本年</w:t>
      </w:r>
      <w:r>
        <w:rPr>
          <w:rFonts w:hint="eastAsia" w:ascii="仿宋" w:hAnsi="仿宋" w:eastAsia="仿宋" w:cs="仿宋"/>
          <w:sz w:val="32"/>
          <w:szCs w:val="32"/>
        </w:rPr>
        <w:t>支出年初预算1400.59万元，调整预</w:t>
      </w:r>
      <w:r>
        <w:rPr>
          <w:rFonts w:hint="eastAsia" w:ascii="仿宋" w:hAnsi="仿宋" w:eastAsia="仿宋" w:cs="仿宋"/>
          <w:sz w:val="32"/>
          <w:szCs w:val="32"/>
          <w:lang w:eastAsia="zh-CN"/>
        </w:rPr>
        <w:t>算数</w:t>
      </w:r>
      <w:r>
        <w:rPr>
          <w:rFonts w:hint="eastAsia" w:ascii="仿宋" w:hAnsi="仿宋" w:eastAsia="仿宋" w:cs="仿宋"/>
          <w:sz w:val="32"/>
          <w:szCs w:val="32"/>
        </w:rPr>
        <w:t>1863.98万元，决算数1863.98万元。</w:t>
      </w:r>
    </w:p>
    <w:p>
      <w:pPr>
        <w:ind w:firstLine="640" w:firstLineChars="200"/>
        <w:jc w:val="left"/>
        <w:rPr>
          <w:rFonts w:hint="eastAsia" w:ascii="仿宋" w:hAnsi="仿宋" w:eastAsia="仿宋" w:cs="仿宋"/>
          <w:sz w:val="32"/>
        </w:rPr>
      </w:pPr>
      <w:r>
        <w:rPr>
          <w:rFonts w:hint="eastAsia" w:ascii="仿宋" w:hAnsi="仿宋" w:eastAsia="仿宋" w:cs="仿宋"/>
          <w:sz w:val="32"/>
        </w:rPr>
        <w:t>（二）机关运行经费支出情况。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我单位是全额事业单位，故此表无数据。</w:t>
      </w:r>
    </w:p>
    <w:p>
      <w:pPr>
        <w:ind w:firstLine="640" w:firstLineChars="200"/>
        <w:jc w:val="left"/>
        <w:rPr>
          <w:rFonts w:hint="eastAsia" w:ascii="仿宋" w:hAnsi="仿宋" w:eastAsia="仿宋" w:cs="仿宋"/>
          <w:sz w:val="32"/>
        </w:rPr>
      </w:pPr>
      <w:r>
        <w:rPr>
          <w:rFonts w:hint="eastAsia" w:ascii="仿宋" w:hAnsi="仿宋" w:eastAsia="仿宋" w:cs="仿宋"/>
          <w:sz w:val="32"/>
        </w:rPr>
        <w:t>（三）政府采购支出情况。</w:t>
      </w:r>
    </w:p>
    <w:p>
      <w:pPr>
        <w:ind w:firstLine="640"/>
        <w:jc w:val="left"/>
        <w:rPr>
          <w:rFonts w:hint="eastAsia" w:ascii="仿宋" w:hAnsi="仿宋" w:eastAsia="仿宋" w:cs="仿宋"/>
          <w:sz w:val="32"/>
        </w:rPr>
      </w:pPr>
      <w:r>
        <w:rPr>
          <w:rFonts w:hint="eastAsia" w:ascii="仿宋" w:hAnsi="仿宋" w:eastAsia="仿宋" w:cs="仿宋"/>
          <w:sz w:val="32"/>
          <w:szCs w:val="32"/>
        </w:rPr>
        <w:t>本部门2018年度政府采购</w:t>
      </w:r>
      <w:r>
        <w:rPr>
          <w:rFonts w:hint="eastAsia" w:ascii="仿宋" w:hAnsi="仿宋" w:eastAsia="仿宋" w:cs="仿宋"/>
          <w:sz w:val="32"/>
        </w:rPr>
        <w:t>234.02万元，其中，政府采购货物支出77.93万元，政府采购工程支出20.80万元，政府采购服务支出135.29万元。</w:t>
      </w:r>
      <w:bookmarkStart w:id="0" w:name="_GoBack"/>
      <w:bookmarkEnd w:id="0"/>
    </w:p>
    <w:p>
      <w:pPr>
        <w:ind w:firstLine="640" w:firstLineChars="200"/>
        <w:jc w:val="left"/>
        <w:rPr>
          <w:rFonts w:hint="eastAsia" w:ascii="仿宋" w:hAnsi="仿宋" w:eastAsia="仿宋" w:cs="仿宋"/>
          <w:sz w:val="32"/>
        </w:rPr>
      </w:pPr>
      <w:r>
        <w:rPr>
          <w:rFonts w:hint="eastAsia" w:ascii="仿宋" w:hAnsi="仿宋" w:eastAsia="仿宋" w:cs="仿宋"/>
          <w:sz w:val="32"/>
        </w:rPr>
        <w:t>（四）国有资产占用情况。</w:t>
      </w:r>
    </w:p>
    <w:p>
      <w:pPr>
        <w:ind w:firstLine="640"/>
        <w:jc w:val="left"/>
        <w:rPr>
          <w:rFonts w:hint="eastAsia" w:ascii="仿宋" w:hAnsi="仿宋" w:eastAsia="仿宋" w:cs="仿宋"/>
          <w:sz w:val="32"/>
          <w:szCs w:val="32"/>
        </w:rPr>
      </w:pPr>
      <w:r>
        <w:rPr>
          <w:rFonts w:hint="eastAsia" w:ascii="仿宋" w:hAnsi="仿宋" w:eastAsia="仿宋" w:cs="仿宋"/>
          <w:sz w:val="32"/>
          <w:szCs w:val="32"/>
        </w:rPr>
        <w:t>截至2018年12月31日，本部门共有车辆2辆，其中，一般公务用车1辆、其他用车1辆，其他用车主要是军休人员用车；单位价值50万元以上通用设备0台(套)，单价100万正以上专用设备0台(套）。</w:t>
      </w:r>
    </w:p>
    <w:p>
      <w:pPr>
        <w:ind w:firstLine="640" w:firstLineChars="200"/>
        <w:jc w:val="left"/>
        <w:rPr>
          <w:rFonts w:hint="eastAsia" w:ascii="仿宋" w:hAnsi="仿宋" w:eastAsia="仿宋" w:cs="仿宋"/>
          <w:sz w:val="32"/>
        </w:rPr>
      </w:pPr>
      <w:r>
        <w:rPr>
          <w:rFonts w:hint="eastAsia" w:ascii="仿宋" w:hAnsi="仿宋" w:eastAsia="仿宋" w:cs="仿宋"/>
          <w:sz w:val="32"/>
        </w:rPr>
        <w:t>（五）预算绩效情况的说明。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2018年，本单位按照有关政策文件和市财政局要求开展预算绩效管理工作，一是加强绩效目标管理。在编制2018年部门预算时，本部门将所有预算资金纳入绩效目标管理，实现了绩效目标与部门预算同步编制、同步申报。二是做好绩效自评。根据市财政局文件要求，本单位对2018年部门整体支出开展了绩效自评。</w:t>
      </w:r>
    </w:p>
    <w:p>
      <w:pPr>
        <w:ind w:firstLine="640"/>
        <w:jc w:val="left"/>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sz w:val="44"/>
        </w:rPr>
      </w:pPr>
      <w:r>
        <w:rPr>
          <w:rFonts w:hint="eastAsia" w:ascii="仿宋" w:hAnsi="仿宋" w:eastAsia="仿宋" w:cs="仿宋"/>
          <w:sz w:val="44"/>
        </w:rPr>
        <w:t>第四部分名词解释</w:t>
      </w:r>
    </w:p>
    <w:p>
      <w:pPr>
        <w:ind w:firstLine="643"/>
        <w:jc w:val="left"/>
        <w:rPr>
          <w:rFonts w:hint="eastAsia" w:ascii="仿宋" w:hAnsi="仿宋" w:eastAsia="仿宋" w:cs="仿宋"/>
          <w:b/>
          <w:sz w:val="32"/>
        </w:rPr>
      </w:pPr>
    </w:p>
    <w:p>
      <w:pPr>
        <w:ind w:firstLine="643"/>
        <w:jc w:val="left"/>
        <w:rPr>
          <w:rFonts w:hint="eastAsia"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 xml:space="preserve">指中央财政当年拨付的资金。 </w:t>
      </w:r>
    </w:p>
    <w:p>
      <w:pPr>
        <w:ind w:firstLine="643"/>
        <w:jc w:val="left"/>
        <w:rPr>
          <w:rFonts w:hint="eastAsia"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hint="eastAsia"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 xml:space="preserve">指以前年度尚未完成、结转到本年按有关规定继续使用的资金。 </w:t>
      </w:r>
    </w:p>
    <w:p>
      <w:pPr>
        <w:ind w:firstLine="643"/>
        <w:jc w:val="left"/>
        <w:rPr>
          <w:rFonts w:hint="eastAsia"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w:t>
      </w:r>
    </w:p>
    <w:p>
      <w:pPr>
        <w:jc w:val="left"/>
        <w:rPr>
          <w:rFonts w:hint="eastAsia" w:ascii="仿宋" w:hAnsi="仿宋" w:eastAsia="仿宋" w:cs="仿宋"/>
          <w:sz w:val="32"/>
        </w:rPr>
      </w:pPr>
      <w:r>
        <w:rPr>
          <w:rFonts w:hint="eastAsia" w:ascii="仿宋" w:hAnsi="仿宋" w:eastAsia="仿宋" w:cs="仿宋"/>
          <w:sz w:val="32"/>
        </w:rPr>
        <w:t xml:space="preserve">作任务而发生的人员支出和公用支出。 </w:t>
      </w:r>
    </w:p>
    <w:p>
      <w:pPr>
        <w:ind w:firstLine="643"/>
        <w:jc w:val="left"/>
        <w:rPr>
          <w:rFonts w:hint="eastAsia" w:ascii="仿宋" w:hAnsi="仿宋" w:eastAsia="仿宋" w:cs="仿宋"/>
          <w:sz w:val="32"/>
        </w:rPr>
      </w:pPr>
      <w:r>
        <w:rPr>
          <w:rFonts w:hint="eastAsia" w:ascii="仿宋" w:hAnsi="仿宋" w:eastAsia="仿宋" w:cs="仿宋"/>
          <w:b/>
          <w:sz w:val="32"/>
        </w:rPr>
        <w:t>十、项目支出：</w:t>
      </w:r>
      <w:r>
        <w:rPr>
          <w:rFonts w:hint="eastAsia" w:ascii="仿宋" w:hAnsi="仿宋" w:eastAsia="仿宋" w:cs="仿宋"/>
          <w:sz w:val="32"/>
        </w:rPr>
        <w:t xml:space="preserve">指在基本支出之外为完成特定行政任务和事业发展目标所发生的支出。 </w:t>
      </w:r>
    </w:p>
    <w:p>
      <w:pPr>
        <w:ind w:firstLine="643"/>
        <w:jc w:val="left"/>
        <w:rPr>
          <w:rFonts w:hint="eastAsia" w:ascii="仿宋" w:hAnsi="仿宋" w:eastAsia="仿宋" w:cs="仿宋"/>
          <w:sz w:val="32"/>
        </w:rPr>
      </w:pPr>
      <w:r>
        <w:rPr>
          <w:rFonts w:hint="eastAsia" w:ascii="仿宋" w:hAnsi="仿宋" w:eastAsia="仿宋" w:cs="仿宋"/>
          <w:b/>
          <w:sz w:val="32"/>
        </w:rPr>
        <w:t>十一、经营支出：</w:t>
      </w:r>
      <w:r>
        <w:rPr>
          <w:rFonts w:hint="eastAsia" w:ascii="仿宋" w:hAnsi="仿宋" w:eastAsia="仿宋" w:cs="仿宋"/>
          <w:sz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rPr>
      </w:pPr>
      <w:r>
        <w:rPr>
          <w:rFonts w:hint="eastAsia" w:ascii="仿宋" w:hAnsi="仿宋" w:eastAsia="仿宋" w:cs="仿宋"/>
          <w:b/>
          <w:sz w:val="32"/>
        </w:rPr>
        <w:t>十二、“三公”经费：</w:t>
      </w:r>
      <w:r>
        <w:rPr>
          <w:rFonts w:hint="eastAsia"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b/>
          <w:color w:val="FF0000"/>
          <w:sz w:val="32"/>
        </w:rPr>
      </w:pPr>
      <w:r>
        <w:rPr>
          <w:rFonts w:hint="eastAsia" w:ascii="仿宋" w:hAnsi="仿宋" w:eastAsia="仿宋" w:cs="仿宋"/>
          <w:b/>
          <w:sz w:val="32"/>
        </w:rPr>
        <w:t>十三、机关运行经费：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hint="eastAsia" w:ascii="仿宋" w:hAnsi="仿宋" w:eastAsia="仿宋" w:cs="仿宋"/>
          <w:sz w:val="32"/>
        </w:rPr>
      </w:pPr>
    </w:p>
    <w:sectPr>
      <w:headerReference r:id="rId3" w:type="default"/>
      <w:footerReference r:id="rId4" w:type="default"/>
      <w:pgSz w:w="11906" w:h="16838"/>
      <w:pgMar w:top="1701" w:right="1701"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BDC8CD"/>
    <w:multiLevelType w:val="singleLevel"/>
    <w:tmpl w:val="D5BDC8C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D6007"/>
    <w:rsid w:val="0011267F"/>
    <w:rsid w:val="001352FB"/>
    <w:rsid w:val="002E70A9"/>
    <w:rsid w:val="00335331"/>
    <w:rsid w:val="00361F25"/>
    <w:rsid w:val="003638A2"/>
    <w:rsid w:val="00582244"/>
    <w:rsid w:val="00732CB0"/>
    <w:rsid w:val="00780C70"/>
    <w:rsid w:val="009B4C5A"/>
    <w:rsid w:val="00B27C51"/>
    <w:rsid w:val="00B44575"/>
    <w:rsid w:val="00B60752"/>
    <w:rsid w:val="00BD0975"/>
    <w:rsid w:val="00D64BDA"/>
    <w:rsid w:val="00DA6F23"/>
    <w:rsid w:val="00F31068"/>
    <w:rsid w:val="00F322AD"/>
    <w:rsid w:val="00F35C36"/>
    <w:rsid w:val="00F94200"/>
    <w:rsid w:val="010C6CE6"/>
    <w:rsid w:val="02D924E7"/>
    <w:rsid w:val="0373796D"/>
    <w:rsid w:val="04366E10"/>
    <w:rsid w:val="054F5218"/>
    <w:rsid w:val="05FE4F63"/>
    <w:rsid w:val="06347231"/>
    <w:rsid w:val="06607BF3"/>
    <w:rsid w:val="067E363B"/>
    <w:rsid w:val="0704137B"/>
    <w:rsid w:val="074839D3"/>
    <w:rsid w:val="08015BBB"/>
    <w:rsid w:val="087D1350"/>
    <w:rsid w:val="0AC81300"/>
    <w:rsid w:val="0CC17456"/>
    <w:rsid w:val="0D8A3DD1"/>
    <w:rsid w:val="0E1148F7"/>
    <w:rsid w:val="0EAE7225"/>
    <w:rsid w:val="0EC21DCE"/>
    <w:rsid w:val="101200BE"/>
    <w:rsid w:val="11C96AA0"/>
    <w:rsid w:val="122C47F1"/>
    <w:rsid w:val="128214A4"/>
    <w:rsid w:val="1481330A"/>
    <w:rsid w:val="148C49F8"/>
    <w:rsid w:val="14AC1773"/>
    <w:rsid w:val="16DA16B0"/>
    <w:rsid w:val="17291EC6"/>
    <w:rsid w:val="173845E8"/>
    <w:rsid w:val="180F4F54"/>
    <w:rsid w:val="187C6675"/>
    <w:rsid w:val="1A673495"/>
    <w:rsid w:val="1CB25098"/>
    <w:rsid w:val="1EF15360"/>
    <w:rsid w:val="210513CC"/>
    <w:rsid w:val="21A37410"/>
    <w:rsid w:val="22252DB5"/>
    <w:rsid w:val="228921C2"/>
    <w:rsid w:val="231A3B4B"/>
    <w:rsid w:val="251562C1"/>
    <w:rsid w:val="264F575F"/>
    <w:rsid w:val="26FF0979"/>
    <w:rsid w:val="271462A4"/>
    <w:rsid w:val="27191F32"/>
    <w:rsid w:val="27FE23F5"/>
    <w:rsid w:val="286D4EC7"/>
    <w:rsid w:val="28923FB1"/>
    <w:rsid w:val="28C159F4"/>
    <w:rsid w:val="2A7229AB"/>
    <w:rsid w:val="2AB53155"/>
    <w:rsid w:val="2AE17309"/>
    <w:rsid w:val="2AE85334"/>
    <w:rsid w:val="2B060945"/>
    <w:rsid w:val="2BF25AFB"/>
    <w:rsid w:val="2CB85036"/>
    <w:rsid w:val="2DA52A43"/>
    <w:rsid w:val="2E711246"/>
    <w:rsid w:val="30C7276B"/>
    <w:rsid w:val="31277F9B"/>
    <w:rsid w:val="313364AC"/>
    <w:rsid w:val="31A04AE1"/>
    <w:rsid w:val="31C85AAA"/>
    <w:rsid w:val="321541A9"/>
    <w:rsid w:val="3218014D"/>
    <w:rsid w:val="33830D6D"/>
    <w:rsid w:val="370C0045"/>
    <w:rsid w:val="379A3436"/>
    <w:rsid w:val="38EB2429"/>
    <w:rsid w:val="3D202F70"/>
    <w:rsid w:val="3D7C3DAE"/>
    <w:rsid w:val="3D9C7B04"/>
    <w:rsid w:val="3DFB4252"/>
    <w:rsid w:val="3E4016A4"/>
    <w:rsid w:val="3E404A89"/>
    <w:rsid w:val="3E877163"/>
    <w:rsid w:val="3E9200C3"/>
    <w:rsid w:val="3EEA3E8D"/>
    <w:rsid w:val="3FB72DF2"/>
    <w:rsid w:val="4023186D"/>
    <w:rsid w:val="40C1422B"/>
    <w:rsid w:val="410E7119"/>
    <w:rsid w:val="4154594F"/>
    <w:rsid w:val="418E2606"/>
    <w:rsid w:val="44C440A0"/>
    <w:rsid w:val="45DD651F"/>
    <w:rsid w:val="45E75766"/>
    <w:rsid w:val="45FE79F1"/>
    <w:rsid w:val="46810213"/>
    <w:rsid w:val="46BD04BA"/>
    <w:rsid w:val="47F858B2"/>
    <w:rsid w:val="48DB78D2"/>
    <w:rsid w:val="48E31F21"/>
    <w:rsid w:val="4B0E4894"/>
    <w:rsid w:val="4B7E4DF5"/>
    <w:rsid w:val="4B807BC0"/>
    <w:rsid w:val="4C486C62"/>
    <w:rsid w:val="4D711527"/>
    <w:rsid w:val="4DA96161"/>
    <w:rsid w:val="4E1A38BB"/>
    <w:rsid w:val="4E5B251F"/>
    <w:rsid w:val="4E5D72C8"/>
    <w:rsid w:val="51DE20FB"/>
    <w:rsid w:val="52BB6EBD"/>
    <w:rsid w:val="52BE5EA7"/>
    <w:rsid w:val="539E61B9"/>
    <w:rsid w:val="53E343E7"/>
    <w:rsid w:val="557E3042"/>
    <w:rsid w:val="574513CF"/>
    <w:rsid w:val="586D2312"/>
    <w:rsid w:val="58B32075"/>
    <w:rsid w:val="58CF77A1"/>
    <w:rsid w:val="59CA15C2"/>
    <w:rsid w:val="5A427773"/>
    <w:rsid w:val="5AFC7F59"/>
    <w:rsid w:val="5B190892"/>
    <w:rsid w:val="5B812DF0"/>
    <w:rsid w:val="5B94691C"/>
    <w:rsid w:val="5BAC7540"/>
    <w:rsid w:val="5C34027B"/>
    <w:rsid w:val="5C6904D8"/>
    <w:rsid w:val="5E6335F4"/>
    <w:rsid w:val="5E866B43"/>
    <w:rsid w:val="5EA96CC9"/>
    <w:rsid w:val="5EBD678A"/>
    <w:rsid w:val="5F03237E"/>
    <w:rsid w:val="5F0B4438"/>
    <w:rsid w:val="5F587554"/>
    <w:rsid w:val="60592249"/>
    <w:rsid w:val="60CC11E9"/>
    <w:rsid w:val="614361C8"/>
    <w:rsid w:val="616E1738"/>
    <w:rsid w:val="61AD012A"/>
    <w:rsid w:val="6249327B"/>
    <w:rsid w:val="624C6742"/>
    <w:rsid w:val="63247278"/>
    <w:rsid w:val="6392123B"/>
    <w:rsid w:val="67DE4A0B"/>
    <w:rsid w:val="68294EEF"/>
    <w:rsid w:val="68EF5DC6"/>
    <w:rsid w:val="692B32A5"/>
    <w:rsid w:val="69947318"/>
    <w:rsid w:val="6AE504D3"/>
    <w:rsid w:val="6B730C8B"/>
    <w:rsid w:val="6C136D56"/>
    <w:rsid w:val="6D4D46B3"/>
    <w:rsid w:val="6EDA2550"/>
    <w:rsid w:val="70235FE5"/>
    <w:rsid w:val="72725954"/>
    <w:rsid w:val="739964FE"/>
    <w:rsid w:val="73D6587C"/>
    <w:rsid w:val="748E7A87"/>
    <w:rsid w:val="74C64FC4"/>
    <w:rsid w:val="757B7905"/>
    <w:rsid w:val="7648401E"/>
    <w:rsid w:val="76A52200"/>
    <w:rsid w:val="76ED414F"/>
    <w:rsid w:val="771B3A69"/>
    <w:rsid w:val="774D7334"/>
    <w:rsid w:val="783B1AA7"/>
    <w:rsid w:val="79DC4527"/>
    <w:rsid w:val="7A8476C9"/>
    <w:rsid w:val="7AD55E19"/>
    <w:rsid w:val="7B28479E"/>
    <w:rsid w:val="7C642D6F"/>
    <w:rsid w:val="7D515027"/>
    <w:rsid w:val="7D735F21"/>
    <w:rsid w:val="7DD84C85"/>
    <w:rsid w:val="7E107165"/>
    <w:rsid w:val="7EB41C78"/>
    <w:rsid w:val="7FA71482"/>
    <w:rsid w:val="7FF162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800080"/>
      <w:u w:val="none"/>
    </w:rPr>
  </w:style>
  <w:style w:type="character" w:styleId="8">
    <w:name w:val="Emphasis"/>
    <w:basedOn w:val="6"/>
    <w:qFormat/>
    <w:uiPriority w:val="20"/>
  </w:style>
  <w:style w:type="character" w:styleId="9">
    <w:name w:val="Hyperlink"/>
    <w:basedOn w:val="6"/>
    <w:unhideWhenUsed/>
    <w:qFormat/>
    <w:uiPriority w:val="99"/>
    <w:rPr>
      <w:color w:val="0000FF" w:themeColor="hyperlink"/>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character" w:customStyle="1" w:styleId="12">
    <w:name w:val="current"/>
    <w:basedOn w:val="6"/>
    <w:qFormat/>
    <w:uiPriority w:val="0"/>
    <w:rPr>
      <w:b/>
      <w:color w:val="FFFFFF"/>
      <w:shd w:val="clear" w:color="auto" w:fill="2A5DB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799</Words>
  <Characters>4560</Characters>
  <Lines>38</Lines>
  <Paragraphs>10</Paragraphs>
  <TotalTime>9</TotalTime>
  <ScaleCrop>false</ScaleCrop>
  <LinksUpToDate>false</LinksUpToDate>
  <CharactersWithSpaces>5349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益阳市退役军人事务局</cp:lastModifiedBy>
  <cp:lastPrinted>2019-07-04T01:39:00Z</cp:lastPrinted>
  <dcterms:modified xsi:type="dcterms:W3CDTF">2021-06-02T00:38:16Z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A75A7CB99AD34C85B63C3A63F29D779A</vt:lpwstr>
  </property>
</Properties>
</file>