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58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p>
    <w:p>
      <w:pPr>
        <w:keepNext w:val="0"/>
        <w:keepLines w:val="0"/>
        <w:pageBreakBefore w:val="0"/>
        <w:widowControl w:val="0"/>
        <w:kinsoku/>
        <w:wordWrap/>
        <w:overflowPunct/>
        <w:topLinePunct w:val="0"/>
        <w:autoSpaceDE/>
        <w:autoSpaceDN/>
        <w:bidi w:val="0"/>
        <w:adjustRightInd/>
        <w:spacing w:beforeAutospacing="0" w:afterAutospacing="0" w:line="58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r>
        <w:rPr>
          <w:rFonts w:hint="eastAsia" w:ascii="方正小标宋简体" w:hAnsi="方正小标宋简体" w:eastAsia="方正小标宋简体" w:cs="方正小标宋简体"/>
          <w:color w:val="000000" w:themeColor="text1"/>
          <w:kern w:val="36"/>
          <w:sz w:val="44"/>
          <w:szCs w:val="32"/>
        </w:rPr>
        <w:t>202</w:t>
      </w:r>
      <w:r>
        <w:rPr>
          <w:rFonts w:hint="eastAsia" w:ascii="方正小标宋简体" w:hAnsi="方正小标宋简体" w:eastAsia="方正小标宋简体" w:cs="方正小标宋简体"/>
          <w:color w:val="000000" w:themeColor="text1"/>
          <w:kern w:val="36"/>
          <w:sz w:val="44"/>
          <w:szCs w:val="32"/>
          <w:lang w:val="en-US" w:eastAsia="zh-CN"/>
        </w:rPr>
        <w:t>1</w:t>
      </w:r>
      <w:r>
        <w:rPr>
          <w:rFonts w:hint="eastAsia" w:ascii="方正小标宋简体" w:hAnsi="方正小标宋简体" w:eastAsia="方正小标宋简体" w:cs="方正小标宋简体"/>
          <w:color w:val="000000" w:themeColor="text1"/>
          <w:kern w:val="36"/>
          <w:sz w:val="44"/>
          <w:szCs w:val="32"/>
        </w:rPr>
        <w:t>年度益阳市工</w:t>
      </w:r>
      <w:r>
        <w:rPr>
          <w:rFonts w:hint="eastAsia" w:ascii="方正小标宋简体" w:hAnsi="方正小标宋简体" w:eastAsia="方正小标宋简体" w:cs="方正小标宋简体"/>
          <w:color w:val="000000" w:themeColor="text1"/>
          <w:kern w:val="36"/>
          <w:sz w:val="44"/>
          <w:szCs w:val="32"/>
          <w:lang w:eastAsia="zh-CN"/>
        </w:rPr>
        <w:t>业和</w:t>
      </w:r>
      <w:r>
        <w:rPr>
          <w:rFonts w:hint="eastAsia" w:ascii="方正小标宋简体" w:hAnsi="方正小标宋简体" w:eastAsia="方正小标宋简体" w:cs="方正小标宋简体"/>
          <w:color w:val="000000" w:themeColor="text1"/>
          <w:kern w:val="36"/>
          <w:sz w:val="44"/>
          <w:szCs w:val="32"/>
        </w:rPr>
        <w:t>信</w:t>
      </w:r>
      <w:r>
        <w:rPr>
          <w:rFonts w:hint="eastAsia" w:ascii="方正小标宋简体" w:hAnsi="方正小标宋简体" w:eastAsia="方正小标宋简体" w:cs="方正小标宋简体"/>
          <w:color w:val="000000" w:themeColor="text1"/>
          <w:kern w:val="36"/>
          <w:sz w:val="44"/>
          <w:szCs w:val="32"/>
          <w:lang w:eastAsia="zh-CN"/>
        </w:rPr>
        <w:t>息化</w:t>
      </w:r>
      <w:r>
        <w:rPr>
          <w:rFonts w:hint="eastAsia" w:ascii="方正小标宋简体" w:hAnsi="方正小标宋简体" w:eastAsia="方正小标宋简体" w:cs="方正小标宋简体"/>
          <w:color w:val="000000" w:themeColor="text1"/>
          <w:kern w:val="36"/>
          <w:sz w:val="44"/>
          <w:szCs w:val="32"/>
        </w:rPr>
        <w:t>局</w:t>
      </w:r>
    </w:p>
    <w:p>
      <w:pPr>
        <w:keepNext w:val="0"/>
        <w:keepLines w:val="0"/>
        <w:pageBreakBefore w:val="0"/>
        <w:widowControl w:val="0"/>
        <w:kinsoku/>
        <w:wordWrap/>
        <w:overflowPunct/>
        <w:topLinePunct w:val="0"/>
        <w:autoSpaceDE/>
        <w:autoSpaceDN/>
        <w:bidi w:val="0"/>
        <w:adjustRightInd/>
        <w:spacing w:beforeAutospacing="0" w:afterAutospacing="0" w:line="580" w:lineRule="exact"/>
        <w:jc w:val="center"/>
        <w:textAlignment w:val="auto"/>
        <w:outlineLvl w:val="1"/>
        <w:rPr>
          <w:rFonts w:hint="default" w:ascii="Times New Roman" w:hAnsi="Times New Roman" w:eastAsia="方正仿宋简体" w:cs="Times New Roman"/>
          <w:color w:val="000000" w:themeColor="text1"/>
          <w:kern w:val="0"/>
          <w:sz w:val="32"/>
          <w:szCs w:val="32"/>
        </w:rPr>
      </w:pPr>
      <w:r>
        <w:rPr>
          <w:rFonts w:hint="default" w:ascii="Times New Roman" w:hAnsi="Times New Roman" w:eastAsia="方正小标宋简体" w:cs="Times New Roman"/>
          <w:color w:val="000000" w:themeColor="text1"/>
          <w:kern w:val="36"/>
          <w:sz w:val="44"/>
          <w:szCs w:val="32"/>
        </w:rPr>
        <w:t>整体支出绩效自评报告</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为深入贯彻落实《中共中央 国务院关于全面实施预算绩效管理的意见》（中发〔20</w:t>
      </w:r>
      <w:r>
        <w:rPr>
          <w:rFonts w:hint="eastAsia" w:ascii="Times New Roman" w:hAnsi="Times New Roman" w:eastAsia="方正仿宋简体" w:cs="Times New Roman"/>
          <w:color w:val="000000"/>
          <w:sz w:val="32"/>
          <w:szCs w:val="32"/>
          <w:lang w:val="en-US" w:eastAsia="zh-CN"/>
        </w:rPr>
        <w:t>18</w:t>
      </w:r>
      <w:r>
        <w:rPr>
          <w:rFonts w:hint="default" w:ascii="Times New Roman" w:hAnsi="Times New Roman" w:eastAsia="方正仿宋简体" w:cs="Times New Roman"/>
          <w:color w:val="000000"/>
          <w:sz w:val="32"/>
          <w:szCs w:val="32"/>
        </w:rPr>
        <w:t>〕34号）精神，</w:t>
      </w:r>
      <w:r>
        <w:rPr>
          <w:rFonts w:hint="default" w:ascii="Times New Roman" w:hAnsi="Times New Roman" w:eastAsia="方正仿宋简体" w:cs="Times New Roman"/>
          <w:color w:val="000000"/>
          <w:sz w:val="32"/>
          <w:szCs w:val="32"/>
          <w:lang w:eastAsia="zh-CN"/>
        </w:rPr>
        <w:t>进一步规范财政资金管理，强化绩效和责任意识，切实提高财政资金使用效益，</w:t>
      </w:r>
      <w:r>
        <w:rPr>
          <w:rFonts w:hint="default" w:ascii="Times New Roman" w:hAnsi="Times New Roman" w:eastAsia="方正仿宋简体" w:cs="Times New Roman"/>
          <w:color w:val="000000"/>
          <w:sz w:val="32"/>
          <w:szCs w:val="32"/>
        </w:rPr>
        <w:t>根据《益阳市财政局关于开展202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年度部门绩效自评工作的通知》要求，我</w:t>
      </w:r>
      <w:r>
        <w:rPr>
          <w:rFonts w:hint="default" w:ascii="Times New Roman" w:hAnsi="Times New Roman" w:eastAsia="方正仿宋简体" w:cs="Times New Roman"/>
          <w:color w:val="000000"/>
          <w:sz w:val="32"/>
          <w:szCs w:val="32"/>
          <w:lang w:eastAsia="zh-CN"/>
        </w:rPr>
        <w:t>单位</w:t>
      </w:r>
      <w:r>
        <w:rPr>
          <w:rFonts w:hint="default" w:ascii="Times New Roman" w:hAnsi="Times New Roman" w:eastAsia="方正仿宋简体" w:cs="Times New Roman"/>
          <w:color w:val="000000"/>
          <w:sz w:val="32"/>
          <w:szCs w:val="32"/>
        </w:rPr>
        <w:t>积极组织，对202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eastAsia="zh-CN"/>
        </w:rPr>
        <w:t>部门</w:t>
      </w:r>
      <w:r>
        <w:rPr>
          <w:rFonts w:hint="default" w:ascii="Times New Roman" w:hAnsi="Times New Roman" w:eastAsia="方正仿宋简体" w:cs="Times New Roman"/>
          <w:color w:val="000000"/>
          <w:sz w:val="32"/>
          <w:szCs w:val="32"/>
        </w:rPr>
        <w:t>整体支出</w:t>
      </w:r>
      <w:r>
        <w:rPr>
          <w:rFonts w:hint="default" w:ascii="Times New Roman" w:hAnsi="Times New Roman" w:eastAsia="方正仿宋简体" w:cs="Times New Roman"/>
          <w:color w:val="000000"/>
          <w:sz w:val="32"/>
          <w:szCs w:val="32"/>
          <w:lang w:eastAsia="zh-CN"/>
        </w:rPr>
        <w:t>情况</w:t>
      </w:r>
      <w:r>
        <w:rPr>
          <w:rFonts w:hint="default" w:ascii="Times New Roman" w:hAnsi="Times New Roman" w:eastAsia="方正仿宋简体" w:cs="Times New Roman"/>
          <w:color w:val="000000"/>
          <w:sz w:val="32"/>
          <w:szCs w:val="32"/>
        </w:rPr>
        <w:t>进行了绩效自评，</w:t>
      </w:r>
      <w:r>
        <w:rPr>
          <w:rFonts w:hint="default" w:ascii="Times New Roman" w:hAnsi="Times New Roman" w:eastAsia="方正仿宋简体" w:cs="Times New Roman"/>
          <w:color w:val="000000"/>
          <w:sz w:val="32"/>
          <w:szCs w:val="32"/>
          <w:lang w:eastAsia="zh-CN"/>
        </w:rPr>
        <w:t>现将有关情况报告如下：</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一、基本情况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eastAsia" w:ascii="方正楷体简体" w:hAnsi="方正楷体简体" w:eastAsia="方正楷体简体" w:cs="方正楷体简体"/>
          <w:color w:val="000000"/>
          <w:sz w:val="32"/>
          <w:szCs w:val="32"/>
        </w:rPr>
      </w:pPr>
      <w:r>
        <w:rPr>
          <w:rFonts w:hint="eastAsia" w:ascii="方正楷体简体" w:hAnsi="方正楷体简体" w:eastAsia="方正楷体简体" w:cs="方正楷体简体"/>
          <w:color w:val="000000"/>
          <w:sz w:val="32"/>
          <w:szCs w:val="32"/>
          <w:lang w:eastAsia="zh-CN"/>
        </w:rPr>
        <w:t>（一）部门职能</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益阳市工业和信息化局</w:t>
      </w:r>
      <w:r>
        <w:rPr>
          <w:rFonts w:hint="default" w:ascii="Times New Roman" w:hAnsi="Times New Roman" w:eastAsia="方正仿宋简体" w:cs="Times New Roman"/>
          <w:color w:val="000000"/>
          <w:sz w:val="32"/>
          <w:szCs w:val="32"/>
        </w:rPr>
        <w:t>（以下简称</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我</w:t>
      </w:r>
      <w:r>
        <w:rPr>
          <w:rFonts w:hint="default" w:ascii="Times New Roman" w:hAnsi="Times New Roman" w:eastAsia="方正仿宋简体" w:cs="Times New Roman"/>
          <w:color w:val="000000"/>
          <w:sz w:val="32"/>
          <w:szCs w:val="32"/>
          <w:lang w:eastAsia="zh-CN"/>
        </w:rPr>
        <w:t>局</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）主要工作职责包括</w:t>
      </w:r>
      <w:r>
        <w:rPr>
          <w:rFonts w:hint="default" w:ascii="Times New Roman" w:hAnsi="Times New Roman" w:eastAsia="方正仿宋简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拟订全市工业和信息化发展战略、中长期发展规划、专项规划和政策措施并组织实施，协调解决有关重大问题；综合管理全市工业经济，指导、协调和服务工业企业；推进信息化和工业化融合；推进全市国民经济和社会信息化。</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贯彻落实国家和省产业政策，制定优化产业结构的配套措施并监督执行，研究规划全市产业投资布局，指导全市工业产业优化升级；负责工业和信息化领域的国防动员工作；指导工业企业安全生产和应急管理工作；联系指导工业和信息化领域行业协会和中介组织。</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拟订并组织实施工业经济运行目标、政策和措施，负责全市工业经济的日常运行，监测分析全市工业经济运行态势，进行预测预警和信息引导，协调解决工业经济运行中的突出矛盾和问题并提出政策建议。</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负责工业和信息化领域法律法规和规章执行情况的监督检查，协调减轻企业负担工作；指导工业企业（市国资委负责的除外）法律顾问工作；会同有关部门负责工业企业维稳工作。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5</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指导全市工业企业技术创新、技术进步和技术改造工作，推进企业技术创新体系建设，推进以先进适用技术改造提升传统产业；提出工业和信息化领域固定资产投资规模和方向的建议，组织实施有关科技重大专项，指导新兴产业发展，推进产学研结合和科技成果产业化；指导行业质量管理工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6</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7</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保护；组织协调相关重大示范工程和新产品、新技术、新设备、新材料的推广应用。</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8</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组织拟订信息化发展战略、专项规划及相关政策，协调解决重大问题；促进通信、广播电视和计算机网络融合，推动跨行业、跨部门的互联互通和重要信息资源的开发利用、共享；推进全市信息化建设。</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9</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统一配置和管理无线电频谱资源，依法监督管理无线电台（站），协调处理军地间无线电管理相关事宜，负责管理无线电监测、检测、干扰查处，协调处理电磁干扰事宜，维护空中电波秩序，依法组织实施无线电管制。</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10</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协调公用通信网、互联网、广播电视网和其他专用通信网的规划和建设，促进网络资源共享；依法监管信息服务市场。</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11</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负责组织拟订软件业和信息服务业发展战略、专项规划及政策，推动软件公共服务体系建设和软件业、信息服务业发展，协调解决重大问题，指导协调相关技术开发和产业发展。</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12</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负责装备工业和轻工、纺织、医药、食品、家电、冶金（含黄金）、石化（不含炼油）、化工（不含炼制燃料和燃料乙醇）、建材等工业和信息化行业管理，拟订有关工业行业产业发展政策和规划。</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13</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负责全市工业和信息化领域人才开发与培训工作；开展人力和智力对外合作交流。</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14</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完成市委、市政府、</w:t>
      </w:r>
      <w:r>
        <w:rPr>
          <w:rFonts w:hint="default" w:ascii="Times New Roman" w:hAnsi="Times New Roman" w:eastAsia="方正仿宋简体" w:cs="Times New Roman"/>
          <w:bCs/>
          <w:color w:val="000000"/>
          <w:sz w:val="32"/>
          <w:szCs w:val="32"/>
        </w:rPr>
        <w:t>市委军民融合发展委员会</w:t>
      </w:r>
      <w:r>
        <w:rPr>
          <w:rFonts w:hint="default" w:ascii="Times New Roman" w:hAnsi="Times New Roman" w:eastAsia="方正仿宋简体" w:cs="Times New Roman"/>
          <w:color w:val="000000"/>
          <w:sz w:val="32"/>
          <w:szCs w:val="32"/>
        </w:rPr>
        <w:t>交办的其他任务。</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（二）部门机构设置</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我</w:t>
      </w:r>
      <w:r>
        <w:rPr>
          <w:rFonts w:hint="default" w:ascii="Times New Roman" w:hAnsi="Times New Roman" w:eastAsia="方正仿宋简体" w:cs="Times New Roman"/>
          <w:color w:val="000000"/>
          <w:sz w:val="32"/>
          <w:szCs w:val="32"/>
        </w:rPr>
        <w:t>局内设</w:t>
      </w:r>
      <w:r>
        <w:rPr>
          <w:rFonts w:hint="default" w:ascii="Times New Roman" w:hAnsi="Times New Roman" w:eastAsia="方正仿宋简体" w:cs="Times New Roman"/>
          <w:color w:val="000000"/>
          <w:sz w:val="32"/>
          <w:szCs w:val="32"/>
          <w:lang w:eastAsia="zh-CN"/>
        </w:rPr>
        <w:t>机构</w:t>
      </w:r>
      <w:r>
        <w:rPr>
          <w:rFonts w:hint="default" w:ascii="Times New Roman" w:hAnsi="Times New Roman" w:eastAsia="方正仿宋简体" w:cs="Times New Roman"/>
          <w:color w:val="000000"/>
          <w:sz w:val="32"/>
          <w:szCs w:val="32"/>
        </w:rPr>
        <w:t>16个，</w:t>
      </w:r>
      <w:r>
        <w:rPr>
          <w:rFonts w:hint="default" w:ascii="Times New Roman" w:hAnsi="Times New Roman" w:eastAsia="方正仿宋简体" w:cs="Times New Roman"/>
          <w:color w:val="000000"/>
          <w:sz w:val="32"/>
          <w:szCs w:val="32"/>
          <w:lang w:eastAsia="zh-CN"/>
        </w:rPr>
        <w:t>主要包括办公室、综合法规科（行政审批改革科）、运行监测协调科、投资规划与科技科（产业合作交流科）、节能与综合利用科、军民融合产业科（市委军民融合发展办秘书科）、原材料与消费品工业科（医药食品工业科）、装备工业科、电子通信产业科、工业互联网与数字产业科、园区工业科（产业集聚推进科）、中小企业科、电力运行科、无线电管理科、人事科、机关党委。</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局所属事业单位5个，其中独立核算的正科级公益一类事业单位3个：市无线电监测站</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市墙体材料革新和散装水泥办公室</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市工信局离退休干部管理服务中心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非独立核算的副处级公益一类事业单位1个：市推进新型工业化事务中心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非独立核算的正科级公益一类事业单位1个：市节能监察和电力执法支队。</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（三）部门人员编制</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系统共有人员编制</w:t>
      </w:r>
      <w:r>
        <w:rPr>
          <w:rFonts w:hint="default" w:ascii="Times New Roman" w:hAnsi="Times New Roman" w:eastAsia="方正仿宋简体" w:cs="Times New Roman"/>
          <w:color w:val="000000"/>
          <w:sz w:val="32"/>
          <w:szCs w:val="32"/>
          <w:lang w:val="en-US" w:eastAsia="zh-CN"/>
        </w:rPr>
        <w:t>93名</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年末实有在职人数</w:t>
      </w:r>
      <w:r>
        <w:rPr>
          <w:rFonts w:hint="default" w:ascii="Times New Roman" w:hAnsi="Times New Roman" w:eastAsia="方正仿宋简体" w:cs="Times New Roman"/>
          <w:color w:val="000000"/>
          <w:sz w:val="32"/>
          <w:szCs w:val="32"/>
          <w:lang w:val="en-US" w:eastAsia="zh-CN"/>
        </w:rPr>
        <w:t>103</w:t>
      </w:r>
      <w:r>
        <w:rPr>
          <w:rFonts w:hint="default" w:ascii="Times New Roman" w:hAnsi="Times New Roman" w:eastAsia="方正仿宋简体" w:cs="Times New Roman"/>
          <w:color w:val="000000"/>
          <w:sz w:val="32"/>
          <w:szCs w:val="32"/>
        </w:rPr>
        <w:t>人。</w:t>
      </w:r>
    </w:p>
    <w:p>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机关</w:t>
      </w:r>
      <w:r>
        <w:rPr>
          <w:rFonts w:hint="default" w:ascii="Times New Roman" w:hAnsi="Times New Roman" w:eastAsia="方正仿宋简体" w:cs="Times New Roman"/>
          <w:color w:val="000000"/>
          <w:sz w:val="32"/>
          <w:szCs w:val="32"/>
          <w:lang w:eastAsia="zh-CN"/>
        </w:rPr>
        <w:t>共有人员</w:t>
      </w:r>
      <w:r>
        <w:rPr>
          <w:rFonts w:hint="default" w:ascii="Times New Roman" w:hAnsi="Times New Roman" w:eastAsia="方正仿宋简体" w:cs="Times New Roman"/>
          <w:color w:val="000000"/>
          <w:sz w:val="32"/>
          <w:szCs w:val="32"/>
        </w:rPr>
        <w:t>编制</w:t>
      </w:r>
      <w:r>
        <w:rPr>
          <w:rFonts w:hint="default" w:ascii="Times New Roman" w:hAnsi="Times New Roman" w:eastAsia="方正仿宋简体" w:cs="Times New Roman"/>
          <w:color w:val="000000"/>
          <w:sz w:val="32"/>
          <w:szCs w:val="32"/>
          <w:lang w:val="en-US" w:eastAsia="zh-CN"/>
        </w:rPr>
        <w:t>35名</w:t>
      </w:r>
      <w:r>
        <w:rPr>
          <w:rFonts w:hint="default" w:ascii="Times New Roman" w:hAnsi="Times New Roman" w:eastAsia="方正仿宋简体" w:cs="Times New Roman"/>
          <w:color w:val="000000"/>
          <w:sz w:val="32"/>
          <w:szCs w:val="32"/>
        </w:rPr>
        <w:t>，年末实有在职人员</w:t>
      </w:r>
      <w:r>
        <w:rPr>
          <w:rFonts w:hint="default" w:ascii="Times New Roman" w:hAnsi="Times New Roman" w:eastAsia="方正仿宋简体" w:cs="Times New Roman"/>
          <w:color w:val="000000"/>
          <w:sz w:val="32"/>
          <w:szCs w:val="32"/>
          <w:lang w:val="en-US" w:eastAsia="zh-CN"/>
        </w:rPr>
        <w:t>40</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（含派驻纪检组</w:t>
      </w:r>
      <w:r>
        <w:rPr>
          <w:rFonts w:hint="default" w:ascii="Times New Roman" w:hAnsi="Times New Roman" w:eastAsia="方正仿宋简体" w:cs="Times New Roman"/>
          <w:color w:val="000000"/>
          <w:sz w:val="32"/>
          <w:szCs w:val="32"/>
          <w:lang w:val="en-US" w:eastAsia="zh-CN"/>
        </w:rPr>
        <w:t>5人</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580" w:lineRule="exact"/>
        <w:ind w:left="0" w:lef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属二级单位共有人员编制</w:t>
      </w:r>
      <w:r>
        <w:rPr>
          <w:rFonts w:hint="default" w:ascii="Times New Roman" w:hAnsi="Times New Roman" w:eastAsia="方正仿宋简体" w:cs="Times New Roman"/>
          <w:color w:val="000000"/>
          <w:sz w:val="32"/>
          <w:szCs w:val="32"/>
          <w:lang w:val="en-US" w:eastAsia="zh-CN"/>
        </w:rPr>
        <w:t>58人</w:t>
      </w:r>
      <w:r>
        <w:rPr>
          <w:rFonts w:hint="default" w:ascii="Times New Roman" w:hAnsi="Times New Roman" w:eastAsia="方正仿宋简体" w:cs="Times New Roman"/>
          <w:color w:val="000000"/>
          <w:sz w:val="32"/>
          <w:szCs w:val="32"/>
        </w:rPr>
        <w:t>，年末实有在职人员</w:t>
      </w:r>
      <w:r>
        <w:rPr>
          <w:rFonts w:hint="default" w:ascii="Times New Roman" w:hAnsi="Times New Roman" w:eastAsia="方正仿宋简体" w:cs="Times New Roman"/>
          <w:color w:val="000000"/>
          <w:sz w:val="32"/>
          <w:szCs w:val="32"/>
          <w:lang w:val="en-US" w:eastAsia="zh-CN"/>
        </w:rPr>
        <w:t>63</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其中：</w:t>
      </w:r>
      <w:r>
        <w:rPr>
          <w:rFonts w:hint="default" w:ascii="Times New Roman" w:hAnsi="Times New Roman" w:eastAsia="方正仿宋简体" w:cs="Times New Roman"/>
          <w:color w:val="000000"/>
          <w:sz w:val="32"/>
          <w:szCs w:val="32"/>
        </w:rPr>
        <w:t>市无线电监测站全额拨款事业编制17名，年末实有在职人数</w:t>
      </w:r>
      <w:r>
        <w:rPr>
          <w:rFonts w:hint="default" w:ascii="Times New Roman" w:hAnsi="Times New Roman" w:eastAsia="方正仿宋简体" w:cs="Times New Roman"/>
          <w:color w:val="000000"/>
          <w:sz w:val="32"/>
          <w:szCs w:val="32"/>
          <w:lang w:val="en-US" w:eastAsia="zh-CN"/>
        </w:rPr>
        <w:t>16</w:t>
      </w:r>
      <w:r>
        <w:rPr>
          <w:rFonts w:hint="default" w:ascii="Times New Roman" w:hAnsi="Times New Roman" w:eastAsia="方正仿宋简体" w:cs="Times New Roman"/>
          <w:color w:val="000000"/>
          <w:sz w:val="32"/>
          <w:szCs w:val="32"/>
        </w:rPr>
        <w:t>人；市墙体材料革新和散装水泥办公室全额拨款事业编制12名，年末实有在职人数10人；</w:t>
      </w:r>
      <w:r>
        <w:rPr>
          <w:rFonts w:hint="default" w:ascii="Times New Roman" w:hAnsi="Times New Roman" w:eastAsia="方正仿宋简体" w:cs="Times New Roman"/>
          <w:color w:val="auto"/>
          <w:sz w:val="32"/>
          <w:szCs w:val="32"/>
        </w:rPr>
        <w:t>市工信局离退休干部管理服务中心全额拨款事业编制10名，年末实有在职人数</w:t>
      </w:r>
      <w:r>
        <w:rPr>
          <w:rFonts w:hint="default" w:ascii="Times New Roman" w:hAnsi="Times New Roman" w:eastAsia="方正仿宋简体" w:cs="Times New Roman"/>
          <w:color w:val="auto"/>
          <w:sz w:val="32"/>
          <w:szCs w:val="32"/>
          <w:lang w:val="en-US" w:eastAsia="zh-CN"/>
        </w:rPr>
        <w:t>21</w:t>
      </w:r>
      <w:r>
        <w:rPr>
          <w:rFonts w:hint="default" w:ascii="Times New Roman" w:hAnsi="Times New Roman" w:eastAsia="方正仿宋简体" w:cs="Times New Roman"/>
          <w:color w:val="auto"/>
          <w:sz w:val="32"/>
          <w:szCs w:val="32"/>
        </w:rPr>
        <w:t>人</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编外人员11人系2004年益编办发</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2004</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49号和</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2009</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34号文件将</w:t>
      </w:r>
      <w:r>
        <w:rPr>
          <w:rFonts w:hint="default" w:ascii="Times New Roman" w:hAnsi="Times New Roman" w:eastAsia="方正仿宋简体" w:cs="Times New Roman"/>
          <w:color w:val="auto"/>
          <w:sz w:val="32"/>
          <w:szCs w:val="32"/>
          <w:lang w:eastAsia="zh-CN"/>
        </w:rPr>
        <w:t>原</w:t>
      </w:r>
      <w:r>
        <w:rPr>
          <w:rFonts w:hint="default" w:ascii="Times New Roman" w:hAnsi="Times New Roman" w:eastAsia="方正仿宋简体" w:cs="Times New Roman"/>
          <w:color w:val="auto"/>
          <w:sz w:val="32"/>
          <w:szCs w:val="32"/>
        </w:rPr>
        <w:t>墙改办、散装办、建材产品质监站富余人员比照原撤并行业办人员安置办法划归中心管理</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市推进新型工业化事务中心全额拨款事业编制11名，年末实有在职人数</w:t>
      </w:r>
      <w:r>
        <w:rPr>
          <w:rFonts w:hint="default"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市节能监察和电力执法支队全额拨款事业编制8名，年末实有在职人数</w:t>
      </w: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人。</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二、一般公共预算支出情况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我局2021年一般</w:t>
      </w:r>
      <w:r>
        <w:rPr>
          <w:rFonts w:hint="default" w:ascii="Times New Roman" w:hAnsi="Times New Roman" w:eastAsia="方正仿宋简体" w:cs="Times New Roman"/>
          <w:color w:val="000000"/>
          <w:sz w:val="32"/>
          <w:szCs w:val="32"/>
        </w:rPr>
        <w:t>公共预算财政拨款收入2495.74万元，其他收入15万元，年初结转和结余803.93万元，全年一般公共预算收入总计3314.67万元。2021年一般公共预算支出3304.06万元，其中基本支出2299.5万元，项目支出1004.56万元，</w:t>
      </w:r>
      <w:r>
        <w:rPr>
          <w:rFonts w:hint="default" w:ascii="Times New Roman" w:hAnsi="Times New Roman" w:eastAsia="方正仿宋简体" w:cs="Times New Roman"/>
          <w:color w:val="auto"/>
          <w:sz w:val="32"/>
          <w:szCs w:val="32"/>
        </w:rPr>
        <w:t>年末结转和结余10.61万元</w:t>
      </w:r>
      <w:r>
        <w:rPr>
          <w:rFonts w:hint="default" w:ascii="Times New Roman" w:hAnsi="Times New Roman" w:eastAsia="方正仿宋简体" w:cs="Times New Roman"/>
          <w:color w:val="auto"/>
          <w:sz w:val="32"/>
          <w:szCs w:val="32"/>
          <w:lang w:eastAsia="zh-CN"/>
        </w:rPr>
        <w:t>（市墙体材料革新和散装水泥办公室</w:t>
      </w:r>
      <w:r>
        <w:rPr>
          <w:rFonts w:hint="default" w:ascii="Times New Roman" w:hAnsi="Times New Roman" w:eastAsia="方正仿宋简体" w:cs="Times New Roman"/>
          <w:color w:val="auto"/>
          <w:sz w:val="32"/>
          <w:szCs w:val="32"/>
          <w:lang w:val="en-US" w:eastAsia="zh-CN"/>
        </w:rPr>
        <w:t>8.36万元，市无线电监测站2.25万元）</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（一）基本支出情况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2021年基本支出共计2299.5万元，基本支出系保障</w:t>
      </w:r>
      <w:r>
        <w:rPr>
          <w:rFonts w:hint="default" w:ascii="Times New Roman" w:hAnsi="Times New Roman" w:eastAsia="方正仿宋简体" w:cs="Times New Roman"/>
          <w:color w:val="000000"/>
          <w:sz w:val="32"/>
          <w:szCs w:val="32"/>
          <w:lang w:eastAsia="zh-CN"/>
        </w:rPr>
        <w:t>市</w:t>
      </w:r>
      <w:r>
        <w:rPr>
          <w:rFonts w:hint="default" w:ascii="Times New Roman" w:hAnsi="Times New Roman" w:eastAsia="方正仿宋简体" w:cs="Times New Roman"/>
          <w:color w:val="000000"/>
          <w:sz w:val="32"/>
          <w:szCs w:val="32"/>
        </w:rPr>
        <w:t>工信</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及</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属单位机构正常运转、完成日常工作任务而发生的各项支出，包括在职和离退休人员基本工资、津贴补贴等人员经费以及办公费、印刷费、水电费、办公设备购置等日常公用经费</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具体情况为：</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工资福利支出1469.17万元：基本工资424.89万元，津贴补贴182.03万元，奖金226.82万元，绩效工资132.03万元，保险缴费333.59万元，住房公积金145.45万元，其他工资福利24.36万元。</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公用经费支出302.58万元：办公费10.06万元，印刷费8.43万元，水费1.44万元，电费3.2万元，邮电费1.03万元，物业管理费7.55万元，差旅费14万元，维修费3.16万元，租赁费0.24万元，会议费4.45万元，培训费0.89万元，公务接待费2.7万元，劳务费4.65万元，委托业务费1.63万元，工会经费50.86万元，福利费51.06万元，公务用车运行维护费17.59万元，其他交通费67.43万元，其他商品和服务支出50.84万元。</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对个人和家庭补助支出527.76万元：离休费52.83万元，退休费353.05万元，抚恤金78.4万元，生活补助9.51</w:t>
      </w:r>
      <w:r>
        <w:rPr>
          <w:rFonts w:hint="default" w:ascii="Times New Roman" w:hAnsi="Times New Roman" w:eastAsia="方正仿宋简体" w:cs="Times New Roman"/>
          <w:color w:val="000000"/>
          <w:spacing w:val="-6"/>
          <w:sz w:val="32"/>
          <w:szCs w:val="32"/>
        </w:rPr>
        <w:t>万元，医疗费补助1.80万元，其他个人与家庭补助32.17万</w:t>
      </w:r>
      <w:r>
        <w:rPr>
          <w:rFonts w:hint="default" w:ascii="Times New Roman" w:hAnsi="Times New Roman" w:eastAsia="方正仿宋简体" w:cs="Times New Roman"/>
          <w:color w:val="000000"/>
          <w:sz w:val="32"/>
          <w:szCs w:val="32"/>
        </w:rPr>
        <w:t>元。</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Times New Roman" w:hAnsi="Times New Roman" w:eastAsia="方正仿宋简体" w:cs="Times New Roman"/>
          <w:color w:val="000000"/>
          <w:sz w:val="32"/>
          <w:szCs w:val="32"/>
          <w:lang w:val="en-US" w:eastAsia="zh-CN"/>
        </w:rPr>
        <w:t>4</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资本性支出1.37万元：办公设备购置1.37万元。</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（二）项目支出情况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FF0000"/>
          <w:sz w:val="32"/>
          <w:szCs w:val="32"/>
          <w:lang w:val="en-US" w:eastAsia="zh-CN"/>
        </w:rPr>
      </w:pPr>
      <w:r>
        <w:rPr>
          <w:rFonts w:hint="default" w:ascii="Times New Roman" w:hAnsi="Times New Roman" w:eastAsia="方正仿宋简体" w:cs="Times New Roman"/>
          <w:color w:val="000000"/>
          <w:sz w:val="32"/>
          <w:szCs w:val="32"/>
          <w:lang w:val="en-US" w:eastAsia="zh-CN"/>
        </w:rPr>
        <w:t>2021年</w:t>
      </w:r>
      <w:r>
        <w:rPr>
          <w:rFonts w:hint="default" w:ascii="Times New Roman" w:hAnsi="Times New Roman" w:eastAsia="方正仿宋简体" w:cs="Times New Roman"/>
          <w:color w:val="000000"/>
          <w:sz w:val="32"/>
          <w:szCs w:val="32"/>
        </w:rPr>
        <w:t>项目支出</w:t>
      </w:r>
      <w:r>
        <w:rPr>
          <w:rFonts w:hint="default" w:ascii="Times New Roman" w:hAnsi="Times New Roman" w:eastAsia="方正仿宋简体" w:cs="Times New Roman"/>
          <w:color w:val="000000"/>
          <w:sz w:val="32"/>
          <w:szCs w:val="32"/>
          <w:lang w:eastAsia="zh-CN"/>
        </w:rPr>
        <w:t>共计</w:t>
      </w:r>
      <w:r>
        <w:rPr>
          <w:rFonts w:hint="default" w:ascii="Times New Roman" w:hAnsi="Times New Roman" w:eastAsia="方正仿宋简体" w:cs="Times New Roman"/>
          <w:color w:val="000000"/>
          <w:sz w:val="32"/>
          <w:szCs w:val="32"/>
          <w:lang w:val="en-US" w:eastAsia="zh-CN"/>
        </w:rPr>
        <w:t>1004.56万元，其中运行维护经费支出</w:t>
      </w:r>
      <w:r>
        <w:rPr>
          <w:rFonts w:hint="default" w:ascii="Times New Roman" w:hAnsi="Times New Roman" w:eastAsia="方正仿宋简体" w:cs="Times New Roman"/>
          <w:color w:val="auto"/>
          <w:sz w:val="32"/>
          <w:szCs w:val="32"/>
          <w:lang w:val="en-US" w:eastAsia="zh-CN"/>
        </w:rPr>
        <w:t>267.71</w:t>
      </w:r>
      <w:r>
        <w:rPr>
          <w:rFonts w:hint="default" w:ascii="Times New Roman" w:hAnsi="Times New Roman" w:eastAsia="方正仿宋简体" w:cs="Times New Roman"/>
          <w:color w:val="000000"/>
          <w:sz w:val="32"/>
          <w:szCs w:val="32"/>
          <w:lang w:val="en-US" w:eastAsia="zh-CN"/>
        </w:rPr>
        <w:t>万元，主要用于人员类和公用运转类的支出；专项资金支出736.85万元，</w:t>
      </w:r>
      <w:r>
        <w:rPr>
          <w:rFonts w:hint="default" w:ascii="Times New Roman" w:hAnsi="Times New Roman" w:eastAsia="方正仿宋简体" w:cs="Times New Roman"/>
          <w:color w:val="000000"/>
          <w:sz w:val="32"/>
          <w:szCs w:val="32"/>
          <w:lang w:eastAsia="zh-CN"/>
        </w:rPr>
        <w:t>主要</w:t>
      </w:r>
      <w:r>
        <w:rPr>
          <w:rFonts w:hint="default" w:ascii="Times New Roman" w:hAnsi="Times New Roman" w:eastAsia="方正仿宋简体" w:cs="Times New Roman"/>
          <w:color w:val="000000"/>
          <w:sz w:val="32"/>
          <w:szCs w:val="32"/>
        </w:rPr>
        <w:t>包括</w:t>
      </w:r>
      <w:r>
        <w:rPr>
          <w:rFonts w:hint="default" w:ascii="Times New Roman" w:hAnsi="Times New Roman" w:eastAsia="方正仿宋简体" w:cs="Times New Roman"/>
          <w:color w:val="auto"/>
          <w:sz w:val="32"/>
          <w:szCs w:val="32"/>
        </w:rPr>
        <w:t>应急物资保障体系建设补助资金</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无线电管理经费（中央财政补助资金）、</w:t>
      </w:r>
      <w:r>
        <w:rPr>
          <w:rFonts w:hint="default" w:ascii="Times New Roman" w:hAnsi="Times New Roman" w:eastAsia="方正仿宋简体" w:cs="Times New Roman"/>
          <w:color w:val="000000"/>
          <w:sz w:val="32"/>
          <w:szCs w:val="32"/>
          <w:lang w:val="en-US" w:eastAsia="zh-CN"/>
        </w:rPr>
        <w:t>《益阳市数字经济发展规划》编制经费、</w:t>
      </w:r>
      <w:r>
        <w:rPr>
          <w:rFonts w:hint="default" w:ascii="Times New Roman" w:hAnsi="Times New Roman" w:eastAsia="方正仿宋简体" w:cs="Times New Roman"/>
          <w:color w:val="auto"/>
          <w:sz w:val="32"/>
          <w:szCs w:val="32"/>
          <w:lang w:val="en-US" w:eastAsia="zh-CN"/>
        </w:rPr>
        <w:t>新兴优势产业链工作专项经费</w:t>
      </w:r>
      <w:r>
        <w:rPr>
          <w:rFonts w:hint="default" w:ascii="Times New Roman" w:hAnsi="Times New Roman" w:eastAsia="方正仿宋简体" w:cs="Times New Roman"/>
          <w:color w:val="000000"/>
          <w:sz w:val="32"/>
          <w:szCs w:val="32"/>
        </w:rPr>
        <w:t>支出</w:t>
      </w:r>
      <w:r>
        <w:rPr>
          <w:rFonts w:hint="default" w:ascii="Times New Roman" w:hAnsi="Times New Roman" w:eastAsia="方正仿宋简体" w:cs="Times New Roman"/>
          <w:color w:val="000000"/>
          <w:sz w:val="32"/>
          <w:szCs w:val="32"/>
          <w:lang w:eastAsia="zh-CN"/>
        </w:rPr>
        <w:t>，具体情况为：</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FF0000"/>
          <w:sz w:val="32"/>
          <w:szCs w:val="32"/>
          <w:lang w:eastAsia="zh-CN"/>
        </w:rPr>
      </w:pPr>
      <w:r>
        <w:rPr>
          <w:rFonts w:hint="default" w:ascii="Times New Roman" w:hAnsi="Times New Roman" w:eastAsia="方正仿宋简体" w:cs="Times New Roman"/>
          <w:color w:val="auto"/>
          <w:sz w:val="32"/>
          <w:szCs w:val="32"/>
        </w:rPr>
        <w:t>1</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运行维护经费支出</w:t>
      </w:r>
      <w:r>
        <w:rPr>
          <w:rFonts w:hint="default" w:ascii="Times New Roman" w:hAnsi="Times New Roman" w:eastAsia="方正仿宋简体" w:cs="Times New Roman"/>
          <w:color w:val="000000"/>
          <w:sz w:val="32"/>
          <w:szCs w:val="32"/>
          <w:lang w:val="en-US" w:eastAsia="zh-CN"/>
        </w:rPr>
        <w:t>267.71</w:t>
      </w:r>
      <w:r>
        <w:rPr>
          <w:rFonts w:hint="default" w:ascii="Times New Roman" w:hAnsi="Times New Roman" w:eastAsia="方正仿宋简体" w:cs="Times New Roman"/>
          <w:color w:val="000000"/>
          <w:sz w:val="32"/>
          <w:szCs w:val="32"/>
        </w:rPr>
        <w:t>万元。主要用于推进新型工业化事务中心、重工办、</w:t>
      </w:r>
      <w:r>
        <w:rPr>
          <w:rFonts w:hint="default" w:ascii="Times New Roman" w:hAnsi="Times New Roman" w:eastAsia="方正仿宋简体" w:cs="Times New Roman"/>
          <w:color w:val="000000"/>
          <w:sz w:val="32"/>
          <w:szCs w:val="32"/>
          <w:lang w:eastAsia="zh-CN"/>
        </w:rPr>
        <w:t>纪委派驻机构、</w:t>
      </w:r>
      <w:r>
        <w:rPr>
          <w:rFonts w:hint="default" w:ascii="Times New Roman" w:hAnsi="Times New Roman" w:eastAsia="方正仿宋简体" w:cs="Times New Roman"/>
          <w:color w:val="000000"/>
          <w:sz w:val="32"/>
          <w:szCs w:val="32"/>
        </w:rPr>
        <w:t>无线电监管、</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十四五</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规划编制、工业经济运行监测、</w:t>
      </w:r>
      <w:r>
        <w:rPr>
          <w:rFonts w:hint="default" w:ascii="Times New Roman" w:hAnsi="Times New Roman" w:eastAsia="方正仿宋简体" w:cs="Times New Roman"/>
          <w:color w:val="000000"/>
          <w:sz w:val="32"/>
          <w:szCs w:val="32"/>
          <w:lang w:eastAsia="zh-CN"/>
        </w:rPr>
        <w:t>招商引资、</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三型两网</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建设和5G建设、全市新型工业化等工作经费支出，</w:t>
      </w:r>
      <w:r>
        <w:rPr>
          <w:rFonts w:hint="default" w:ascii="Times New Roman" w:hAnsi="Times New Roman" w:eastAsia="方正仿宋简体" w:cs="Times New Roman"/>
          <w:color w:val="000000"/>
          <w:sz w:val="32"/>
          <w:szCs w:val="32"/>
          <w:lang w:eastAsia="zh-CN"/>
        </w:rPr>
        <w:t>省</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eastAsia="zh-CN"/>
        </w:rPr>
        <w:t>两上三化</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eastAsia="zh-CN"/>
        </w:rPr>
        <w:t>会议</w:t>
      </w:r>
      <w:r>
        <w:rPr>
          <w:rFonts w:hint="default" w:ascii="Times New Roman" w:hAnsi="Times New Roman" w:eastAsia="方正仿宋简体" w:cs="Times New Roman"/>
          <w:color w:val="000000"/>
          <w:sz w:val="32"/>
          <w:szCs w:val="32"/>
        </w:rPr>
        <w:t>经费支出，制造强省专项</w:t>
      </w:r>
      <w:r>
        <w:rPr>
          <w:rFonts w:hint="default" w:ascii="Times New Roman" w:hAnsi="Times New Roman" w:eastAsia="方正仿宋简体" w:cs="Times New Roman"/>
          <w:color w:val="000000"/>
          <w:sz w:val="32"/>
          <w:szCs w:val="32"/>
          <w:lang w:eastAsia="zh-CN"/>
        </w:rPr>
        <w:t>经费</w:t>
      </w:r>
      <w:r>
        <w:rPr>
          <w:rFonts w:hint="default" w:ascii="Times New Roman" w:hAnsi="Times New Roman" w:eastAsia="方正仿宋简体" w:cs="Times New Roman"/>
          <w:color w:val="000000"/>
          <w:sz w:val="32"/>
          <w:szCs w:val="32"/>
        </w:rPr>
        <w:t>支出</w:t>
      </w:r>
      <w:r>
        <w:rPr>
          <w:rFonts w:hint="default" w:ascii="Times New Roman" w:hAnsi="Times New Roman" w:eastAsia="方正仿宋简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应急物资保障体系建设补助资金支出</w:t>
      </w:r>
      <w:r>
        <w:rPr>
          <w:rFonts w:hint="default" w:ascii="Times New Roman" w:hAnsi="Times New Roman" w:eastAsia="方正仿宋简体" w:cs="Times New Roman"/>
          <w:color w:val="auto"/>
          <w:sz w:val="32"/>
          <w:szCs w:val="32"/>
          <w:lang w:val="en-US" w:eastAsia="zh-CN"/>
        </w:rPr>
        <w:t>512.47</w:t>
      </w:r>
      <w:r>
        <w:rPr>
          <w:rFonts w:hint="default" w:ascii="Times New Roman" w:hAnsi="Times New Roman" w:eastAsia="方正仿宋简体" w:cs="Times New Roman"/>
          <w:color w:val="auto"/>
          <w:sz w:val="32"/>
          <w:szCs w:val="32"/>
        </w:rPr>
        <w:t>万元。主要</w:t>
      </w:r>
      <w:r>
        <w:rPr>
          <w:rFonts w:hint="default" w:ascii="Times New Roman" w:hAnsi="Times New Roman" w:eastAsia="方正仿宋简体" w:cs="Times New Roman"/>
          <w:color w:val="auto"/>
          <w:sz w:val="32"/>
          <w:szCs w:val="32"/>
          <w:lang w:eastAsia="zh-CN"/>
        </w:rPr>
        <w:t>用于公共卫生应急储备物资的采购、轮换和管理费用的支出</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无线电管理经费（中央财政补助资金）支出129.89万元。主要用于无线电管理设施建设、运行维护及专项监管任务等支出。</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《益阳市数字经济发展规划》编制经费支出68万元。主要用于益阳市数字经济发展规划编制费用的支出</w:t>
      </w:r>
      <w:r>
        <w:rPr>
          <w:rFonts w:hint="default" w:ascii="Times New Roman" w:hAnsi="Times New Roman" w:eastAsia="方正仿宋简体" w:cs="Times New Roman"/>
          <w:color w:val="000000"/>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5</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新兴优势产业链工作专项经费支出26.49万元。</w:t>
      </w:r>
      <w:r>
        <w:rPr>
          <w:rFonts w:hint="default" w:ascii="Times New Roman" w:hAnsi="Times New Roman" w:eastAsia="方正仿宋简体" w:cs="Times New Roman"/>
          <w:color w:val="auto"/>
          <w:sz w:val="32"/>
          <w:szCs w:val="32"/>
        </w:rPr>
        <w:t>主要用于</w:t>
      </w:r>
      <w:r>
        <w:rPr>
          <w:rFonts w:hint="default" w:ascii="Times New Roman" w:hAnsi="Times New Roman" w:eastAsia="方正仿宋简体" w:cs="Times New Roman"/>
          <w:color w:val="auto"/>
          <w:sz w:val="32"/>
          <w:szCs w:val="32"/>
          <w:lang w:eastAsia="zh-CN"/>
        </w:rPr>
        <w:t>全市工业新兴优势产业链建设的工作经费支出</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三、政府性基金预算支出情况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无</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四、国有资本经营预算支出情况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无</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五、社会保险基金预算支出情况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无</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六、资产管理情况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val="en-US" w:eastAsia="zh-CN"/>
        </w:rPr>
        <w:t>（一）资产负债情况</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exact"/>
        <w:ind w:firstLine="643" w:firstLineChars="200"/>
        <w:textAlignment w:val="auto"/>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1</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lang w:val="en-US" w:eastAsia="zh-CN"/>
        </w:rPr>
        <w:t>资产情况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2021年末市工信局本级及所属单位资产合计5102.01万元，年初资产合计3337.40万元，总计增加1764.61万元，增幅53%。主要原因是市工信局本级资产增加公共卫生应急储备物资。</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负债情况</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2021年末市工信局本级及所属单位负债合计16.07万元，年初负债合计16.36万元，减少0.29万元，下降1.8%。主要原因是市工信局本级增加其他应付款-乡村振兴工作经费和2021年干职工体检费等；市工信局离退休干部管理服务中心负债减少6.39万元，系原散装办、墙改办拨付富余人员工资，发放后冲减应付款项。</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净资产情况</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2021年末市工信局本级及所属单位净资产合计5085.94万元，年初3321.04万元，增加1764.90万元，增幅53%。</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val="en-US" w:eastAsia="zh-CN"/>
        </w:rPr>
        <w:t>（二）固定资产情况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2021年12月31日市工信局本级及所属单位固定资产（净值）1540.02万元，较上年1910.96万元下降19.4%。减</w:t>
      </w:r>
      <w:r>
        <w:rPr>
          <w:rFonts w:hint="default" w:ascii="Times New Roman" w:hAnsi="Times New Roman" w:eastAsia="方正仿宋简体" w:cs="Times New Roman"/>
          <w:color w:val="auto"/>
          <w:spacing w:val="-6"/>
          <w:sz w:val="32"/>
          <w:szCs w:val="32"/>
          <w:lang w:val="en-US" w:eastAsia="zh-CN"/>
        </w:rPr>
        <w:t>少原因系固定资产累计折旧增加，导致2021年末固定资产下</w:t>
      </w:r>
      <w:r>
        <w:rPr>
          <w:rFonts w:hint="default" w:ascii="Times New Roman" w:hAnsi="Times New Roman" w:eastAsia="方正仿宋简体" w:cs="Times New Roman"/>
          <w:color w:val="auto"/>
          <w:sz w:val="32"/>
          <w:szCs w:val="32"/>
          <w:lang w:val="en-US" w:eastAsia="zh-CN"/>
        </w:rPr>
        <w:t>降。</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val="en-US" w:eastAsia="zh-CN"/>
        </w:rPr>
        <w:t>（三）资产管理体制机制</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建立健全资产管理制度，进一步完善了国有资产管理体制。资产采购时严格执行政府采购相关文件要求，做好事前审批，根据合同、供应商发货单等对所购资产的品种、规格、数量、质量、技术要求及其他内容进行验收，确保资产管理运行方式高效合理。</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按照市财政局要求，市工信局本级及二级单位利用湖南省行政事业单位资产管理信息系统进行资产管理，正确、全面、及时地记录资产的增加、减少、使用等情况；利用内控系统完善资产配置、报销流程，真实、及时地反映和监督资产的增减变动和实际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黑体" w:hAnsi="黑体" w:eastAsia="黑体" w:cs="黑体"/>
          <w:color w:val="000000"/>
          <w:sz w:val="32"/>
          <w:szCs w:val="32"/>
        </w:rPr>
      </w:pPr>
      <w:r>
        <w:rPr>
          <w:rFonts w:hint="default" w:ascii="黑体" w:hAnsi="黑体" w:eastAsia="黑体" w:cs="黑体"/>
          <w:color w:val="000000"/>
          <w:sz w:val="32"/>
          <w:szCs w:val="32"/>
          <w:lang w:eastAsia="zh-CN"/>
        </w:rPr>
        <w:t>七</w:t>
      </w:r>
      <w:r>
        <w:rPr>
          <w:rFonts w:hint="default" w:ascii="黑体" w:hAnsi="黑体" w:eastAsia="黑体" w:cs="黑体"/>
          <w:color w:val="000000"/>
          <w:sz w:val="32"/>
          <w:szCs w:val="32"/>
        </w:rPr>
        <w:t>、部门整体支出绩效情况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部门整体支出绩效自评，从围绕部门职责、行业发展规划着手，以预算资金管理为主线，将运行成本、管理效率、履职效能、社会效应、可持续发展能力和服务对象满意度等指标，按202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年度部门整体支出绩效自评表要求，进一步细化、量化，综合反映部门整体及核心业务工作的实施效果。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FF0000"/>
          <w:sz w:val="32"/>
          <w:szCs w:val="32"/>
        </w:rPr>
      </w:pPr>
      <w:r>
        <w:rPr>
          <w:rFonts w:hint="default" w:ascii="Times New Roman" w:hAnsi="Times New Roman" w:eastAsia="方正仿宋简体" w:cs="Times New Roman"/>
          <w:color w:val="000000"/>
          <w:sz w:val="32"/>
          <w:szCs w:val="32"/>
          <w:lang w:eastAsia="zh-CN"/>
        </w:rPr>
        <w:t>按照</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eastAsia="zh-CN"/>
        </w:rPr>
        <w:t>益阳市财政局</w:t>
      </w:r>
      <w:r>
        <w:rPr>
          <w:rFonts w:hint="default" w:ascii="Times New Roman" w:hAnsi="Times New Roman" w:eastAsia="方正仿宋简体" w:cs="Times New Roman"/>
          <w:color w:val="000000"/>
          <w:sz w:val="32"/>
          <w:szCs w:val="32"/>
        </w:rPr>
        <w:t>关于开展202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年度部门绩效自评工作的通知》相关规定，</w:t>
      </w:r>
      <w:r>
        <w:rPr>
          <w:rFonts w:hint="default" w:ascii="Times New Roman" w:hAnsi="Times New Roman" w:eastAsia="方正仿宋简体" w:cs="Times New Roman"/>
          <w:color w:val="000000"/>
          <w:sz w:val="32"/>
          <w:szCs w:val="32"/>
          <w:lang w:eastAsia="zh-CN"/>
        </w:rPr>
        <w:t>根据</w:t>
      </w:r>
      <w:r>
        <w:rPr>
          <w:rFonts w:hint="default" w:ascii="Times New Roman" w:hAnsi="Times New Roman" w:eastAsia="方正仿宋简体" w:cs="Times New Roman"/>
          <w:color w:val="000000"/>
          <w:sz w:val="32"/>
          <w:szCs w:val="32"/>
        </w:rPr>
        <w:t>基础数据分析计算，</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年度部门整体支出自评综合得分为</w:t>
      </w:r>
      <w:r>
        <w:rPr>
          <w:rFonts w:hint="default" w:ascii="Times New Roman" w:hAnsi="Times New Roman" w:eastAsia="方正仿宋简体" w:cs="Times New Roman"/>
          <w:color w:val="000000"/>
          <w:sz w:val="32"/>
          <w:szCs w:val="32"/>
          <w:lang w:val="en-US" w:eastAsia="zh-CN"/>
        </w:rPr>
        <w:t>99</w:t>
      </w:r>
      <w:r>
        <w:rPr>
          <w:rFonts w:hint="default" w:ascii="Times New Roman" w:hAnsi="Times New Roman" w:eastAsia="方正仿宋简体" w:cs="Times New Roman"/>
          <w:color w:val="000000"/>
          <w:sz w:val="32"/>
          <w:szCs w:val="32"/>
        </w:rPr>
        <w:t>分，其中预算执行率得分为</w:t>
      </w:r>
      <w:r>
        <w:rPr>
          <w:rFonts w:hint="default" w:ascii="Times New Roman" w:hAnsi="Times New Roman" w:eastAsia="方正仿宋简体" w:cs="Times New Roman"/>
          <w:color w:val="000000"/>
          <w:sz w:val="32"/>
          <w:szCs w:val="32"/>
          <w:lang w:val="en-US" w:eastAsia="zh-CN"/>
        </w:rPr>
        <w:t>10</w:t>
      </w:r>
      <w:r>
        <w:rPr>
          <w:rFonts w:hint="default" w:ascii="Times New Roman" w:hAnsi="Times New Roman" w:eastAsia="方正仿宋简体" w:cs="Times New Roman"/>
          <w:color w:val="000000"/>
          <w:sz w:val="32"/>
          <w:szCs w:val="32"/>
        </w:rPr>
        <w:t>分、产出指标类得分为</w:t>
      </w:r>
      <w:r>
        <w:rPr>
          <w:rFonts w:hint="default" w:ascii="Times New Roman" w:hAnsi="Times New Roman" w:eastAsia="方正仿宋简体" w:cs="Times New Roman"/>
          <w:color w:val="000000"/>
          <w:sz w:val="32"/>
          <w:szCs w:val="32"/>
          <w:lang w:val="en-US" w:eastAsia="zh-CN"/>
        </w:rPr>
        <w:t>49</w:t>
      </w:r>
      <w:r>
        <w:rPr>
          <w:rFonts w:hint="default" w:ascii="Times New Roman" w:hAnsi="Times New Roman" w:eastAsia="方正仿宋简体" w:cs="Times New Roman"/>
          <w:color w:val="000000"/>
          <w:sz w:val="32"/>
          <w:szCs w:val="32"/>
        </w:rPr>
        <w:t>分、效益指标类得分为</w:t>
      </w:r>
      <w:r>
        <w:rPr>
          <w:rFonts w:hint="default" w:ascii="Times New Roman" w:hAnsi="Times New Roman" w:eastAsia="方正仿宋简体" w:cs="Times New Roman"/>
          <w:color w:val="000000"/>
          <w:sz w:val="32"/>
          <w:szCs w:val="32"/>
          <w:lang w:val="en-US" w:eastAsia="zh-CN"/>
        </w:rPr>
        <w:t>40</w:t>
      </w:r>
      <w:r>
        <w:rPr>
          <w:rFonts w:hint="default" w:ascii="Times New Roman" w:hAnsi="Times New Roman" w:eastAsia="方正仿宋简体" w:cs="Times New Roman"/>
          <w:color w:val="000000"/>
          <w:sz w:val="32"/>
          <w:szCs w:val="32"/>
        </w:rPr>
        <w:t>分。主要绩效指标及绩效情况如下：</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（一）经济性评价</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2021</w:t>
      </w:r>
      <w:r>
        <w:rPr>
          <w:rFonts w:hint="default" w:ascii="Times New Roman" w:hAnsi="Times New Roman" w:eastAsia="方正仿宋简体" w:cs="Times New Roman"/>
          <w:color w:val="000000"/>
          <w:sz w:val="32"/>
          <w:szCs w:val="32"/>
        </w:rPr>
        <w:t>年预算配置控制较好，编制内在职人员控制率小于100%</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控制在预算编制以内；三公经费</w:t>
      </w:r>
      <w:r>
        <w:rPr>
          <w:rFonts w:hint="default" w:ascii="Times New Roman" w:hAnsi="Times New Roman" w:eastAsia="方正仿宋简体" w:cs="Times New Roman"/>
          <w:color w:val="000000"/>
          <w:sz w:val="32"/>
          <w:szCs w:val="32"/>
          <w:lang w:eastAsia="zh-CN"/>
        </w:rPr>
        <w:t>控制率达</w:t>
      </w:r>
      <w:r>
        <w:rPr>
          <w:rFonts w:hint="default" w:ascii="Times New Roman" w:hAnsi="Times New Roman" w:eastAsia="方正仿宋简体" w:cs="Times New Roman"/>
          <w:color w:val="000000"/>
          <w:sz w:val="32"/>
          <w:szCs w:val="32"/>
          <w:lang w:val="en-US" w:eastAsia="zh-CN"/>
        </w:rPr>
        <w:t>52%。</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预算执行</w:t>
      </w:r>
      <w:r>
        <w:rPr>
          <w:rFonts w:hint="default" w:ascii="Times New Roman" w:hAnsi="Times New Roman" w:eastAsia="方正仿宋简体" w:cs="Times New Roman"/>
          <w:color w:val="000000"/>
          <w:sz w:val="32"/>
          <w:szCs w:val="32"/>
          <w:lang w:eastAsia="zh-CN"/>
        </w:rPr>
        <w:t>情况</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val="en-US" w:eastAsia="zh-CN"/>
        </w:rPr>
        <w:t>2021年全年预算数3314.67万元，全年执行数3304.06万元，预算执行率99.7%，</w:t>
      </w:r>
      <w:r>
        <w:rPr>
          <w:rFonts w:hint="default" w:ascii="Times New Roman" w:hAnsi="Times New Roman" w:eastAsia="方正仿宋简体" w:cs="Times New Roman"/>
          <w:color w:val="000000"/>
          <w:sz w:val="32"/>
          <w:szCs w:val="32"/>
        </w:rPr>
        <w:t>支出总额控制在预算总额以内。</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（二）行政效能评价</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为强化部门整体支出，加强国有资产管理，提高资金使用效益，提升财务管理，建立节约型机关，202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我局以优化内部结构，健全规章制度，强化内部管理，规范办事程序，提高服务质量为重点，在强化业务管理、财务管理和厉行节约方面开展了大量工作，机关工作作风进一步改变，行政效能进一步提高。具体工作情况简要如下：</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3"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rPr>
        <w:t>1</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rPr>
        <w:t>实行重点管控，确保</w:t>
      </w:r>
      <w:r>
        <w:rPr>
          <w:rFonts w:hint="eastAsia" w:ascii="Times New Roman" w:hAnsi="Times New Roman" w:eastAsia="方正仿宋简体" w:cs="Times New Roman"/>
          <w:b/>
          <w:bCs/>
          <w:color w:val="000000"/>
          <w:sz w:val="32"/>
          <w:szCs w:val="32"/>
          <w:lang w:eastAsia="zh-CN"/>
        </w:rPr>
        <w:t>“</w:t>
      </w:r>
      <w:r>
        <w:rPr>
          <w:rFonts w:hint="default" w:ascii="Times New Roman" w:hAnsi="Times New Roman" w:eastAsia="方正仿宋简体" w:cs="Times New Roman"/>
          <w:b/>
          <w:bCs/>
          <w:color w:val="000000"/>
          <w:sz w:val="32"/>
          <w:szCs w:val="32"/>
        </w:rPr>
        <w:t>三公</w:t>
      </w:r>
      <w:r>
        <w:rPr>
          <w:rFonts w:hint="eastAsia" w:ascii="Times New Roman" w:hAnsi="Times New Roman" w:eastAsia="方正仿宋简体" w:cs="Times New Roman"/>
          <w:b/>
          <w:bCs/>
          <w:color w:val="000000"/>
          <w:sz w:val="32"/>
          <w:szCs w:val="32"/>
          <w:lang w:eastAsia="zh-CN"/>
        </w:rPr>
        <w:t>”</w:t>
      </w:r>
      <w:r>
        <w:rPr>
          <w:rFonts w:hint="default" w:ascii="Times New Roman" w:hAnsi="Times New Roman" w:eastAsia="方正仿宋简体" w:cs="Times New Roman"/>
          <w:b/>
          <w:bCs/>
          <w:color w:val="000000"/>
          <w:sz w:val="32"/>
          <w:szCs w:val="32"/>
        </w:rPr>
        <w:t>等经费只减不增。</w:t>
      </w:r>
      <w:r>
        <w:rPr>
          <w:rFonts w:hint="default" w:ascii="Times New Roman" w:hAnsi="Times New Roman" w:eastAsia="方正仿宋简体" w:cs="Times New Roman"/>
          <w:color w:val="000000"/>
          <w:sz w:val="32"/>
          <w:szCs w:val="32"/>
        </w:rPr>
        <w:t>一是与公务无关的接待不予报销，严格按标准接待。二是从严从紧控制因公出国（境）人数和批次。三是在公务用车运行费用</w:t>
      </w:r>
      <w:r>
        <w:rPr>
          <w:rFonts w:hint="default" w:ascii="Times New Roman" w:hAnsi="Times New Roman" w:eastAsia="方正仿宋简体" w:cs="Times New Roman"/>
          <w:color w:val="000000"/>
          <w:sz w:val="32"/>
          <w:szCs w:val="32"/>
          <w:lang w:eastAsia="zh-CN"/>
        </w:rPr>
        <w:t>上</w:t>
      </w:r>
      <w:r>
        <w:rPr>
          <w:rFonts w:hint="default" w:ascii="Times New Roman" w:hAnsi="Times New Roman" w:eastAsia="方正仿宋简体" w:cs="Times New Roman"/>
          <w:color w:val="000000"/>
          <w:sz w:val="32"/>
          <w:szCs w:val="32"/>
        </w:rPr>
        <w:t>实行定点维修、定点加油，进一步细化内部管理。</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3"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rPr>
        <w:t>2</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rPr>
        <w:t>严格审核审批，严控经费支出。</w:t>
      </w:r>
      <w:r>
        <w:rPr>
          <w:rFonts w:hint="default" w:ascii="Times New Roman" w:hAnsi="Times New Roman" w:eastAsia="方正仿宋简体" w:cs="Times New Roman"/>
          <w:color w:val="000000"/>
          <w:sz w:val="32"/>
          <w:szCs w:val="32"/>
        </w:rPr>
        <w:t>一是严格审核原始单据，要求发票合法合规，相关资料真实完整，不符合要求的不予报账。二是严格审核经费来源，根据部门预算安排和资金使用进度，核实每笔报账申请的经费来源，无预算的支出不予报账。三是严格审核各项制度执行情况，没有按规定及程序审批的不予报账；超出预算限额的不予报账。</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3"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rPr>
        <w:t>3</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rPr>
        <w:t>建立了经费支出定期汇报和公示机制，经费支出的公开透明性得到提高。</w:t>
      </w:r>
      <w:r>
        <w:rPr>
          <w:rFonts w:hint="default" w:ascii="Times New Roman" w:hAnsi="Times New Roman" w:eastAsia="方正仿宋简体" w:cs="Times New Roman"/>
          <w:color w:val="000000"/>
          <w:sz w:val="32"/>
          <w:szCs w:val="32"/>
        </w:rPr>
        <w:t>按照市财政局要求对部门预算、决算、绩效、三公经费等相关信息进行公示，根据经费支出情况，我局办公室定期进行经费支出财务统计和分析，定期向领导进行汇报，对经费支出的管理状况提出财务建议。</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（三）社会效益评价</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方正仿宋简体" w:cs="Times New Roman"/>
          <w:i w:val="0"/>
          <w:iCs w:val="0"/>
          <w:caps w:val="0"/>
          <w:color w:val="auto"/>
          <w:spacing w:val="0"/>
          <w:sz w:val="32"/>
          <w:szCs w:val="32"/>
          <w:shd w:val="clear" w:color="auto" w:fill="FFFFFF"/>
        </w:rPr>
      </w:pP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2021年，在市委、市政府的坚强领导下，全市工信和园区系统全面落实</w:t>
      </w:r>
      <w:r>
        <w:rPr>
          <w:rFonts w:hint="eastAsia" w:ascii="Times New Roman" w:hAnsi="Times New Roman" w:eastAsia="方正仿宋简体" w:cs="Times New Roman"/>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三高四新</w:t>
      </w:r>
      <w:r>
        <w:rPr>
          <w:rFonts w:hint="eastAsia" w:ascii="Times New Roman" w:hAnsi="Times New Roman" w:eastAsia="方正仿宋简体" w:cs="Times New Roman"/>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战略定位和使命任务，稳增长、促转型、提质效</w:t>
      </w:r>
      <w:r>
        <w:rPr>
          <w:rFonts w:hint="default" w:ascii="Times New Roman" w:hAnsi="Times New Roman" w:eastAsia="方正仿宋简体" w:cs="Times New Roman"/>
          <w:i w:val="0"/>
          <w:iCs w:val="0"/>
          <w:caps w:val="0"/>
          <w:color w:val="auto"/>
          <w:spacing w:val="0"/>
          <w:sz w:val="32"/>
          <w:szCs w:val="32"/>
          <w:shd w:val="clear" w:color="auto" w:fill="FFFFFF"/>
        </w:rPr>
        <w:t>，</w:t>
      </w: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加速推进先进制造业高质量发展</w:t>
      </w:r>
      <w:r>
        <w:rPr>
          <w:rFonts w:hint="default" w:ascii="Times New Roman" w:hAnsi="Times New Roman" w:eastAsia="方正仿宋简体" w:cs="Times New Roman"/>
          <w:i w:val="0"/>
          <w:iCs w:val="0"/>
          <w:caps w:val="0"/>
          <w:color w:val="auto"/>
          <w:spacing w:val="0"/>
          <w:sz w:val="32"/>
          <w:szCs w:val="32"/>
          <w:shd w:val="clear" w:color="auto" w:fill="FFFFFF"/>
        </w:rPr>
        <w:t>，</w:t>
      </w: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全力创建</w:t>
      </w:r>
      <w:r>
        <w:rPr>
          <w:rFonts w:hint="eastAsia" w:ascii="Times New Roman" w:hAnsi="Times New Roman" w:eastAsia="方正仿宋简体" w:cs="Times New Roman"/>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五好</w:t>
      </w:r>
      <w:r>
        <w:rPr>
          <w:rFonts w:hint="eastAsia" w:ascii="Times New Roman" w:hAnsi="Times New Roman" w:eastAsia="方正仿宋简体" w:cs="Times New Roman"/>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园区，</w:t>
      </w:r>
      <w:r>
        <w:rPr>
          <w:rFonts w:hint="default" w:ascii="Times New Roman" w:hAnsi="Times New Roman" w:eastAsia="方正仿宋简体" w:cs="Times New Roman"/>
          <w:i w:val="0"/>
          <w:iCs w:val="0"/>
          <w:caps w:val="0"/>
          <w:color w:val="auto"/>
          <w:spacing w:val="0"/>
          <w:sz w:val="32"/>
          <w:szCs w:val="32"/>
          <w:shd w:val="clear" w:color="auto" w:fill="FFFFFF"/>
        </w:rPr>
        <w:t>实现了</w:t>
      </w:r>
      <w:r>
        <w:rPr>
          <w:rFonts w:hint="eastAsia" w:ascii="Times New Roman" w:hAnsi="Times New Roman" w:eastAsia="方正仿宋简体" w:cs="Times New Roman"/>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i w:val="0"/>
          <w:iCs w:val="0"/>
          <w:caps w:val="0"/>
          <w:color w:val="auto"/>
          <w:spacing w:val="0"/>
          <w:sz w:val="32"/>
          <w:szCs w:val="32"/>
          <w:shd w:val="clear" w:color="auto" w:fill="FFFFFF"/>
        </w:rPr>
        <w:t>十四五</w:t>
      </w:r>
      <w:r>
        <w:rPr>
          <w:rFonts w:hint="eastAsia" w:ascii="Times New Roman" w:hAnsi="Times New Roman" w:eastAsia="方正仿宋简体" w:cs="Times New Roman"/>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i w:val="0"/>
          <w:iCs w:val="0"/>
          <w:caps w:val="0"/>
          <w:color w:val="auto"/>
          <w:spacing w:val="0"/>
          <w:sz w:val="32"/>
          <w:szCs w:val="32"/>
          <w:shd w:val="clear" w:color="auto" w:fill="FFFFFF"/>
        </w:rPr>
        <w:t>良好开局。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主要指标任务稳中向好。</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方正仿宋简体" w:cs="Times New Roman"/>
          <w:i w:val="0"/>
          <w:iCs w:val="0"/>
          <w:caps w:val="0"/>
          <w:color w:val="auto"/>
          <w:spacing w:val="0"/>
          <w:sz w:val="32"/>
          <w:szCs w:val="32"/>
          <w:shd w:val="clear" w:color="auto" w:fill="FFFFFF"/>
          <w:lang w:val="en-US" w:eastAsia="zh-CN"/>
        </w:rPr>
      </w:pP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2021年，全市规模工业增加值增长9.7%，排名全省第6位（较2020年前进3位）；工业投资增长9.0%，排名全省第10位；工业技改投资下降2.3%，排名全省第11位；工业税收39.6亿元，增长11.6%，排名全省第6位；工业用电增长18.9%，排名全省第2位；制造业增加值占GDP比重35.4%，排名全省第</w:t>
      </w:r>
      <w:r>
        <w:rPr>
          <w:rFonts w:hint="default" w:ascii="Times New Roman" w:hAnsi="Times New Roman" w:eastAsia="方正仿宋简体" w:cs="Times New Roman"/>
          <w:i w:val="0"/>
          <w:iCs w:val="0"/>
          <w:caps w:val="0"/>
          <w:color w:val="auto"/>
          <w:spacing w:val="0"/>
          <w:sz w:val="32"/>
          <w:szCs w:val="32"/>
          <w:u w:val="none"/>
          <w:shd w:val="clear" w:color="auto" w:fill="FFFFFF"/>
          <w:lang w:val="en-US" w:eastAsia="zh-CN"/>
        </w:rPr>
        <w:t>2位；</w:t>
      </w:r>
      <w:r>
        <w:rPr>
          <w:rFonts w:hint="default" w:ascii="Times New Roman" w:hAnsi="Times New Roman" w:eastAsia="方正仿宋简体" w:cs="Times New Roman"/>
          <w:b w:val="0"/>
          <w:bCs w:val="0"/>
          <w:color w:val="auto"/>
          <w:sz w:val="32"/>
          <w:szCs w:val="32"/>
          <w:u w:val="none"/>
          <w:lang w:val="en-US" w:eastAsia="zh-CN"/>
        </w:rPr>
        <w:t>工业战略性新兴产业总产值占规模工业总产值的比重17.3</w:t>
      </w:r>
      <w:r>
        <w:rPr>
          <w:rFonts w:hint="default" w:ascii="Times New Roman" w:hAnsi="Times New Roman" w:eastAsia="方正仿宋简体" w:cs="Times New Roman"/>
          <w:b w:val="0"/>
          <w:bCs w:val="0"/>
          <w:i w:val="0"/>
          <w:iCs w:val="0"/>
          <w:caps w:val="0"/>
          <w:color w:val="auto"/>
          <w:spacing w:val="0"/>
          <w:sz w:val="32"/>
          <w:szCs w:val="32"/>
          <w:u w:val="none"/>
          <w:shd w:val="clear" w:color="auto" w:fill="FFFFFF"/>
          <w:lang w:val="en-US" w:eastAsia="zh-CN"/>
        </w:rPr>
        <w:t>%（2020年数据）</w:t>
      </w:r>
      <w:r>
        <w:rPr>
          <w:rFonts w:hint="default" w:ascii="Times New Roman" w:hAnsi="Times New Roman" w:eastAsia="方正仿宋简体" w:cs="Times New Roman"/>
          <w:b w:val="0"/>
          <w:bCs w:val="0"/>
          <w:color w:val="auto"/>
          <w:sz w:val="32"/>
          <w:szCs w:val="32"/>
          <w:u w:val="none"/>
          <w:lang w:val="en-US" w:eastAsia="zh-CN"/>
        </w:rPr>
        <w:t>、规模以上工业企业新产品销售收入占比9.9</w:t>
      </w:r>
      <w:r>
        <w:rPr>
          <w:rFonts w:hint="default" w:ascii="Times New Roman" w:hAnsi="Times New Roman" w:eastAsia="方正仿宋简体" w:cs="Times New Roman"/>
          <w:b w:val="0"/>
          <w:bCs w:val="0"/>
          <w:i w:val="0"/>
          <w:iCs w:val="0"/>
          <w:caps w:val="0"/>
          <w:color w:val="auto"/>
          <w:spacing w:val="0"/>
          <w:sz w:val="32"/>
          <w:szCs w:val="32"/>
          <w:u w:val="none"/>
          <w:shd w:val="clear" w:color="auto" w:fill="FFFFFF"/>
          <w:lang w:val="en-US" w:eastAsia="zh-CN"/>
        </w:rPr>
        <w:t>%（2020年数据）</w:t>
      </w:r>
      <w:r>
        <w:rPr>
          <w:rFonts w:hint="default" w:ascii="Times New Roman" w:hAnsi="Times New Roman" w:eastAsia="方正仿宋简体" w:cs="Times New Roman"/>
          <w:b w:val="0"/>
          <w:bCs w:val="0"/>
          <w:color w:val="auto"/>
          <w:sz w:val="32"/>
          <w:szCs w:val="32"/>
          <w:u w:val="none"/>
          <w:lang w:val="en-US" w:eastAsia="zh-CN"/>
        </w:rPr>
        <w:t>；</w:t>
      </w:r>
      <w:r>
        <w:rPr>
          <w:rFonts w:hint="default" w:ascii="Times New Roman" w:hAnsi="Times New Roman" w:eastAsia="方正仿宋简体" w:cs="Times New Roman"/>
          <w:i w:val="0"/>
          <w:iCs w:val="0"/>
          <w:caps w:val="0"/>
          <w:color w:val="auto"/>
          <w:spacing w:val="0"/>
          <w:sz w:val="32"/>
          <w:szCs w:val="32"/>
          <w:u w:val="none"/>
          <w:shd w:val="clear" w:color="auto" w:fill="FFFFFF"/>
          <w:lang w:val="en-US" w:eastAsia="zh-CN"/>
        </w:rPr>
        <w:t>新增规模工业企业172家（净增67家，总数达1336家）。全市产业链建设列入省政府真抓实干综合大督查典型</w:t>
      </w: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经验，先进制造业发展在省政府真抓实干督查激励中排名二类地区第2位。湖南制造强省建设领导小组办公室《打造国家重要先进制造业高地工作简报》2022年第2期对我市先进制造业发展工作专刊通报推介。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方正仿宋简体" w:cs="Times New Roman"/>
          <w:i w:val="0"/>
          <w:iCs w:val="0"/>
          <w:caps w:val="0"/>
          <w:color w:val="auto"/>
          <w:spacing w:val="0"/>
          <w:sz w:val="32"/>
          <w:szCs w:val="32"/>
          <w:shd w:val="clear" w:color="auto" w:fill="FFFFFF"/>
          <w:lang w:val="en-US" w:eastAsia="zh-CN"/>
        </w:rPr>
      </w:pPr>
      <w:r>
        <w:rPr>
          <w:rFonts w:hint="default" w:ascii="Times New Roman" w:hAnsi="Times New Roman" w:eastAsia="方正仿宋简体" w:cs="Times New Roman"/>
          <w:i w:val="0"/>
          <w:iCs w:val="0"/>
          <w:caps w:val="0"/>
          <w:color w:val="auto"/>
          <w:spacing w:val="0"/>
          <w:sz w:val="32"/>
          <w:szCs w:val="32"/>
          <w:shd w:val="clear" w:color="auto" w:fill="FFFFFF"/>
          <w:lang w:val="en-US" w:eastAsia="zh-CN"/>
        </w:rPr>
        <w:t>2021年，全市产业园区</w:t>
      </w:r>
      <w:r>
        <w:rPr>
          <w:rFonts w:hint="eastAsia" w:ascii="Times New Roman" w:hAnsi="Times New Roman" w:eastAsia="方正仿宋简体" w:cs="Times New Roman"/>
          <w:i w:val="0"/>
          <w:iCs w:val="0"/>
          <w:caps w:val="0"/>
          <w:color w:val="auto"/>
          <w:spacing w:val="0"/>
          <w:sz w:val="32"/>
          <w:szCs w:val="32"/>
          <w:shd w:val="clear" w:color="auto" w:fill="FFFFFF"/>
          <w:lang w:val="en-US" w:eastAsia="zh-CN"/>
        </w:rPr>
        <w:t>发展成效显著。</w:t>
      </w:r>
      <w:r>
        <w:rPr>
          <w:rFonts w:hint="default" w:ascii="Times New Roman" w:hAnsi="Times New Roman" w:eastAsia="方正仿宋简体" w:cs="Times New Roman"/>
          <w:color w:val="auto"/>
          <w:sz w:val="32"/>
          <w:szCs w:val="32"/>
          <w:lang w:val="en-US" w:eastAsia="zh-CN"/>
        </w:rPr>
        <w:t>益阳高新区获省政府真抓实干（园区建设）表彰激励，入选中国先进制造业百强园区、获批首批湖南省环保诚信园区；桃江经开区获省政府真抓实干（</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双创</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示范基地）表扬激励；长春经开区获批国家外贸转型升级基地、湖南省安全发展工作示范单位，2020、2021年度</w:t>
      </w:r>
      <w:r>
        <w:rPr>
          <w:rFonts w:hint="default" w:ascii="Times New Roman" w:hAnsi="Times New Roman" w:eastAsia="方正仿宋简体" w:cs="Times New Roman"/>
          <w:color w:val="auto"/>
          <w:sz w:val="32"/>
          <w:szCs w:val="32"/>
          <w:lang w:val="en" w:eastAsia="zh-CN"/>
        </w:rPr>
        <w:t>全省</w:t>
      </w:r>
      <w:r>
        <w:rPr>
          <w:rFonts w:hint="eastAsia" w:ascii="Times New Roman" w:hAnsi="Times New Roman" w:eastAsia="方正仿宋简体" w:cs="Times New Roman"/>
          <w:color w:val="auto"/>
          <w:sz w:val="32"/>
          <w:szCs w:val="32"/>
          <w:lang w:val="en" w:eastAsia="zh-CN"/>
        </w:rPr>
        <w:t>“</w:t>
      </w:r>
      <w:r>
        <w:rPr>
          <w:rFonts w:hint="default" w:ascii="Times New Roman" w:hAnsi="Times New Roman" w:eastAsia="方正仿宋简体" w:cs="Times New Roman"/>
          <w:color w:val="auto"/>
          <w:sz w:val="32"/>
          <w:szCs w:val="32"/>
          <w:lang w:val="en" w:eastAsia="zh-CN"/>
        </w:rPr>
        <w:t>五好</w:t>
      </w:r>
      <w:r>
        <w:rPr>
          <w:rFonts w:hint="eastAsia" w:ascii="Times New Roman" w:hAnsi="Times New Roman" w:eastAsia="方正仿宋简体" w:cs="Times New Roman"/>
          <w:color w:val="auto"/>
          <w:sz w:val="32"/>
          <w:szCs w:val="32"/>
          <w:lang w:val="en" w:eastAsia="zh-CN"/>
        </w:rPr>
        <w:t>”</w:t>
      </w:r>
      <w:r>
        <w:rPr>
          <w:rFonts w:hint="default" w:ascii="Times New Roman" w:hAnsi="Times New Roman" w:eastAsia="方正仿宋简体" w:cs="Times New Roman"/>
          <w:color w:val="auto"/>
          <w:sz w:val="32"/>
          <w:szCs w:val="32"/>
          <w:lang w:val="en" w:eastAsia="zh-CN"/>
        </w:rPr>
        <w:t>园区创建工作先进园区</w:t>
      </w:r>
      <w:r>
        <w:rPr>
          <w:rFonts w:hint="default" w:ascii="Times New Roman" w:hAnsi="Times New Roman" w:eastAsia="方正仿宋简体" w:cs="Times New Roman"/>
          <w:color w:val="auto"/>
          <w:sz w:val="32"/>
          <w:szCs w:val="32"/>
          <w:lang w:val="en-US" w:eastAsia="zh-CN"/>
        </w:rPr>
        <w:t>；南县经开区获评2021年度全省营商环境先进园区。</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主要领导亲抓实管。</w:t>
      </w:r>
      <w:r>
        <w:rPr>
          <w:rFonts w:hint="default" w:ascii="Times New Roman" w:hAnsi="Times New Roman" w:eastAsia="方正仿宋简体" w:cs="Times New Roman"/>
          <w:color w:val="auto"/>
          <w:kern w:val="2"/>
          <w:sz w:val="32"/>
          <w:szCs w:val="32"/>
        </w:rPr>
        <w:t>市委、市政府坚持突出先进制造业这个战略重点</w:t>
      </w:r>
      <w:r>
        <w:rPr>
          <w:rFonts w:hint="default" w:ascii="Times New Roman" w:hAnsi="Times New Roman" w:eastAsia="方正仿宋简体" w:cs="Times New Roman"/>
          <w:color w:val="auto"/>
          <w:sz w:val="32"/>
          <w:szCs w:val="32"/>
        </w:rPr>
        <w:t>，紧扣先进制造业提质扩能</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市委常委会、市政府常务会对</w:t>
      </w:r>
      <w:r>
        <w:rPr>
          <w:rFonts w:hint="default" w:ascii="Times New Roman" w:hAnsi="Times New Roman" w:eastAsia="方正仿宋简体" w:cs="Times New Roman"/>
          <w:color w:val="auto"/>
          <w:sz w:val="32"/>
          <w:szCs w:val="32"/>
          <w:lang w:val="en-US" w:eastAsia="zh-CN"/>
        </w:rPr>
        <w:t>工信和园区工作</w:t>
      </w:r>
      <w:r>
        <w:rPr>
          <w:rFonts w:hint="default" w:ascii="Times New Roman" w:hAnsi="Times New Roman" w:eastAsia="方正仿宋简体" w:cs="Times New Roman"/>
          <w:color w:val="auto"/>
          <w:sz w:val="32"/>
          <w:szCs w:val="32"/>
        </w:rPr>
        <w:t>进行了</w:t>
      </w: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次专题研究。市委、市政府主要领导</w:t>
      </w:r>
      <w:r>
        <w:rPr>
          <w:rFonts w:hint="default" w:ascii="Times New Roman" w:hAnsi="Times New Roman" w:eastAsia="方正仿宋简体" w:cs="Times New Roman"/>
          <w:color w:val="auto"/>
          <w:sz w:val="32"/>
          <w:szCs w:val="32"/>
          <w:lang w:val="en-US" w:eastAsia="zh-CN"/>
        </w:rPr>
        <w:t>对产业链、产业集群亲自抓、具体抓、务实抓，</w:t>
      </w:r>
      <w:r>
        <w:rPr>
          <w:rFonts w:hint="default" w:ascii="Times New Roman" w:hAnsi="Times New Roman" w:eastAsia="方正仿宋简体" w:cs="Times New Roman"/>
          <w:color w:val="auto"/>
          <w:sz w:val="32"/>
          <w:szCs w:val="32"/>
        </w:rPr>
        <w:t>多次率队赴华为、三一集团、中联重科、山河智能、中电48所、信维通信、思摩尔等行业领军企业开展产业招商，多次深入一线实地调研、现场办公，摸实情、盘家底。十大产业链牵头领导多次深入企业、车间调研，直面问题，现场帮扶解决问题，促推产业发展。</w:t>
      </w:r>
      <w:r>
        <w:rPr>
          <w:rFonts w:hint="default" w:ascii="Times New Roman" w:hAnsi="Times New Roman" w:eastAsia="方正仿宋简体" w:cs="Times New Roman"/>
          <w:color w:val="auto"/>
          <w:sz w:val="32"/>
          <w:szCs w:val="32"/>
          <w:lang w:val="en-US" w:eastAsia="zh-CN"/>
        </w:rPr>
        <w:t>2021年，市外厅级以上领导干部来我市调研工信和园区工作20次以上；市县</w:t>
      </w:r>
      <w:r>
        <w:rPr>
          <w:rFonts w:hint="default" w:ascii="Times New Roman" w:hAnsi="Times New Roman" w:eastAsia="方正仿宋简体" w:cs="Times New Roman"/>
          <w:color w:val="auto"/>
          <w:sz w:val="32"/>
          <w:szCs w:val="32"/>
        </w:rPr>
        <w:t>领导</w:t>
      </w:r>
      <w:r>
        <w:rPr>
          <w:rFonts w:hint="default" w:ascii="Times New Roman" w:hAnsi="Times New Roman" w:eastAsia="方正仿宋简体" w:cs="Times New Roman"/>
          <w:color w:val="auto"/>
          <w:sz w:val="32"/>
          <w:szCs w:val="32"/>
          <w:lang w:val="en-US" w:eastAsia="zh-CN"/>
        </w:rPr>
        <w:t>坚持对口</w:t>
      </w:r>
      <w:r>
        <w:rPr>
          <w:rFonts w:hint="default" w:ascii="Times New Roman" w:hAnsi="Times New Roman" w:eastAsia="方正仿宋简体" w:cs="Times New Roman"/>
          <w:color w:val="auto"/>
          <w:sz w:val="32"/>
          <w:szCs w:val="32"/>
        </w:rPr>
        <w:t>联系产业链、每月调度重点工业项目、联点帮扶重点企业</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有力推动了制造业和园区高质量发展</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政策规划成体系出台。</w:t>
      </w:r>
      <w:r>
        <w:rPr>
          <w:rFonts w:hint="default" w:ascii="Times New Roman" w:hAnsi="Times New Roman" w:eastAsia="方正仿宋简体" w:cs="Times New Roman"/>
          <w:color w:val="auto"/>
          <w:sz w:val="32"/>
          <w:szCs w:val="32"/>
        </w:rPr>
        <w:t>出台</w:t>
      </w:r>
      <w:r>
        <w:rPr>
          <w:rFonts w:hint="default" w:ascii="Times New Roman" w:hAnsi="Times New Roman" w:eastAsia="方正仿宋简体" w:cs="Times New Roman"/>
          <w:color w:val="auto"/>
          <w:sz w:val="32"/>
          <w:szCs w:val="32"/>
          <w:lang w:val="en-US" w:eastAsia="zh-CN"/>
        </w:rPr>
        <w:t>了</w:t>
      </w:r>
      <w:r>
        <w:rPr>
          <w:rFonts w:hint="default" w:ascii="Times New Roman" w:hAnsi="Times New Roman" w:eastAsia="方正仿宋简体" w:cs="Times New Roman"/>
          <w:color w:val="auto"/>
          <w:sz w:val="32"/>
          <w:szCs w:val="32"/>
        </w:rPr>
        <w:t>《关于推进先进制造业高质量发展的意见》《益阳市推进先进制造业高质量发展若干政策（试行）》《益阳市推进先进制造业高质量发展工作方案（2021—202</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lang w:val="en-US" w:eastAsia="zh-CN"/>
        </w:rPr>
        <w:t>，对全市先进制造业发展作出总体部署，市财政每年安排1亿元专项资金奖励先进制造业发展。出台了</w:t>
      </w:r>
      <w:r>
        <w:rPr>
          <w:rFonts w:hint="default" w:ascii="Times New Roman" w:hAnsi="Times New Roman" w:eastAsia="方正仿宋简体" w:cs="Times New Roman"/>
          <w:color w:val="auto"/>
          <w:sz w:val="32"/>
          <w:szCs w:val="32"/>
        </w:rPr>
        <w:t>《益阳市2021年工业新兴优势产业链高质量发展实施方案》，围绕产业链建设开展十二大专项行动，实行产业链</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六个一</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工作机制，建立了产业链</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两图三库</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出台了</w:t>
      </w:r>
      <w:r>
        <w:rPr>
          <w:rFonts w:hint="default" w:ascii="Times New Roman" w:hAnsi="Times New Roman" w:eastAsia="方正仿宋简体" w:cs="Times New Roman"/>
          <w:color w:val="auto"/>
          <w:sz w:val="32"/>
          <w:szCs w:val="32"/>
        </w:rPr>
        <w:t>《关于创建</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五好</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园区推动产业园区高质量发展的实施意见》</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制定了16条支持园区发展的政策清单</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出台了产业链、产业园区、数字经济三个</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十四五</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规划，明确了打造五大产业集群、十大工业新兴优势产业链等总体目标。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优质企业成批量培育。</w:t>
      </w:r>
      <w:r>
        <w:rPr>
          <w:rFonts w:hint="default" w:ascii="Times New Roman" w:hAnsi="Times New Roman" w:eastAsia="方正仿宋简体" w:cs="Times New Roman"/>
          <w:color w:val="auto"/>
          <w:sz w:val="32"/>
          <w:szCs w:val="32"/>
          <w:lang w:val="en-US" w:eastAsia="zh-CN"/>
        </w:rPr>
        <w:t>全市新培育国家级企业品牌19个、省级品牌76个。国家级制造业单项冠军产品新增1个，总数达2个，总数排名全省第3位；省级制造业单项冠军新增2个，总数达2个；赫山区、高新区都有1个国家级和1个省级制造业单项冠军产品。国家级专精特新</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小巨人</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企业新增14家，总数达19家，新增和总数均排名全省第4位；赫山区、高新区总数分别达7家、6家。7家上市企业总市值超700亿元，华慧新能源、华翔翔能已完成</w:t>
      </w:r>
      <w:r>
        <w:rPr>
          <w:rFonts w:hint="default" w:ascii="Times New Roman" w:hAnsi="Times New Roman" w:eastAsia="方正仿宋简体" w:cs="Times New Roman"/>
          <w:color w:val="auto"/>
          <w:sz w:val="32"/>
          <w:szCs w:val="32"/>
        </w:rPr>
        <w:t>上市辅导备案登记</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湖南省上市后备制造业企业达16家</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全市新增</w:t>
      </w:r>
      <w:r>
        <w:rPr>
          <w:rFonts w:hint="default" w:ascii="Times New Roman" w:hAnsi="Times New Roman" w:eastAsia="方正仿宋简体" w:cs="Times New Roman"/>
          <w:color w:val="auto"/>
          <w:sz w:val="32"/>
          <w:szCs w:val="32"/>
        </w:rPr>
        <w:t>国家级技术创新示范企业</w:t>
      </w:r>
      <w:r>
        <w:rPr>
          <w:rFonts w:hint="default" w:ascii="Times New Roman" w:hAnsi="Times New Roman" w:eastAsia="方正仿宋简体" w:cs="Times New Roman"/>
          <w:color w:val="auto"/>
          <w:sz w:val="32"/>
          <w:szCs w:val="32"/>
          <w:lang w:val="en-US" w:eastAsia="zh-CN"/>
        </w:rPr>
        <w:t>1家、</w:t>
      </w:r>
      <w:r>
        <w:rPr>
          <w:rFonts w:hint="default" w:ascii="Times New Roman" w:hAnsi="Times New Roman" w:eastAsia="方正仿宋简体" w:cs="Times New Roman"/>
          <w:color w:val="auto"/>
          <w:sz w:val="32"/>
          <w:szCs w:val="32"/>
          <w:lang w:eastAsia="zh-CN"/>
        </w:rPr>
        <w:t>国家级绿色设计产品示范企业</w:t>
      </w:r>
      <w:r>
        <w:rPr>
          <w:rFonts w:hint="default" w:ascii="Times New Roman" w:hAnsi="Times New Roman" w:eastAsia="方正仿宋简体" w:cs="Times New Roman"/>
          <w:color w:val="auto"/>
          <w:sz w:val="32"/>
          <w:szCs w:val="32"/>
          <w:lang w:val="en-US" w:eastAsia="zh-CN"/>
        </w:rPr>
        <w:t>1家、国家级绿色工厂1个、国家级绿色设计产品1个。</w:t>
      </w:r>
      <w:r>
        <w:rPr>
          <w:rFonts w:hint="default" w:ascii="Times New Roman" w:hAnsi="Times New Roman" w:eastAsia="方正仿宋简体" w:cs="Times New Roman"/>
          <w:color w:val="auto"/>
          <w:sz w:val="32"/>
          <w:szCs w:val="32"/>
          <w:u w:val="none"/>
          <w:lang w:val="en-US" w:eastAsia="zh-CN"/>
        </w:rPr>
        <w:t>新增</w:t>
      </w:r>
      <w:r>
        <w:rPr>
          <w:rFonts w:hint="eastAsia" w:ascii="Times New Roman" w:hAnsi="Times New Roman" w:eastAsia="方正仿宋简体" w:cs="Times New Roman"/>
          <w:color w:val="auto"/>
          <w:sz w:val="32"/>
          <w:szCs w:val="32"/>
          <w:u w:val="none"/>
          <w:lang w:val="en-US" w:eastAsia="zh-CN"/>
        </w:rPr>
        <w:t>“</w:t>
      </w:r>
      <w:r>
        <w:rPr>
          <w:rFonts w:hint="default" w:ascii="Times New Roman" w:hAnsi="Times New Roman" w:eastAsia="方正仿宋简体" w:cs="Times New Roman"/>
          <w:color w:val="auto"/>
          <w:sz w:val="32"/>
          <w:szCs w:val="32"/>
          <w:u w:val="none"/>
          <w:lang w:val="en-US" w:eastAsia="zh-CN"/>
        </w:rPr>
        <w:t>民参军</w:t>
      </w:r>
      <w:r>
        <w:rPr>
          <w:rFonts w:hint="eastAsia" w:ascii="Times New Roman" w:hAnsi="Times New Roman" w:eastAsia="方正仿宋简体" w:cs="Times New Roman"/>
          <w:color w:val="auto"/>
          <w:sz w:val="32"/>
          <w:szCs w:val="32"/>
          <w:u w:val="none"/>
          <w:lang w:val="en-US" w:eastAsia="zh-CN"/>
        </w:rPr>
        <w:t>”</w:t>
      </w:r>
      <w:r>
        <w:rPr>
          <w:rFonts w:hint="default" w:ascii="Times New Roman" w:hAnsi="Times New Roman" w:eastAsia="方正仿宋简体" w:cs="Times New Roman"/>
          <w:color w:val="auto"/>
          <w:sz w:val="32"/>
          <w:szCs w:val="32"/>
          <w:u w:val="none"/>
          <w:lang w:val="en-US" w:eastAsia="zh-CN"/>
        </w:rPr>
        <w:t>企业3家，总数达14家。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园区主阵地作用更加凸显。</w:t>
      </w:r>
      <w:r>
        <w:rPr>
          <w:rFonts w:hint="default" w:ascii="Times New Roman" w:hAnsi="Times New Roman" w:eastAsia="方正仿宋简体" w:cs="Times New Roman"/>
          <w:color w:val="auto"/>
          <w:sz w:val="32"/>
          <w:szCs w:val="32"/>
          <w:lang w:val="en-US" w:eastAsia="zh-CN"/>
        </w:rPr>
        <w:t>产业定位更加科学，明确了益阳高新区</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两主一特</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、省级园区</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一主一特</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的发展定位。全省先进制造业集群竞赛中，益阳铝电解电容器产业集群（龙岭）决赛胜出，益阳电子电路板产业集群（长春）、沅江市船舶制造业集群初赛胜出。空间布局更加优化，全年园区共征地拆迁近670公顷，清理停产歇业企业55家。产城融合更加深入，益阳高新区高铁片区产业规划加快建设，龙岭产业开发区引进了中交世通新城、客天下龙岭智慧新城两个</w:t>
      </w:r>
      <w:r>
        <w:rPr>
          <w:rFonts w:hint="default" w:ascii="Times New Roman" w:hAnsi="Times New Roman" w:eastAsia="方正仿宋简体" w:cs="Times New Roman"/>
          <w:bCs/>
          <w:color w:val="auto"/>
          <w:kern w:val="0"/>
          <w:sz w:val="32"/>
          <w:szCs w:val="32"/>
        </w:rPr>
        <w:t>国家级总部经济项目</w:t>
      </w:r>
      <w:r>
        <w:rPr>
          <w:rFonts w:hint="default" w:ascii="Times New Roman" w:hAnsi="Times New Roman" w:eastAsia="方正仿宋简体" w:cs="Times New Roman"/>
          <w:bCs/>
          <w:color w:val="auto"/>
          <w:kern w:val="0"/>
          <w:sz w:val="32"/>
          <w:szCs w:val="32"/>
          <w:lang w:eastAsia="zh-CN"/>
        </w:rPr>
        <w:t>。</w:t>
      </w:r>
      <w:r>
        <w:rPr>
          <w:rFonts w:hint="default" w:ascii="Times New Roman" w:hAnsi="Times New Roman" w:eastAsia="方正仿宋简体" w:cs="Times New Roman"/>
          <w:bCs/>
          <w:color w:val="auto"/>
          <w:kern w:val="0"/>
          <w:sz w:val="32"/>
          <w:szCs w:val="32"/>
          <w:lang w:val="en-US" w:eastAsia="zh-CN"/>
        </w:rPr>
        <w:t>资金支持更加有力，</w:t>
      </w:r>
      <w:r>
        <w:rPr>
          <w:rFonts w:hint="default" w:ascii="Times New Roman" w:hAnsi="Times New Roman" w:eastAsia="方正仿宋简体" w:cs="Times New Roman"/>
          <w:color w:val="auto"/>
          <w:sz w:val="32"/>
          <w:szCs w:val="32"/>
          <w:lang w:val="en-US" w:eastAsia="zh-CN"/>
        </w:rPr>
        <w:t>全市园区企业获得市、县、园区给予的政策，在资金支持、税收减免、厂房租金减免、奖励等方面总计达8.3亿元。项目建设更加有力，全市引进重大项目29个，其中</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三类500强</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9个；承接</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长株潭</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产业转移重大项目49个</w:t>
      </w:r>
      <w:r>
        <w:rPr>
          <w:rFonts w:hint="default" w:ascii="Times New Roman" w:hAnsi="Times New Roman" w:eastAsia="方正仿宋简体"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6</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数字经济加快赋能增智。</w:t>
      </w:r>
      <w:r>
        <w:rPr>
          <w:rFonts w:hint="default" w:ascii="Times New Roman" w:hAnsi="Times New Roman" w:eastAsia="方正仿宋简体" w:cs="Times New Roman"/>
          <w:color w:val="auto"/>
          <w:sz w:val="32"/>
          <w:szCs w:val="32"/>
          <w:lang w:val="en-US" w:eastAsia="zh-CN"/>
        </w:rPr>
        <w:t>全市</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上云上平台</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企业达2.1万家。</w:t>
      </w:r>
      <w:r>
        <w:rPr>
          <w:rFonts w:hint="default" w:ascii="Times New Roman" w:hAnsi="Times New Roman" w:eastAsia="方正仿宋简体" w:cs="Times New Roman"/>
          <w:color w:val="auto"/>
          <w:kern w:val="2"/>
          <w:sz w:val="32"/>
          <w:szCs w:val="32"/>
          <w:lang w:val="en-US" w:eastAsia="zh-CN" w:bidi="zh-CN"/>
        </w:rPr>
        <w:t>数字化项目加速推进</w:t>
      </w:r>
      <w:r>
        <w:rPr>
          <w:rFonts w:hint="default" w:ascii="Times New Roman" w:hAnsi="Times New Roman" w:eastAsia="方正仿宋简体" w:cs="Times New Roman"/>
          <w:color w:val="auto"/>
          <w:sz w:val="32"/>
          <w:szCs w:val="32"/>
          <w:lang w:val="en-US" w:eastAsia="zh-CN"/>
        </w:rPr>
        <w:t>，信维声学、光智通信等华为生态链项目持续推进，三一中阳</w:t>
      </w:r>
      <w:r>
        <w:rPr>
          <w:rFonts w:hint="default" w:ascii="Times New Roman" w:hAnsi="Times New Roman" w:eastAsia="方正仿宋简体" w:cs="Times New Roman"/>
          <w:color w:val="auto"/>
          <w:sz w:val="32"/>
          <w:szCs w:val="32"/>
          <w:lang w:eastAsia="zh-CN"/>
        </w:rPr>
        <w:t>铣刨机和摊铺机智能化改造项目</w:t>
      </w:r>
      <w:r>
        <w:rPr>
          <w:rFonts w:hint="default" w:ascii="Times New Roman" w:hAnsi="Times New Roman" w:eastAsia="方正仿宋简体" w:cs="Times New Roman"/>
          <w:color w:val="auto"/>
          <w:sz w:val="32"/>
          <w:szCs w:val="32"/>
          <w:lang w:val="en-US" w:eastAsia="zh-CN"/>
        </w:rPr>
        <w:t>全面完成</w:t>
      </w:r>
      <w:r>
        <w:rPr>
          <w:rFonts w:hint="default" w:ascii="Times New Roman" w:hAnsi="Times New Roman" w:eastAsia="方正仿宋简体" w:cs="Times New Roman"/>
          <w:color w:val="auto"/>
          <w:sz w:val="32"/>
          <w:szCs w:val="32"/>
          <w:lang w:eastAsia="zh-CN"/>
        </w:rPr>
        <w:t>，中联重科沅江搅拌车智能制造工业园开园</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53个项目入选湖南省制造业数字化转型</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三化</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重点项目，</w:t>
      </w:r>
      <w:r>
        <w:rPr>
          <w:rFonts w:hint="default" w:ascii="Times New Roman" w:hAnsi="Times New Roman" w:eastAsia="方正仿宋简体" w:cs="Times New Roman"/>
          <w:color w:val="auto"/>
          <w:sz w:val="32"/>
          <w:szCs w:val="32"/>
          <w:lang w:val="en-US" w:eastAsia="zh-CN"/>
        </w:rPr>
        <w:t>数量排名</w:t>
      </w:r>
      <w:r>
        <w:rPr>
          <w:rFonts w:hint="default" w:ascii="Times New Roman" w:hAnsi="Times New Roman" w:eastAsia="方正仿宋简体" w:cs="Times New Roman"/>
          <w:color w:val="auto"/>
          <w:sz w:val="32"/>
          <w:szCs w:val="32"/>
          <w:lang w:eastAsia="zh-CN"/>
        </w:rPr>
        <w:t>全省第3位</w:t>
      </w:r>
      <w:r>
        <w:rPr>
          <w:rFonts w:hint="default" w:ascii="Times New Roman" w:hAnsi="Times New Roman" w:eastAsia="方正仿宋简体" w:cs="Times New Roman"/>
          <w:b w:val="0"/>
          <w:bCs w:val="0"/>
          <w:color w:val="auto"/>
          <w:sz w:val="32"/>
          <w:szCs w:val="32"/>
        </w:rPr>
        <w:t>。</w:t>
      </w:r>
      <w:r>
        <w:rPr>
          <w:rFonts w:hint="default" w:ascii="Times New Roman" w:hAnsi="Times New Roman" w:eastAsia="方正仿宋简体" w:cs="Times New Roman"/>
          <w:color w:val="auto"/>
          <w:kern w:val="2"/>
          <w:sz w:val="32"/>
          <w:szCs w:val="32"/>
          <w:lang w:val="en-US" w:eastAsia="zh-CN" w:bidi="zh-CN"/>
        </w:rPr>
        <w:t>数字化平台加速打造，</w:t>
      </w:r>
      <w:r>
        <w:rPr>
          <w:rFonts w:hint="default" w:ascii="Times New Roman" w:hAnsi="Times New Roman" w:eastAsia="方正仿宋简体" w:cs="Times New Roman"/>
          <w:color w:val="auto"/>
          <w:sz w:val="32"/>
          <w:szCs w:val="32"/>
        </w:rPr>
        <w:t>安化黑茶工业互联网平台获工信部《工业互联网创新发展成效报告（2018-2021年）》点评</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鹏程科技</w:t>
      </w:r>
      <w:r>
        <w:rPr>
          <w:rFonts w:hint="default" w:ascii="Times New Roman" w:hAnsi="Times New Roman" w:eastAsia="方正仿宋简体" w:cs="Times New Roman"/>
          <w:color w:val="auto"/>
          <w:sz w:val="32"/>
          <w:szCs w:val="32"/>
          <w:lang w:eastAsia="zh-CN"/>
        </w:rPr>
        <w:t>电容器数字化管理系统平台</w:t>
      </w:r>
      <w:r>
        <w:rPr>
          <w:rFonts w:hint="default" w:ascii="Times New Roman" w:hAnsi="Times New Roman" w:eastAsia="方正仿宋简体" w:cs="Times New Roman"/>
          <w:color w:val="auto"/>
          <w:sz w:val="32"/>
          <w:szCs w:val="32"/>
          <w:lang w:val="en-US" w:eastAsia="zh-CN"/>
        </w:rPr>
        <w:t>入选湖南省</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5G+工业互联网</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典型应用场景</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两化融合深入推进，</w:t>
      </w:r>
      <w:r>
        <w:rPr>
          <w:rFonts w:hint="default" w:ascii="Times New Roman" w:hAnsi="Times New Roman" w:eastAsia="方正仿宋简体" w:cs="Times New Roman"/>
          <w:color w:val="auto"/>
          <w:kern w:val="2"/>
          <w:sz w:val="32"/>
          <w:szCs w:val="32"/>
          <w:lang w:val="en-US" w:eastAsia="zh-CN" w:bidi="ar-SA"/>
        </w:rPr>
        <w:t>新增湖南省两化融合管理体系贯标获证企业5家、标杆企业3家。</w:t>
      </w:r>
      <w:r>
        <w:rPr>
          <w:rFonts w:hint="default" w:ascii="Times New Roman" w:hAnsi="Times New Roman" w:eastAsia="方正仿宋简体" w:cs="Times New Roman"/>
          <w:color w:val="auto"/>
          <w:sz w:val="32"/>
          <w:szCs w:val="32"/>
          <w:lang w:val="en-US" w:eastAsia="zh-CN"/>
        </w:rPr>
        <w:t>数字基建加快建设，</w:t>
      </w:r>
      <w:r>
        <w:rPr>
          <w:rFonts w:hint="default" w:ascii="Times New Roman" w:hAnsi="Times New Roman" w:eastAsia="方正仿宋简体" w:cs="Times New Roman"/>
          <w:b w:val="0"/>
          <w:bCs w:val="0"/>
          <w:color w:val="auto"/>
          <w:sz w:val="32"/>
          <w:szCs w:val="32"/>
        </w:rPr>
        <w:t>建成5G宏基站12</w:t>
      </w:r>
      <w:r>
        <w:rPr>
          <w:rFonts w:hint="default" w:ascii="Times New Roman" w:hAnsi="Times New Roman" w:eastAsia="方正仿宋简体" w:cs="Times New Roman"/>
          <w:b w:val="0"/>
          <w:bCs w:val="0"/>
          <w:color w:val="auto"/>
          <w:sz w:val="32"/>
          <w:szCs w:val="32"/>
          <w:lang w:val="en-US" w:eastAsia="zh-CN"/>
        </w:rPr>
        <w:t>60</w:t>
      </w:r>
      <w:r>
        <w:rPr>
          <w:rFonts w:hint="default" w:ascii="Times New Roman" w:hAnsi="Times New Roman" w:eastAsia="方正仿宋简体" w:cs="Times New Roman"/>
          <w:b w:val="0"/>
          <w:bCs w:val="0"/>
          <w:color w:val="auto"/>
          <w:sz w:val="32"/>
          <w:szCs w:val="32"/>
        </w:rPr>
        <w:t>个，完成投资7.8亿元，</w:t>
      </w:r>
      <w:r>
        <w:rPr>
          <w:rFonts w:hint="default" w:ascii="Times New Roman" w:hAnsi="Times New Roman" w:eastAsia="方正仿宋简体" w:cs="Times New Roman"/>
          <w:b w:val="0"/>
          <w:bCs w:val="0"/>
          <w:color w:val="auto"/>
          <w:sz w:val="32"/>
          <w:szCs w:val="32"/>
          <w:lang w:val="en-US" w:eastAsia="zh-CN"/>
        </w:rPr>
        <w:t>实现了市县城区和重点乡镇5G连续覆盖</w:t>
      </w:r>
      <w:r>
        <w:rPr>
          <w:rFonts w:hint="default" w:ascii="Times New Roman" w:hAnsi="Times New Roman" w:eastAsia="方正仿宋简体" w:cs="Times New Roman"/>
          <w:color w:val="auto"/>
          <w:kern w:val="2"/>
          <w:sz w:val="32"/>
          <w:szCs w:val="32"/>
          <w:lang w:val="en-US" w:eastAsia="zh-CN" w:bidi="ar-SA"/>
        </w:rPr>
        <w:t>。圆满完成25个农村4G基站和47个通组光纤建设的为民办实事任务；安化县开展乡村振兴通信强县能力建设三年行动，有力推动了信息通信在各行业深度应用。</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3" w:firstLineChars="200"/>
        <w:jc w:val="both"/>
        <w:textAlignment w:val="auto"/>
        <w:outlineLvl w:val="1"/>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7</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企业获得感持续提升。</w:t>
      </w:r>
      <w:r>
        <w:rPr>
          <w:rFonts w:hint="default" w:ascii="Times New Roman" w:hAnsi="Times New Roman" w:eastAsia="方正仿宋简体" w:cs="Times New Roman"/>
          <w:color w:val="auto"/>
          <w:kern w:val="2"/>
          <w:sz w:val="32"/>
          <w:szCs w:val="32"/>
          <w:lang w:val="en-US" w:eastAsia="zh-CN" w:bidi="ar-SA"/>
        </w:rPr>
        <w:t>实行了</w:t>
      </w:r>
      <w:r>
        <w:rPr>
          <w:rFonts w:hint="eastAsia" w:ascii="Times New Roman" w:hAnsi="Times New Roman" w:eastAsia="方正仿宋简体" w:cs="Times New Roman"/>
          <w:color w:val="auto"/>
          <w:kern w:val="2"/>
          <w:sz w:val="32"/>
          <w:szCs w:val="32"/>
          <w:lang w:val="en-US" w:eastAsia="zh-CN" w:bidi="ar-SA"/>
        </w:rPr>
        <w:t>“</w:t>
      </w:r>
      <w:r>
        <w:rPr>
          <w:rFonts w:hint="default" w:ascii="Times New Roman" w:hAnsi="Times New Roman" w:eastAsia="方正仿宋简体" w:cs="Times New Roman"/>
          <w:color w:val="auto"/>
          <w:kern w:val="2"/>
          <w:sz w:val="32"/>
          <w:szCs w:val="32"/>
          <w:lang w:val="en-US" w:eastAsia="zh-CN" w:bidi="ar-SA"/>
        </w:rPr>
        <w:t>六个一</w:t>
      </w:r>
      <w:r>
        <w:rPr>
          <w:rFonts w:hint="eastAsia" w:ascii="Times New Roman" w:hAnsi="Times New Roman" w:eastAsia="方正仿宋简体" w:cs="Times New Roman"/>
          <w:color w:val="auto"/>
          <w:kern w:val="2"/>
          <w:sz w:val="32"/>
          <w:szCs w:val="32"/>
          <w:lang w:val="en-US" w:eastAsia="zh-CN" w:bidi="ar-SA"/>
        </w:rPr>
        <w:t>”</w:t>
      </w:r>
      <w:r>
        <w:rPr>
          <w:rFonts w:hint="default" w:ascii="Times New Roman" w:hAnsi="Times New Roman" w:eastAsia="方正仿宋简体" w:cs="Times New Roman"/>
          <w:color w:val="auto"/>
          <w:kern w:val="2"/>
          <w:sz w:val="32"/>
          <w:szCs w:val="32"/>
          <w:lang w:val="en-US" w:eastAsia="zh-CN" w:bidi="ar-SA"/>
        </w:rPr>
        <w:t>帮扶机制，</w:t>
      </w:r>
      <w:r>
        <w:rPr>
          <w:rFonts w:hint="default" w:ascii="Times New Roman" w:hAnsi="Times New Roman" w:eastAsia="方正仿宋简体" w:cs="Times New Roman"/>
          <w:color w:val="auto"/>
          <w:sz w:val="32"/>
          <w:szCs w:val="32"/>
          <w:shd w:val="clear" w:color="auto" w:fill="FFFFFF"/>
          <w:lang w:val="en-US" w:eastAsia="zh-CN"/>
        </w:rPr>
        <w:t>政策落地更加顺畅，</w:t>
      </w:r>
      <w:r>
        <w:rPr>
          <w:rFonts w:hint="default" w:ascii="Times New Roman" w:hAnsi="Times New Roman" w:eastAsia="方正仿宋简体" w:cs="Times New Roman"/>
          <w:color w:val="auto"/>
          <w:kern w:val="2"/>
          <w:sz w:val="32"/>
          <w:szCs w:val="32"/>
          <w:lang w:val="en-US" w:eastAsia="zh-CN" w:bidi="ar-SA"/>
        </w:rPr>
        <w:t>梳理编制并向全市全市规模工业企业发放了1000余册《惠企纾困政策汇编（三）》，组织了  期惠企政策宣讲会。</w:t>
      </w:r>
      <w:r>
        <w:rPr>
          <w:rFonts w:hint="default" w:ascii="Times New Roman" w:hAnsi="Times New Roman" w:eastAsia="方正仿宋简体" w:cs="Times New Roman"/>
          <w:color w:val="auto"/>
          <w:sz w:val="32"/>
          <w:szCs w:val="32"/>
          <w:shd w:val="clear" w:color="auto" w:fill="FFFFFF"/>
          <w:lang w:val="en-US" w:eastAsia="zh-CN"/>
        </w:rPr>
        <w:t>电力保障更加到位，</w:t>
      </w:r>
      <w:r>
        <w:rPr>
          <w:rFonts w:hint="default" w:ascii="Times New Roman" w:hAnsi="Times New Roman" w:eastAsia="方正仿宋简体" w:cs="Times New Roman"/>
          <w:b w:val="0"/>
          <w:bCs w:val="0"/>
          <w:color w:val="auto"/>
          <w:sz w:val="32"/>
          <w:szCs w:val="32"/>
          <w:lang w:eastAsia="zh-CN"/>
        </w:rPr>
        <w:t>完成</w:t>
      </w:r>
      <w:r>
        <w:rPr>
          <w:rFonts w:hint="eastAsia"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lang w:val="en-US" w:eastAsia="zh-CN"/>
        </w:rPr>
        <w:t>三型两网</w:t>
      </w:r>
      <w:r>
        <w:rPr>
          <w:rFonts w:hint="eastAsia"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lang w:val="en-US" w:eastAsia="zh-CN"/>
        </w:rPr>
        <w:t>电网</w:t>
      </w:r>
      <w:r>
        <w:rPr>
          <w:rFonts w:hint="default" w:ascii="Times New Roman" w:hAnsi="Times New Roman" w:eastAsia="方正仿宋简体" w:cs="Times New Roman"/>
          <w:b w:val="0"/>
          <w:bCs w:val="0"/>
          <w:color w:val="auto"/>
          <w:sz w:val="32"/>
          <w:szCs w:val="32"/>
          <w:lang w:eastAsia="zh-CN"/>
        </w:rPr>
        <w:t>投资</w:t>
      </w:r>
      <w:r>
        <w:rPr>
          <w:rFonts w:hint="default" w:ascii="Times New Roman" w:hAnsi="Times New Roman" w:eastAsia="方正仿宋简体" w:cs="Times New Roman"/>
          <w:b w:val="0"/>
          <w:bCs w:val="0"/>
          <w:color w:val="auto"/>
          <w:sz w:val="32"/>
          <w:szCs w:val="32"/>
          <w:lang w:val="en-US" w:eastAsia="zh-CN"/>
        </w:rPr>
        <w:t>20亿元，协调推进110千伏舟山变及其其他输变电工程建设，基本解决了东部产业园供电瓶颈，全市</w:t>
      </w:r>
      <w:r>
        <w:rPr>
          <w:rFonts w:hint="default" w:ascii="Times New Roman" w:hAnsi="Times New Roman" w:eastAsia="方正仿宋简体" w:cs="Times New Roman"/>
          <w:b w:val="0"/>
          <w:bCs w:val="0"/>
          <w:color w:val="auto"/>
          <w:sz w:val="32"/>
          <w:szCs w:val="32"/>
        </w:rPr>
        <w:t>电网供电能力和供电可靠性大幅提升</w:t>
      </w:r>
      <w:r>
        <w:rPr>
          <w:rFonts w:hint="default" w:ascii="Times New Roman" w:hAnsi="Times New Roman" w:eastAsia="方正仿宋简体" w:cs="Times New Roman"/>
          <w:b w:val="0"/>
          <w:bCs w:val="0"/>
          <w:color w:val="auto"/>
          <w:sz w:val="32"/>
          <w:szCs w:val="32"/>
          <w:lang w:val="en-US" w:eastAsia="zh-CN"/>
        </w:rPr>
        <w:t>。全市通过科学调度，最大限度保障了企业生产经营用电需求。</w:t>
      </w:r>
      <w:r>
        <w:rPr>
          <w:rFonts w:hint="default" w:ascii="Times New Roman" w:hAnsi="Times New Roman" w:eastAsia="方正仿宋简体" w:cs="Times New Roman"/>
          <w:color w:val="auto"/>
          <w:sz w:val="32"/>
          <w:szCs w:val="32"/>
          <w:lang w:val="en-US" w:eastAsia="zh-CN"/>
        </w:rPr>
        <w:t>企业人才更受优待，实施了《</w:t>
      </w:r>
      <w:r>
        <w:rPr>
          <w:rFonts w:hint="default" w:ascii="Times New Roman" w:hAnsi="Times New Roman" w:eastAsia="方正仿宋简体" w:cs="Times New Roman"/>
          <w:color w:val="auto"/>
          <w:sz w:val="32"/>
          <w:szCs w:val="32"/>
          <w:lang w:eastAsia="zh-CN"/>
        </w:rPr>
        <w:t>支持新兴优势产业链链主企业引进培养产业人才实施办法》，</w:t>
      </w:r>
      <w:r>
        <w:rPr>
          <w:rFonts w:hint="default" w:ascii="Times New Roman" w:hAnsi="Times New Roman" w:eastAsia="方正仿宋简体" w:cs="Times New Roman"/>
          <w:color w:val="auto"/>
          <w:sz w:val="32"/>
          <w:szCs w:val="32"/>
          <w:lang w:val="en-US" w:eastAsia="zh-CN"/>
        </w:rPr>
        <w:t>对企业人才</w:t>
      </w:r>
      <w:r>
        <w:rPr>
          <w:rFonts w:hint="default" w:ascii="Times New Roman" w:hAnsi="Times New Roman" w:eastAsia="方正仿宋简体" w:cs="Times New Roman"/>
          <w:color w:val="auto"/>
          <w:sz w:val="32"/>
          <w:szCs w:val="32"/>
          <w:shd w:val="clear" w:color="auto" w:fill="FFFFFF"/>
          <w:lang w:val="en-US" w:eastAsia="zh-CN"/>
        </w:rPr>
        <w:t>在住房补贴、事业编制等方面给予支持。法治政府建设更加有力，</w:t>
      </w:r>
      <w:r>
        <w:rPr>
          <w:rFonts w:hint="default" w:ascii="Times New Roman" w:hAnsi="Times New Roman" w:eastAsia="方正仿宋简体" w:cs="Times New Roman"/>
          <w:color w:val="auto"/>
          <w:sz w:val="32"/>
          <w:szCs w:val="32"/>
          <w:lang w:val="en-US" w:eastAsia="zh-CN"/>
        </w:rPr>
        <w:t>桃江科工局连续获评全省工信系统法治政府建设示范单位。</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黑体" w:hAnsi="黑体" w:eastAsia="黑体" w:cs="黑体"/>
          <w:color w:val="000000"/>
          <w:sz w:val="32"/>
          <w:szCs w:val="32"/>
        </w:rPr>
      </w:pPr>
      <w:r>
        <w:rPr>
          <w:rFonts w:hint="default" w:ascii="黑体" w:hAnsi="黑体" w:eastAsia="黑体" w:cs="黑体"/>
          <w:color w:val="000000"/>
          <w:sz w:val="32"/>
          <w:szCs w:val="32"/>
          <w:lang w:eastAsia="zh-CN"/>
        </w:rPr>
        <w:t>八</w:t>
      </w:r>
      <w:r>
        <w:rPr>
          <w:rFonts w:hint="default" w:ascii="黑体" w:hAnsi="黑体" w:eastAsia="黑体" w:cs="黑体"/>
          <w:color w:val="000000"/>
          <w:sz w:val="32"/>
          <w:szCs w:val="32"/>
        </w:rPr>
        <w:t>、存在的问题及原因分析</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16" w:firstLineChars="200"/>
        <w:jc w:val="both"/>
        <w:textAlignment w:val="auto"/>
        <w:outlineLvl w:val="1"/>
        <w:rPr>
          <w:rFonts w:hint="default" w:ascii="Times New Roman" w:hAnsi="Times New Roman" w:eastAsia="方正仿宋简体" w:cs="Times New Roman"/>
          <w:color w:val="000000"/>
          <w:spacing w:val="-6"/>
          <w:sz w:val="32"/>
          <w:szCs w:val="32"/>
        </w:rPr>
      </w:pPr>
      <w:r>
        <w:rPr>
          <w:rFonts w:hint="default" w:ascii="Times New Roman" w:hAnsi="Times New Roman" w:eastAsia="方正仿宋简体" w:cs="Times New Roman"/>
          <w:color w:val="000000"/>
          <w:spacing w:val="-6"/>
          <w:sz w:val="32"/>
          <w:szCs w:val="32"/>
        </w:rPr>
        <w:t>我局虽然在绩效考核上取得一定成绩，但目前在整体支出的预算编制、执行和管理过程中，依然存在一些问题和不足：</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由于经费预算编制方面的不完善、不系统、不精细，预算执行的灵活度相对较大，预算管理的指导性和管理性作用不强。</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上年结余和本年追加项目预算没有进行预算的编制，不便于对经费实行深入、细化的预算管理。</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3</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财务管理仍显薄弱。部分二级单位内控管理不够严密，账务处理和资产管理不够规范，需加强财务管理，严格财务审核，提高财务的精细化管理。</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黑体" w:hAnsi="黑体" w:eastAsia="黑体" w:cs="黑体"/>
          <w:color w:val="000000"/>
          <w:sz w:val="32"/>
          <w:szCs w:val="32"/>
        </w:rPr>
      </w:pPr>
      <w:r>
        <w:rPr>
          <w:rFonts w:hint="default" w:ascii="黑体" w:hAnsi="黑体" w:eastAsia="黑体" w:cs="黑体"/>
          <w:color w:val="000000"/>
          <w:sz w:val="32"/>
          <w:szCs w:val="32"/>
          <w:lang w:eastAsia="zh-CN"/>
        </w:rPr>
        <w:t>九</w:t>
      </w:r>
      <w:r>
        <w:rPr>
          <w:rFonts w:hint="default" w:ascii="黑体" w:hAnsi="黑体" w:eastAsia="黑体" w:cs="黑体"/>
          <w:color w:val="000000"/>
          <w:sz w:val="32"/>
          <w:szCs w:val="32"/>
        </w:rPr>
        <w:t>、下一步改进措施</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针对上述存在的问题及</w:t>
      </w:r>
      <w:r>
        <w:rPr>
          <w:rFonts w:hint="default" w:ascii="Times New Roman" w:hAnsi="Times New Roman" w:eastAsia="方正仿宋简体" w:cs="Times New Roman"/>
          <w:color w:val="000000"/>
          <w:sz w:val="32"/>
          <w:szCs w:val="32"/>
          <w:lang w:eastAsia="zh-CN"/>
        </w:rPr>
        <w:t>市</w:t>
      </w:r>
      <w:r>
        <w:rPr>
          <w:rFonts w:hint="default" w:ascii="Times New Roman" w:hAnsi="Times New Roman" w:eastAsia="方正仿宋简体" w:cs="Times New Roman"/>
          <w:color w:val="000000"/>
          <w:sz w:val="32"/>
          <w:szCs w:val="32"/>
        </w:rPr>
        <w:t>工信</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预算管理工作的需要，今后工作中要严格按照《会计法》、《预算法》等相关规定，参考近年来的预算执行实际情况，结合年度收支计划，严格预算执行，尽力提高资金使用效率。</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rPr>
        <w:t>1</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lang w:eastAsia="zh-CN"/>
        </w:rPr>
        <w:t>精细管理预算编制</w:t>
      </w:r>
      <w:r>
        <w:rPr>
          <w:rFonts w:hint="default" w:ascii="Times New Roman" w:hAnsi="Times New Roman" w:eastAsia="方正仿宋简体" w:cs="Times New Roman"/>
          <w:b/>
          <w:bCs/>
          <w:color w:val="000000"/>
          <w:sz w:val="32"/>
          <w:szCs w:val="32"/>
        </w:rPr>
        <w:t>。</w:t>
      </w:r>
      <w:r>
        <w:rPr>
          <w:rFonts w:hint="default" w:ascii="Times New Roman" w:hAnsi="Times New Roman" w:eastAsia="方正仿宋简体" w:cs="Times New Roman"/>
          <w:color w:val="000000"/>
          <w:sz w:val="32"/>
          <w:szCs w:val="32"/>
        </w:rPr>
        <w:t>进一步加强机关各科室及所属二级事业单位的预算管理意识，严格按照预算编制的相关制度和要求，根据单位的年度工作重点和项目专项工作规划，本着</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勤俭节约、保障运转</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的原则进行预算的编制；编制范围尽可能的全面，不漏项</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对于年度无法预计临时追加的相关工作所需费用和结余资金确保资金严格按照预算专项资金使用程序申报及使用；进一步提高预算编制的科学性、合理性、严谨性和可控性。</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lang w:val="en-US" w:eastAsia="zh-CN"/>
        </w:rPr>
        <w:t>2</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rPr>
        <w:t>预算财务分析常态化。</w:t>
      </w:r>
      <w:r>
        <w:rPr>
          <w:rFonts w:hint="default" w:ascii="Times New Roman" w:hAnsi="Times New Roman" w:eastAsia="方正仿宋简体" w:cs="Times New Roman"/>
          <w:color w:val="000000"/>
          <w:sz w:val="32"/>
          <w:szCs w:val="32"/>
        </w:rPr>
        <w:t>定期做好支出预算财务分析，及时对预算执行情况进行通报，定期对下属预算单位的预算执行情况进行检查，做好部门整体支出预算评价工作。</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rPr>
        <w:t>规范资金使用。</w:t>
      </w:r>
      <w:r>
        <w:rPr>
          <w:rFonts w:hint="default" w:ascii="Times New Roman" w:hAnsi="Times New Roman" w:eastAsia="方正仿宋简体" w:cs="Times New Roman"/>
          <w:color w:val="000000"/>
          <w:sz w:val="32"/>
          <w:szCs w:val="32"/>
        </w:rPr>
        <w:t>要尽早</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资金计划，加快资金</w:t>
      </w:r>
      <w:r>
        <w:rPr>
          <w:rFonts w:hint="default" w:ascii="Times New Roman" w:hAnsi="Times New Roman" w:eastAsia="方正仿宋简体" w:cs="Times New Roman"/>
          <w:color w:val="000000"/>
          <w:sz w:val="32"/>
          <w:szCs w:val="32"/>
          <w:lang w:eastAsia="zh-CN"/>
        </w:rPr>
        <w:t>支</w:t>
      </w:r>
      <w:r>
        <w:rPr>
          <w:rFonts w:hint="default" w:ascii="Times New Roman" w:hAnsi="Times New Roman" w:eastAsia="方正仿宋简体" w:cs="Times New Roman"/>
          <w:color w:val="000000"/>
          <w:sz w:val="32"/>
          <w:szCs w:val="32"/>
        </w:rPr>
        <w:t>付进度，确保专项资金及时足额拨付。在费用报账支付时，按照预算规定的费用项目和用途进行资金使用的审核，在预算金额内严格控制费用的支出，控制超支现象的发生；严格按照实际的费用支出内容进行财务核算，确保财务核算的真实、及时、准确、完整。</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lang w:val="en-US" w:eastAsia="zh-CN"/>
        </w:rPr>
        <w:t>4</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rPr>
        <w:t>建立全程绩效管理。</w:t>
      </w:r>
      <w:r>
        <w:rPr>
          <w:rFonts w:hint="default" w:ascii="Times New Roman" w:hAnsi="Times New Roman" w:eastAsia="方正仿宋简体" w:cs="Times New Roman"/>
          <w:color w:val="000000"/>
          <w:sz w:val="32"/>
          <w:szCs w:val="32"/>
        </w:rPr>
        <w:t>进一步量化细化资金使用绩效目标，树立现代绩效管理理念</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设立科学合理的绩效目标和指标，增强目标约束力。下一步要组织机关各科室及所属二级事业单位工作人员对预算管理、绩效管理等方面的政策学习解读，建立和完善实施单位项目绩效考核管理制度体系。</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outlineLvl w:val="1"/>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rPr>
        <w:t>、部门整体支出绩效自评结果拟应用和公开情况</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lang w:val="en-US" w:eastAsia="zh-CN"/>
        </w:rPr>
        <w:t>1</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rPr>
        <w:t>反馈整改。</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将对</w:t>
      </w:r>
      <w:r>
        <w:rPr>
          <w:rFonts w:hint="default" w:ascii="Times New Roman" w:hAnsi="Times New Roman" w:eastAsia="方正仿宋简体" w:cs="Times New Roman"/>
          <w:color w:val="000000"/>
          <w:sz w:val="32"/>
          <w:szCs w:val="32"/>
          <w:lang w:eastAsia="zh-CN"/>
        </w:rPr>
        <w:t>部门整体支出绩效自查自评</w:t>
      </w:r>
      <w:r>
        <w:rPr>
          <w:rFonts w:hint="default" w:ascii="Times New Roman" w:hAnsi="Times New Roman" w:eastAsia="方正仿宋简体" w:cs="Times New Roman"/>
          <w:color w:val="000000"/>
          <w:sz w:val="32"/>
          <w:szCs w:val="32"/>
        </w:rPr>
        <w:t>中发现的问题及时进行督促整改。</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机关、</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属各单位要加强预算管理意识，严格按照预算编制的相关制度和要求，结合年度收支计划，科学编制预算，遵循预算管理办法。</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lang w:val="en-US" w:eastAsia="zh-CN"/>
        </w:rPr>
        <w:t>2</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rPr>
        <w:t>考核通报。</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将此次绩效自评</w:t>
      </w:r>
      <w:r>
        <w:rPr>
          <w:rFonts w:hint="default" w:ascii="Times New Roman" w:hAnsi="Times New Roman" w:eastAsia="方正仿宋简体" w:cs="Times New Roman"/>
          <w:color w:val="000000"/>
          <w:sz w:val="32"/>
          <w:szCs w:val="32"/>
          <w:lang w:eastAsia="zh-CN"/>
        </w:rPr>
        <w:t>工作</w:t>
      </w:r>
      <w:r>
        <w:rPr>
          <w:rFonts w:hint="default" w:ascii="Times New Roman" w:hAnsi="Times New Roman" w:eastAsia="方正仿宋简体" w:cs="Times New Roman"/>
          <w:color w:val="000000"/>
          <w:sz w:val="32"/>
          <w:szCs w:val="32"/>
        </w:rPr>
        <w:t>情况汇总后报</w:t>
      </w:r>
      <w:r>
        <w:rPr>
          <w:rFonts w:hint="default" w:ascii="Times New Roman" w:hAnsi="Times New Roman" w:eastAsia="方正仿宋简体" w:cs="Times New Roman"/>
          <w:color w:val="000000"/>
          <w:sz w:val="32"/>
          <w:szCs w:val="32"/>
          <w:lang w:eastAsia="zh-CN"/>
        </w:rPr>
        <w:t>市</w:t>
      </w:r>
      <w:r>
        <w:rPr>
          <w:rFonts w:hint="default" w:ascii="Times New Roman" w:hAnsi="Times New Roman" w:eastAsia="方正仿宋简体" w:cs="Times New Roman"/>
          <w:color w:val="000000"/>
          <w:sz w:val="32"/>
          <w:szCs w:val="32"/>
        </w:rPr>
        <w:t>财政</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lang w:val="en-US" w:eastAsia="zh-CN"/>
        </w:rPr>
        <w:t>.</w:t>
      </w:r>
      <w:r>
        <w:rPr>
          <w:rFonts w:hint="default" w:ascii="Times New Roman" w:hAnsi="Times New Roman" w:eastAsia="方正仿宋简体" w:cs="Times New Roman"/>
          <w:b/>
          <w:bCs/>
          <w:color w:val="000000"/>
          <w:sz w:val="32"/>
          <w:szCs w:val="32"/>
        </w:rPr>
        <w:t>公开结果。</w:t>
      </w:r>
      <w:r>
        <w:rPr>
          <w:rFonts w:hint="default" w:ascii="Times New Roman" w:hAnsi="Times New Roman" w:eastAsia="方正仿宋简体" w:cs="Times New Roman"/>
          <w:color w:val="000000"/>
          <w:sz w:val="32"/>
          <w:szCs w:val="32"/>
        </w:rPr>
        <w:t>除涉密信息外，</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将于202</w:t>
      </w: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月</w:t>
      </w:r>
      <w:r>
        <w:rPr>
          <w:rFonts w:hint="default" w:ascii="Times New Roman" w:hAnsi="Times New Roman" w:eastAsia="方正仿宋简体" w:cs="Times New Roman"/>
          <w:color w:val="000000"/>
          <w:sz w:val="32"/>
          <w:szCs w:val="32"/>
          <w:lang w:val="en-US" w:eastAsia="zh-CN"/>
        </w:rPr>
        <w:t>25</w:t>
      </w:r>
      <w:r>
        <w:rPr>
          <w:rFonts w:hint="default" w:ascii="Times New Roman" w:hAnsi="Times New Roman" w:eastAsia="方正仿宋简体" w:cs="Times New Roman"/>
          <w:color w:val="000000"/>
          <w:sz w:val="32"/>
          <w:szCs w:val="32"/>
        </w:rPr>
        <w:t>日前在门户网站全面公开202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年度部门整体支出绩效自评报告，接受社会监督。</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附件：1</w:t>
      </w:r>
      <w:r>
        <w:rPr>
          <w:rFonts w:hint="eastAsia"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年度部门整体支出绩效评价基础数据表</w:t>
      </w:r>
    </w:p>
    <w:p>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580" w:lineRule="exact"/>
        <w:ind w:firstLine="1600" w:firstLineChars="5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年度部门整体支出绩效自评表</w:t>
      </w:r>
    </w:p>
    <w:p>
      <w:pPr>
        <w:keepNext w:val="0"/>
        <w:keepLines w:val="0"/>
        <w:pageBreakBefore w:val="0"/>
        <w:widowControl w:val="0"/>
        <w:kinsoku/>
        <w:wordWrap/>
        <w:overflowPunct/>
        <w:topLinePunct w:val="0"/>
        <w:autoSpaceDE/>
        <w:autoSpaceDN/>
        <w:bidi w:val="0"/>
        <w:adjustRightInd/>
        <w:spacing w:beforeAutospacing="0" w:afterAutospacing="0" w:line="580" w:lineRule="exact"/>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80" w:lineRule="exact"/>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5120" w:firstLineChars="16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益阳市工业和信息化局</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5440" w:firstLineChars="1700"/>
        <w:textAlignment w:val="auto"/>
        <w:rPr>
          <w:rFonts w:hint="default" w:ascii="Times New Roman" w:hAnsi="Times New Roman" w:cs="Times New Roman"/>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年4月</w:t>
      </w:r>
      <w:r>
        <w:rPr>
          <w:rFonts w:hint="default" w:ascii="Times New Roman" w:hAnsi="Times New Roman" w:eastAsia="方正仿宋简体" w:cs="Times New Roman"/>
          <w:color w:val="000000"/>
          <w:sz w:val="32"/>
          <w:szCs w:val="32"/>
          <w:lang w:val="en-US" w:eastAsia="zh-CN"/>
        </w:rPr>
        <w:t>20</w:t>
      </w:r>
      <w:r>
        <w:rPr>
          <w:rFonts w:hint="default" w:ascii="Times New Roman" w:hAnsi="Times New Roman" w:eastAsia="方正仿宋简体" w:cs="Times New Roman"/>
          <w:color w:val="000000"/>
          <w:sz w:val="32"/>
          <w:szCs w:val="32"/>
        </w:rPr>
        <w:t>日</w:t>
      </w:r>
    </w:p>
    <w:p>
      <w:pPr>
        <w:rPr>
          <w:rFonts w:eastAsia="黑体"/>
          <w:szCs w:val="32"/>
        </w:rPr>
      </w:pPr>
      <w:r>
        <w:rPr>
          <w:rFonts w:eastAsia="黑体"/>
          <w:szCs w:val="32"/>
        </w:rPr>
        <w:br w:type="page"/>
      </w:r>
    </w:p>
    <w:p>
      <w:pPr>
        <w:widowControl/>
        <w:spacing w:line="4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2021年度部门整体支出绩效评价基础数据表</w:t>
      </w:r>
    </w:p>
    <w:tbl>
      <w:tblPr>
        <w:tblStyle w:val="9"/>
        <w:tblW w:w="9415" w:type="dxa"/>
        <w:jc w:val="center"/>
        <w:tblLayout w:type="fixed"/>
        <w:tblCellMar>
          <w:top w:w="0" w:type="dxa"/>
          <w:left w:w="108" w:type="dxa"/>
          <w:bottom w:w="0" w:type="dxa"/>
          <w:right w:w="108" w:type="dxa"/>
        </w:tblCellMar>
      </w:tblPr>
      <w:tblGrid>
        <w:gridCol w:w="3296"/>
        <w:gridCol w:w="880"/>
        <w:gridCol w:w="1043"/>
        <w:gridCol w:w="1171"/>
        <w:gridCol w:w="1150"/>
        <w:gridCol w:w="910"/>
        <w:gridCol w:w="924"/>
        <w:gridCol w:w="41"/>
      </w:tblGrid>
      <w:tr>
        <w:tblPrEx>
          <w:tblCellMar>
            <w:top w:w="0" w:type="dxa"/>
            <w:left w:w="108" w:type="dxa"/>
            <w:bottom w:w="0" w:type="dxa"/>
            <w:right w:w="108" w:type="dxa"/>
          </w:tblCellMar>
        </w:tblPrEx>
        <w:trPr>
          <w:gridAfter w:val="1"/>
          <w:wAfter w:w="41" w:type="dxa"/>
          <w:trHeight w:val="340" w:hRule="atLeast"/>
          <w:jc w:val="center"/>
        </w:trPr>
        <w:tc>
          <w:tcPr>
            <w:tcW w:w="32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kern w:val="0"/>
                <w:sz w:val="21"/>
                <w:szCs w:val="21"/>
              </w:rPr>
            </w:pPr>
            <w:r>
              <w:rPr>
                <w:rFonts w:ascii="Times New Roman" w:hAnsi="Times New Roman"/>
                <w:kern w:val="0"/>
                <w:sz w:val="21"/>
                <w:szCs w:val="21"/>
              </w:rPr>
              <w:t>财政供养人员情况（人）</w:t>
            </w:r>
          </w:p>
        </w:tc>
        <w:tc>
          <w:tcPr>
            <w:tcW w:w="1923" w:type="dxa"/>
            <w:gridSpan w:val="2"/>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编制数</w:t>
            </w:r>
          </w:p>
        </w:tc>
        <w:tc>
          <w:tcPr>
            <w:tcW w:w="2321" w:type="dxa"/>
            <w:gridSpan w:val="2"/>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202</w:t>
            </w:r>
            <w:r>
              <w:rPr>
                <w:rFonts w:hint="eastAsia" w:ascii="Times New Roman" w:hAnsi="Times New Roman"/>
                <w:b/>
                <w:bCs/>
                <w:kern w:val="0"/>
                <w:sz w:val="21"/>
                <w:szCs w:val="21"/>
              </w:rPr>
              <w:t>1</w:t>
            </w:r>
            <w:r>
              <w:rPr>
                <w:rFonts w:ascii="Times New Roman" w:hAnsi="Times New Roman"/>
                <w:b/>
                <w:bCs/>
                <w:kern w:val="0"/>
                <w:sz w:val="21"/>
                <w:szCs w:val="21"/>
              </w:rPr>
              <w:t>年实际在职人数</w:t>
            </w:r>
          </w:p>
        </w:tc>
        <w:tc>
          <w:tcPr>
            <w:tcW w:w="1834" w:type="dxa"/>
            <w:gridSpan w:val="2"/>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控制率</w:t>
            </w:r>
          </w:p>
        </w:tc>
      </w:tr>
      <w:tr>
        <w:tblPrEx>
          <w:tblCellMar>
            <w:top w:w="0" w:type="dxa"/>
            <w:left w:w="108" w:type="dxa"/>
            <w:bottom w:w="0" w:type="dxa"/>
            <w:right w:w="108" w:type="dxa"/>
          </w:tblCellMar>
        </w:tblPrEx>
        <w:trPr>
          <w:gridAfter w:val="1"/>
          <w:wAfter w:w="41" w:type="dxa"/>
          <w:trHeight w:val="370" w:hRule="atLeast"/>
          <w:jc w:val="center"/>
        </w:trPr>
        <w:tc>
          <w:tcPr>
            <w:tcW w:w="32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p>
        </w:tc>
        <w:tc>
          <w:tcPr>
            <w:tcW w:w="1923" w:type="dxa"/>
            <w:gridSpan w:val="2"/>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93</w:t>
            </w:r>
          </w:p>
        </w:tc>
        <w:tc>
          <w:tcPr>
            <w:tcW w:w="232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pacing w:val="-20"/>
                <w:kern w:val="0"/>
                <w:sz w:val="21"/>
                <w:szCs w:val="21"/>
                <w:lang w:val="en-US" w:eastAsia="zh-CN"/>
              </w:rPr>
            </w:pPr>
            <w:r>
              <w:rPr>
                <w:rFonts w:hint="eastAsia" w:ascii="Times New Roman" w:hAnsi="Times New Roman" w:eastAsiaTheme="minorEastAsia"/>
                <w:spacing w:val="-6"/>
                <w:kern w:val="0"/>
                <w:sz w:val="18"/>
                <w:szCs w:val="18"/>
                <w:lang w:val="en-US" w:eastAsia="zh-CN"/>
              </w:rPr>
              <w:t>103(含派驻纪检组及划归离退休中心管理人员</w:t>
            </w:r>
            <w:r>
              <w:rPr>
                <w:rFonts w:hint="eastAsia" w:ascii="Times New Roman" w:hAnsi="Times New Roman"/>
                <w:spacing w:val="-6"/>
                <w:kern w:val="0"/>
                <w:sz w:val="18"/>
                <w:szCs w:val="18"/>
                <w:lang w:val="en-US" w:eastAsia="zh-CN"/>
              </w:rPr>
              <w:t>计16人</w:t>
            </w:r>
            <w:r>
              <w:rPr>
                <w:rFonts w:hint="eastAsia" w:ascii="Times New Roman" w:hAnsi="Times New Roman" w:eastAsiaTheme="minorEastAsia"/>
                <w:spacing w:val="-6"/>
                <w:kern w:val="0"/>
                <w:sz w:val="18"/>
                <w:szCs w:val="18"/>
                <w:lang w:val="en-US" w:eastAsia="zh-CN"/>
              </w:rPr>
              <w:t>）</w:t>
            </w:r>
          </w:p>
        </w:tc>
        <w:tc>
          <w:tcPr>
            <w:tcW w:w="1834" w:type="dxa"/>
            <w:gridSpan w:val="2"/>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94%</w:t>
            </w:r>
          </w:p>
        </w:tc>
      </w:tr>
      <w:tr>
        <w:tblPrEx>
          <w:tblCellMar>
            <w:top w:w="0" w:type="dxa"/>
            <w:left w:w="108" w:type="dxa"/>
            <w:bottom w:w="0" w:type="dxa"/>
            <w:right w:w="108" w:type="dxa"/>
          </w:tblCellMar>
        </w:tblPrEx>
        <w:trPr>
          <w:gridAfter w:val="1"/>
          <w:wAfter w:w="41" w:type="dxa"/>
          <w:trHeight w:val="34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kern w:val="0"/>
                <w:sz w:val="21"/>
                <w:szCs w:val="21"/>
              </w:rPr>
            </w:pPr>
            <w:r>
              <w:rPr>
                <w:rFonts w:ascii="Times New Roman" w:hAnsi="Times New Roman"/>
                <w:kern w:val="0"/>
                <w:sz w:val="21"/>
                <w:szCs w:val="21"/>
              </w:rPr>
              <w:t>经费控制情况（万元）</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20</w:t>
            </w:r>
            <w:r>
              <w:rPr>
                <w:rFonts w:hint="eastAsia" w:ascii="Times New Roman" w:hAnsi="Times New Roman"/>
                <w:b/>
                <w:bCs/>
                <w:kern w:val="0"/>
                <w:sz w:val="21"/>
                <w:szCs w:val="21"/>
              </w:rPr>
              <w:t>20</w:t>
            </w:r>
            <w:r>
              <w:rPr>
                <w:rFonts w:ascii="Times New Roman" w:hAnsi="Times New Roman"/>
                <w:b/>
                <w:bCs/>
                <w:kern w:val="0"/>
                <w:sz w:val="21"/>
                <w:szCs w:val="21"/>
              </w:rPr>
              <w:t>年决算数</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Times New Roman" w:hAnsi="Times New Roman" w:eastAsiaTheme="minorEastAsia"/>
                <w:b/>
                <w:bCs/>
                <w:kern w:val="0"/>
                <w:sz w:val="21"/>
                <w:szCs w:val="21"/>
                <w:lang w:val="en-US" w:eastAsia="zh-CN"/>
              </w:rPr>
            </w:pPr>
            <w:r>
              <w:rPr>
                <w:rFonts w:ascii="Times New Roman" w:hAnsi="Times New Roman"/>
                <w:b/>
                <w:bCs/>
                <w:kern w:val="0"/>
                <w:sz w:val="21"/>
                <w:szCs w:val="21"/>
              </w:rPr>
              <w:t>202</w:t>
            </w:r>
            <w:r>
              <w:rPr>
                <w:rFonts w:hint="eastAsia" w:ascii="Times New Roman" w:hAnsi="Times New Roman"/>
                <w:b/>
                <w:bCs/>
                <w:kern w:val="0"/>
                <w:sz w:val="21"/>
                <w:szCs w:val="21"/>
              </w:rPr>
              <w:t>1</w:t>
            </w:r>
            <w:r>
              <w:rPr>
                <w:rFonts w:ascii="Times New Roman" w:hAnsi="Times New Roman"/>
                <w:b/>
                <w:bCs/>
                <w:kern w:val="0"/>
                <w:sz w:val="21"/>
                <w:szCs w:val="21"/>
              </w:rPr>
              <w:t>年预算数</w:t>
            </w:r>
            <w:r>
              <w:rPr>
                <w:rFonts w:hint="eastAsia" w:ascii="Times New Roman" w:hAnsi="Times New Roman"/>
                <w:b/>
                <w:bCs/>
                <w:kern w:val="0"/>
                <w:sz w:val="21"/>
                <w:szCs w:val="21"/>
                <w:lang w:eastAsia="zh-CN"/>
              </w:rPr>
              <w:t>（调整）</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b/>
                <w:bCs/>
                <w:kern w:val="0"/>
                <w:sz w:val="21"/>
                <w:szCs w:val="21"/>
              </w:rPr>
            </w:pPr>
            <w:r>
              <w:rPr>
                <w:rFonts w:ascii="Times New Roman" w:hAnsi="Times New Roman"/>
                <w:b/>
                <w:bCs/>
                <w:kern w:val="0"/>
                <w:sz w:val="21"/>
                <w:szCs w:val="21"/>
              </w:rPr>
              <w:t>202</w:t>
            </w:r>
            <w:r>
              <w:rPr>
                <w:rFonts w:hint="eastAsia" w:ascii="Times New Roman" w:hAnsi="Times New Roman"/>
                <w:b/>
                <w:bCs/>
                <w:kern w:val="0"/>
                <w:sz w:val="21"/>
                <w:szCs w:val="21"/>
              </w:rPr>
              <w:t>1</w:t>
            </w:r>
            <w:r>
              <w:rPr>
                <w:rFonts w:ascii="Times New Roman" w:hAnsi="Times New Roman"/>
                <w:b/>
                <w:bCs/>
                <w:kern w:val="0"/>
                <w:sz w:val="21"/>
                <w:szCs w:val="21"/>
              </w:rPr>
              <w:t>年决算数</w:t>
            </w:r>
          </w:p>
        </w:tc>
      </w:tr>
      <w:tr>
        <w:tblPrEx>
          <w:tblCellMar>
            <w:top w:w="0" w:type="dxa"/>
            <w:left w:w="108" w:type="dxa"/>
            <w:bottom w:w="0" w:type="dxa"/>
            <w:right w:w="108" w:type="dxa"/>
          </w:tblCellMar>
        </w:tblPrEx>
        <w:trPr>
          <w:gridAfter w:val="1"/>
          <w:wAfter w:w="41" w:type="dxa"/>
          <w:trHeight w:val="39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hint="eastAsia" w:ascii="Times New Roman" w:hAnsi="Times New Roman"/>
                <w:kern w:val="0"/>
                <w:sz w:val="21"/>
                <w:szCs w:val="21"/>
              </w:rPr>
            </w:pPr>
            <w:r>
              <w:rPr>
                <w:rFonts w:hint="eastAsia" w:ascii="Times New Roman" w:hAnsi="Times New Roman"/>
                <w:b/>
                <w:bCs/>
                <w:kern w:val="0"/>
                <w:sz w:val="21"/>
                <w:szCs w:val="21"/>
              </w:rPr>
              <w:t>支出总额</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b/>
                <w:bCs/>
                <w:kern w:val="0"/>
                <w:sz w:val="21"/>
                <w:szCs w:val="21"/>
              </w:rPr>
            </w:pPr>
            <w:r>
              <w:rPr>
                <w:rFonts w:hint="eastAsia" w:ascii="Times New Roman" w:hAnsi="Times New Roman"/>
                <w:b/>
                <w:bCs/>
                <w:kern w:val="0"/>
                <w:sz w:val="21"/>
                <w:szCs w:val="21"/>
              </w:rPr>
              <w:t>6457.49</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b/>
                <w:bCs/>
                <w:kern w:val="0"/>
                <w:sz w:val="21"/>
                <w:szCs w:val="21"/>
              </w:rPr>
            </w:pPr>
            <w:r>
              <w:rPr>
                <w:rFonts w:hint="eastAsia" w:ascii="Times New Roman" w:hAnsi="Times New Roman"/>
                <w:b/>
                <w:bCs/>
                <w:kern w:val="0"/>
                <w:sz w:val="21"/>
                <w:szCs w:val="21"/>
              </w:rPr>
              <w:t>3314.67</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b/>
                <w:bCs/>
                <w:kern w:val="0"/>
                <w:sz w:val="21"/>
                <w:szCs w:val="21"/>
              </w:rPr>
            </w:pPr>
            <w:r>
              <w:rPr>
                <w:rFonts w:hint="eastAsia" w:ascii="Times New Roman" w:hAnsi="Times New Roman"/>
                <w:b/>
                <w:bCs/>
                <w:kern w:val="0"/>
                <w:sz w:val="21"/>
                <w:szCs w:val="21"/>
              </w:rPr>
              <w:t>3304.06</w:t>
            </w:r>
          </w:p>
        </w:tc>
      </w:tr>
      <w:tr>
        <w:tblPrEx>
          <w:tblCellMar>
            <w:top w:w="0" w:type="dxa"/>
            <w:left w:w="108" w:type="dxa"/>
            <w:bottom w:w="0" w:type="dxa"/>
            <w:right w:w="108" w:type="dxa"/>
          </w:tblCellMar>
        </w:tblPrEx>
        <w:trPr>
          <w:gridAfter w:val="1"/>
          <w:wAfter w:w="41" w:type="dxa"/>
          <w:trHeight w:val="9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hint="eastAsia" w:ascii="Times New Roman" w:hAnsi="Times New Roman"/>
                <w:kern w:val="0"/>
                <w:sz w:val="21"/>
                <w:szCs w:val="21"/>
              </w:rPr>
            </w:pPr>
            <w:r>
              <w:rPr>
                <w:rFonts w:hint="eastAsia" w:ascii="Times New Roman" w:hAnsi="Times New Roman"/>
                <w:b/>
                <w:bCs/>
                <w:kern w:val="0"/>
                <w:sz w:val="21"/>
                <w:szCs w:val="21"/>
              </w:rPr>
              <w:t>基本支出</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1940.85</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2307.85</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2299.50</w:t>
            </w:r>
          </w:p>
        </w:tc>
      </w:tr>
      <w:tr>
        <w:tblPrEx>
          <w:tblCellMar>
            <w:top w:w="0" w:type="dxa"/>
            <w:left w:w="108" w:type="dxa"/>
            <w:bottom w:w="0" w:type="dxa"/>
            <w:right w:w="108" w:type="dxa"/>
          </w:tblCellMar>
        </w:tblPrEx>
        <w:trPr>
          <w:gridAfter w:val="1"/>
          <w:wAfter w:w="41" w:type="dxa"/>
          <w:trHeight w:val="33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其中：</w:t>
            </w:r>
            <w:r>
              <w:rPr>
                <w:rFonts w:hint="eastAsia" w:ascii="Times New Roman" w:hAnsi="Times New Roman"/>
                <w:kern w:val="0"/>
                <w:sz w:val="21"/>
                <w:szCs w:val="21"/>
              </w:rPr>
              <w:t>公用</w:t>
            </w:r>
            <w:r>
              <w:rPr>
                <w:rFonts w:ascii="Times New Roman" w:hAnsi="Times New Roman"/>
                <w:kern w:val="0"/>
                <w:sz w:val="21"/>
                <w:szCs w:val="21"/>
              </w:rPr>
              <w:t>经费</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277.29</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310.93</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302.58</w:t>
            </w:r>
          </w:p>
        </w:tc>
      </w:tr>
      <w:tr>
        <w:tblPrEx>
          <w:tblCellMar>
            <w:top w:w="0" w:type="dxa"/>
            <w:left w:w="108" w:type="dxa"/>
            <w:bottom w:w="0" w:type="dxa"/>
            <w:right w:w="108" w:type="dxa"/>
          </w:tblCellMar>
        </w:tblPrEx>
        <w:trPr>
          <w:gridAfter w:val="1"/>
          <w:wAfter w:w="41" w:type="dxa"/>
          <w:trHeight w:val="397"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r>
              <w:rPr>
                <w:rFonts w:ascii="Times New Roman" w:hAnsi="Times New Roman"/>
                <w:b/>
                <w:bCs/>
                <w:kern w:val="0"/>
                <w:sz w:val="21"/>
                <w:szCs w:val="21"/>
              </w:rPr>
              <w:t>项目支出</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4516.64</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1006.82</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1004.56</w:t>
            </w:r>
          </w:p>
        </w:tc>
      </w:tr>
      <w:tr>
        <w:tblPrEx>
          <w:tblCellMar>
            <w:top w:w="0" w:type="dxa"/>
            <w:left w:w="108" w:type="dxa"/>
            <w:bottom w:w="0" w:type="dxa"/>
            <w:right w:w="108" w:type="dxa"/>
          </w:tblCellMar>
        </w:tblPrEx>
        <w:trPr>
          <w:gridAfter w:val="1"/>
          <w:wAfter w:w="41" w:type="dxa"/>
          <w:trHeight w:val="38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b/>
                <w:bCs/>
                <w:kern w:val="0"/>
                <w:sz w:val="21"/>
                <w:szCs w:val="21"/>
              </w:rPr>
            </w:pPr>
            <w:r>
              <w:rPr>
                <w:rFonts w:ascii="Times New Roman" w:hAnsi="Times New Roman"/>
                <w:kern w:val="0"/>
                <w:sz w:val="21"/>
                <w:szCs w:val="21"/>
              </w:rPr>
              <w:t xml:space="preserve"> </w:t>
            </w:r>
            <w:r>
              <w:rPr>
                <w:rFonts w:hint="eastAsia" w:ascii="Times New Roman" w:hAnsi="Times New Roman"/>
                <w:kern w:val="0"/>
                <w:sz w:val="21"/>
                <w:szCs w:val="21"/>
              </w:rPr>
              <w:t xml:space="preserve">   其中：1、运行维护经费</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302.16</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269.97</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267.71</w:t>
            </w:r>
          </w:p>
        </w:tc>
      </w:tr>
      <w:tr>
        <w:tblPrEx>
          <w:tblCellMar>
            <w:top w:w="0" w:type="dxa"/>
            <w:left w:w="108" w:type="dxa"/>
            <w:bottom w:w="0" w:type="dxa"/>
            <w:right w:w="108" w:type="dxa"/>
          </w:tblCellMar>
        </w:tblPrEx>
        <w:trPr>
          <w:gridAfter w:val="1"/>
          <w:wAfter w:w="41" w:type="dxa"/>
          <w:trHeight w:val="45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ascii="Times New Roman" w:hAnsi="Times New Roman"/>
                <w:kern w:val="0"/>
                <w:sz w:val="21"/>
                <w:szCs w:val="21"/>
              </w:rPr>
            </w:pPr>
            <w:r>
              <w:rPr>
                <w:rFonts w:ascii="Times New Roman" w:hAnsi="Times New Roman"/>
                <w:kern w:val="0"/>
                <w:sz w:val="21"/>
                <w:szCs w:val="21"/>
              </w:rPr>
              <w:t xml:space="preserve">  </w:t>
            </w:r>
            <w:r>
              <w:rPr>
                <w:rFonts w:hint="eastAsia" w:ascii="Times New Roman" w:hAnsi="Times New Roman"/>
                <w:kern w:val="0"/>
                <w:sz w:val="21"/>
                <w:szCs w:val="21"/>
              </w:rPr>
              <w:t xml:space="preserve">        2、</w:t>
            </w:r>
            <w:r>
              <w:rPr>
                <w:rFonts w:ascii="Times New Roman" w:hAnsi="Times New Roman"/>
                <w:kern w:val="0"/>
                <w:sz w:val="21"/>
                <w:szCs w:val="21"/>
              </w:rPr>
              <w:t>专项资金</w:t>
            </w:r>
          </w:p>
          <w:p>
            <w:pPr>
              <w:widowControl/>
              <w:spacing w:line="220" w:lineRule="exact"/>
              <w:ind w:firstLine="840" w:firstLineChars="400"/>
              <w:jc w:val="left"/>
              <w:rPr>
                <w:rFonts w:ascii="Times New Roman" w:hAnsi="Times New Roman"/>
                <w:kern w:val="0"/>
                <w:sz w:val="21"/>
                <w:szCs w:val="21"/>
              </w:rPr>
            </w:pPr>
            <w:r>
              <w:rPr>
                <w:rFonts w:ascii="Times New Roman" w:hAnsi="Times New Roman"/>
                <w:kern w:val="0"/>
                <w:sz w:val="21"/>
                <w:szCs w:val="21"/>
              </w:rPr>
              <w:t>（一个项</w:t>
            </w:r>
            <w:r>
              <w:rPr>
                <w:rFonts w:hint="eastAsia" w:ascii="Times New Roman" w:hAnsi="Times New Roman"/>
                <w:kern w:val="0"/>
                <w:sz w:val="21"/>
                <w:szCs w:val="21"/>
              </w:rPr>
              <w:t>目</w:t>
            </w:r>
            <w:r>
              <w:rPr>
                <w:rFonts w:ascii="Times New Roman" w:hAnsi="Times New Roman"/>
                <w:kern w:val="0"/>
                <w:sz w:val="21"/>
                <w:szCs w:val="21"/>
              </w:rPr>
              <w:t xml:space="preserve">一行） </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ascii="Times New Roman" w:hAnsi="Times New Roman"/>
                <w:kern w:val="0"/>
                <w:sz w:val="21"/>
                <w:szCs w:val="21"/>
              </w:rPr>
            </w:pPr>
            <w:r>
              <w:rPr>
                <w:rFonts w:hint="eastAsia" w:ascii="Times New Roman" w:hAnsi="Times New Roman"/>
                <w:kern w:val="0"/>
                <w:sz w:val="21"/>
                <w:szCs w:val="21"/>
              </w:rPr>
              <w:t>4214.48</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736.85</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736.85</w:t>
            </w:r>
          </w:p>
        </w:tc>
      </w:tr>
      <w:tr>
        <w:tblPrEx>
          <w:tblCellMar>
            <w:top w:w="0" w:type="dxa"/>
            <w:left w:w="108" w:type="dxa"/>
            <w:bottom w:w="0" w:type="dxa"/>
            <w:right w:w="108" w:type="dxa"/>
          </w:tblCellMar>
        </w:tblPrEx>
        <w:trPr>
          <w:gridAfter w:val="1"/>
          <w:wAfter w:w="41" w:type="dxa"/>
          <w:trHeight w:val="45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eastAsia="zh-CN"/>
              </w:rPr>
              <w:t>湖南</w:t>
            </w:r>
            <w:r>
              <w:rPr>
                <w:rFonts w:hint="eastAsia" w:ascii="Times New Roman" w:hAnsi="Times New Roman"/>
                <w:kern w:val="0"/>
                <w:sz w:val="21"/>
                <w:szCs w:val="21"/>
                <w:lang w:val="en-US" w:eastAsia="zh-CN"/>
              </w:rPr>
              <w:t>5G发展高峰论坛</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141.00</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eastAsia" w:ascii="Times New Roman" w:hAnsi="Times New Roman"/>
                <w:kern w:val="0"/>
                <w:sz w:val="21"/>
                <w:szCs w:val="21"/>
                <w:lang w:val="en-US" w:eastAsia="zh-CN"/>
              </w:rPr>
            </w:pP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eastAsia" w:ascii="Times New Roman" w:hAnsi="Times New Roman"/>
                <w:kern w:val="0"/>
                <w:sz w:val="21"/>
                <w:szCs w:val="21"/>
                <w:lang w:val="en-US" w:eastAsia="zh-CN"/>
              </w:rPr>
            </w:pPr>
          </w:p>
        </w:tc>
      </w:tr>
      <w:tr>
        <w:tblPrEx>
          <w:tblCellMar>
            <w:top w:w="0" w:type="dxa"/>
            <w:left w:w="108" w:type="dxa"/>
            <w:bottom w:w="0" w:type="dxa"/>
            <w:right w:w="108" w:type="dxa"/>
          </w:tblCellMar>
        </w:tblPrEx>
        <w:trPr>
          <w:gridAfter w:val="1"/>
          <w:wAfter w:w="41" w:type="dxa"/>
          <w:trHeight w:val="37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Times New Roman" w:hAnsi="Times New Roman" w:eastAsiaTheme="minorEastAsia"/>
                <w:kern w:val="0"/>
                <w:sz w:val="21"/>
                <w:szCs w:val="21"/>
                <w:lang w:eastAsia="zh-CN"/>
              </w:rPr>
            </w:pPr>
            <w:r>
              <w:rPr>
                <w:rFonts w:hint="eastAsia" w:ascii="Times New Roman" w:hAnsi="Times New Roman"/>
                <w:kern w:val="0"/>
                <w:sz w:val="21"/>
                <w:szCs w:val="21"/>
                <w:lang w:eastAsia="zh-CN"/>
              </w:rPr>
              <w:t>防疫</w:t>
            </w:r>
            <w:bookmarkStart w:id="0" w:name="_GoBack"/>
            <w:bookmarkEnd w:id="0"/>
            <w:r>
              <w:rPr>
                <w:rFonts w:hint="eastAsia" w:ascii="Times New Roman" w:hAnsi="Times New Roman"/>
                <w:kern w:val="0"/>
                <w:sz w:val="21"/>
                <w:szCs w:val="21"/>
                <w:lang w:eastAsia="zh-CN"/>
              </w:rPr>
              <w:t>经费</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default" w:ascii="Times New Roman" w:hAnsi="Times New Roman"/>
                <w:kern w:val="0"/>
                <w:sz w:val="21"/>
                <w:szCs w:val="21"/>
                <w:lang w:val="en-US" w:eastAsia="zh-CN"/>
              </w:rPr>
            </w:pPr>
            <w:r>
              <w:rPr>
                <w:rFonts w:hint="eastAsia" w:ascii="Times New Roman" w:hAnsi="Times New Roman"/>
                <w:kern w:val="0"/>
                <w:sz w:val="21"/>
                <w:szCs w:val="21"/>
                <w:lang w:val="en-US" w:eastAsia="zh-CN"/>
              </w:rPr>
              <w:t>944.02</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eastAsia" w:ascii="Times New Roman" w:hAnsi="Times New Roman"/>
                <w:kern w:val="0"/>
                <w:sz w:val="21"/>
                <w:szCs w:val="21"/>
                <w:lang w:val="en-US" w:eastAsia="zh-CN"/>
              </w:rPr>
            </w:pP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eastAsia" w:ascii="Times New Roman" w:hAnsi="Times New Roman"/>
                <w:kern w:val="0"/>
                <w:sz w:val="21"/>
                <w:szCs w:val="21"/>
                <w:lang w:val="en-US" w:eastAsia="zh-CN"/>
              </w:rPr>
            </w:pPr>
          </w:p>
        </w:tc>
      </w:tr>
      <w:tr>
        <w:tblPrEx>
          <w:tblCellMar>
            <w:top w:w="0" w:type="dxa"/>
            <w:left w:w="108" w:type="dxa"/>
            <w:bottom w:w="0" w:type="dxa"/>
            <w:right w:w="108" w:type="dxa"/>
          </w:tblCellMar>
        </w:tblPrEx>
        <w:trPr>
          <w:gridAfter w:val="1"/>
          <w:wAfter w:w="41" w:type="dxa"/>
          <w:trHeight w:val="39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ascii="Times New Roman" w:hAnsi="Times New Roman"/>
                <w:kern w:val="0"/>
                <w:sz w:val="21"/>
                <w:szCs w:val="21"/>
              </w:rPr>
            </w:pPr>
            <w:r>
              <w:rPr>
                <w:rFonts w:hint="eastAsia" w:ascii="Times New Roman" w:hAnsi="Times New Roman"/>
                <w:kern w:val="0"/>
                <w:sz w:val="21"/>
                <w:szCs w:val="21"/>
              </w:rPr>
              <w:t>应急物资保障体系建设补助</w:t>
            </w:r>
            <w:r>
              <w:rPr>
                <w:rFonts w:hint="eastAsia" w:ascii="Times New Roman" w:hAnsi="Times New Roman"/>
                <w:kern w:val="0"/>
                <w:sz w:val="21"/>
                <w:szCs w:val="21"/>
                <w:lang w:eastAsia="zh-CN"/>
              </w:rPr>
              <w:t>资</w:t>
            </w:r>
            <w:r>
              <w:rPr>
                <w:rFonts w:hint="eastAsia" w:ascii="Times New Roman" w:hAnsi="Times New Roman"/>
                <w:kern w:val="0"/>
                <w:sz w:val="21"/>
                <w:szCs w:val="21"/>
              </w:rPr>
              <w:t>金</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2850.79</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512.47</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512.47</w:t>
            </w:r>
          </w:p>
        </w:tc>
      </w:tr>
      <w:tr>
        <w:tblPrEx>
          <w:tblCellMar>
            <w:top w:w="0" w:type="dxa"/>
            <w:left w:w="108" w:type="dxa"/>
            <w:bottom w:w="0" w:type="dxa"/>
            <w:right w:w="108" w:type="dxa"/>
          </w:tblCellMar>
        </w:tblPrEx>
        <w:trPr>
          <w:gridAfter w:val="1"/>
          <w:wAfter w:w="41" w:type="dxa"/>
          <w:trHeight w:val="440" w:hRule="atLeast"/>
          <w:jc w:val="center"/>
        </w:trPr>
        <w:tc>
          <w:tcPr>
            <w:tcW w:w="32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kern w:val="0"/>
                <w:sz w:val="21"/>
                <w:szCs w:val="21"/>
              </w:rPr>
            </w:pPr>
            <w:r>
              <w:rPr>
                <w:rFonts w:hint="eastAsia" w:ascii="Times New Roman" w:hAnsi="Times New Roman" w:eastAsiaTheme="minorEastAsia"/>
                <w:spacing w:val="-11"/>
                <w:kern w:val="0"/>
                <w:sz w:val="21"/>
                <w:szCs w:val="21"/>
                <w:lang w:val="en-US" w:eastAsia="zh-CN"/>
              </w:rPr>
              <w:t>无线电管理经费（中央财政补助资金）</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Times New Roman" w:hAnsi="Times New Roman"/>
                <w:kern w:val="0"/>
                <w:sz w:val="21"/>
                <w:szCs w:val="21"/>
              </w:rPr>
            </w:pPr>
            <w:r>
              <w:rPr>
                <w:rFonts w:hint="eastAsia" w:ascii="Times New Roman" w:hAnsi="Times New Roman"/>
                <w:kern w:val="0"/>
                <w:sz w:val="21"/>
                <w:szCs w:val="21"/>
              </w:rPr>
              <w:t>278.67</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Times New Roman" w:hAnsi="Times New Roman"/>
                <w:kern w:val="0"/>
                <w:sz w:val="21"/>
                <w:szCs w:val="21"/>
              </w:rPr>
            </w:pPr>
            <w:r>
              <w:rPr>
                <w:rFonts w:hint="eastAsia" w:ascii="Times New Roman" w:hAnsi="Times New Roman"/>
                <w:kern w:val="0"/>
                <w:sz w:val="21"/>
                <w:szCs w:val="21"/>
              </w:rPr>
              <w:t>129.89</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Times New Roman" w:hAnsi="Times New Roman"/>
                <w:kern w:val="0"/>
                <w:sz w:val="21"/>
                <w:szCs w:val="21"/>
              </w:rPr>
            </w:pPr>
            <w:r>
              <w:rPr>
                <w:rFonts w:hint="eastAsia" w:ascii="Times New Roman" w:hAnsi="Times New Roman"/>
                <w:kern w:val="0"/>
                <w:sz w:val="21"/>
                <w:szCs w:val="21"/>
              </w:rPr>
              <w:t>129.89</w:t>
            </w:r>
          </w:p>
        </w:tc>
      </w:tr>
      <w:tr>
        <w:tblPrEx>
          <w:tblCellMar>
            <w:top w:w="0" w:type="dxa"/>
            <w:left w:w="108" w:type="dxa"/>
            <w:bottom w:w="0" w:type="dxa"/>
            <w:right w:w="108" w:type="dxa"/>
          </w:tblCellMar>
        </w:tblPrEx>
        <w:trPr>
          <w:gridAfter w:val="1"/>
          <w:wAfter w:w="41" w:type="dxa"/>
          <w:trHeight w:val="32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hint="eastAsia" w:ascii="Times New Roman" w:hAnsi="Times New Roman" w:eastAsiaTheme="minorEastAsia"/>
                <w:kern w:val="0"/>
                <w:sz w:val="21"/>
                <w:szCs w:val="21"/>
                <w:lang w:eastAsia="zh-CN"/>
              </w:rPr>
            </w:pPr>
            <w:r>
              <w:rPr>
                <w:rFonts w:hint="eastAsia" w:ascii="Times New Roman" w:hAnsi="Times New Roman"/>
                <w:kern w:val="0"/>
                <w:sz w:val="21"/>
                <w:szCs w:val="21"/>
                <w:lang w:eastAsia="zh-CN"/>
              </w:rPr>
              <w:t>新兴优势</w:t>
            </w:r>
            <w:r>
              <w:rPr>
                <w:rFonts w:hint="eastAsia" w:ascii="Times New Roman" w:hAnsi="Times New Roman"/>
                <w:kern w:val="0"/>
                <w:sz w:val="21"/>
                <w:szCs w:val="21"/>
              </w:rPr>
              <w:t>产业链工作专项</w:t>
            </w:r>
            <w:r>
              <w:rPr>
                <w:rFonts w:hint="eastAsia" w:ascii="Times New Roman" w:hAnsi="Times New Roman"/>
                <w:kern w:val="0"/>
                <w:sz w:val="21"/>
                <w:szCs w:val="21"/>
                <w:lang w:eastAsia="zh-CN"/>
              </w:rPr>
              <w:t>经费</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Times New Roman" w:hAnsi="Times New Roman"/>
                <w:kern w:val="0"/>
                <w:sz w:val="21"/>
                <w:szCs w:val="21"/>
              </w:rPr>
            </w:pP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26.49</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26.49</w:t>
            </w:r>
          </w:p>
        </w:tc>
      </w:tr>
      <w:tr>
        <w:tblPrEx>
          <w:tblCellMar>
            <w:top w:w="0" w:type="dxa"/>
            <w:left w:w="108" w:type="dxa"/>
            <w:bottom w:w="0" w:type="dxa"/>
            <w:right w:w="108" w:type="dxa"/>
          </w:tblCellMar>
        </w:tblPrEx>
        <w:trPr>
          <w:gridAfter w:val="1"/>
          <w:wAfter w:w="41" w:type="dxa"/>
          <w:trHeight w:val="397" w:hRule="atLeast"/>
          <w:jc w:val="center"/>
        </w:trPr>
        <w:tc>
          <w:tcPr>
            <w:tcW w:w="32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Times New Roman" w:hAnsi="Times New Roman" w:eastAsiaTheme="minorEastAsia"/>
                <w:spacing w:val="-11"/>
                <w:kern w:val="0"/>
                <w:sz w:val="21"/>
                <w:szCs w:val="21"/>
              </w:rPr>
            </w:pPr>
            <w:r>
              <w:rPr>
                <w:rFonts w:hint="eastAsia" w:ascii="Times New Roman" w:hAnsi="Times New Roman" w:eastAsiaTheme="minorEastAsia"/>
                <w:spacing w:val="-17"/>
                <w:kern w:val="0"/>
                <w:sz w:val="21"/>
                <w:szCs w:val="21"/>
                <w:lang w:val="en-US" w:eastAsia="zh-CN"/>
              </w:rPr>
              <w:t>《益阳市数字经济发展规划》编制经费</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Theme="minorEastAsia"/>
                <w:kern w:val="0"/>
                <w:sz w:val="21"/>
                <w:szCs w:val="21"/>
                <w:lang w:val="en-US" w:eastAsia="zh-CN"/>
              </w:rPr>
            </w:pP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68.00</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68.00</w:t>
            </w:r>
          </w:p>
        </w:tc>
      </w:tr>
      <w:tr>
        <w:tblPrEx>
          <w:tblCellMar>
            <w:top w:w="0" w:type="dxa"/>
            <w:left w:w="108" w:type="dxa"/>
            <w:bottom w:w="0" w:type="dxa"/>
            <w:right w:w="108" w:type="dxa"/>
          </w:tblCellMar>
        </w:tblPrEx>
        <w:trPr>
          <w:gridAfter w:val="1"/>
          <w:wAfter w:w="41" w:type="dxa"/>
          <w:trHeight w:val="397"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r>
              <w:rPr>
                <w:rFonts w:ascii="Times New Roman" w:hAnsi="Times New Roman"/>
                <w:b/>
                <w:bCs/>
                <w:kern w:val="0"/>
                <w:sz w:val="21"/>
                <w:szCs w:val="21"/>
              </w:rPr>
              <w:t>三公经费</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33.76</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65.45</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34.13</w:t>
            </w:r>
          </w:p>
        </w:tc>
      </w:tr>
      <w:tr>
        <w:tblPrEx>
          <w:tblCellMar>
            <w:top w:w="0" w:type="dxa"/>
            <w:left w:w="108" w:type="dxa"/>
            <w:bottom w:w="0" w:type="dxa"/>
            <w:right w:w="108" w:type="dxa"/>
          </w:tblCellMar>
        </w:tblPrEx>
        <w:trPr>
          <w:gridAfter w:val="1"/>
          <w:wAfter w:w="41" w:type="dxa"/>
          <w:trHeight w:val="397"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1、公务用车购置和维护经费</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26.1</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49</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26.08</w:t>
            </w:r>
          </w:p>
        </w:tc>
      </w:tr>
      <w:tr>
        <w:tblPrEx>
          <w:tblCellMar>
            <w:top w:w="0" w:type="dxa"/>
            <w:left w:w="108" w:type="dxa"/>
            <w:bottom w:w="0" w:type="dxa"/>
            <w:right w:w="108" w:type="dxa"/>
          </w:tblCellMar>
        </w:tblPrEx>
        <w:trPr>
          <w:gridAfter w:val="1"/>
          <w:wAfter w:w="41" w:type="dxa"/>
          <w:trHeight w:val="34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其中：公车购置</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p>
        </w:tc>
      </w:tr>
      <w:tr>
        <w:tblPrEx>
          <w:tblCellMar>
            <w:top w:w="0" w:type="dxa"/>
            <w:left w:w="108" w:type="dxa"/>
            <w:bottom w:w="0" w:type="dxa"/>
            <w:right w:w="108" w:type="dxa"/>
          </w:tblCellMar>
        </w:tblPrEx>
        <w:trPr>
          <w:gridAfter w:val="1"/>
          <w:wAfter w:w="41" w:type="dxa"/>
          <w:trHeight w:val="33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公车运行维护</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26.1</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49</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default" w:ascii="Times New Roman" w:hAnsi="Times New Roman" w:eastAsiaTheme="minorEastAsia"/>
                <w:kern w:val="0"/>
                <w:sz w:val="21"/>
                <w:szCs w:val="21"/>
                <w:lang w:val="en-US" w:eastAsia="zh-CN"/>
              </w:rPr>
            </w:pPr>
            <w:r>
              <w:rPr>
                <w:rFonts w:hint="eastAsia" w:ascii="Times New Roman" w:hAnsi="Times New Roman"/>
                <w:kern w:val="0"/>
                <w:sz w:val="21"/>
                <w:szCs w:val="21"/>
                <w:lang w:val="en-US" w:eastAsia="zh-CN"/>
              </w:rPr>
              <w:t>26.08</w:t>
            </w:r>
          </w:p>
        </w:tc>
      </w:tr>
      <w:tr>
        <w:tblPrEx>
          <w:tblCellMar>
            <w:top w:w="0" w:type="dxa"/>
            <w:left w:w="108" w:type="dxa"/>
            <w:bottom w:w="0" w:type="dxa"/>
            <w:right w:w="108" w:type="dxa"/>
          </w:tblCellMar>
        </w:tblPrEx>
        <w:trPr>
          <w:gridAfter w:val="1"/>
          <w:wAfter w:w="41" w:type="dxa"/>
          <w:trHeight w:val="397"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2、出国经费</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p>
        </w:tc>
      </w:tr>
      <w:tr>
        <w:tblPrEx>
          <w:tblCellMar>
            <w:top w:w="0" w:type="dxa"/>
            <w:left w:w="108" w:type="dxa"/>
            <w:bottom w:w="0" w:type="dxa"/>
            <w:right w:w="108" w:type="dxa"/>
          </w:tblCellMar>
        </w:tblPrEx>
        <w:trPr>
          <w:gridAfter w:val="1"/>
          <w:wAfter w:w="41" w:type="dxa"/>
          <w:trHeight w:val="37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r>
              <w:rPr>
                <w:rFonts w:ascii="Times New Roman" w:hAnsi="Times New Roman"/>
                <w:kern w:val="0"/>
                <w:sz w:val="21"/>
                <w:szCs w:val="21"/>
              </w:rPr>
              <w:t xml:space="preserve">   3、公务接待</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7.66</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16.45</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8.05</w:t>
            </w:r>
          </w:p>
        </w:tc>
      </w:tr>
      <w:tr>
        <w:tblPrEx>
          <w:tblCellMar>
            <w:top w:w="0" w:type="dxa"/>
            <w:left w:w="108" w:type="dxa"/>
            <w:bottom w:w="0" w:type="dxa"/>
            <w:right w:w="108" w:type="dxa"/>
          </w:tblCellMar>
        </w:tblPrEx>
        <w:trPr>
          <w:gridAfter w:val="1"/>
          <w:wAfter w:w="41" w:type="dxa"/>
          <w:trHeight w:val="39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r>
              <w:rPr>
                <w:rFonts w:ascii="Times New Roman" w:hAnsi="Times New Roman"/>
                <w:b/>
                <w:bCs/>
                <w:kern w:val="0"/>
                <w:sz w:val="21"/>
                <w:szCs w:val="21"/>
              </w:rPr>
              <w:t>政府采购金额</w:t>
            </w:r>
          </w:p>
        </w:tc>
        <w:tc>
          <w:tcPr>
            <w:tcW w:w="1923"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ascii="Times New Roman" w:hAnsi="Times New Roman"/>
                <w:kern w:val="0"/>
                <w:sz w:val="21"/>
                <w:szCs w:val="21"/>
              </w:rPr>
              <w:t>——</w:t>
            </w:r>
          </w:p>
        </w:tc>
        <w:tc>
          <w:tcPr>
            <w:tcW w:w="2321"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179.11</w:t>
            </w:r>
          </w:p>
        </w:tc>
        <w:tc>
          <w:tcPr>
            <w:tcW w:w="1834"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Times New Roman" w:hAnsi="Times New Roman"/>
                <w:kern w:val="0"/>
                <w:sz w:val="21"/>
                <w:szCs w:val="21"/>
              </w:rPr>
            </w:pPr>
            <w:r>
              <w:rPr>
                <w:rFonts w:hint="eastAsia" w:ascii="Times New Roman" w:hAnsi="Times New Roman"/>
                <w:kern w:val="0"/>
                <w:sz w:val="21"/>
                <w:szCs w:val="21"/>
              </w:rPr>
              <w:t>179.11</w:t>
            </w:r>
          </w:p>
        </w:tc>
      </w:tr>
      <w:tr>
        <w:tblPrEx>
          <w:tblCellMar>
            <w:top w:w="0" w:type="dxa"/>
            <w:left w:w="108" w:type="dxa"/>
            <w:bottom w:w="0" w:type="dxa"/>
            <w:right w:w="108" w:type="dxa"/>
          </w:tblCellMar>
        </w:tblPrEx>
        <w:trPr>
          <w:trHeight w:val="460" w:hRule="atLeast"/>
          <w:jc w:val="center"/>
        </w:trPr>
        <w:tc>
          <w:tcPr>
            <w:tcW w:w="32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楼堂馆所控制情况</w:t>
            </w:r>
            <w:r>
              <w:rPr>
                <w:rFonts w:ascii="Times New Roman" w:hAnsi="Times New Roman"/>
                <w:kern w:val="0"/>
                <w:sz w:val="21"/>
                <w:szCs w:val="21"/>
              </w:rPr>
              <w:br w:type="textWrapping"/>
            </w:r>
            <w:r>
              <w:rPr>
                <w:rFonts w:ascii="Times New Roman" w:hAnsi="Times New Roman"/>
                <w:kern w:val="0"/>
                <w:sz w:val="21"/>
                <w:szCs w:val="21"/>
              </w:rPr>
              <w:t>（202</w:t>
            </w:r>
            <w:r>
              <w:rPr>
                <w:rFonts w:hint="eastAsia" w:ascii="Times New Roman" w:hAnsi="Times New Roman"/>
                <w:kern w:val="0"/>
                <w:sz w:val="21"/>
                <w:szCs w:val="21"/>
              </w:rPr>
              <w:t>1</w:t>
            </w:r>
            <w:r>
              <w:rPr>
                <w:rFonts w:ascii="Times New Roman" w:hAnsi="Times New Roman"/>
                <w:kern w:val="0"/>
                <w:sz w:val="21"/>
                <w:szCs w:val="21"/>
              </w:rPr>
              <w:t>年完工项目）</w:t>
            </w:r>
          </w:p>
        </w:tc>
        <w:tc>
          <w:tcPr>
            <w:tcW w:w="8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Theme="minorEastAsia"/>
                <w:spacing w:val="-11"/>
                <w:kern w:val="0"/>
                <w:sz w:val="18"/>
                <w:szCs w:val="18"/>
              </w:rPr>
            </w:pPr>
            <w:r>
              <w:rPr>
                <w:rFonts w:ascii="Times New Roman" w:hAnsi="Times New Roman" w:eastAsiaTheme="minorEastAsia"/>
                <w:spacing w:val="-11"/>
                <w:kern w:val="0"/>
                <w:sz w:val="18"/>
                <w:szCs w:val="18"/>
              </w:rPr>
              <w:t>批复规模</w:t>
            </w:r>
            <w:r>
              <w:rPr>
                <w:rFonts w:ascii="Times New Roman" w:hAnsi="Times New Roman" w:eastAsiaTheme="minorEastAsia"/>
                <w:spacing w:val="-11"/>
                <w:kern w:val="0"/>
                <w:sz w:val="18"/>
                <w:szCs w:val="18"/>
              </w:rPr>
              <w:br w:type="textWrapping"/>
            </w:r>
            <w:r>
              <w:rPr>
                <w:rFonts w:ascii="Times New Roman" w:hAnsi="Times New Roman" w:eastAsiaTheme="minorEastAsia"/>
                <w:spacing w:val="-11"/>
                <w:kern w:val="0"/>
                <w:sz w:val="18"/>
                <w:szCs w:val="18"/>
              </w:rPr>
              <w:t>（㎡）</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Theme="minorEastAsia"/>
                <w:spacing w:val="-11"/>
                <w:kern w:val="0"/>
                <w:sz w:val="18"/>
                <w:szCs w:val="18"/>
              </w:rPr>
            </w:pPr>
            <w:r>
              <w:rPr>
                <w:rFonts w:ascii="Times New Roman" w:hAnsi="Times New Roman" w:eastAsiaTheme="minorEastAsia"/>
                <w:spacing w:val="-11"/>
                <w:kern w:val="0"/>
                <w:sz w:val="18"/>
                <w:szCs w:val="18"/>
              </w:rPr>
              <w:t>实际规模（㎡）</w:t>
            </w:r>
          </w:p>
        </w:tc>
        <w:tc>
          <w:tcPr>
            <w:tcW w:w="1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Theme="minorEastAsia"/>
                <w:spacing w:val="-11"/>
                <w:kern w:val="0"/>
                <w:sz w:val="18"/>
                <w:szCs w:val="18"/>
              </w:rPr>
            </w:pPr>
            <w:r>
              <w:rPr>
                <w:rFonts w:ascii="Times New Roman" w:hAnsi="Times New Roman" w:eastAsiaTheme="minorEastAsia"/>
                <w:spacing w:val="-11"/>
                <w:kern w:val="0"/>
                <w:sz w:val="18"/>
                <w:szCs w:val="18"/>
              </w:rPr>
              <w:t>规模控制率</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Theme="minorEastAsia"/>
                <w:spacing w:val="-11"/>
                <w:kern w:val="0"/>
                <w:sz w:val="18"/>
                <w:szCs w:val="18"/>
              </w:rPr>
            </w:pPr>
            <w:r>
              <w:rPr>
                <w:rFonts w:ascii="Times New Roman" w:hAnsi="Times New Roman" w:eastAsiaTheme="minorEastAsia"/>
                <w:spacing w:val="-11"/>
                <w:kern w:val="0"/>
                <w:sz w:val="18"/>
                <w:szCs w:val="18"/>
              </w:rPr>
              <w:t>预算投资（万元）</w:t>
            </w:r>
          </w:p>
        </w:tc>
        <w:tc>
          <w:tcPr>
            <w:tcW w:w="9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Theme="minorEastAsia"/>
                <w:spacing w:val="-11"/>
                <w:kern w:val="0"/>
                <w:sz w:val="18"/>
                <w:szCs w:val="18"/>
              </w:rPr>
            </w:pPr>
            <w:r>
              <w:rPr>
                <w:rFonts w:ascii="Times New Roman" w:hAnsi="Times New Roman" w:eastAsiaTheme="minorEastAsia"/>
                <w:spacing w:val="-11"/>
                <w:kern w:val="0"/>
                <w:sz w:val="18"/>
                <w:szCs w:val="18"/>
              </w:rPr>
              <w:t>实际投资（万元）</w:t>
            </w:r>
          </w:p>
        </w:tc>
        <w:tc>
          <w:tcPr>
            <w:tcW w:w="96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Theme="minorEastAsia"/>
                <w:spacing w:val="-11"/>
                <w:kern w:val="0"/>
                <w:sz w:val="18"/>
                <w:szCs w:val="18"/>
              </w:rPr>
            </w:pPr>
            <w:r>
              <w:rPr>
                <w:rFonts w:ascii="Times New Roman" w:hAnsi="Times New Roman" w:eastAsiaTheme="minorEastAsia"/>
                <w:spacing w:val="-11"/>
                <w:kern w:val="0"/>
                <w:sz w:val="18"/>
                <w:szCs w:val="18"/>
              </w:rPr>
              <w:t>投资概算控制率</w:t>
            </w:r>
          </w:p>
        </w:tc>
      </w:tr>
      <w:tr>
        <w:tblPrEx>
          <w:tblCellMar>
            <w:top w:w="0" w:type="dxa"/>
            <w:left w:w="108" w:type="dxa"/>
            <w:bottom w:w="0" w:type="dxa"/>
            <w:right w:w="108" w:type="dxa"/>
          </w:tblCellMar>
        </w:tblPrEx>
        <w:trPr>
          <w:trHeight w:val="247" w:hRule="atLeast"/>
          <w:jc w:val="center"/>
        </w:trPr>
        <w:tc>
          <w:tcPr>
            <w:tcW w:w="3296" w:type="dxa"/>
            <w:vMerge w:val="continue"/>
            <w:tcBorders>
              <w:top w:val="nil"/>
              <w:left w:val="single" w:color="auto" w:sz="4" w:space="0"/>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p>
        </w:tc>
        <w:tc>
          <w:tcPr>
            <w:tcW w:w="880" w:type="dxa"/>
            <w:tcBorders>
              <w:top w:val="nil"/>
              <w:left w:val="nil"/>
              <w:bottom w:val="single" w:color="auto" w:sz="4" w:space="0"/>
              <w:right w:val="single" w:color="auto" w:sz="4" w:space="0"/>
            </w:tcBorders>
            <w:noWrap w:val="0"/>
            <w:vAlign w:val="center"/>
          </w:tcPr>
          <w:p>
            <w:pPr>
              <w:widowControl/>
              <w:spacing w:line="440" w:lineRule="exact"/>
              <w:jc w:val="center"/>
              <w:rPr>
                <w:rFonts w:ascii="Times New Roman" w:hAnsi="Times New Roman"/>
                <w:kern w:val="0"/>
                <w:sz w:val="21"/>
                <w:szCs w:val="21"/>
              </w:rPr>
            </w:pPr>
          </w:p>
        </w:tc>
        <w:tc>
          <w:tcPr>
            <w:tcW w:w="1043" w:type="dxa"/>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p>
        </w:tc>
        <w:tc>
          <w:tcPr>
            <w:tcW w:w="1171" w:type="dxa"/>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p>
        </w:tc>
        <w:tc>
          <w:tcPr>
            <w:tcW w:w="1150" w:type="dxa"/>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p>
        </w:tc>
        <w:tc>
          <w:tcPr>
            <w:tcW w:w="910" w:type="dxa"/>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p>
        </w:tc>
        <w:tc>
          <w:tcPr>
            <w:tcW w:w="965" w:type="dxa"/>
            <w:gridSpan w:val="2"/>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21"/>
                <w:szCs w:val="21"/>
              </w:rPr>
            </w:pPr>
          </w:p>
        </w:tc>
      </w:tr>
      <w:tr>
        <w:tblPrEx>
          <w:tblCellMar>
            <w:top w:w="0" w:type="dxa"/>
            <w:left w:w="108" w:type="dxa"/>
            <w:bottom w:w="0" w:type="dxa"/>
            <w:right w:w="108" w:type="dxa"/>
          </w:tblCellMar>
        </w:tblPrEx>
        <w:trPr>
          <w:trHeight w:val="660" w:hRule="atLeast"/>
          <w:jc w:val="center"/>
        </w:trPr>
        <w:tc>
          <w:tcPr>
            <w:tcW w:w="32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厉行节约保障措施</w:t>
            </w:r>
          </w:p>
        </w:tc>
        <w:tc>
          <w:tcPr>
            <w:tcW w:w="6119"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tabs>
                <w:tab w:val="left" w:pos="266"/>
                <w:tab w:val="center" w:pos="3297"/>
              </w:tabs>
              <w:kinsoku/>
              <w:wordWrap/>
              <w:overflowPunct/>
              <w:topLinePunct w:val="0"/>
              <w:autoSpaceDE/>
              <w:autoSpaceDN/>
              <w:bidi w:val="0"/>
              <w:adjustRightInd/>
              <w:snapToGrid/>
              <w:spacing w:line="240" w:lineRule="exact"/>
              <w:jc w:val="left"/>
              <w:textAlignment w:val="auto"/>
              <w:rPr>
                <w:rFonts w:ascii="Times New Roman" w:hAnsi="Times New Roman"/>
                <w:kern w:val="0"/>
                <w:sz w:val="21"/>
                <w:szCs w:val="21"/>
              </w:rPr>
            </w:pPr>
            <w:r>
              <w:rPr>
                <w:rFonts w:hint="eastAsia" w:ascii="Times New Roman" w:hAnsi="Times New Roman"/>
                <w:kern w:val="0"/>
                <w:sz w:val="21"/>
                <w:szCs w:val="21"/>
                <w:lang w:eastAsia="zh-CN"/>
              </w:rPr>
              <w:t>严格落实中央八项规定和省委九项规定，坚持勤俭节约、反对铺张浪费，带头过紧日子，细化预算，确保机关运转。</w:t>
            </w:r>
            <w:r>
              <w:rPr>
                <w:rFonts w:ascii="Times New Roman" w:hAnsi="Times New Roman"/>
                <w:kern w:val="0"/>
                <w:sz w:val="21"/>
                <w:szCs w:val="21"/>
              </w:rPr>
              <w:t>　</w:t>
            </w:r>
          </w:p>
        </w:tc>
      </w:tr>
    </w:tbl>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kern w:val="0"/>
          <w:sz w:val="22"/>
          <w:szCs w:val="24"/>
        </w:rPr>
      </w:pPr>
      <w:r>
        <w:rPr>
          <w:kern w:val="0"/>
          <w:sz w:val="22"/>
          <w:szCs w:val="24"/>
        </w:rPr>
        <w:t>说明：</w:t>
      </w:r>
      <w:r>
        <w:rPr>
          <w:rFonts w:hint="eastAsia"/>
          <w:kern w:val="0"/>
          <w:sz w:val="22"/>
          <w:szCs w:val="24"/>
          <w:lang w:eastAsia="zh-CN"/>
        </w:rPr>
        <w:t>“</w:t>
      </w:r>
      <w:r>
        <w:rPr>
          <w:kern w:val="0"/>
          <w:sz w:val="22"/>
          <w:szCs w:val="24"/>
        </w:rPr>
        <w:t>公用经费</w:t>
      </w:r>
      <w:r>
        <w:rPr>
          <w:rFonts w:hint="eastAsia"/>
          <w:kern w:val="0"/>
          <w:sz w:val="22"/>
          <w:szCs w:val="24"/>
          <w:lang w:eastAsia="zh-CN"/>
        </w:rPr>
        <w:t>”</w:t>
      </w:r>
      <w:r>
        <w:rPr>
          <w:kern w:val="0"/>
          <w:sz w:val="22"/>
          <w:szCs w:val="24"/>
        </w:rPr>
        <w:t>填报基本支出中的一般商品和服务支出。</w:t>
      </w:r>
      <w:r>
        <w:rPr>
          <w:rFonts w:hint="eastAsia"/>
          <w:kern w:val="0"/>
          <w:sz w:val="22"/>
          <w:szCs w:val="24"/>
          <w:lang w:eastAsia="zh-CN"/>
        </w:rPr>
        <w:t>“</w:t>
      </w:r>
      <w:r>
        <w:rPr>
          <w:kern w:val="0"/>
          <w:sz w:val="22"/>
          <w:szCs w:val="24"/>
        </w:rPr>
        <w:t>项目支出</w:t>
      </w:r>
      <w:r>
        <w:rPr>
          <w:rFonts w:hint="eastAsia"/>
          <w:kern w:val="0"/>
          <w:sz w:val="22"/>
          <w:szCs w:val="24"/>
          <w:lang w:eastAsia="zh-CN"/>
        </w:rPr>
        <w:t>”</w:t>
      </w:r>
      <w:r>
        <w:rPr>
          <w:kern w:val="0"/>
          <w:sz w:val="22"/>
          <w:szCs w:val="24"/>
        </w:rPr>
        <w:t>需要填报基本支出以外的所有项目支出情况，</w:t>
      </w:r>
      <w:r>
        <w:rPr>
          <w:rFonts w:hint="eastAsia"/>
          <w:kern w:val="0"/>
          <w:sz w:val="22"/>
          <w:szCs w:val="24"/>
          <w:lang w:eastAsia="zh-CN"/>
        </w:rPr>
        <w:t>“</w:t>
      </w:r>
      <w:r>
        <w:rPr>
          <w:rFonts w:hint="eastAsia"/>
          <w:kern w:val="0"/>
          <w:sz w:val="22"/>
          <w:szCs w:val="24"/>
        </w:rPr>
        <w:t>运行维护经费</w:t>
      </w:r>
      <w:r>
        <w:rPr>
          <w:rFonts w:hint="eastAsia"/>
          <w:kern w:val="0"/>
          <w:sz w:val="22"/>
          <w:szCs w:val="24"/>
          <w:lang w:eastAsia="zh-CN"/>
        </w:rPr>
        <w:t>”</w:t>
      </w:r>
      <w:r>
        <w:rPr>
          <w:rFonts w:hint="eastAsia"/>
          <w:kern w:val="0"/>
          <w:sz w:val="22"/>
          <w:szCs w:val="24"/>
        </w:rPr>
        <w:t>填报项目支出中用于人员类和公用运转类的支出。</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2"/>
          <w:szCs w:val="24"/>
        </w:rPr>
      </w:pPr>
      <w:r>
        <w:rPr>
          <w:kern w:val="0"/>
          <w:sz w:val="22"/>
          <w:szCs w:val="24"/>
        </w:rPr>
        <w:t>填表人：</w:t>
      </w:r>
      <w:r>
        <w:rPr>
          <w:rFonts w:hint="eastAsia"/>
          <w:kern w:val="0"/>
          <w:sz w:val="22"/>
          <w:szCs w:val="24"/>
          <w:lang w:eastAsia="zh-CN"/>
        </w:rPr>
        <w:t>夏玲</w:t>
      </w:r>
      <w:r>
        <w:rPr>
          <w:kern w:val="0"/>
          <w:sz w:val="22"/>
          <w:szCs w:val="24"/>
        </w:rPr>
        <w:t xml:space="preserve">  填报日期：</w:t>
      </w:r>
      <w:r>
        <w:rPr>
          <w:rFonts w:hint="eastAsia"/>
          <w:kern w:val="0"/>
          <w:sz w:val="22"/>
          <w:szCs w:val="24"/>
          <w:lang w:val="en-US" w:eastAsia="zh-CN"/>
        </w:rPr>
        <w:t>2022.4.20</w:t>
      </w:r>
      <w:r>
        <w:rPr>
          <w:kern w:val="0"/>
          <w:sz w:val="22"/>
          <w:szCs w:val="24"/>
        </w:rPr>
        <w:t xml:space="preserve">    联系电话： </w:t>
      </w:r>
      <w:r>
        <w:rPr>
          <w:rFonts w:hint="eastAsia"/>
          <w:kern w:val="0"/>
          <w:sz w:val="22"/>
          <w:szCs w:val="24"/>
          <w:lang w:val="en-US" w:eastAsia="zh-CN"/>
        </w:rPr>
        <w:t>13973769852</w:t>
      </w:r>
      <w:r>
        <w:rPr>
          <w:kern w:val="0"/>
          <w:sz w:val="22"/>
          <w:szCs w:val="24"/>
        </w:rPr>
        <w:t xml:space="preserve">   单位负责人签字：</w:t>
      </w:r>
      <w:r>
        <w:rPr>
          <w:kern w:val="0"/>
          <w:sz w:val="22"/>
          <w:szCs w:val="24"/>
        </w:rPr>
        <w:br w:type="page"/>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附件2</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eastAsia="方正小标宋简体"/>
          <w:kern w:val="0"/>
          <w:sz w:val="44"/>
          <w:szCs w:val="44"/>
        </w:rPr>
      </w:pPr>
      <w:r>
        <w:rPr>
          <w:rFonts w:ascii="方正小标宋简体" w:eastAsia="方正小标宋简体"/>
          <w:kern w:val="0"/>
          <w:sz w:val="44"/>
          <w:szCs w:val="44"/>
        </w:rPr>
        <w:t>202</w:t>
      </w:r>
      <w:r>
        <w:rPr>
          <w:rFonts w:hint="eastAsia" w:ascii="方正小标宋简体" w:eastAsia="方正小标宋简体"/>
          <w:kern w:val="0"/>
          <w:sz w:val="44"/>
          <w:szCs w:val="44"/>
          <w:lang w:val="en-US" w:eastAsia="zh-CN"/>
        </w:rPr>
        <w:t>1</w:t>
      </w:r>
      <w:r>
        <w:rPr>
          <w:rFonts w:ascii="方正小标宋简体" w:eastAsia="方正小标宋简体"/>
          <w:kern w:val="0"/>
          <w:sz w:val="44"/>
          <w:szCs w:val="44"/>
        </w:rPr>
        <w:t>年度部门整体支出绩效自评表</w:t>
      </w:r>
    </w:p>
    <w:tbl>
      <w:tblPr>
        <w:tblStyle w:val="9"/>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080"/>
        <w:gridCol w:w="984"/>
        <w:gridCol w:w="1225"/>
        <w:gridCol w:w="95"/>
        <w:gridCol w:w="1456"/>
        <w:gridCol w:w="1277"/>
        <w:gridCol w:w="709"/>
        <w:gridCol w:w="992"/>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r>
              <w:rPr>
                <w:rFonts w:ascii="Times New Roman" w:hAnsi="Times New Roman"/>
                <w:color w:val="000000"/>
                <w:kern w:val="0"/>
                <w:szCs w:val="21"/>
              </w:rPr>
              <w:t>预算部门</w:t>
            </w:r>
          </w:p>
        </w:tc>
        <w:tc>
          <w:tcPr>
            <w:tcW w:w="9170" w:type="dxa"/>
            <w:gridSpan w:val="9"/>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益阳市工业和信息化局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年度预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算申请</w:t>
            </w:r>
            <w:r>
              <w:rPr>
                <w:rFonts w:ascii="Times New Roman" w:hAnsi="Times New Roman"/>
                <w:color w:val="000000"/>
                <w:kern w:val="0"/>
                <w:szCs w:val="21"/>
              </w:rPr>
              <w:br w:type="textWrapping"/>
            </w:r>
            <w:r>
              <w:rPr>
                <w:rFonts w:ascii="Times New Roman" w:hAnsi="Times New Roman"/>
                <w:color w:val="000000"/>
                <w:kern w:val="0"/>
                <w:szCs w:val="21"/>
              </w:rPr>
              <w:t>（万元）</w:t>
            </w:r>
          </w:p>
        </w:tc>
        <w:tc>
          <w:tcPr>
            <w:tcW w:w="206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p>
        </w:tc>
        <w:tc>
          <w:tcPr>
            <w:tcW w:w="12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ascii="Times New Roman" w:hAnsi="Times New Roman"/>
                <w:szCs w:val="21"/>
              </w:rPr>
              <w:t>年初</w:t>
            </w:r>
          </w:p>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ascii="Times New Roman" w:hAnsi="Times New Roman"/>
                <w:szCs w:val="21"/>
              </w:rPr>
              <w:t>预算数</w:t>
            </w:r>
          </w:p>
        </w:tc>
        <w:tc>
          <w:tcPr>
            <w:tcW w:w="1551"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ascii="Times New Roman" w:hAnsi="Times New Roman"/>
                <w:szCs w:val="21"/>
              </w:rPr>
              <w:t>全年预算数</w:t>
            </w:r>
          </w:p>
        </w:tc>
        <w:tc>
          <w:tcPr>
            <w:tcW w:w="127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ascii="Times New Roman" w:hAnsi="Times New Roman"/>
                <w:szCs w:val="21"/>
              </w:rPr>
              <w:t>全年执行数</w:t>
            </w:r>
          </w:p>
        </w:tc>
        <w:tc>
          <w:tcPr>
            <w:tcW w:w="70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ascii="Times New Roman" w:hAnsi="Times New Roman"/>
                <w:szCs w:val="21"/>
              </w:rPr>
              <w:t>分值</w:t>
            </w:r>
          </w:p>
        </w:tc>
        <w:tc>
          <w:tcPr>
            <w:tcW w:w="9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ascii="Times New Roman" w:hAnsi="Times New Roman"/>
                <w:szCs w:val="21"/>
              </w:rPr>
              <w:t>执行率</w:t>
            </w:r>
          </w:p>
        </w:tc>
        <w:tc>
          <w:tcPr>
            <w:tcW w:w="13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ascii="Times New Roman" w:hAnsi="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206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ascii="Times New Roman" w:hAnsi="Times New Roman"/>
                <w:color w:val="000000"/>
                <w:kern w:val="0"/>
                <w:szCs w:val="21"/>
              </w:rPr>
              <w:t>年度资金总额</w:t>
            </w:r>
          </w:p>
        </w:tc>
        <w:tc>
          <w:tcPr>
            <w:tcW w:w="12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1638.82</w:t>
            </w:r>
          </w:p>
        </w:tc>
        <w:tc>
          <w:tcPr>
            <w:tcW w:w="1551"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3314.67</w:t>
            </w:r>
          </w:p>
        </w:tc>
        <w:tc>
          <w:tcPr>
            <w:tcW w:w="127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3304.06</w:t>
            </w:r>
          </w:p>
        </w:tc>
        <w:tc>
          <w:tcPr>
            <w:tcW w:w="70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ascii="Times New Roman" w:hAnsi="Times New Roman"/>
                <w:szCs w:val="21"/>
              </w:rPr>
              <w:t>10</w:t>
            </w:r>
          </w:p>
        </w:tc>
        <w:tc>
          <w:tcPr>
            <w:tcW w:w="9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szCs w:val="21"/>
              </w:rPr>
            </w:pPr>
            <w:r>
              <w:rPr>
                <w:rFonts w:hint="eastAsia" w:ascii="Times New Roman" w:hAnsi="Times New Roman"/>
                <w:szCs w:val="21"/>
              </w:rPr>
              <w:t>9</w:t>
            </w:r>
            <w:r>
              <w:rPr>
                <w:rFonts w:hint="eastAsia" w:ascii="Times New Roman" w:hAnsi="Times New Roman"/>
                <w:szCs w:val="21"/>
                <w:lang w:val="en-US" w:eastAsia="zh-CN"/>
              </w:rPr>
              <w:t>9.7</w:t>
            </w:r>
            <w:r>
              <w:rPr>
                <w:rFonts w:hint="eastAsia" w:ascii="Times New Roman" w:hAnsi="Times New Roman"/>
                <w:szCs w:val="21"/>
              </w:rPr>
              <w:t>%</w:t>
            </w:r>
          </w:p>
        </w:tc>
        <w:tc>
          <w:tcPr>
            <w:tcW w:w="13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szCs w:val="21"/>
                <w:lang w:val="en-US" w:eastAsia="zh-CN"/>
              </w:rPr>
            </w:pPr>
            <w:r>
              <w:rPr>
                <w:rFonts w:hint="eastAsia" w:ascii="Times New Roman" w:hAnsi="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p>
        </w:tc>
        <w:tc>
          <w:tcPr>
            <w:tcW w:w="4840"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r>
              <w:rPr>
                <w:rFonts w:ascii="Times New Roman" w:hAnsi="Times New Roman"/>
                <w:color w:val="000000"/>
                <w:kern w:val="0"/>
                <w:szCs w:val="21"/>
              </w:rPr>
              <w:t>按收入性质分：</w:t>
            </w:r>
          </w:p>
        </w:tc>
        <w:tc>
          <w:tcPr>
            <w:tcW w:w="4330"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r>
              <w:rPr>
                <w:rFonts w:ascii="Times New Roman" w:hAnsi="Times New Roman"/>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p>
        </w:tc>
        <w:tc>
          <w:tcPr>
            <w:tcW w:w="4840"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Theme="minorEastAsia"/>
                <w:color w:val="000000"/>
                <w:kern w:val="0"/>
                <w:szCs w:val="21"/>
                <w:lang w:val="en-US" w:eastAsia="zh-CN"/>
              </w:rPr>
            </w:pPr>
            <w:r>
              <w:rPr>
                <w:rFonts w:ascii="Times New Roman" w:hAnsi="Times New Roman"/>
                <w:color w:val="000000"/>
                <w:kern w:val="0"/>
                <w:szCs w:val="21"/>
              </w:rPr>
              <w:t xml:space="preserve">  其中：  一般公共预算：</w:t>
            </w:r>
            <w:r>
              <w:rPr>
                <w:rFonts w:hint="eastAsia" w:ascii="Times New Roman" w:hAnsi="Times New Roman"/>
                <w:color w:val="000000"/>
                <w:kern w:val="0"/>
                <w:szCs w:val="21"/>
                <w:lang w:val="en-US" w:eastAsia="zh-CN"/>
              </w:rPr>
              <w:t>3299.67</w:t>
            </w:r>
          </w:p>
        </w:tc>
        <w:tc>
          <w:tcPr>
            <w:tcW w:w="4330"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Theme="minorEastAsia"/>
                <w:color w:val="000000"/>
                <w:kern w:val="0"/>
                <w:szCs w:val="21"/>
                <w:lang w:val="en-US" w:eastAsia="zh-CN"/>
              </w:rPr>
            </w:pPr>
            <w:r>
              <w:rPr>
                <w:rFonts w:ascii="Times New Roman" w:hAnsi="Times New Roman"/>
                <w:color w:val="000000"/>
                <w:kern w:val="0"/>
                <w:szCs w:val="21"/>
              </w:rPr>
              <w:t>其中：基本支出：</w:t>
            </w:r>
            <w:r>
              <w:rPr>
                <w:rFonts w:hint="eastAsia" w:ascii="Times New Roman" w:hAnsi="Times New Roman"/>
                <w:color w:val="000000"/>
                <w:kern w:val="0"/>
                <w:szCs w:val="21"/>
                <w:lang w:val="en-US" w:eastAsia="zh-CN"/>
              </w:rPr>
              <w:t>2307.85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p>
        </w:tc>
        <w:tc>
          <w:tcPr>
            <w:tcW w:w="4840"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840" w:firstLineChars="400"/>
              <w:jc w:val="left"/>
              <w:textAlignment w:val="auto"/>
              <w:rPr>
                <w:rFonts w:ascii="Times New Roman" w:hAnsi="Times New Roman"/>
                <w:color w:val="000000"/>
                <w:kern w:val="0"/>
                <w:szCs w:val="21"/>
              </w:rPr>
            </w:pPr>
            <w:r>
              <w:rPr>
                <w:rFonts w:ascii="Times New Roman" w:hAnsi="Times New Roman"/>
                <w:color w:val="000000"/>
                <w:kern w:val="0"/>
                <w:szCs w:val="21"/>
              </w:rPr>
              <w:t>政府性基金拨款：</w:t>
            </w:r>
          </w:p>
        </w:tc>
        <w:tc>
          <w:tcPr>
            <w:tcW w:w="4330"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hint="default" w:ascii="Times New Roman" w:hAnsi="Times New Roman" w:eastAsiaTheme="minorEastAsia"/>
                <w:color w:val="000000"/>
                <w:kern w:val="0"/>
                <w:szCs w:val="21"/>
                <w:lang w:val="en-US" w:eastAsia="zh-CN"/>
              </w:rPr>
            </w:pPr>
            <w:r>
              <w:rPr>
                <w:rFonts w:ascii="Times New Roman" w:hAnsi="Times New Roman"/>
                <w:color w:val="000000"/>
                <w:kern w:val="0"/>
                <w:szCs w:val="21"/>
              </w:rPr>
              <w:t>项目支出：</w:t>
            </w:r>
            <w:r>
              <w:rPr>
                <w:rFonts w:hint="eastAsia" w:ascii="Times New Roman" w:hAnsi="Times New Roman"/>
                <w:color w:val="000000"/>
                <w:kern w:val="0"/>
                <w:szCs w:val="21"/>
                <w:lang w:val="en-US" w:eastAsia="zh-CN"/>
              </w:rPr>
              <w:t>1006.82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p>
        </w:tc>
        <w:tc>
          <w:tcPr>
            <w:tcW w:w="4840"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r>
              <w:rPr>
                <w:rFonts w:ascii="Times New Roman" w:hAnsi="Times New Roman"/>
                <w:color w:val="000000"/>
                <w:kern w:val="0"/>
                <w:szCs w:val="21"/>
              </w:rPr>
              <w:t>纳入专户管理的非税收入拨款：</w:t>
            </w:r>
          </w:p>
        </w:tc>
        <w:tc>
          <w:tcPr>
            <w:tcW w:w="4330"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p>
        </w:tc>
        <w:tc>
          <w:tcPr>
            <w:tcW w:w="4840"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hint="default" w:ascii="Times New Roman" w:hAnsi="Times New Roman" w:eastAsiaTheme="minorEastAsia"/>
                <w:color w:val="000000"/>
                <w:kern w:val="0"/>
                <w:szCs w:val="21"/>
                <w:lang w:val="en-US" w:eastAsia="zh-CN"/>
              </w:rPr>
            </w:pPr>
            <w:r>
              <w:rPr>
                <w:rFonts w:ascii="Times New Roman" w:hAnsi="Times New Roman"/>
                <w:color w:val="000000"/>
                <w:kern w:val="0"/>
                <w:szCs w:val="21"/>
              </w:rPr>
              <w:t>其他资金：</w:t>
            </w:r>
            <w:r>
              <w:rPr>
                <w:rFonts w:hint="eastAsia" w:ascii="Times New Roman" w:hAnsi="Times New Roman"/>
                <w:color w:val="000000"/>
                <w:kern w:val="0"/>
                <w:szCs w:val="21"/>
                <w:lang w:val="en-US" w:eastAsia="zh-CN"/>
              </w:rPr>
              <w:t>15.00</w:t>
            </w:r>
          </w:p>
        </w:tc>
        <w:tc>
          <w:tcPr>
            <w:tcW w:w="4330"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年度总体目标</w:t>
            </w:r>
          </w:p>
        </w:tc>
        <w:tc>
          <w:tcPr>
            <w:tcW w:w="4840"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预期目标</w:t>
            </w:r>
          </w:p>
        </w:tc>
        <w:tc>
          <w:tcPr>
            <w:tcW w:w="4330"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Cs w:val="21"/>
              </w:rPr>
            </w:pPr>
          </w:p>
        </w:tc>
        <w:tc>
          <w:tcPr>
            <w:tcW w:w="4840"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olor w:val="000000"/>
                <w:kern w:val="0"/>
                <w:szCs w:val="21"/>
              </w:rPr>
            </w:pPr>
            <w:r>
              <w:rPr>
                <w:rFonts w:ascii="Times New Roman" w:hAnsi="Times New Roman"/>
                <w:color w:val="000000"/>
                <w:kern w:val="0"/>
                <w:szCs w:val="21"/>
              </w:rPr>
              <w:t>1</w:t>
            </w:r>
            <w:r>
              <w:rPr>
                <w:rFonts w:hint="eastAsia" w:ascii="Times New Roman" w:hAnsi="Times New Roman"/>
                <w:color w:val="000000"/>
                <w:kern w:val="0"/>
                <w:szCs w:val="21"/>
              </w:rPr>
              <w:t>、保证</w:t>
            </w:r>
            <w:r>
              <w:rPr>
                <w:rFonts w:hint="eastAsia" w:ascii="Times New Roman" w:hAnsi="Times New Roman"/>
                <w:color w:val="000000"/>
                <w:kern w:val="0"/>
                <w:szCs w:val="21"/>
                <w:lang w:eastAsia="zh-CN"/>
              </w:rPr>
              <w:t>局本级及所属二级单位</w:t>
            </w:r>
            <w:r>
              <w:rPr>
                <w:rFonts w:hint="eastAsia" w:ascii="Times New Roman" w:hAnsi="Times New Roman"/>
                <w:color w:val="000000"/>
                <w:kern w:val="0"/>
                <w:szCs w:val="21"/>
              </w:rPr>
              <w:t>正常运转，推进各项专项工作正常运作</w:t>
            </w:r>
            <w:r>
              <w:rPr>
                <w:rFonts w:hint="eastAsia" w:ascii="Times New Roman" w:hAnsi="Times New Roman"/>
                <w:color w:val="000000"/>
                <w:kern w:val="0"/>
                <w:szCs w:val="21"/>
                <w:lang w:eastAsia="zh-CN"/>
              </w:rPr>
              <w:t>，编制内在职人员控制率</w:t>
            </w:r>
            <w:r>
              <w:rPr>
                <w:rFonts w:hint="default" w:ascii="Arial" w:hAnsi="Arial" w:cs="Arial"/>
                <w:color w:val="000000"/>
                <w:kern w:val="0"/>
                <w:szCs w:val="21"/>
                <w:lang w:eastAsia="zh-CN"/>
              </w:rPr>
              <w:t>≤</w:t>
            </w:r>
            <w:r>
              <w:rPr>
                <w:rFonts w:hint="eastAsia" w:ascii="Times New Roman" w:hAnsi="Times New Roman"/>
                <w:color w:val="000000"/>
                <w:kern w:val="0"/>
                <w:szCs w:val="21"/>
                <w:lang w:val="en-US" w:eastAsia="zh-CN"/>
              </w:rPr>
              <w:t>100%，控制在预算编制以内，三公经费预算总额较上年减少，三公经费控制率小于100%</w:t>
            </w:r>
            <w:r>
              <w:rPr>
                <w:rFonts w:hint="eastAsia" w:ascii="Times New Roman" w:hAnsi="Times New Roman"/>
                <w:color w:val="000000"/>
                <w:kern w:val="0"/>
                <w:szCs w:val="21"/>
              </w:rPr>
              <w:t>；</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olor w:val="000000"/>
                <w:kern w:val="0"/>
                <w:szCs w:val="21"/>
                <w:lang w:eastAsia="zh-CN"/>
              </w:rPr>
            </w:pPr>
            <w:r>
              <w:rPr>
                <w:rFonts w:ascii="Times New Roman" w:hAnsi="Times New Roman"/>
                <w:color w:val="000000"/>
                <w:kern w:val="0"/>
                <w:szCs w:val="21"/>
              </w:rPr>
              <w:t>2</w:t>
            </w:r>
            <w:r>
              <w:rPr>
                <w:rFonts w:hint="eastAsia" w:ascii="Times New Roman" w:hAnsi="Times New Roman"/>
                <w:color w:val="000000"/>
                <w:kern w:val="0"/>
                <w:szCs w:val="21"/>
              </w:rPr>
              <w:t>、全面完成市委经济工作会议和市政府工作报告确定的各项任务</w:t>
            </w:r>
            <w:r>
              <w:rPr>
                <w:rFonts w:hint="eastAsia" w:ascii="Times New Roman" w:hAnsi="Times New Roman"/>
                <w:color w:val="000000"/>
                <w:kern w:val="0"/>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Theme="minorEastAsia"/>
                <w:color w:val="000000"/>
                <w:kern w:val="0"/>
                <w:szCs w:val="21"/>
                <w:lang w:val="en-US" w:eastAsia="zh-CN"/>
              </w:rPr>
            </w:pPr>
            <w:r>
              <w:rPr>
                <w:rFonts w:ascii="Times New Roman" w:hAnsi="Times New Roman"/>
                <w:color w:val="000000"/>
                <w:kern w:val="0"/>
                <w:szCs w:val="21"/>
              </w:rPr>
              <w:t>3</w:t>
            </w:r>
            <w:r>
              <w:rPr>
                <w:rFonts w:hint="eastAsia" w:ascii="Times New Roman" w:hAnsi="Times New Roman"/>
                <w:color w:val="000000"/>
                <w:kern w:val="0"/>
                <w:szCs w:val="21"/>
              </w:rPr>
              <w:t>、全市工业经济保持</w:t>
            </w:r>
            <w:r>
              <w:rPr>
                <w:rFonts w:hint="eastAsia" w:ascii="Times New Roman" w:hAnsi="Times New Roman"/>
                <w:color w:val="000000"/>
                <w:kern w:val="0"/>
                <w:szCs w:val="21"/>
                <w:lang w:eastAsia="zh-CN"/>
              </w:rPr>
              <w:t>稳定增长</w:t>
            </w:r>
            <w:r>
              <w:rPr>
                <w:rFonts w:hint="eastAsia" w:ascii="Times New Roman" w:hAnsi="Times New Roman"/>
                <w:color w:val="000000"/>
                <w:kern w:val="0"/>
                <w:szCs w:val="21"/>
              </w:rPr>
              <w:t>，</w:t>
            </w:r>
            <w:r>
              <w:rPr>
                <w:rFonts w:hint="eastAsia" w:ascii="Times New Roman" w:hAnsi="Times New Roman"/>
                <w:color w:val="000000"/>
                <w:kern w:val="0"/>
                <w:szCs w:val="21"/>
                <w:lang w:eastAsia="zh-CN"/>
              </w:rPr>
              <w:t>助力</w:t>
            </w:r>
            <w:r>
              <w:rPr>
                <w:rFonts w:hint="eastAsia" w:ascii="Times New Roman" w:hAnsi="Times New Roman"/>
                <w:color w:val="000000"/>
                <w:kern w:val="0"/>
                <w:szCs w:val="21"/>
              </w:rPr>
              <w:t>工业高质量发展。</w:t>
            </w:r>
          </w:p>
        </w:tc>
        <w:tc>
          <w:tcPr>
            <w:tcW w:w="4330"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default" w:ascii="Times New Roman" w:hAnsi="Times New Roman"/>
                <w:color w:val="000000"/>
                <w:kern w:val="0"/>
                <w:szCs w:val="21"/>
              </w:rPr>
              <w:t>围绕推动先进制造业高质量发展主题，</w:t>
            </w:r>
            <w:r>
              <w:rPr>
                <w:rFonts w:hint="eastAsia" w:ascii="Times New Roman" w:hAnsi="Times New Roman"/>
                <w:color w:val="000000"/>
                <w:kern w:val="0"/>
                <w:szCs w:val="21"/>
                <w:lang w:val="en-US" w:eastAsia="zh-CN"/>
              </w:rPr>
              <w:t>我局以产业链群建设、园区建设、品牌培育、企业帮扶等为抓手，担当作为，雷厉风行，</w:t>
            </w:r>
            <w:r>
              <w:rPr>
                <w:rFonts w:hint="eastAsia" w:ascii="Times New Roman" w:hAnsi="Times New Roman"/>
                <w:color w:val="000000"/>
                <w:kern w:val="0"/>
                <w:szCs w:val="21"/>
                <w:lang w:val="zh-CN" w:eastAsia="zh-CN"/>
              </w:rPr>
              <w:t>各项工作任务</w:t>
            </w:r>
            <w:r>
              <w:rPr>
                <w:rFonts w:hint="eastAsia" w:ascii="Times New Roman" w:hAnsi="Times New Roman"/>
                <w:color w:val="000000"/>
                <w:kern w:val="0"/>
                <w:szCs w:val="21"/>
                <w:lang w:val="en-US" w:eastAsia="zh-CN"/>
              </w:rPr>
              <w:t>取得较好成效</w:t>
            </w:r>
            <w:r>
              <w:rPr>
                <w:rFonts w:hint="eastAsia" w:ascii="Times New Roman" w:hAnsi="Times New Roman"/>
                <w:color w:val="000000"/>
                <w:kern w:val="0"/>
                <w:szCs w:val="21"/>
                <w:lang w:val="zh-CN" w:eastAsia="zh-CN"/>
              </w:rPr>
              <w:t>。</w:t>
            </w:r>
            <w:r>
              <w:rPr>
                <w:rFonts w:hint="default" w:ascii="Times New Roman" w:hAnsi="Times New Roman"/>
                <w:color w:val="000000"/>
                <w:kern w:val="0"/>
                <w:szCs w:val="21"/>
                <w:lang w:val="en-US" w:eastAsia="zh-CN"/>
              </w:rPr>
              <w:t>全市规模工业增加值增长</w:t>
            </w:r>
            <w:r>
              <w:rPr>
                <w:rFonts w:hint="eastAsia" w:ascii="Times New Roman" w:hAnsi="Times New Roman"/>
                <w:color w:val="000000"/>
                <w:kern w:val="0"/>
                <w:szCs w:val="21"/>
                <w:lang w:val="en-US" w:eastAsia="zh-CN"/>
              </w:rPr>
              <w:t>9.7</w:t>
            </w:r>
            <w:r>
              <w:rPr>
                <w:rFonts w:hint="default" w:ascii="Times New Roman" w:hAnsi="Times New Roman"/>
                <w:color w:val="000000"/>
                <w:kern w:val="0"/>
                <w:szCs w:val="21"/>
                <w:lang w:val="en-US" w:eastAsia="zh-CN"/>
              </w:rPr>
              <w:t>%</w:t>
            </w:r>
            <w:r>
              <w:rPr>
                <w:rFonts w:hint="eastAsia" w:ascii="Times New Roman" w:hAnsi="Times New Roman"/>
                <w:color w:val="000000"/>
                <w:kern w:val="0"/>
                <w:szCs w:val="21"/>
                <w:lang w:val="en-US" w:eastAsia="zh-CN"/>
              </w:rPr>
              <w:t>，排名全省第6位；工业投资增长9.0%；</w:t>
            </w:r>
            <w:r>
              <w:rPr>
                <w:rFonts w:hint="default" w:ascii="Times New Roman" w:hAnsi="Times New Roman"/>
                <w:color w:val="000000"/>
                <w:kern w:val="0"/>
                <w:szCs w:val="21"/>
                <w:lang w:val="en-US" w:eastAsia="zh-CN"/>
              </w:rPr>
              <w:t>工业用电增长</w:t>
            </w:r>
            <w:r>
              <w:rPr>
                <w:rFonts w:hint="eastAsia" w:ascii="Times New Roman" w:hAnsi="Times New Roman"/>
                <w:color w:val="000000"/>
                <w:kern w:val="0"/>
                <w:szCs w:val="21"/>
                <w:lang w:val="en-US" w:eastAsia="zh-CN"/>
              </w:rPr>
              <w:t>18.9</w:t>
            </w:r>
            <w:r>
              <w:rPr>
                <w:rFonts w:hint="default" w:ascii="Times New Roman" w:hAnsi="Times New Roman"/>
                <w:color w:val="000000"/>
                <w:kern w:val="0"/>
                <w:szCs w:val="21"/>
                <w:lang w:val="en-US" w:eastAsia="zh-CN"/>
              </w:rPr>
              <w:t>%，排名全省第2位</w:t>
            </w:r>
            <w:r>
              <w:rPr>
                <w:rFonts w:hint="eastAsia" w:ascii="Times New Roman" w:hAnsi="Times New Roman"/>
                <w:color w:val="000000"/>
                <w:kern w:val="0"/>
                <w:szCs w:val="21"/>
                <w:lang w:val="en-US" w:eastAsia="zh-CN"/>
              </w:rPr>
              <w:t>；推进先进制造业工作被列入</w:t>
            </w:r>
            <w:r>
              <w:rPr>
                <w:rFonts w:hint="default" w:ascii="Times New Roman" w:hAnsi="Times New Roman"/>
                <w:color w:val="000000"/>
                <w:kern w:val="0"/>
                <w:szCs w:val="21"/>
                <w:lang w:val="en-US" w:eastAsia="zh-CN"/>
              </w:rPr>
              <w:t>省政府综合大督查40项典型经验做法予以通报表扬</w:t>
            </w:r>
            <w:r>
              <w:rPr>
                <w:rFonts w:hint="eastAsia" w:ascii="Times New Roman" w:hAnsi="Times New Roman"/>
                <w:color w:val="000000"/>
                <w:kern w:val="0"/>
                <w:szCs w:val="21"/>
                <w:lang w:val="en-US" w:eastAsia="zh-CN"/>
              </w:rPr>
              <w:t>。2021年度促进高质量发展、营商环境、财源建设、先进制造业高质量发展、生态环保、园区建设、“放管服”改革、乡村振兴等工作在市政府真抓实干督查中获得表扬；荣获市级平安单位、文明单位。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标</w:t>
            </w:r>
          </w:p>
        </w:tc>
        <w:tc>
          <w:tcPr>
            <w:tcW w:w="108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一级指标</w:t>
            </w: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二级指标</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三级指标</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指标值</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实际完成值</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分值</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得分</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(50分)</w:t>
            </w:r>
          </w:p>
        </w:tc>
        <w:tc>
          <w:tcPr>
            <w:tcW w:w="9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数量指标</w:t>
            </w:r>
            <w:r>
              <w:rPr>
                <w:rFonts w:hint="eastAsia" w:ascii="Times New Roman" w:hAnsi="Times New Roman"/>
                <w:color w:val="000000"/>
                <w:kern w:val="0"/>
                <w:szCs w:val="21"/>
              </w:rPr>
              <w:t>（10分）</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规模工业增加值增速</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8.5%左右</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9.7%</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4</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4</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工业投资增速</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10%</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lang w:val="en-US" w:eastAsia="zh-CN"/>
              </w:rPr>
              <w:t>9.0%</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auto"/>
                <w:kern w:val="0"/>
                <w:szCs w:val="21"/>
                <w:lang w:val="en-US" w:eastAsia="zh-CN"/>
              </w:rPr>
              <w:t>2</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 w:val="18"/>
                <w:szCs w:val="18"/>
                <w:lang w:eastAsia="zh-CN"/>
              </w:rPr>
              <w:t>加强工业投资调度，确保目标任务完成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FF0000"/>
                <w:kern w:val="0"/>
                <w:szCs w:val="21"/>
              </w:rPr>
            </w:pPr>
            <w:r>
              <w:rPr>
                <w:rFonts w:hint="eastAsia" w:ascii="Times New Roman" w:hAnsi="Times New Roman"/>
                <w:color w:val="000000"/>
                <w:kern w:val="0"/>
                <w:szCs w:val="21"/>
                <w:lang w:val="en-US" w:eastAsia="zh-CN"/>
              </w:rPr>
              <w:t>新增规模工业企业数量</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100家</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172家</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质量指标</w:t>
            </w:r>
            <w:r>
              <w:rPr>
                <w:rFonts w:hint="eastAsia" w:ascii="Times New Roman" w:hAnsi="Times New Roman"/>
                <w:color w:val="000000"/>
                <w:kern w:val="0"/>
                <w:szCs w:val="21"/>
              </w:rPr>
              <w:t>（20分）</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资金使用合规性</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合规</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合规</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4</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4</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管理制度健全性</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完善</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完善</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4</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4</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依法执政与政务服务成效</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显著</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显著</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建议提案办复率</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100%</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100%</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eastAsia="zh-CN"/>
              </w:rPr>
              <w:t>离退休人员管理和服务工作效果</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eastAsia="zh-CN"/>
              </w:rPr>
              <w:t>离退休人员生活质量得到提高</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color w:val="auto"/>
                <w:kern w:val="0"/>
                <w:szCs w:val="21"/>
              </w:rPr>
            </w:pPr>
            <w:r>
              <w:rPr>
                <w:rFonts w:hint="eastAsia" w:ascii="Times New Roman" w:hAnsi="Times New Roman"/>
                <w:color w:val="auto"/>
                <w:kern w:val="0"/>
                <w:szCs w:val="21"/>
                <w:lang w:eastAsia="zh-CN"/>
              </w:rPr>
              <w:t>离退休人员生活质量得到提高</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园区高质量发展水平</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eastAsia="zh-CN"/>
              </w:rPr>
              <w:t>不断提高</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eastAsia="zh-CN"/>
              </w:rPr>
              <w:t>不断提高</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时效指标</w:t>
            </w:r>
            <w:r>
              <w:rPr>
                <w:rFonts w:hint="eastAsia" w:ascii="Times New Roman" w:hAnsi="Times New Roman"/>
                <w:color w:val="000000"/>
                <w:kern w:val="0"/>
                <w:szCs w:val="21"/>
              </w:rPr>
              <w:t>（10分）</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主要工作按计划完成程度</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按年度计划</w:t>
            </w:r>
            <w:r>
              <w:rPr>
                <w:rFonts w:hint="eastAsia" w:ascii="Times New Roman" w:hAnsi="Times New Roman"/>
                <w:color w:val="000000"/>
                <w:kern w:val="0"/>
                <w:szCs w:val="21"/>
                <w:lang w:eastAsia="zh-CN"/>
              </w:rPr>
              <w:t>完满</w:t>
            </w:r>
            <w:r>
              <w:rPr>
                <w:rFonts w:hint="eastAsia" w:ascii="Times New Roman" w:hAnsi="Times New Roman"/>
                <w:color w:val="000000"/>
                <w:kern w:val="0"/>
                <w:szCs w:val="21"/>
              </w:rPr>
              <w:t>完成</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按年度计划</w:t>
            </w:r>
            <w:r>
              <w:rPr>
                <w:rFonts w:hint="eastAsia" w:ascii="Times New Roman" w:hAnsi="Times New Roman"/>
                <w:color w:val="000000"/>
                <w:kern w:val="0"/>
                <w:szCs w:val="21"/>
                <w:lang w:eastAsia="zh-CN"/>
              </w:rPr>
              <w:t>完满</w:t>
            </w:r>
            <w:r>
              <w:rPr>
                <w:rFonts w:hint="eastAsia" w:ascii="Times New Roman" w:hAnsi="Times New Roman"/>
                <w:color w:val="000000"/>
                <w:kern w:val="0"/>
                <w:szCs w:val="21"/>
              </w:rPr>
              <w:t>完成</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4</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4</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项目资金及时拨付使用</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按年度计划及时拨付</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按年度计划及时拨付</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eastAsia="zh-CN"/>
              </w:rPr>
              <w:t>政务信息公开及时性</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eastAsia="zh-CN"/>
              </w:rPr>
              <w:t>按要求及时公开</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stheme="minorBidi"/>
                <w:color w:val="auto"/>
                <w:kern w:val="0"/>
                <w:sz w:val="21"/>
                <w:szCs w:val="21"/>
                <w:lang w:val="en-US" w:eastAsia="zh-CN" w:bidi="ar-SA"/>
              </w:rPr>
            </w:pPr>
            <w:r>
              <w:rPr>
                <w:rFonts w:hint="eastAsia" w:ascii="Times New Roman" w:hAnsi="Times New Roman"/>
                <w:color w:val="auto"/>
                <w:kern w:val="0"/>
                <w:szCs w:val="21"/>
                <w:lang w:eastAsia="zh-CN"/>
              </w:rPr>
              <w:t>按要求及时公开</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成本指标</w:t>
            </w:r>
            <w:r>
              <w:rPr>
                <w:rFonts w:hint="eastAsia" w:ascii="Times New Roman" w:hAnsi="Times New Roman"/>
                <w:color w:val="000000"/>
                <w:kern w:val="0"/>
                <w:szCs w:val="21"/>
              </w:rPr>
              <w:t>（10分）</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 xml:space="preserve">在职人员控制率 </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≤100%</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lang w:val="en-US" w:eastAsia="zh-CN"/>
              </w:rPr>
              <w:t>94</w:t>
            </w:r>
            <w:r>
              <w:rPr>
                <w:rFonts w:hint="eastAsia" w:ascii="Times New Roman" w:hAnsi="Times New Roman"/>
                <w:color w:val="000000"/>
                <w:kern w:val="0"/>
                <w:szCs w:val="21"/>
              </w:rPr>
              <w:t>%</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2</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2</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政府采购执行率</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100%</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100%</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2</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2</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eastAsia="zh-CN"/>
              </w:rPr>
              <w:t>公用经费控制率</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color w:val="auto"/>
                <w:kern w:val="0"/>
                <w:szCs w:val="21"/>
              </w:rPr>
            </w:pPr>
            <w:r>
              <w:rPr>
                <w:rFonts w:hint="eastAsia" w:ascii="Times New Roman" w:hAnsi="Times New Roman"/>
                <w:color w:val="auto"/>
                <w:kern w:val="0"/>
                <w:szCs w:val="21"/>
              </w:rPr>
              <w:t>&lt;100%</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97%</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lang w:eastAsia="zh-CN"/>
              </w:rPr>
              <w:t>“</w:t>
            </w:r>
            <w:r>
              <w:rPr>
                <w:rFonts w:hint="eastAsia" w:ascii="Times New Roman" w:hAnsi="Times New Roman"/>
                <w:color w:val="000000"/>
                <w:kern w:val="0"/>
                <w:szCs w:val="21"/>
              </w:rPr>
              <w:t>三公经费</w:t>
            </w:r>
            <w:r>
              <w:rPr>
                <w:rFonts w:hint="eastAsia" w:ascii="Times New Roman" w:hAnsi="Times New Roman"/>
                <w:color w:val="000000"/>
                <w:kern w:val="0"/>
                <w:szCs w:val="21"/>
                <w:lang w:eastAsia="zh-CN"/>
              </w:rPr>
              <w:t>”</w:t>
            </w:r>
            <w:r>
              <w:rPr>
                <w:rFonts w:hint="eastAsia" w:ascii="Times New Roman" w:hAnsi="Times New Roman"/>
                <w:color w:val="000000"/>
                <w:kern w:val="0"/>
                <w:szCs w:val="21"/>
              </w:rPr>
              <w:t>控制率</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&lt;100%</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lang w:val="en-US" w:eastAsia="zh-CN"/>
              </w:rPr>
              <w:t>52</w:t>
            </w:r>
            <w:r>
              <w:rPr>
                <w:rFonts w:hint="eastAsia" w:ascii="Times New Roman" w:hAnsi="Times New Roman"/>
                <w:color w:val="000000"/>
                <w:kern w:val="0"/>
                <w:szCs w:val="21"/>
              </w:rPr>
              <w:t>%</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w:t>
            </w:r>
            <w:r>
              <w:rPr>
                <w:rFonts w:hint="eastAsia" w:ascii="Times New Roman" w:hAnsi="Times New Roman"/>
                <w:color w:val="000000"/>
                <w:kern w:val="0"/>
                <w:szCs w:val="21"/>
                <w:lang w:val="en-US" w:eastAsia="zh-CN"/>
              </w:rPr>
              <w:t>40</w:t>
            </w:r>
            <w:r>
              <w:rPr>
                <w:rFonts w:ascii="Times New Roman" w:hAnsi="Times New Roman"/>
                <w:color w:val="000000"/>
                <w:kern w:val="0"/>
                <w:szCs w:val="21"/>
              </w:rPr>
              <w:t>分）</w:t>
            </w:r>
          </w:p>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益指标</w:t>
            </w:r>
            <w:r>
              <w:rPr>
                <w:rFonts w:hint="eastAsia" w:ascii="Times New Roman" w:hAnsi="Times New Roman"/>
                <w:color w:val="000000"/>
                <w:kern w:val="0"/>
                <w:szCs w:val="21"/>
              </w:rPr>
              <w:t>（10分）</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主要经济指标完成情况</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按年度计划完满完成</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超额完成</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5</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5</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工业经济对全市财税收入支撑</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不断提高</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不断提高</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5</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5</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益指标</w:t>
            </w:r>
            <w:r>
              <w:rPr>
                <w:rFonts w:hint="eastAsia" w:ascii="Times New Roman" w:hAnsi="Times New Roman"/>
                <w:color w:val="000000"/>
                <w:kern w:val="0"/>
                <w:szCs w:val="21"/>
              </w:rPr>
              <w:t>（10分）</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eastAsia="zh-CN"/>
              </w:rPr>
              <w:t>疫情防控应急物资保障情况</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eastAsia="zh-CN"/>
              </w:rPr>
              <w:t>形成公共卫生应急物资保障体系</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lang w:eastAsia="zh-CN"/>
              </w:rPr>
              <w:t>形成公共卫生应急物资保障体系</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4</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4</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中小企业公务服务体系</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不断完善</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不断完善</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无线电管理对社会安全保障的推动作用</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eastAsia="zh-CN"/>
              </w:rPr>
              <w:t>效果明显</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eastAsia="zh-CN"/>
              </w:rPr>
              <w:t>效果明显</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val="en-US" w:eastAsia="zh-CN"/>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益指标</w:t>
            </w:r>
            <w:r>
              <w:rPr>
                <w:rFonts w:hint="eastAsia" w:ascii="Times New Roman" w:hAnsi="Times New Roman"/>
                <w:color w:val="000000"/>
                <w:kern w:val="0"/>
                <w:szCs w:val="21"/>
              </w:rPr>
              <w:t>（10分）</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eastAsia="zh-CN"/>
              </w:rPr>
              <w:t>规模以上单位工业增加值能耗</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eastAsia="zh-CN"/>
              </w:rPr>
              <w:t>下降</w:t>
            </w:r>
            <w:r>
              <w:rPr>
                <w:rFonts w:hint="eastAsia" w:ascii="Times New Roman" w:hAnsi="Times New Roman"/>
                <w:color w:val="auto"/>
                <w:kern w:val="0"/>
                <w:szCs w:val="21"/>
                <w:lang w:val="en-US" w:eastAsia="zh-CN"/>
              </w:rPr>
              <w:t>3%</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eastAsia="zh-CN"/>
              </w:rPr>
              <w:t>下降</w:t>
            </w:r>
            <w:r>
              <w:rPr>
                <w:rFonts w:hint="eastAsia" w:ascii="Times New Roman" w:hAnsi="Times New Roman"/>
                <w:color w:val="auto"/>
                <w:kern w:val="0"/>
                <w:szCs w:val="21"/>
                <w:lang w:val="en-US" w:eastAsia="zh-CN"/>
              </w:rPr>
              <w:t>3%</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5</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5</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eastAsia="zh-CN"/>
              </w:rPr>
              <w:t>绿色制造体系创建</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eastAsia="zh-CN"/>
              </w:rPr>
              <w:t>效果明显</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eastAsia="zh-CN"/>
              </w:rPr>
              <w:t>效果明显</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val="en-US" w:eastAsia="zh-CN"/>
              </w:rPr>
              <w:t>5</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val="en-US" w:eastAsia="zh-CN"/>
              </w:rPr>
              <w:t>5</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可持续影响指标</w:t>
            </w:r>
            <w:r>
              <w:rPr>
                <w:rFonts w:hint="eastAsia" w:ascii="Times New Roman" w:hAnsi="Times New Roman"/>
                <w:color w:val="000000"/>
                <w:kern w:val="0"/>
                <w:szCs w:val="21"/>
              </w:rPr>
              <w:t>（5分）</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Theme="minorEastAsia"/>
                <w:color w:val="000000"/>
                <w:kern w:val="0"/>
                <w:szCs w:val="21"/>
                <w:lang w:val="en-US" w:eastAsia="zh-CN"/>
              </w:rPr>
            </w:pPr>
            <w:r>
              <w:rPr>
                <w:rFonts w:hint="eastAsia" w:ascii="Times New Roman" w:hAnsi="Times New Roman"/>
                <w:color w:val="000000"/>
                <w:kern w:val="0"/>
                <w:szCs w:val="21"/>
                <w:lang w:eastAsia="zh-CN"/>
              </w:rPr>
              <w:t>廉政建设情况</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Theme="minorEastAsia"/>
                <w:color w:val="000000"/>
                <w:kern w:val="0"/>
                <w:szCs w:val="21"/>
                <w:lang w:eastAsia="zh-CN"/>
              </w:rPr>
            </w:pPr>
            <w:r>
              <w:rPr>
                <w:rFonts w:hint="eastAsia" w:ascii="Times New Roman" w:hAnsi="Times New Roman"/>
                <w:color w:val="000000"/>
                <w:kern w:val="0"/>
                <w:szCs w:val="21"/>
                <w:lang w:eastAsia="zh-CN"/>
              </w:rPr>
              <w:t>推动部门高效稳定运转</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lang w:eastAsia="zh-CN"/>
              </w:rPr>
              <w:t>推动部门高效稳定运转</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2</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2</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营商环境</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不断优化</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不断优化</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服务对象满意度指标</w:t>
            </w:r>
            <w:r>
              <w:rPr>
                <w:rFonts w:hint="eastAsia" w:ascii="Times New Roman" w:hAnsi="Times New Roman"/>
                <w:color w:val="000000"/>
                <w:kern w:val="0"/>
                <w:szCs w:val="21"/>
              </w:rPr>
              <w:t>（5分）</w:t>
            </w: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社会群众满意度</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≥90%</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97%</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2</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2</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0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9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c>
          <w:tcPr>
            <w:tcW w:w="1320"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olor w:val="000000"/>
                <w:kern w:val="0"/>
                <w:szCs w:val="21"/>
              </w:rPr>
            </w:pPr>
            <w:r>
              <w:rPr>
                <w:rFonts w:hint="eastAsia" w:ascii="Times New Roman" w:hAnsi="Times New Roman"/>
                <w:color w:val="000000"/>
                <w:kern w:val="0"/>
                <w:szCs w:val="21"/>
              </w:rPr>
              <w:t>服务企业满意度</w:t>
            </w:r>
          </w:p>
        </w:tc>
        <w:tc>
          <w:tcPr>
            <w:tcW w:w="14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≥90%</w:t>
            </w:r>
          </w:p>
        </w:tc>
        <w:tc>
          <w:tcPr>
            <w:tcW w:w="12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98%</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3</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hint="eastAsia" w:ascii="Times New Roman" w:hAnsi="Times New Roman"/>
                <w:color w:val="000000"/>
                <w:kern w:val="0"/>
                <w:szCs w:val="21"/>
              </w:rPr>
              <w:t>3</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92"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总分</w:t>
            </w:r>
          </w:p>
        </w:tc>
        <w:tc>
          <w:tcPr>
            <w:tcW w:w="70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r>
              <w:rPr>
                <w:rFonts w:ascii="Times New Roman" w:hAnsi="Times New Roman"/>
                <w:color w:val="000000"/>
                <w:kern w:val="0"/>
                <w:szCs w:val="21"/>
              </w:rPr>
              <w:t>100</w:t>
            </w:r>
          </w:p>
        </w:tc>
        <w:tc>
          <w:tcPr>
            <w:tcW w:w="9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Theme="minorEastAsia"/>
                <w:color w:val="000000"/>
                <w:kern w:val="0"/>
                <w:szCs w:val="21"/>
                <w:lang w:val="en-US" w:eastAsia="zh-CN"/>
              </w:rPr>
            </w:pPr>
            <w:r>
              <w:rPr>
                <w:rFonts w:hint="eastAsia" w:ascii="Times New Roman" w:hAnsi="Times New Roman"/>
                <w:color w:val="000000"/>
                <w:kern w:val="0"/>
                <w:szCs w:val="21"/>
                <w:lang w:val="en-US" w:eastAsia="zh-CN"/>
              </w:rPr>
              <w:t>99</w:t>
            </w:r>
          </w:p>
        </w:tc>
        <w:tc>
          <w:tcPr>
            <w:tcW w:w="13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Cs w:val="21"/>
              </w:rPr>
            </w:pPr>
          </w:p>
        </w:tc>
      </w:tr>
    </w:tbl>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Theme="minorEastAsia"/>
          <w:color w:val="000000"/>
          <w:kern w:val="0"/>
          <w:szCs w:val="21"/>
          <w:lang w:eastAsia="zh-CN"/>
        </w:rPr>
      </w:pPr>
      <w:r>
        <w:rPr>
          <w:rFonts w:ascii="Times New Roman" w:hAnsi="Times New Roman"/>
          <w:color w:val="000000"/>
          <w:kern w:val="0"/>
          <w:szCs w:val="21"/>
        </w:rPr>
        <w:t>填表人：</w:t>
      </w:r>
      <w:r>
        <w:rPr>
          <w:rFonts w:hint="eastAsia" w:ascii="Times New Roman" w:hAnsi="Times New Roman"/>
          <w:color w:val="000000"/>
          <w:kern w:val="0"/>
          <w:szCs w:val="21"/>
          <w:lang w:eastAsia="zh-CN"/>
        </w:rPr>
        <w:t>夏玲</w:t>
      </w:r>
      <w:r>
        <w:rPr>
          <w:rFonts w:hint="eastAsia" w:ascii="Times New Roman" w:hAnsi="Times New Roman"/>
          <w:color w:val="000000"/>
          <w:kern w:val="0"/>
          <w:szCs w:val="21"/>
          <w:lang w:val="en-US" w:eastAsia="zh-CN"/>
        </w:rPr>
        <w:t xml:space="preserve">      </w:t>
      </w:r>
      <w:r>
        <w:rPr>
          <w:rFonts w:ascii="Times New Roman" w:hAnsi="Times New Roman"/>
          <w:color w:val="000000"/>
          <w:kern w:val="0"/>
          <w:szCs w:val="21"/>
        </w:rPr>
        <w:t xml:space="preserve"> 填报日期：</w:t>
      </w:r>
      <w:r>
        <w:rPr>
          <w:rFonts w:hint="eastAsia" w:ascii="Times New Roman" w:hAnsi="Times New Roman"/>
          <w:color w:val="000000"/>
          <w:kern w:val="0"/>
          <w:szCs w:val="21"/>
          <w:lang w:val="en-US" w:eastAsia="zh-CN"/>
        </w:rPr>
        <w:t xml:space="preserve">2022.4.20 </w:t>
      </w:r>
      <w:r>
        <w:rPr>
          <w:rFonts w:ascii="Times New Roman" w:hAnsi="Times New Roman"/>
          <w:color w:val="000000"/>
          <w:kern w:val="0"/>
          <w:szCs w:val="21"/>
        </w:rPr>
        <w:t xml:space="preserve"> </w:t>
      </w:r>
      <w:r>
        <w:rPr>
          <w:rFonts w:hint="eastAsia" w:ascii="Times New Roman" w:hAnsi="Times New Roman"/>
          <w:color w:val="000000"/>
          <w:kern w:val="0"/>
          <w:szCs w:val="21"/>
          <w:lang w:val="en-US" w:eastAsia="zh-CN"/>
        </w:rPr>
        <w:t xml:space="preserve">   </w:t>
      </w:r>
      <w:r>
        <w:rPr>
          <w:rFonts w:ascii="Times New Roman" w:hAnsi="Times New Roman"/>
          <w:color w:val="000000"/>
          <w:kern w:val="0"/>
          <w:szCs w:val="21"/>
        </w:rPr>
        <w:t>联系电话：</w:t>
      </w:r>
      <w:r>
        <w:rPr>
          <w:rFonts w:hint="eastAsia" w:ascii="Times New Roman" w:hAnsi="Times New Roman"/>
          <w:color w:val="000000"/>
          <w:kern w:val="0"/>
          <w:szCs w:val="21"/>
          <w:lang w:val="en-US" w:eastAsia="zh-CN"/>
        </w:rPr>
        <w:t xml:space="preserve">13973769852       </w:t>
      </w:r>
      <w:r>
        <w:rPr>
          <w:rFonts w:ascii="Times New Roman" w:hAnsi="Times New Roman"/>
          <w:color w:val="000000"/>
          <w:kern w:val="0"/>
          <w:szCs w:val="21"/>
        </w:rPr>
        <w:t>单位负责人签字：</w:t>
      </w:r>
    </w:p>
    <w:sectPr>
      <w:footerReference r:id="rId3" w:type="default"/>
      <w:pgSz w:w="11906" w:h="16838"/>
      <w:pgMar w:top="1701" w:right="1417" w:bottom="1701"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96FBC"/>
    <w:multiLevelType w:val="singleLevel"/>
    <w:tmpl w:val="B8B96FBC"/>
    <w:lvl w:ilvl="0" w:tentative="0">
      <w:start w:val="2"/>
      <w:numFmt w:val="decimal"/>
      <w:suff w:val="space"/>
      <w:lvlText w:val="%1."/>
      <w:lvlJc w:val="left"/>
    </w:lvl>
  </w:abstractNum>
  <w:abstractNum w:abstractNumId="1">
    <w:nsid w:val="57E8A663"/>
    <w:multiLevelType w:val="singleLevel"/>
    <w:tmpl w:val="57E8A66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300AA"/>
    <w:rsid w:val="00000028"/>
    <w:rsid w:val="0000658D"/>
    <w:rsid w:val="00014341"/>
    <w:rsid w:val="00014F45"/>
    <w:rsid w:val="000300AA"/>
    <w:rsid w:val="0006664F"/>
    <w:rsid w:val="0008549D"/>
    <w:rsid w:val="00094FF9"/>
    <w:rsid w:val="000A6761"/>
    <w:rsid w:val="000C2564"/>
    <w:rsid w:val="000C2ECC"/>
    <w:rsid w:val="000C3E35"/>
    <w:rsid w:val="000D1537"/>
    <w:rsid w:val="000D5335"/>
    <w:rsid w:val="000E12EF"/>
    <w:rsid w:val="000E2922"/>
    <w:rsid w:val="000F63B2"/>
    <w:rsid w:val="0010275F"/>
    <w:rsid w:val="00106D12"/>
    <w:rsid w:val="00111C0D"/>
    <w:rsid w:val="00112639"/>
    <w:rsid w:val="00114B5A"/>
    <w:rsid w:val="001244BF"/>
    <w:rsid w:val="00130AF3"/>
    <w:rsid w:val="0016365A"/>
    <w:rsid w:val="001A248D"/>
    <w:rsid w:val="001A626B"/>
    <w:rsid w:val="001A793F"/>
    <w:rsid w:val="001D2041"/>
    <w:rsid w:val="001D2594"/>
    <w:rsid w:val="001D44B9"/>
    <w:rsid w:val="001E26AD"/>
    <w:rsid w:val="00207A2F"/>
    <w:rsid w:val="00210A4A"/>
    <w:rsid w:val="00211106"/>
    <w:rsid w:val="00213CF1"/>
    <w:rsid w:val="0021441D"/>
    <w:rsid w:val="00235E84"/>
    <w:rsid w:val="0024469B"/>
    <w:rsid w:val="00245A0A"/>
    <w:rsid w:val="00270BF5"/>
    <w:rsid w:val="002724B4"/>
    <w:rsid w:val="00287614"/>
    <w:rsid w:val="0029163D"/>
    <w:rsid w:val="002A5E1A"/>
    <w:rsid w:val="002A73D4"/>
    <w:rsid w:val="002C48B0"/>
    <w:rsid w:val="002D1CBE"/>
    <w:rsid w:val="002D3F90"/>
    <w:rsid w:val="00301073"/>
    <w:rsid w:val="00323054"/>
    <w:rsid w:val="00352623"/>
    <w:rsid w:val="00355226"/>
    <w:rsid w:val="00367235"/>
    <w:rsid w:val="003778B6"/>
    <w:rsid w:val="003A4C08"/>
    <w:rsid w:val="003C4FC5"/>
    <w:rsid w:val="003F4449"/>
    <w:rsid w:val="00411405"/>
    <w:rsid w:val="0041779D"/>
    <w:rsid w:val="0043049A"/>
    <w:rsid w:val="004455C3"/>
    <w:rsid w:val="0048166E"/>
    <w:rsid w:val="00484908"/>
    <w:rsid w:val="00485353"/>
    <w:rsid w:val="00486B51"/>
    <w:rsid w:val="004907FA"/>
    <w:rsid w:val="004922D4"/>
    <w:rsid w:val="004B4A0C"/>
    <w:rsid w:val="004B53CD"/>
    <w:rsid w:val="004C4517"/>
    <w:rsid w:val="004D19F8"/>
    <w:rsid w:val="004E419F"/>
    <w:rsid w:val="004F0A2E"/>
    <w:rsid w:val="004F7713"/>
    <w:rsid w:val="00507821"/>
    <w:rsid w:val="005201A9"/>
    <w:rsid w:val="00523F6C"/>
    <w:rsid w:val="00535211"/>
    <w:rsid w:val="005359ED"/>
    <w:rsid w:val="005452DC"/>
    <w:rsid w:val="0055136F"/>
    <w:rsid w:val="005520C0"/>
    <w:rsid w:val="005556D1"/>
    <w:rsid w:val="005576FD"/>
    <w:rsid w:val="00583172"/>
    <w:rsid w:val="005A282B"/>
    <w:rsid w:val="005B57BE"/>
    <w:rsid w:val="005C3E41"/>
    <w:rsid w:val="005C7817"/>
    <w:rsid w:val="005D42B4"/>
    <w:rsid w:val="005E06DF"/>
    <w:rsid w:val="005F3E05"/>
    <w:rsid w:val="005F7471"/>
    <w:rsid w:val="0060146B"/>
    <w:rsid w:val="00605B9F"/>
    <w:rsid w:val="006255F2"/>
    <w:rsid w:val="00636EEA"/>
    <w:rsid w:val="00651AE6"/>
    <w:rsid w:val="0065207D"/>
    <w:rsid w:val="006838CC"/>
    <w:rsid w:val="006912EA"/>
    <w:rsid w:val="006A4C48"/>
    <w:rsid w:val="006B2E30"/>
    <w:rsid w:val="006D5B84"/>
    <w:rsid w:val="006E1734"/>
    <w:rsid w:val="006F0F7F"/>
    <w:rsid w:val="006F1FF4"/>
    <w:rsid w:val="007079EF"/>
    <w:rsid w:val="0071345C"/>
    <w:rsid w:val="007225D4"/>
    <w:rsid w:val="00735A02"/>
    <w:rsid w:val="00737A85"/>
    <w:rsid w:val="007468F2"/>
    <w:rsid w:val="00777CE5"/>
    <w:rsid w:val="007B37B4"/>
    <w:rsid w:val="00802B23"/>
    <w:rsid w:val="008140F0"/>
    <w:rsid w:val="00826862"/>
    <w:rsid w:val="008329D9"/>
    <w:rsid w:val="00840D15"/>
    <w:rsid w:val="0086588A"/>
    <w:rsid w:val="00870282"/>
    <w:rsid w:val="00880E8A"/>
    <w:rsid w:val="00885E27"/>
    <w:rsid w:val="00891E64"/>
    <w:rsid w:val="00897130"/>
    <w:rsid w:val="008A269C"/>
    <w:rsid w:val="008A3105"/>
    <w:rsid w:val="008A38E0"/>
    <w:rsid w:val="008B0958"/>
    <w:rsid w:val="008C26EF"/>
    <w:rsid w:val="008C6652"/>
    <w:rsid w:val="008D7482"/>
    <w:rsid w:val="008E23BF"/>
    <w:rsid w:val="009003CC"/>
    <w:rsid w:val="00915501"/>
    <w:rsid w:val="00917DA6"/>
    <w:rsid w:val="00934368"/>
    <w:rsid w:val="00966B69"/>
    <w:rsid w:val="00967077"/>
    <w:rsid w:val="00974D07"/>
    <w:rsid w:val="009859CF"/>
    <w:rsid w:val="009B42BA"/>
    <w:rsid w:val="009C2932"/>
    <w:rsid w:val="009C39BD"/>
    <w:rsid w:val="00A226D5"/>
    <w:rsid w:val="00A2559E"/>
    <w:rsid w:val="00A45887"/>
    <w:rsid w:val="00AA4DB9"/>
    <w:rsid w:val="00AB716A"/>
    <w:rsid w:val="00AE3252"/>
    <w:rsid w:val="00AE56DB"/>
    <w:rsid w:val="00B07491"/>
    <w:rsid w:val="00B1569D"/>
    <w:rsid w:val="00B2653E"/>
    <w:rsid w:val="00B710D8"/>
    <w:rsid w:val="00B90939"/>
    <w:rsid w:val="00BA4545"/>
    <w:rsid w:val="00BB3963"/>
    <w:rsid w:val="00BC3BC8"/>
    <w:rsid w:val="00BD7B95"/>
    <w:rsid w:val="00BF7E36"/>
    <w:rsid w:val="00C239CE"/>
    <w:rsid w:val="00C31B76"/>
    <w:rsid w:val="00C32034"/>
    <w:rsid w:val="00C434B2"/>
    <w:rsid w:val="00C55000"/>
    <w:rsid w:val="00C55218"/>
    <w:rsid w:val="00C77B20"/>
    <w:rsid w:val="00C803E4"/>
    <w:rsid w:val="00C846B6"/>
    <w:rsid w:val="00C919A4"/>
    <w:rsid w:val="00C92F0D"/>
    <w:rsid w:val="00C92FD7"/>
    <w:rsid w:val="00CB0AAA"/>
    <w:rsid w:val="00CC0118"/>
    <w:rsid w:val="00CC4E28"/>
    <w:rsid w:val="00CD1575"/>
    <w:rsid w:val="00CD5B5A"/>
    <w:rsid w:val="00CE5BEB"/>
    <w:rsid w:val="00CF514D"/>
    <w:rsid w:val="00D100AF"/>
    <w:rsid w:val="00D17CFC"/>
    <w:rsid w:val="00D2591D"/>
    <w:rsid w:val="00D33940"/>
    <w:rsid w:val="00D33ED6"/>
    <w:rsid w:val="00D740B3"/>
    <w:rsid w:val="00D77ACA"/>
    <w:rsid w:val="00D96400"/>
    <w:rsid w:val="00D97DCA"/>
    <w:rsid w:val="00DA1905"/>
    <w:rsid w:val="00DA36B4"/>
    <w:rsid w:val="00DB1779"/>
    <w:rsid w:val="00DB757D"/>
    <w:rsid w:val="00DF7CD5"/>
    <w:rsid w:val="00E059E3"/>
    <w:rsid w:val="00E07DDE"/>
    <w:rsid w:val="00E11CFB"/>
    <w:rsid w:val="00E24F5A"/>
    <w:rsid w:val="00E25D82"/>
    <w:rsid w:val="00E30266"/>
    <w:rsid w:val="00E3622C"/>
    <w:rsid w:val="00E50699"/>
    <w:rsid w:val="00E518E6"/>
    <w:rsid w:val="00E55A69"/>
    <w:rsid w:val="00E641AA"/>
    <w:rsid w:val="00E67E15"/>
    <w:rsid w:val="00E67E31"/>
    <w:rsid w:val="00E70C90"/>
    <w:rsid w:val="00E72350"/>
    <w:rsid w:val="00E72925"/>
    <w:rsid w:val="00E740AA"/>
    <w:rsid w:val="00E94AF7"/>
    <w:rsid w:val="00EA6D3F"/>
    <w:rsid w:val="00EC499A"/>
    <w:rsid w:val="00ED2D88"/>
    <w:rsid w:val="00EF48DE"/>
    <w:rsid w:val="00EF7035"/>
    <w:rsid w:val="00F00FC0"/>
    <w:rsid w:val="00F251D1"/>
    <w:rsid w:val="00F26803"/>
    <w:rsid w:val="00F26881"/>
    <w:rsid w:val="00F2689D"/>
    <w:rsid w:val="00F37A17"/>
    <w:rsid w:val="00F524C7"/>
    <w:rsid w:val="00F63E0C"/>
    <w:rsid w:val="00FA36A5"/>
    <w:rsid w:val="00FC2C23"/>
    <w:rsid w:val="02DC17E1"/>
    <w:rsid w:val="05710988"/>
    <w:rsid w:val="07520C39"/>
    <w:rsid w:val="076B3AA9"/>
    <w:rsid w:val="07750484"/>
    <w:rsid w:val="086F7035"/>
    <w:rsid w:val="094B1DE4"/>
    <w:rsid w:val="09FE73FF"/>
    <w:rsid w:val="0A014251"/>
    <w:rsid w:val="0A311993"/>
    <w:rsid w:val="0BB7042D"/>
    <w:rsid w:val="0C114E43"/>
    <w:rsid w:val="0C1D476C"/>
    <w:rsid w:val="0D1F15BD"/>
    <w:rsid w:val="0D71793F"/>
    <w:rsid w:val="0D9E549B"/>
    <w:rsid w:val="0F323656"/>
    <w:rsid w:val="10790FE5"/>
    <w:rsid w:val="10E8616A"/>
    <w:rsid w:val="113A4C18"/>
    <w:rsid w:val="11AE4CBE"/>
    <w:rsid w:val="12960B44"/>
    <w:rsid w:val="13184DD0"/>
    <w:rsid w:val="135230C8"/>
    <w:rsid w:val="13F35552"/>
    <w:rsid w:val="14B94CF6"/>
    <w:rsid w:val="15050E55"/>
    <w:rsid w:val="15695ACC"/>
    <w:rsid w:val="167401D6"/>
    <w:rsid w:val="16864346"/>
    <w:rsid w:val="16DB6903"/>
    <w:rsid w:val="17AC6144"/>
    <w:rsid w:val="17D66DBC"/>
    <w:rsid w:val="181810E3"/>
    <w:rsid w:val="19197809"/>
    <w:rsid w:val="1922362F"/>
    <w:rsid w:val="195F6F99"/>
    <w:rsid w:val="19F17E3E"/>
    <w:rsid w:val="1A0520E7"/>
    <w:rsid w:val="1A5959E3"/>
    <w:rsid w:val="1BF94567"/>
    <w:rsid w:val="1F5A0C93"/>
    <w:rsid w:val="1FAA11BB"/>
    <w:rsid w:val="22AD22F0"/>
    <w:rsid w:val="22BB1EBE"/>
    <w:rsid w:val="22C249A4"/>
    <w:rsid w:val="22F50136"/>
    <w:rsid w:val="236D2C2B"/>
    <w:rsid w:val="23BF2D5B"/>
    <w:rsid w:val="244F78E2"/>
    <w:rsid w:val="251B6702"/>
    <w:rsid w:val="25506360"/>
    <w:rsid w:val="257F09F3"/>
    <w:rsid w:val="258724D7"/>
    <w:rsid w:val="26707CE7"/>
    <w:rsid w:val="269453AC"/>
    <w:rsid w:val="27133D00"/>
    <w:rsid w:val="276C31F9"/>
    <w:rsid w:val="27BB1A8B"/>
    <w:rsid w:val="27ED0C35"/>
    <w:rsid w:val="29B34495"/>
    <w:rsid w:val="2A0140CD"/>
    <w:rsid w:val="2D59015D"/>
    <w:rsid w:val="2E5073D1"/>
    <w:rsid w:val="2EA34B73"/>
    <w:rsid w:val="2F967065"/>
    <w:rsid w:val="306F78B6"/>
    <w:rsid w:val="30D31113"/>
    <w:rsid w:val="31D76DE8"/>
    <w:rsid w:val="346C65E7"/>
    <w:rsid w:val="34B14942"/>
    <w:rsid w:val="370A2254"/>
    <w:rsid w:val="37392F67"/>
    <w:rsid w:val="3825367C"/>
    <w:rsid w:val="38D47B2C"/>
    <w:rsid w:val="3AC3259C"/>
    <w:rsid w:val="3B4B5FDE"/>
    <w:rsid w:val="3CC3545A"/>
    <w:rsid w:val="3DEB0EC4"/>
    <w:rsid w:val="3F660B17"/>
    <w:rsid w:val="3F6A6BBB"/>
    <w:rsid w:val="401E2E70"/>
    <w:rsid w:val="41BF73D9"/>
    <w:rsid w:val="4486216C"/>
    <w:rsid w:val="44F02FA6"/>
    <w:rsid w:val="45101210"/>
    <w:rsid w:val="453C67C9"/>
    <w:rsid w:val="46135C2B"/>
    <w:rsid w:val="46432646"/>
    <w:rsid w:val="468A285D"/>
    <w:rsid w:val="469F0A9E"/>
    <w:rsid w:val="47EA6CB8"/>
    <w:rsid w:val="47FC782A"/>
    <w:rsid w:val="48315726"/>
    <w:rsid w:val="49E54A1A"/>
    <w:rsid w:val="4AC312FF"/>
    <w:rsid w:val="4BB74194"/>
    <w:rsid w:val="4BCA1F7C"/>
    <w:rsid w:val="4C251A45"/>
    <w:rsid w:val="4E21443A"/>
    <w:rsid w:val="4EE47996"/>
    <w:rsid w:val="51361FFF"/>
    <w:rsid w:val="51CB6BEB"/>
    <w:rsid w:val="52A120F8"/>
    <w:rsid w:val="52AD7580"/>
    <w:rsid w:val="53074F08"/>
    <w:rsid w:val="53135DC6"/>
    <w:rsid w:val="54077C82"/>
    <w:rsid w:val="54333648"/>
    <w:rsid w:val="560C5A68"/>
    <w:rsid w:val="561D7E7C"/>
    <w:rsid w:val="567F1D52"/>
    <w:rsid w:val="568455BA"/>
    <w:rsid w:val="56B73D53"/>
    <w:rsid w:val="58F92290"/>
    <w:rsid w:val="595B6AA6"/>
    <w:rsid w:val="5A011459"/>
    <w:rsid w:val="5C1809A9"/>
    <w:rsid w:val="5DC2619A"/>
    <w:rsid w:val="5EEB6C9C"/>
    <w:rsid w:val="60014AAA"/>
    <w:rsid w:val="600563C9"/>
    <w:rsid w:val="60261BC5"/>
    <w:rsid w:val="609B1E7E"/>
    <w:rsid w:val="61374E55"/>
    <w:rsid w:val="61761FA3"/>
    <w:rsid w:val="619B7808"/>
    <w:rsid w:val="61D2344B"/>
    <w:rsid w:val="62AF7E63"/>
    <w:rsid w:val="62CA07F9"/>
    <w:rsid w:val="64462101"/>
    <w:rsid w:val="657809E0"/>
    <w:rsid w:val="65B97414"/>
    <w:rsid w:val="65C47781"/>
    <w:rsid w:val="674E19F8"/>
    <w:rsid w:val="676F2BC1"/>
    <w:rsid w:val="685E3EBD"/>
    <w:rsid w:val="69D76757"/>
    <w:rsid w:val="6EA2262A"/>
    <w:rsid w:val="6EF51AA6"/>
    <w:rsid w:val="6F2D283B"/>
    <w:rsid w:val="6F433E0D"/>
    <w:rsid w:val="6FCB7D7F"/>
    <w:rsid w:val="6FE41646"/>
    <w:rsid w:val="71092E34"/>
    <w:rsid w:val="71290DE0"/>
    <w:rsid w:val="71831980"/>
    <w:rsid w:val="723314F1"/>
    <w:rsid w:val="74683C27"/>
    <w:rsid w:val="74EC0AA3"/>
    <w:rsid w:val="756B3942"/>
    <w:rsid w:val="75E8126A"/>
    <w:rsid w:val="777F26BF"/>
    <w:rsid w:val="78454752"/>
    <w:rsid w:val="78682D51"/>
    <w:rsid w:val="7A380039"/>
    <w:rsid w:val="7A5E5F9F"/>
    <w:rsid w:val="7AAE27F4"/>
    <w:rsid w:val="7B2E0BFB"/>
    <w:rsid w:val="7B4038F6"/>
    <w:rsid w:val="7BAB0442"/>
    <w:rsid w:val="7BAC57D1"/>
    <w:rsid w:val="7CE1703E"/>
    <w:rsid w:val="7D0270B5"/>
    <w:rsid w:val="7D0E2CFF"/>
    <w:rsid w:val="7DF509C8"/>
    <w:rsid w:val="7F285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仿宋" w:hAnsi="仿宋" w:eastAsia="仿宋" w:cs="仿宋"/>
      <w:szCs w:val="32"/>
      <w:lang w:val="zh-CN" w:bidi="zh-CN"/>
    </w:rPr>
  </w:style>
  <w:style w:type="paragraph" w:styleId="3">
    <w:name w:val="Body Text First Indent"/>
    <w:basedOn w:val="2"/>
    <w:qFormat/>
    <w:uiPriority w:val="0"/>
    <w:pPr>
      <w:autoSpaceDE w:val="0"/>
      <w:autoSpaceDN w:val="0"/>
      <w:ind w:firstLine="420"/>
      <w:jc w:val="left"/>
    </w:pPr>
    <w:rPr>
      <w:rFonts w:ascii="宋体" w:hAnsi="宋体" w:cs="宋体"/>
      <w:kern w:val="0"/>
      <w:sz w:val="32"/>
      <w:szCs w:val="32"/>
      <w:lang w:eastAsia="en-US"/>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Calibri" w:hAnsi="Calibri" w:eastAsia="方正仿宋简体" w:cs="方正仿宋简体"/>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日期 Char"/>
    <w:basedOn w:val="10"/>
    <w:link w:val="4"/>
    <w:semiHidden/>
    <w:qFormat/>
    <w:uiPriority w:val="99"/>
  </w:style>
  <w:style w:type="paragraph" w:customStyle="1" w:styleId="14">
    <w:name w:val="BodyText"/>
    <w:basedOn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B337E-430F-48AA-9A64-2613CC24EC0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10079</Words>
  <Characters>11122</Characters>
  <Lines>58</Lines>
  <Paragraphs>16</Paragraphs>
  <TotalTime>64</TotalTime>
  <ScaleCrop>false</ScaleCrop>
  <LinksUpToDate>false</LinksUpToDate>
  <CharactersWithSpaces>11210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2021-04-13T08:20:00Z</dcterms:created>
  <dc:creator>Windows User</dc:creator>
  <cp:lastModifiedBy>夏玲</cp:lastModifiedBy>
  <cp:lastPrinted>2022-04-20T04:23:00Z</cp:lastPrinted>
  <dcterms:modified xsi:type="dcterms:W3CDTF">2022-04-24T02:07:21Z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D46B18411F1E4044B936A8F9EC5789CB</vt:lpwstr>
  </property>
</Properties>
</file>