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2020年度项目支出绩效自评表</w:t>
      </w:r>
    </w:p>
    <w:bookmarkEnd w:id="0"/>
    <w:tbl>
      <w:tblPr>
        <w:tblStyle w:val="4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3"/>
        <w:gridCol w:w="954"/>
        <w:gridCol w:w="1341"/>
        <w:gridCol w:w="1131"/>
        <w:gridCol w:w="915"/>
        <w:gridCol w:w="846"/>
        <w:gridCol w:w="84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88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产业发展及互联网+行动专项引导资金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　市人民政府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4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执行数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分值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执行率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2451（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</w:rPr>
              <w:t>不含预留部分）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2451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2451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  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5" w:firstLineChars="25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5" w:firstLineChars="25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新增规模工业企业100家，规模工业增加值同比增长7.8%。　</w:t>
            </w:r>
          </w:p>
        </w:tc>
        <w:tc>
          <w:tcPr>
            <w:tcW w:w="4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新增规模工业企业189家，规模工业增加值同比增长4.5%。（疫情影响）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(50分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规模工业增加值增速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7.8%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左右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4.5%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12.0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</w:rPr>
              <w:t>新冠疫情引起的外部因素冲击较大，产值靠前的企业后续增长乏力。科学确定年度目标；切实完善运行机制；加大入规培育力度。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新增规模工业企业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100家以上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工业投资增长率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20.4%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指标1：资金拨付率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指标1：工业税收增长率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13.4%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指标1：工业出口额增长率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27.3%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（10分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指标1：区县（市）工信部门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5.0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指标2：工业企业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5.0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99.5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仿宋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仿宋" w:cs="Times New Roman"/>
          <w:sz w:val="20"/>
          <w:szCs w:val="20"/>
        </w:rPr>
        <w:t>填表人：尹湘平  填报日期：2021年4月10日  联系电话：17307370239  单位负责人签字：李恩念</w:t>
      </w:r>
    </w:p>
    <w:p/>
    <w:sectPr>
      <w:footerReference r:id="rId3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2ADC"/>
    <w:rsid w:val="336C307A"/>
    <w:rsid w:val="784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2021-04-12T01:33:00Z</dcterms:created>
  <dc:creator>cc</dc:creator>
  <cp:lastModifiedBy>cc</cp:lastModifiedBy>
  <dcterms:modified xsi:type="dcterms:W3CDTF">2021-04-12T01:34:30Z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37D14747A8E746618BC0C406C2ED5048</vt:lpwstr>
  </property>
  <property fmtid="{D5CDD505-2E9C-101B-9397-08002B2CF9AE}" pid="4" name="KSOSaveFontToCloudKey">
    <vt:lpwstr>584025133_btnclosed</vt:lpwstr>
  </property>
</Properties>
</file>