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益阳市商务楼宇宽带接入市场排查整治工作表</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14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758"/>
        <w:gridCol w:w="3236"/>
        <w:gridCol w:w="3040"/>
        <w:gridCol w:w="3425"/>
        <w:gridCol w:w="2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8" w:hRule="atLeast"/>
          <w:tblHeader/>
          <w:jc w:val="center"/>
        </w:trPr>
        <w:tc>
          <w:tcPr>
            <w:tcW w:w="175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整治项目</w:t>
            </w: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重点整治行为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主要行为主体</w:t>
            </w:r>
          </w:p>
        </w:tc>
        <w:tc>
          <w:tcPr>
            <w:tcW w:w="342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整治要求</w:t>
            </w: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5"/>
                <w:rFonts w:hint="default" w:ascii="Times New Roman" w:hAnsi="Times New Roman" w:eastAsia="方正仿宋简体" w:cs="Times New Roman"/>
                <w:sz w:val="24"/>
                <w:szCs w:val="24"/>
                <w:lang w:val="en-US" w:eastAsia="zh-CN" w:bidi="ar"/>
              </w:rPr>
            </w:pPr>
            <w:r>
              <w:rPr>
                <w:rStyle w:val="5"/>
                <w:rFonts w:hint="default" w:ascii="Times New Roman" w:hAnsi="Times New Roman" w:eastAsia="方正仿宋简体" w:cs="Times New Roman"/>
                <w:sz w:val="24"/>
                <w:szCs w:val="24"/>
                <w:lang w:val="en-US" w:eastAsia="zh-CN" w:bidi="ar"/>
              </w:rPr>
              <w:t>整治责任部门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简体" w:cs="Times New Roman"/>
                <w:b/>
                <w:i w:val="0"/>
                <w:color w:val="000000"/>
                <w:sz w:val="24"/>
                <w:szCs w:val="24"/>
                <w:u w:val="none"/>
              </w:rPr>
            </w:pPr>
            <w:r>
              <w:rPr>
                <w:rStyle w:val="6"/>
                <w:rFonts w:hint="default" w:ascii="Times New Roman" w:hAnsi="Times New Roman" w:eastAsia="方正仿宋简体" w:cs="Times New Roman"/>
                <w:sz w:val="24"/>
                <w:szCs w:val="24"/>
                <w:lang w:val="en-US" w:eastAsia="zh-CN" w:bidi="ar"/>
              </w:rPr>
              <w:t>（排名第一的为牵头部门）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jc w:val="center"/>
        </w:trPr>
        <w:tc>
          <w:tcPr>
            <w:tcW w:w="175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（一）商务楼宇内宽带业务排他经营和限制竞争行为</w:t>
            </w: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1.电信运营企业及其业务代理，商务楼宇管理者及其经营单位、物业服务企业之间签订任何形式排他性质的协议或约定</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电信运营企业及其业务代理、商务楼宇物业经营单位、其他市场主体</w:t>
            </w:r>
          </w:p>
        </w:tc>
        <w:tc>
          <w:tcPr>
            <w:tcW w:w="342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b/>
                <w:i w:val="0"/>
                <w:color w:val="000000"/>
                <w:sz w:val="24"/>
                <w:szCs w:val="24"/>
                <w:u w:val="none"/>
              </w:rPr>
            </w:pPr>
            <w:r>
              <w:rPr>
                <w:rStyle w:val="7"/>
                <w:rFonts w:hint="default" w:ascii="Times New Roman" w:hAnsi="Times New Roman" w:eastAsia="方正仿宋简体" w:cs="Times New Roman"/>
                <w:sz w:val="24"/>
                <w:szCs w:val="24"/>
                <w:lang w:val="en-US" w:eastAsia="zh-CN" w:bidi="ar"/>
              </w:rPr>
              <w:t>一.电信运营企业及其业务代理：</w:t>
            </w:r>
            <w:r>
              <w:rPr>
                <w:rStyle w:val="7"/>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1、不得与第三方签订任何垄断经营协议；</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2、不得向用户收取公式资费项目之外的费用；</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3、不得违反有关建筑建设标准和电信服务提供；</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4、针对开发商或者物业企业索要“入场费”或收取公示项目之外费用的问题，及时向当地有关部门提供线索。</w:t>
            </w: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市场监督管理</w:t>
            </w:r>
            <w:r>
              <w:rPr>
                <w:rFonts w:hint="eastAsia" w:ascii="Times New Roman" w:hAnsi="Times New Roman" w:eastAsia="方正仿宋简体" w:cs="Times New Roman"/>
                <w:i w:val="0"/>
                <w:color w:val="000000"/>
                <w:kern w:val="0"/>
                <w:sz w:val="24"/>
                <w:szCs w:val="24"/>
                <w:u w:val="none"/>
                <w:lang w:val="en-US" w:eastAsia="zh-CN" w:bidi="ar"/>
              </w:rPr>
              <w:t>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工业和信息化主管部门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通信管理部门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2.约束限制电信运营企业根据用户需求进入商务楼宇提供公共电信服务的行为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商务楼宇物业经营单位</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市场监督管理</w:t>
            </w:r>
            <w:r>
              <w:rPr>
                <w:rFonts w:hint="eastAsia" w:ascii="Times New Roman" w:hAnsi="Times New Roman" w:eastAsia="方正仿宋简体" w:cs="Times New Roman"/>
                <w:i w:val="0"/>
                <w:color w:val="000000"/>
                <w:kern w:val="0"/>
                <w:sz w:val="24"/>
                <w:szCs w:val="24"/>
                <w:u w:val="none"/>
                <w:lang w:val="en-US" w:eastAsia="zh-CN" w:bidi="ar"/>
              </w:rPr>
              <w:t>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eastAsia" w:ascii="Times New Roman" w:hAnsi="Times New Roman" w:eastAsia="方正仿宋简体" w:cs="Times New Roman"/>
                <w:i w:val="0"/>
                <w:color w:val="000000"/>
                <w:kern w:val="0"/>
                <w:sz w:val="24"/>
                <w:szCs w:val="24"/>
                <w:u w:val="none"/>
                <w:lang w:val="en-US" w:eastAsia="zh-CN" w:bidi="ar"/>
              </w:rPr>
              <w:t>工业和信息化主管部门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49"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3.约束限制电信运营企业公平接入和使用商务楼宇内通信管道、管线、机房等设施的行为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商务楼宇物业经营单位</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市场监督管理</w:t>
            </w:r>
            <w:r>
              <w:rPr>
                <w:rFonts w:hint="eastAsia" w:ascii="Times New Roman" w:hAnsi="Times New Roman" w:eastAsia="方正仿宋简体" w:cs="Times New Roman"/>
                <w:i w:val="0"/>
                <w:color w:val="000000"/>
                <w:kern w:val="0"/>
                <w:sz w:val="24"/>
                <w:szCs w:val="24"/>
                <w:u w:val="none"/>
                <w:lang w:val="en-US" w:eastAsia="zh-CN" w:bidi="ar"/>
              </w:rPr>
              <w:t>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eastAsia" w:ascii="Times New Roman" w:hAnsi="Times New Roman" w:eastAsia="方正仿宋简体" w:cs="Times New Roman"/>
                <w:i w:val="0"/>
                <w:color w:val="000000"/>
                <w:kern w:val="0"/>
                <w:sz w:val="24"/>
                <w:szCs w:val="24"/>
                <w:u w:val="none"/>
                <w:lang w:val="en-US" w:eastAsia="zh-CN" w:bidi="ar"/>
              </w:rPr>
              <w:t>工业和信息化主管部门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04"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4.强制商务楼宇承租人接受指定服务并收费的行为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电信运营企业及其业务代理、商务楼宇物业经营单位、其他市场主体</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市场监督管理部门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82"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5.无证经营、超范围经营电信业务等违规行为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商务楼宇内电信业务经营者</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通信管理部门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69"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6.相关市场主体存在的商用贿赂不正当竞争以及涉嫌构成垄断的行为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电信运营企业及其业务代理、商务楼宇物业经营单位、其他行为主体</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57"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7.以暴力、威胁手段强迫他人接受指定电信业务服务，或者强迫电信运营企业及其业务代理退出电信业务服务，情节严重，涉嫌强迫交易罪或者其他犯罪的，依法严厉打击</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商务楼宇物业经营单位、其他行为主体</w:t>
            </w:r>
          </w:p>
        </w:tc>
        <w:tc>
          <w:tcPr>
            <w:tcW w:w="342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20" w:lineRule="exact"/>
              <w:jc w:val="left"/>
              <w:textAlignment w:val="center"/>
              <w:rPr>
                <w:rFonts w:hint="default" w:ascii="Times New Roman" w:hAnsi="Times New Roman" w:eastAsia="方正仿宋简体" w:cs="Times New Roman"/>
                <w:b/>
                <w:i w:val="0"/>
                <w:color w:val="000000"/>
                <w:sz w:val="24"/>
                <w:szCs w:val="24"/>
                <w:u w:val="none"/>
              </w:rPr>
            </w:pPr>
            <w:r>
              <w:rPr>
                <w:rStyle w:val="7"/>
                <w:rFonts w:hint="default" w:ascii="Times New Roman" w:hAnsi="Times New Roman" w:eastAsia="方正仿宋简体" w:cs="Times New Roman"/>
                <w:sz w:val="24"/>
                <w:szCs w:val="24"/>
                <w:lang w:val="en-US" w:eastAsia="zh-CN" w:bidi="ar"/>
              </w:rPr>
              <w:t>二.商务楼宇管理者及其经营单位、物业服务企业：</w:t>
            </w:r>
            <w:r>
              <w:rPr>
                <w:rStyle w:val="7"/>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1、不得与任一通信企业及其代理签订任何形式的垄断或排他协议；</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2、不得强制用户办理指定通信产品或指定产品收费；                                         3、不得向用户收取高于电信企业公示资费项目之外的费用；</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 xml:space="preserve">4、不得强迫电信企业退出电信业务经营服务；             </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 xml:space="preserve">5、不得限制电信企业进驻的设施设备的使用；                                       </w:t>
            </w:r>
            <w:r>
              <w:rPr>
                <w:rStyle w:val="8"/>
                <w:rFonts w:hint="default" w:ascii="Times New Roman" w:hAnsi="Times New Roman" w:eastAsia="方正仿宋简体" w:cs="Times New Roman"/>
                <w:sz w:val="24"/>
                <w:szCs w:val="24"/>
                <w:lang w:val="en-US" w:eastAsia="zh-CN" w:bidi="ar"/>
              </w:rPr>
              <w:br w:type="textWrapping"/>
            </w:r>
            <w:r>
              <w:rPr>
                <w:rStyle w:val="8"/>
                <w:rFonts w:hint="default" w:ascii="Times New Roman" w:hAnsi="Times New Roman" w:eastAsia="方正仿宋简体" w:cs="Times New Roman"/>
                <w:sz w:val="24"/>
                <w:szCs w:val="24"/>
                <w:lang w:val="en-US" w:eastAsia="zh-CN" w:bidi="ar"/>
              </w:rPr>
              <w:t>6、不得收取进场费、业务分成费、施工设施使用费、超标高电价等不合理收费</w:t>
            </w: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公安部门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175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（二）商务楼宇内宽带业务价格违法行为</w:t>
            </w: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8.电信运营企业及其业务代理为用户提供通信服务时，按照其已公示的电信资费标准收费外，另行收取其他费用的行为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工业和信息化主管部门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通信管理部门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30"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9.商务楼宇管理者及其经营单位、物业服务企业在配合提供通信接入服务时，向电信运营企业及其业务代理收取公示的收费项目之外的费用</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电信运营企业及其业务代理、商务楼宇物业经营单位、其他市场主体</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市场监督管理部门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24"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10.依照《中华人民共和国价格法》对未按规定明码标价、价格欺诈等价格违法行为进行查处</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商务楼宇内各有关市场主体</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69"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11.电信运营企业及其业务代理未在商务楼宇内公示服务项目、服务内容、资费标准、服务监督电话或市场监督投诉举报电话等行为以及资费营销和计收费等不规范行为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电信运营企业及其业务代理</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工业和信息化主管部门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通信管理部门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27"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12.商务楼宇管理者及其经营单位、物业服务企业未协助向通信运营企业及其业务代理有关服务公示提供信息公布位置以及其他服务提供便利的行为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商务楼宇物业经营单位、其他行为主体</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市场监督管理部门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75" w:hRule="atLeast"/>
          <w:jc w:val="center"/>
        </w:trPr>
        <w:tc>
          <w:tcPr>
            <w:tcW w:w="175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b/>
                <w:i w:val="0"/>
                <w:color w:val="000000"/>
                <w:sz w:val="24"/>
                <w:szCs w:val="24"/>
                <w:u w:val="none"/>
              </w:rPr>
            </w:pPr>
            <w:r>
              <w:rPr>
                <w:rFonts w:hint="default" w:ascii="Times New Roman" w:hAnsi="Times New Roman" w:eastAsia="方正仿宋简体" w:cs="Times New Roman"/>
                <w:b/>
                <w:i w:val="0"/>
                <w:color w:val="000000"/>
                <w:kern w:val="0"/>
                <w:sz w:val="24"/>
                <w:szCs w:val="24"/>
                <w:u w:val="none"/>
                <w:lang w:val="en-US" w:eastAsia="zh-CN" w:bidi="ar"/>
              </w:rPr>
              <w:t>（三）新建商务楼宇未严格执行国家标准行为</w:t>
            </w: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13.新建商务楼宇通信配套设施未纳入建设项目施工图设计文件，所需投资未纳入建设项目概算，第三方公司作为单独工程项目进行投资建设并经营获利的行为</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商务楼宇建设单位及其他有关建设单位</w:t>
            </w:r>
          </w:p>
        </w:tc>
        <w:tc>
          <w:tcPr>
            <w:tcW w:w="3425"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b/>
                <w:i w:val="0"/>
                <w:color w:val="000000"/>
                <w:sz w:val="24"/>
                <w:szCs w:val="24"/>
                <w:u w:val="none"/>
              </w:rPr>
            </w:pPr>
            <w:r>
              <w:rPr>
                <w:rStyle w:val="7"/>
                <w:rFonts w:hint="default" w:ascii="Times New Roman" w:hAnsi="Times New Roman" w:eastAsia="方正仿宋简体" w:cs="Times New Roman"/>
                <w:sz w:val="24"/>
                <w:szCs w:val="24"/>
                <w:lang w:val="en-US" w:eastAsia="zh-CN" w:bidi="ar"/>
              </w:rPr>
              <w:t>三.商务楼宇建设单位、设计单位、施工图审查机构：</w:t>
            </w:r>
            <w:r>
              <w:rPr>
                <w:rStyle w:val="8"/>
                <w:rFonts w:hint="default" w:ascii="Times New Roman" w:hAnsi="Times New Roman" w:eastAsia="方正仿宋简体" w:cs="Times New Roman"/>
                <w:sz w:val="24"/>
                <w:szCs w:val="24"/>
                <w:lang w:val="en-US" w:eastAsia="zh-CN" w:bidi="ar"/>
              </w:rPr>
              <w:t>不得违反《综合布线系统工程设计规范》(GB50311)及《住宅小区及商住楼通信设施建设标准》（DBJ43/003-2012）等标准执行</w:t>
            </w: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eastAsia" w:ascii="Times New Roman" w:hAnsi="Times New Roman" w:eastAsia="方正仿宋简体" w:cs="Times New Roman"/>
                <w:i w:val="0"/>
                <w:color w:val="000000"/>
                <w:kern w:val="0"/>
                <w:sz w:val="24"/>
                <w:szCs w:val="24"/>
                <w:u w:val="none"/>
                <w:lang w:val="en-US" w:eastAsia="zh-CN" w:bidi="ar"/>
              </w:rPr>
              <w:t>城市管理执法部门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5"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14.新建设楼宇施工图设计文件不符合《综合布线系统工程设计规范》(GB50311)及《住宅小区及商住楼通信设施建设标准》（DBJ 43/003-2012）等标准强制性条文要求，以及未组织竣工验收和备案。</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商务楼宇建设单位、设计单位及有关责任主体单位</w:t>
            </w:r>
          </w:p>
        </w:tc>
        <w:tc>
          <w:tcPr>
            <w:tcW w:w="3425"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default" w:ascii="Times New Roman" w:hAnsi="Times New Roman" w:eastAsia="方正仿宋简体" w:cs="Times New Roman"/>
                <w:i w:val="0"/>
                <w:color w:val="000000"/>
                <w:kern w:val="0"/>
                <w:sz w:val="24"/>
                <w:szCs w:val="24"/>
                <w:u w:val="none"/>
                <w:lang w:val="en-US" w:eastAsia="zh-CN" w:bidi="ar"/>
              </w:rPr>
              <w:t>住房和城乡建设部门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国有资产监督管理部门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kern w:val="0"/>
                <w:sz w:val="24"/>
                <w:szCs w:val="24"/>
                <w:u w:val="none"/>
                <w:lang w:val="en-US" w:eastAsia="zh-CN" w:bidi="ar"/>
              </w:rPr>
            </w:pPr>
            <w:r>
              <w:rPr>
                <w:rFonts w:hint="eastAsia" w:ascii="Times New Roman" w:hAnsi="Times New Roman" w:eastAsia="方正仿宋简体" w:cs="Times New Roman"/>
                <w:i w:val="0"/>
                <w:color w:val="000000"/>
                <w:kern w:val="0"/>
                <w:sz w:val="24"/>
                <w:szCs w:val="24"/>
                <w:u w:val="none"/>
                <w:lang w:val="en-US" w:eastAsia="zh-CN" w:bidi="ar"/>
              </w:rPr>
              <w:t>自然资源和规划管理部门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95" w:hRule="atLeast"/>
          <w:jc w:val="center"/>
        </w:trPr>
        <w:tc>
          <w:tcPr>
            <w:tcW w:w="175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32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15.电信运营企业违规参与或支持新建商务楼宇内通信配套设施建设，对于通信配套设施未按要求竣工验收或验收不合格的商务楼宇，仍将其接入公共电信网</w:t>
            </w:r>
          </w:p>
        </w:tc>
        <w:tc>
          <w:tcPr>
            <w:tcW w:w="304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电信运营企业</w:t>
            </w:r>
          </w:p>
        </w:tc>
        <w:tc>
          <w:tcPr>
            <w:tcW w:w="3425"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rPr>
                <w:rFonts w:hint="default" w:ascii="Times New Roman" w:hAnsi="Times New Roman" w:eastAsia="方正仿宋简体" w:cs="Times New Roman"/>
                <w:b/>
                <w:i w:val="0"/>
                <w:color w:val="000000"/>
                <w:sz w:val="24"/>
                <w:szCs w:val="24"/>
                <w:u w:val="none"/>
              </w:rPr>
            </w:pPr>
          </w:p>
        </w:tc>
        <w:tc>
          <w:tcPr>
            <w:tcW w:w="28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简体" w:cs="Times New Roman"/>
                <w:i w:val="0"/>
                <w:color w:val="000000"/>
                <w:sz w:val="24"/>
                <w:szCs w:val="24"/>
                <w:u w:val="none"/>
              </w:rPr>
            </w:pPr>
            <w:r>
              <w:rPr>
                <w:rFonts w:hint="default" w:ascii="Times New Roman" w:hAnsi="Times New Roman" w:eastAsia="方正仿宋简体" w:cs="Times New Roman"/>
                <w:i w:val="0"/>
                <w:color w:val="000000"/>
                <w:kern w:val="0"/>
                <w:sz w:val="24"/>
                <w:szCs w:val="24"/>
                <w:u w:val="none"/>
                <w:lang w:val="en-US" w:eastAsia="zh-CN" w:bidi="ar"/>
              </w:rPr>
              <w:t>工业和信息化主管部门</w:t>
            </w:r>
            <w:r>
              <w:rPr>
                <w:rFonts w:hint="default" w:ascii="Times New Roman" w:hAnsi="Times New Roman" w:eastAsia="方正仿宋简体" w:cs="Times New Roman"/>
                <w:i w:val="0"/>
                <w:color w:val="000000"/>
                <w:kern w:val="0"/>
                <w:sz w:val="24"/>
                <w:szCs w:val="24"/>
                <w:u w:val="none"/>
                <w:lang w:val="en-US" w:eastAsia="zh-CN" w:bidi="ar"/>
              </w:rPr>
              <w:br w:type="textWrapping"/>
            </w:r>
            <w:r>
              <w:rPr>
                <w:rFonts w:hint="default" w:ascii="Times New Roman" w:hAnsi="Times New Roman" w:eastAsia="方正仿宋简体" w:cs="Times New Roman"/>
                <w:i w:val="0"/>
                <w:color w:val="000000"/>
                <w:kern w:val="0"/>
                <w:sz w:val="24"/>
                <w:szCs w:val="24"/>
                <w:u w:val="none"/>
                <w:lang w:val="en-US" w:eastAsia="zh-CN" w:bidi="ar"/>
              </w:rPr>
              <w:t>通信管理部门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sectPr>
          <w:pgSz w:w="16838" w:h="11906" w:orient="landscape"/>
          <w:pgMar w:top="1701" w:right="1417" w:bottom="1701"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3097C"/>
    <w:rsid w:val="0FC3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eastAsia" w:ascii="宋体" w:hAnsi="宋体" w:eastAsia="宋体" w:cs="宋体"/>
      <w:b/>
      <w:color w:val="000000"/>
      <w:sz w:val="22"/>
      <w:szCs w:val="22"/>
      <w:u w:val="none"/>
    </w:rPr>
  </w:style>
  <w:style w:type="character" w:customStyle="1" w:styleId="6">
    <w:name w:val="font01"/>
    <w:basedOn w:val="4"/>
    <w:qFormat/>
    <w:uiPriority w:val="0"/>
    <w:rPr>
      <w:rFonts w:hint="eastAsia" w:ascii="宋体" w:hAnsi="宋体" w:eastAsia="宋体" w:cs="宋体"/>
      <w:color w:val="000000"/>
      <w:sz w:val="18"/>
      <w:szCs w:val="18"/>
      <w:u w:val="none"/>
    </w:rPr>
  </w:style>
  <w:style w:type="character" w:customStyle="1" w:styleId="7">
    <w:name w:val="font21"/>
    <w:basedOn w:val="4"/>
    <w:qFormat/>
    <w:uiPriority w:val="0"/>
    <w:rPr>
      <w:rFonts w:hint="eastAsia" w:ascii="仿宋" w:hAnsi="仿宋" w:eastAsia="仿宋" w:cs="仿宋"/>
      <w:b/>
      <w:color w:val="000000"/>
      <w:sz w:val="22"/>
      <w:szCs w:val="22"/>
      <w:u w:val="none"/>
    </w:rPr>
  </w:style>
  <w:style w:type="character" w:customStyle="1" w:styleId="8">
    <w:name w:val="font11"/>
    <w:basedOn w:val="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2021-03-01T03:09:00Z</dcterms:created>
  <dc:creator>cc</dc:creator>
  <cp:lastModifiedBy>cc</cp:lastModifiedBy>
  <dcterms:modified xsi:type="dcterms:W3CDTF">2021-03-01T03:09:48Z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584025133_btnclosed</vt:lpwstr>
  </property>
</Properties>
</file>