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0" w:lineRule="exact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3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30"/>
          <w:sz w:val="136"/>
          <w:szCs w:val="136"/>
          <w:lang w:eastAsia="zh-CN"/>
        </w:rPr>
        <w:t>益阳市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0"/>
          <w:w w:val="30"/>
          <w:sz w:val="136"/>
          <w:szCs w:val="136"/>
        </w:rPr>
        <w:t>淘汰落后产能工作领导小组办公室文件</w:t>
      </w:r>
    </w:p>
    <w:p>
      <w:pPr>
        <w:spacing w:line="600" w:lineRule="exact"/>
        <w:jc w:val="center"/>
        <w:rPr>
          <w:rFonts w:hint="eastAsia" w:hAnsi="仿宋" w:eastAsia="仿宋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Ansi="仿宋" w:eastAsia="仿宋"/>
          <w:color w:val="FF0000"/>
          <w:sz w:val="32"/>
          <w:szCs w:val="32"/>
        </w:rPr>
      </w:pPr>
      <w:r>
        <w:rPr>
          <w:rFonts w:hint="eastAsia" w:hAnsi="仿宋" w:eastAsia="仿宋"/>
          <w:sz w:val="32"/>
          <w:szCs w:val="32"/>
          <w:lang w:eastAsia="zh-CN"/>
        </w:rPr>
        <w:t>益</w:t>
      </w:r>
      <w:r>
        <w:rPr>
          <w:rFonts w:hint="eastAsia" w:hAnsi="仿宋" w:eastAsia="仿宋"/>
          <w:sz w:val="32"/>
          <w:szCs w:val="32"/>
        </w:rPr>
        <w:t>淘汰落后办〔</w:t>
      </w:r>
      <w:r>
        <w:rPr>
          <w:rFonts w:hAnsi="仿宋" w:eastAsia="仿宋"/>
          <w:sz w:val="32"/>
          <w:szCs w:val="32"/>
        </w:rPr>
        <w:t>201</w:t>
      </w:r>
      <w:r>
        <w:rPr>
          <w:rFonts w:hint="eastAsia" w:hAnsi="仿宋" w:eastAsia="仿宋"/>
          <w:sz w:val="32"/>
          <w:szCs w:val="32"/>
          <w:lang w:val="en-US" w:eastAsia="zh-CN"/>
        </w:rPr>
        <w:t>8</w:t>
      </w:r>
      <w:r>
        <w:rPr>
          <w:rFonts w:hint="eastAsia" w:hAnsi="仿宋" w:eastAsia="仿宋"/>
          <w:sz w:val="32"/>
          <w:szCs w:val="32"/>
        </w:rPr>
        <w:t>〕</w:t>
      </w:r>
      <w:r>
        <w:rPr>
          <w:rFonts w:hint="eastAsia" w:hAnsi="仿宋" w:eastAsia="仿宋"/>
          <w:sz w:val="32"/>
          <w:szCs w:val="32"/>
          <w:lang w:val="en-US" w:eastAsia="zh-CN"/>
        </w:rPr>
        <w:t>4</w:t>
      </w:r>
      <w:r>
        <w:rPr>
          <w:rFonts w:hint="eastAsia" w:hAnsi="仿宋" w:eastAsia="仿宋"/>
          <w:sz w:val="32"/>
          <w:szCs w:val="32"/>
        </w:rPr>
        <w:t>号</w:t>
      </w:r>
    </w:p>
    <w:p>
      <w:pPr>
        <w:spacing w:line="600" w:lineRule="exact"/>
        <w:ind w:firstLine="210" w:firstLineChars="100"/>
        <w:jc w:val="center"/>
        <w:rPr>
          <w:rFonts w:hAnsi="仿宋" w:eastAsia="仿宋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Line 2" o:spid="_x0000_s1029" o:spt="20" style="position:absolute;left:0pt;margin-left:7.5pt;margin-top:8.25pt;height:0.05pt;width:446.25pt;z-index:251658240;mso-width-relative:page;mso-height-relative:page;" fillcolor="#FFFFFF" filled="f" o:preferrelative="t" stroked="t" coordsize="21600,21600">
            <v:path arrowok="t"/>
            <v:fill on="f" color2="#FFFFFF" focussize="0,0"/>
            <v:stroke weight="1.75pt" color="#FF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widowControl w:val="0"/>
        <w:wordWrap/>
        <w:adjustRightInd/>
        <w:snapToGrid/>
        <w:spacing w:line="160" w:lineRule="atLeas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before="312" w:before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关于进一步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防止“地条钢”死灰复燃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各区县（市）人民政府、市直有关单位：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今年以来，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黑龙江省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及我省常德市等地出现了“地条钢”死灰复燃情况，</w:t>
      </w:r>
      <w:r>
        <w:rPr>
          <w:rFonts w:hint="eastAsia" w:ascii="方正仿宋简体" w:hAnsi="方正仿宋简体" w:eastAsia="方正仿宋简体" w:cs="方正仿宋简体"/>
          <w:color w:val="222222"/>
          <w:sz w:val="32"/>
          <w:szCs w:val="32"/>
        </w:rPr>
        <w:t>省</w:t>
      </w:r>
      <w:r>
        <w:rPr>
          <w:rFonts w:hint="eastAsia" w:ascii="方正仿宋简体" w:hAnsi="方正仿宋简体" w:eastAsia="方正仿宋简体" w:cs="方正仿宋简体"/>
          <w:color w:val="222222"/>
          <w:sz w:val="32"/>
          <w:szCs w:val="32"/>
          <w:lang w:eastAsia="zh-CN"/>
        </w:rPr>
        <w:t>、市</w:t>
      </w:r>
      <w:r>
        <w:rPr>
          <w:rFonts w:hint="eastAsia" w:ascii="方正仿宋简体" w:hAnsi="方正仿宋简体" w:eastAsia="方正仿宋简体" w:cs="方正仿宋简体"/>
          <w:color w:val="222222"/>
          <w:sz w:val="32"/>
          <w:szCs w:val="32"/>
        </w:rPr>
        <w:t>人民政府</w:t>
      </w:r>
      <w:r>
        <w:rPr>
          <w:rFonts w:hint="eastAsia" w:ascii="方正仿宋简体" w:hAnsi="方正仿宋简体" w:eastAsia="方正仿宋简体" w:cs="方正仿宋简体"/>
          <w:color w:val="222222"/>
          <w:sz w:val="32"/>
          <w:szCs w:val="32"/>
          <w:lang w:eastAsia="zh-CN"/>
        </w:rPr>
        <w:t>对此</w:t>
      </w:r>
      <w:r>
        <w:rPr>
          <w:rFonts w:hint="eastAsia" w:ascii="方正仿宋简体" w:hAnsi="方正仿宋简体" w:eastAsia="方正仿宋简体" w:cs="方正仿宋简体"/>
          <w:color w:val="222222"/>
          <w:sz w:val="32"/>
          <w:szCs w:val="32"/>
        </w:rPr>
        <w:t>高度重视，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湖南省淘汰落后产能和企业兼并重组工作领导小组办公室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就我省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进一步做好防止“地条钢”死灰复燃工作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连续下发了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4个通知，省经信委召开了</w:t>
      </w:r>
      <w:r>
        <w:rPr>
          <w:rFonts w:hint="eastAsia" w:ascii="方正仿宋简体" w:hAnsi="方正仿宋简体" w:eastAsia="方正仿宋简体" w:cs="方正仿宋简体"/>
          <w:spacing w:val="-20"/>
          <w:w w:val="97"/>
          <w:sz w:val="32"/>
          <w:szCs w:val="32"/>
        </w:rPr>
        <w:t>全省防止“地条钢”死灰复燃工作部署会议</w:t>
      </w:r>
      <w:r>
        <w:rPr>
          <w:rFonts w:hint="eastAsia" w:ascii="方正仿宋简体" w:hAnsi="方正仿宋简体" w:eastAsia="方正仿宋简体" w:cs="方正仿宋简体"/>
          <w:spacing w:val="-20"/>
          <w:w w:val="97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益阳市淘汰落后产能工作领导小组办公室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就我市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做好防止“地条钢”死灰复燃工作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已下发了2个通知。为认真落实国务院和省、市打击“地条钢”部署，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进一步压实工作责任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防“地条钢”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在我市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死灰复燃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，现就有关事项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通知如下：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进一步提高认识。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钢铁行业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推进供给侧结构性改革，着力化解过剩产能，坚决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打击取缔“地条钢”违法违规生产经营行为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，是党中央、国务院提出的一项重大决策部署，是落实“三去一降一补”任务的重要内容。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习近平总书记强调：去产能如同逆水行舟，不进则退。要梳理工作中的薄弱环节，确保落后产能应去尽去、“僵尸企业”应退尽退，决不允许出现弄虚作假行为，决不允许已化解的过剩产能死灰复燃，决不允许对落后产能搞等量置换，决不允许违法违规建设新项目。各级领导干部一定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393939"/>
          <w:sz w:val="32"/>
          <w:szCs w:val="32"/>
        </w:rPr>
        <w:t>站在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讲政治的高度，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</w:rPr>
        <w:t>把思想和行动统一到党中央的决策部署上来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，讲政治纪律守政治规矩，深刻认识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打击“地条钢”违法违规生产经营行为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的艰巨性、复杂性，提高政治站位，统一思想，提高认识，坚决打赢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取缔“地条钢”这场硬仗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进一步明确责任。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根据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湘政明电[2016]152号文件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精神，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各区县（市）人民政府对本地区打击取缔“地条钢”专项行动负主体责任，各区县（市）人民政府主要负责人履行第一责任人责任。市直相关部门按照“谁主管、谁负责”的原则，抓好工作指导、协调、督查，履行好监管责任。由市经信委牵头，会同市发改委、市质监局、市工商局等部门抓好打击取缔“地条钢”违法违规生产经营行为的整治工作。市国土局、市环保局、市住建局、市质监局、市工商局、市安监局、市税务局等有关部门开展执法检查，切实履行职责，加强协调配合，合力推进工作。</w:t>
      </w:r>
    </w:p>
    <w:p>
      <w:pPr>
        <w:pStyle w:val="13"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三、进一步明确重点。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各区县（市）人民政府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严防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“地条钢”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死灰复燃的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重点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：一是2017年已取缔的 “地条钢”企业；二是假借铸造名义违法生产的“地条钢”企业；三是假借特钢和生产法兰等名义违法生产的“地条钢”企业；四是假借不锈钢名义违法生产的“地条钢”企业；五是废钢资源丰富、钢材需求旺盛的地区；六是地处偏僻、监管难度大的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区；七是历史上没有“地条钢”生产、监管经验和能力不足的区县（市）。</w:t>
      </w:r>
    </w:p>
    <w:p>
      <w:pPr>
        <w:ind w:firstLine="643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四、进一步加大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排查监管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力度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由于“地条钢”生产工艺简单、隐蔽性强，特别是在当前钢材价格回升、获利空间加大的情况下，受利益驱动，“地条钢”死灰复燃可能性增大。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各区、县（市）人民政府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shd w:val="clear" w:color="auto" w:fill="FFFFFF"/>
        </w:rPr>
        <w:t>要在前期全面摸排的基础上，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每月定期或不定期的组织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shd w:val="clear" w:color="auto" w:fill="FFFFFF"/>
        </w:rPr>
        <w:t>对本地区是否还存在“地条钢”违法违规产能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开展全面清查，确保全覆盖、无死角，要认真排查，决不能走过场。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对在2017年已按照“四个彻底”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要求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拆除的“地条钢”企业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益阳金沙钢铁有限责任公司和益阳中源钢铁有限公司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，要将其列入重点监管对象，加强日常监督管理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，质监部门必须开展经常性检测，加大检测面和检测密度，并及时上报检测结果；桃江县政府必须加强对其用电量等相关指标的监控，随时掌握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企业生产经营动态，坚决防止“地条钢”企业死灰复燃。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请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桃江县人民政府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于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每月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30日，其他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区县（市）人民政府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于每月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30日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将本地区防止“地条钢”死灰复燃情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况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0"/>
          <w:sz w:val="32"/>
          <w:szCs w:val="32"/>
          <w:lang w:eastAsia="zh-CN"/>
        </w:rPr>
        <w:t>排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0"/>
          <w:sz w:val="32"/>
          <w:szCs w:val="32"/>
        </w:rPr>
        <w:t>查清单和处置意见表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报市经信委原材料与消费品工业科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（联系电话：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0737-4118800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。</w:t>
      </w:r>
    </w:p>
    <w:p>
      <w:pPr>
        <w:pStyle w:val="13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五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、进一步完善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长效机制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市直有关单位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已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长期设立打击取缔“地条钢”举报电话，接受群众举报。举报电话为：益阳市经济和信息化委员会0737-4118800、益阳市发展和改革委员会0737-6101659、益阳市质量技术监督局0737-4223049、益阳市工商行政管理局0737-4390342。各区县（市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还没有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设立长期举报电话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的应立即设立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，并向社会公开，接受社会监督。同时，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要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根据群众举报信息，随时组织力量开展核查，一经发现生产“地条钢”企业，坚决予以取缔，严防“地条钢”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eastAsia="zh-CN"/>
        </w:rPr>
        <w:t>在我市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死灰复燃。</w:t>
      </w:r>
    </w:p>
    <w:p>
      <w:pPr>
        <w:tabs>
          <w:tab w:val="left" w:pos="2140"/>
        </w:tabs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注：“地条钢”是指以废钢铁为原料，经过（中频炉、工频炉）感应炉等熔化，不能有效的进行成分和质量控制生产的钢及以其为原料轧制的钢材。“地条钢”属于国家明令淘汰的产品，应坚决依法查处。</w:t>
      </w:r>
    </w:p>
    <w:p>
      <w:pPr>
        <w:widowControl/>
        <w:spacing w:line="560" w:lineRule="exact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p>
      <w:pPr>
        <w:widowControl/>
        <w:spacing w:line="56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p>
      <w:pPr>
        <w:widowControl/>
        <w:spacing w:line="560" w:lineRule="exact"/>
        <w:ind w:firstLine="1600" w:firstLineChars="50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益阳市淘汰落后产能工作领导小组办公室</w:t>
      </w:r>
    </w:p>
    <w:p>
      <w:pPr>
        <w:tabs>
          <w:tab w:val="left" w:pos="2140"/>
        </w:tabs>
        <w:spacing w:line="560" w:lineRule="exact"/>
        <w:ind w:firstLine="4160" w:firstLineChars="1300"/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201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sz w:val="32"/>
          <w:szCs w:val="32"/>
        </w:rPr>
        <w:t>日</w:t>
      </w:r>
    </w:p>
    <w:p>
      <w:pPr>
        <w:tabs>
          <w:tab w:val="left" w:pos="2140"/>
        </w:tabs>
        <w:spacing w:line="560" w:lineRule="exact"/>
        <w:ind w:firstLine="4160" w:firstLineChars="130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28" w:left="1531" w:header="850" w:footer="1531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9" o:spid="_x0000_s2050" o:spt="202" type="#_x0000_t202" style="position:absolute;left:0pt;margin-left:217.8pt;margin-top:0pt;height:144pt;width:144pt;mso-position-horizontal-relative:margin;mso-wrap-style:none;z-index:25166540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_x0000_s2051" o:spid="_x0000_s2051" o:spt="202" type="#_x0000_t202" style="position:absolute;left:0pt;margin-top:0.05pt;height:10.35pt;width:6pt;mso-position-horizontal:center;mso-position-horizontal-relative:margin;z-index:25166438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F062AC"/>
    <w:rsid w:val="735E40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9">
    <w:name w:val="Heading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Heading 3 Char"/>
    <w:basedOn w:val="6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1">
    <w:name w:val="Header Char"/>
    <w:basedOn w:val="6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2051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217</Words>
  <Characters>1238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2017-05-31T09:40:00Z</dcterms:created>
  <dc:creator>吴新建 192.168.9.95</dc:creator>
  <cp:lastModifiedBy>sjwj</cp:lastModifiedBy>
  <cp:lastPrinted>2017-01-28T07:10:00Z</cp:lastPrinted>
  <dcterms:modified xsi:type="dcterms:W3CDTF">2018-04-13T02:29:47Z</dcterms:modified>
  <dc:title>关于开展“地条钢”问题企业达标验收的通知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