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宋体" w:eastAsia="方正小标宋简体" w:cs="宋体"/>
          <w:bCs/>
          <w:sz w:val="44"/>
          <w:szCs w:val="44"/>
        </w:rPr>
      </w:pPr>
    </w:p>
    <w:p>
      <w:pPr>
        <w:spacing w:line="700" w:lineRule="exact"/>
        <w:jc w:val="center"/>
        <w:rPr>
          <w:rFonts w:ascii="方正小标宋简体" w:hAnsi="宋体" w:eastAsia="方正小标宋简体" w:cs="宋体"/>
          <w:bCs/>
          <w:sz w:val="44"/>
          <w:szCs w:val="44"/>
        </w:rPr>
      </w:pPr>
    </w:p>
    <w:p>
      <w:pPr>
        <w:spacing w:line="700" w:lineRule="exact"/>
        <w:jc w:val="center"/>
        <w:rPr>
          <w:rFonts w:ascii="方正小标宋简体" w:hAnsi="宋体" w:eastAsia="方正小标宋简体" w:cs="宋体"/>
          <w:bCs/>
          <w:sz w:val="44"/>
          <w:szCs w:val="44"/>
        </w:rPr>
      </w:pPr>
    </w:p>
    <w:p>
      <w:pPr>
        <w:spacing w:line="700" w:lineRule="exact"/>
        <w:jc w:val="center"/>
        <w:rPr>
          <w:rFonts w:hint="eastAsia" w:ascii="楷体_GB2312" w:hAnsi="楷体_GB2312" w:eastAsia="楷体_GB2312" w:cs="楷体_GB2312"/>
          <w:bCs/>
          <w:sz w:val="44"/>
          <w:szCs w:val="44"/>
        </w:rPr>
      </w:pPr>
      <w:r>
        <w:rPr>
          <w:rFonts w:hint="eastAsia" w:ascii="楷体_GB2312" w:hAnsi="楷体_GB2312" w:eastAsia="楷体_GB2312" w:cs="楷体_GB2312"/>
          <w:bCs/>
          <w:sz w:val="44"/>
          <w:szCs w:val="44"/>
        </w:rPr>
        <w:t>2020年度污泥处置运行经费资金绩效</w:t>
      </w:r>
    </w:p>
    <w:p>
      <w:pPr>
        <w:spacing w:line="700" w:lineRule="exact"/>
        <w:jc w:val="center"/>
        <w:rPr>
          <w:rFonts w:hint="eastAsia" w:ascii="楷体_GB2312" w:hAnsi="楷体_GB2312" w:eastAsia="楷体_GB2312" w:cs="楷体_GB2312"/>
          <w:bCs/>
          <w:sz w:val="44"/>
          <w:szCs w:val="44"/>
        </w:rPr>
      </w:pPr>
      <w:r>
        <w:rPr>
          <w:rFonts w:hint="eastAsia" w:ascii="楷体_GB2312" w:hAnsi="楷体_GB2312" w:eastAsia="楷体_GB2312" w:cs="楷体_GB2312"/>
          <w:bCs/>
          <w:sz w:val="44"/>
          <w:szCs w:val="44"/>
        </w:rPr>
        <w:t>自评报告</w:t>
      </w:r>
    </w:p>
    <w:p>
      <w:pPr>
        <w:jc w:val="center"/>
        <w:rPr>
          <w:rFonts w:ascii="宋体" w:cs="宋体"/>
          <w:b/>
          <w:bCs/>
          <w:sz w:val="44"/>
          <w:szCs w:val="44"/>
        </w:rPr>
      </w:pPr>
    </w:p>
    <w:p>
      <w:pPr>
        <w:spacing w:line="60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做好2020年度专项资金绩效自评工作，根据上级有关文件精神，我们整理了专项资金支出资料，采取相关单位座谈分析等方式，对专项预算资金使用情况进行归纳、总结。现将2020年度污泥处置运行经费资金绩效自评总结如下：</w:t>
      </w:r>
    </w:p>
    <w:p>
      <w:p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spacing w:line="600" w:lineRule="exact"/>
        <w:ind w:firstLine="640" w:firstLineChars="200"/>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sz w:val="32"/>
          <w:szCs w:val="32"/>
        </w:rPr>
        <w:t>（一）项目基本情况。</w:t>
      </w:r>
      <w:r>
        <w:rPr>
          <w:rFonts w:hint="eastAsia" w:ascii="仿宋_GB2312" w:hAnsi="仿宋_GB2312" w:eastAsia="仿宋_GB2312" w:cs="仿宋_GB2312"/>
          <w:color w:val="000000"/>
          <w:spacing w:val="4"/>
          <w:sz w:val="32"/>
          <w:szCs w:val="32"/>
        </w:rPr>
        <w:t>益阳市污泥集中处置项目是经益阳市人民政府授权，由中国光大国际有限公司（以下简称：光大国际）按BOT模式投资建设的基础设施PPP项目，特许经营期26年。光大国际成立项目公司—光大环保能源（益阳）有限公司具体实施本项目。项目位于益阳市谢林港镇谢林港村，采用生活垃圾焚烧厂协同“焚烧”处置方式处理污泥，服务于益阳市本级区域范围内污水处理厂的污泥无害化处理，处理规模80吨/日。2020年5月正式投入运营。2020年，益阳长安火力发电厂协同处置了部分污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（二）项目运行情况。</w:t>
      </w:r>
      <w:r>
        <w:rPr>
          <w:rFonts w:hint="eastAsia" w:ascii="仿宋_GB2312" w:hAnsi="仿宋_GB2312" w:eastAsia="仿宋_GB2312" w:cs="仿宋_GB2312"/>
          <w:bCs/>
          <w:sz w:val="32"/>
          <w:szCs w:val="32"/>
        </w:rPr>
        <w:t>根据已签署的特许经营协议等相关约定，由</w:t>
      </w:r>
      <w:r>
        <w:rPr>
          <w:rFonts w:hint="eastAsia" w:ascii="仿宋_GB2312" w:hAnsi="仿宋_GB2312" w:eastAsia="仿宋_GB2312" w:cs="仿宋_GB2312"/>
          <w:color w:val="000000"/>
          <w:spacing w:val="4"/>
          <w:sz w:val="32"/>
          <w:szCs w:val="32"/>
        </w:rPr>
        <w:t>光大环保能源（益阳）有限公司</w:t>
      </w:r>
      <w:r>
        <w:rPr>
          <w:rFonts w:hint="eastAsia" w:ascii="仿宋_GB2312" w:hAnsi="仿宋_GB2312" w:eastAsia="仿宋_GB2312" w:cs="仿宋_GB2312"/>
          <w:bCs/>
          <w:sz w:val="32"/>
          <w:szCs w:val="32"/>
        </w:rPr>
        <w:t>运营维护和管理，提供合格的污泥处理服务。2020年项目公司严格按照相关要求，加强内部管理，严格执行各项管理制度和生产措施，优化运行工艺流程，大力推行节能降耗，按质按量完成了市政污泥处理任务。项目单位按照行业通行标准进行日常维护和周期性检修，确保污泥处置设施保持设计处理能力100%的完好率，处理工艺满足服务约定的市政污泥处置标准。投产至今连续无害化处理、资源化利用污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二、专项资金使用及管理情况</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市污泥集中处置项目投产前，2020年1-4月份，根据安排和实际需要，城北、团洲等污水处理厂污泥送益阳长安火力发电厂进行无害化处理。期间，共处理污泥3144.7吨，处置费单价200元/吨，应支付给长安益阳发电有限公司污泥处理费62.89万元。</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市污泥集中处置项目2020年5月投产。2020年5-12月，城北、团洲等污水处理厂污泥送光大环保能源（益阳）有限公司进行无害化处理。期间，共处理污泥20037.68吨，处置费单价270元/吨，应支付给光大环保公司污泥处理费541.01万元。</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2020年11至12月，因垃圾焚烧发电厂协同处置污泥受限，根据安排，团洲污水处理厂部分污泥临时送益阳长安火力发电厂进行无害化处理。期间，共处理污泥1113.7吨，处置费单价270元/吨，应支付给长安益阳发电有限公司污泥处理费30.06万元。</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2020年共处理城北、团洲污水处理厂污泥24296.08吨，以上污泥处置运行经费专项支出预算为1200万元，全年应支付污泥处置费633.96万元（其中光大环保公司541.01万元，长安益阳发电公司92.95万元），实际支出为564.22万元（其中长安益阳发电公司62.89万元，光大环保公司501.33万元），2020年12月污泥处置费69.74万元（其中光大环保公司39.68万元、长安益阳发电公司30.06万元）安排在2021年元月支付。</w:t>
      </w:r>
      <w:r>
        <w:rPr>
          <w:rFonts w:hint="eastAsia" w:ascii="仿宋_GB2312" w:hAnsi="仿宋_GB2312" w:eastAsia="仿宋_GB2312" w:cs="仿宋_GB2312"/>
          <w:sz w:val="32"/>
          <w:szCs w:val="32"/>
        </w:rPr>
        <w:t>所有污泥处置运行经费支付均按照财务管理制度执行，资金使用与具体项目实施内容相符，绩效总目标和阶段性目标都已按照计划完成，未逾期。</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三、专项组织实施情况</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城北、团洲污水处理厂污泥全部采取焚烧处理的方式实现了无害化处理，完成了年度绩效目标。污泥处置单位的日常管理工作均按照相关管理制度执行，实现项目单位工作有计划、实施有方案、日常有监督的管理机制，工作取得了较好的成效，效能得到了提高、获得了公众和污水处理厂运营单位的好评。</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四、专项绩效情况评价</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污泥处置运行经费专项支出，从项目资金筹集、产出指标、效益指标、满意度指标等方面进行评价，自评得分100分。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1、项目资金筹集。</w:t>
      </w:r>
      <w:r>
        <w:rPr>
          <w:rFonts w:hint="eastAsia" w:ascii="仿宋_GB2312" w:hAnsi="仿宋_GB2312" w:eastAsia="仿宋_GB2312" w:cs="仿宋_GB2312"/>
          <w:bCs/>
          <w:sz w:val="32"/>
          <w:szCs w:val="32"/>
        </w:rPr>
        <w:t>2020年污泥处置运行经费564.22万元由市财政拨款支付，及时拨付到位，未逾期。自评得分10分。</w:t>
      </w:r>
    </w:p>
    <w:p>
      <w:pPr>
        <w:spacing w:line="6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2、项目产出指标。评价数量、质量、时效、成本等方面，2020年共处理处置生活污水处理厂污泥</w:t>
      </w:r>
      <w:r>
        <w:rPr>
          <w:rFonts w:hint="eastAsia" w:ascii="仿宋_GB2312" w:hAnsi="仿宋_GB2312" w:eastAsia="仿宋_GB2312" w:cs="仿宋_GB2312"/>
          <w:bCs/>
          <w:sz w:val="32"/>
          <w:szCs w:val="32"/>
        </w:rPr>
        <w:t>24296.08吨，全部采取协调焚烧发电的方式进行了有效利用，执行特许经营协议约定价格，未调价，成本控制合理。自评得分50分。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sz w:val="32"/>
          <w:szCs w:val="32"/>
        </w:rPr>
        <w:t>项目效益指标。按经济、社会、生态效益三方面评价，污泥全部送光大公司、长安电厂进行协同处理，无害化处置率、发电资源化利用率、排放环保达标率均达100%。自评得分30分。</w:t>
      </w:r>
    </w:p>
    <w:p>
      <w:pPr>
        <w:spacing w:line="600" w:lineRule="exact"/>
        <w:ind w:firstLine="64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满意度指标。改变了以往填埋处置方式，污泥实现集中规范化处置和资源化利用，为巩固卫生城市成果作出应有贡献，提升了城市品质，改善了人居环境；服务对象和运营单位对污泥及时处置、费用及时支付持满意态度。自评得分10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五、下一步工作建议</w:t>
      </w:r>
    </w:p>
    <w:p>
      <w:pPr>
        <w:spacing w:line="6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后工作中，进一步健全和完善财务管理制度及内部控制制度，创新管理手段，用新思路、新方法，改进完善财务管理方法，充分发挥财政专项资金效益，更好的完成各项任务和绩效目标。强化财政部门的监督指导，按照财政支出绩效管理的要求，优化财政资金效益考评制度体系，不断提高财政资金使用管理的水平和效率。</w:t>
      </w: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4633" w:firstLineChars="14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益阳市住房和城乡建设局</w:t>
      </w:r>
    </w:p>
    <w:p>
      <w:pPr>
        <w:spacing w:line="600" w:lineRule="exact"/>
        <w:ind w:firstLine="5273" w:firstLineChars="164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spacing w:line="600" w:lineRule="exact"/>
        <w:ind w:firstLine="700" w:firstLineChars="250"/>
        <w:rPr>
          <w:rFonts w:hint="eastAsia" w:ascii="仿宋_GB2312" w:hAnsi="仿宋_GB2312" w:eastAsia="仿宋_GB2312" w:cs="仿宋_GB2312"/>
          <w:sz w:val="28"/>
          <w:szCs w:val="28"/>
        </w:rPr>
      </w:pPr>
    </w:p>
    <w:p>
      <w:pPr>
        <w:widowControl/>
        <w:spacing w:line="500" w:lineRule="exact"/>
        <w:ind w:left="-376" w:leftChars="-179"/>
        <w:jc w:val="left"/>
        <w:rPr>
          <w:rFonts w:hint="eastAsia" w:ascii="仿宋_GB2312" w:hAnsi="仿宋_GB2312" w:eastAsia="仿宋_GB2312" w:cs="仿宋_GB2312"/>
          <w:szCs w:val="32"/>
        </w:rPr>
      </w:pPr>
      <w:r>
        <w:rPr>
          <w:rFonts w:hint="eastAsia" w:ascii="仿宋_GB2312" w:hAnsi="仿宋_GB2312" w:eastAsia="仿宋_GB2312" w:cs="仿宋_GB2312"/>
          <w:szCs w:val="32"/>
        </w:rPr>
        <w:t>附件3</w:t>
      </w:r>
    </w:p>
    <w:p>
      <w:pPr>
        <w:spacing w:line="600" w:lineRule="exact"/>
        <w:jc w:val="center"/>
        <w:rPr>
          <w:rFonts w:hint="eastAsia" w:ascii="仿宋_GB2312" w:hAnsi="仿宋_GB2312" w:eastAsia="仿宋_GB2312" w:cs="仿宋_GB2312"/>
          <w:kern w:val="0"/>
          <w:sz w:val="36"/>
          <w:szCs w:val="36"/>
        </w:rPr>
      </w:pPr>
      <w:r>
        <w:rPr>
          <w:rFonts w:hint="eastAsia" w:ascii="仿宋_GB2312" w:hAnsi="仿宋_GB2312" w:eastAsia="仿宋_GB2312" w:cs="仿宋_GB2312"/>
          <w:kern w:val="0"/>
          <w:sz w:val="36"/>
          <w:szCs w:val="36"/>
        </w:rPr>
        <w:t>2020年度项目支出绩效自评表</w:t>
      </w:r>
    </w:p>
    <w:tbl>
      <w:tblPr>
        <w:tblStyle w:val="7"/>
        <w:tblW w:w="10001" w:type="dxa"/>
        <w:jc w:val="center"/>
        <w:tblLayout w:type="autofit"/>
        <w:tblCellMar>
          <w:top w:w="0" w:type="dxa"/>
          <w:left w:w="108" w:type="dxa"/>
          <w:bottom w:w="0" w:type="dxa"/>
          <w:right w:w="108" w:type="dxa"/>
        </w:tblCellMar>
      </w:tblPr>
      <w:tblGrid>
        <w:gridCol w:w="1077"/>
        <w:gridCol w:w="1077"/>
        <w:gridCol w:w="1075"/>
        <w:gridCol w:w="1219"/>
        <w:gridCol w:w="736"/>
        <w:gridCol w:w="426"/>
        <w:gridCol w:w="483"/>
        <w:gridCol w:w="992"/>
        <w:gridCol w:w="709"/>
        <w:gridCol w:w="851"/>
        <w:gridCol w:w="1356"/>
      </w:tblGrid>
      <w:tr>
        <w:tblPrEx>
          <w:tblCellMar>
            <w:top w:w="0" w:type="dxa"/>
            <w:left w:w="108" w:type="dxa"/>
            <w:bottom w:w="0" w:type="dxa"/>
            <w:right w:w="108" w:type="dxa"/>
          </w:tblCellMar>
        </w:tblPrEx>
        <w:trPr>
          <w:trHeight w:val="318" w:hRule="atLeast"/>
          <w:jc w:val="center"/>
        </w:trPr>
        <w:tc>
          <w:tcPr>
            <w:tcW w:w="10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8924" w:type="dxa"/>
            <w:gridSpan w:val="10"/>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bCs/>
                <w:color w:val="000000"/>
                <w:kern w:val="0"/>
                <w:szCs w:val="21"/>
              </w:rPr>
              <w:t>污泥处置运行经费</w:t>
            </w:r>
          </w:p>
        </w:tc>
      </w:tr>
      <w:tr>
        <w:tblPrEx>
          <w:tblCellMar>
            <w:top w:w="0" w:type="dxa"/>
            <w:left w:w="108" w:type="dxa"/>
            <w:bottom w:w="0" w:type="dxa"/>
            <w:right w:w="108" w:type="dxa"/>
          </w:tblCellMar>
        </w:tblPrEx>
        <w:trPr>
          <w:trHeight w:val="407" w:hRule="atLeast"/>
          <w:jc w:val="center"/>
        </w:trPr>
        <w:tc>
          <w:tcPr>
            <w:tcW w:w="1077" w:type="dxa"/>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主管部门</w:t>
            </w:r>
          </w:p>
        </w:tc>
        <w:tc>
          <w:tcPr>
            <w:tcW w:w="4533"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益阳市住房和城乡建设局</w:t>
            </w:r>
          </w:p>
        </w:tc>
        <w:tc>
          <w:tcPr>
            <w:tcW w:w="1475"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实施单位</w:t>
            </w:r>
          </w:p>
        </w:tc>
        <w:tc>
          <w:tcPr>
            <w:tcW w:w="2916" w:type="dxa"/>
            <w:gridSpan w:val="3"/>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光大环保能源（益阳）有限公司</w:t>
            </w:r>
          </w:p>
        </w:tc>
      </w:tr>
      <w:tr>
        <w:tblPrEx>
          <w:tblCellMar>
            <w:top w:w="0" w:type="dxa"/>
            <w:left w:w="108" w:type="dxa"/>
            <w:bottom w:w="0" w:type="dxa"/>
            <w:right w:w="108" w:type="dxa"/>
          </w:tblCellMar>
        </w:tblPrEx>
        <w:trPr>
          <w:trHeight w:val="555" w:hRule="atLeast"/>
          <w:jc w:val="center"/>
        </w:trPr>
        <w:tc>
          <w:tcPr>
            <w:tcW w:w="1077"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项目资金</w:t>
            </w:r>
            <w:r>
              <w:rPr>
                <w:rFonts w:hint="eastAsia" w:ascii="仿宋_GB2312" w:hAnsi="仿宋_GB2312" w:eastAsia="仿宋_GB2312" w:cs="仿宋_GB2312"/>
                <w:color w:val="000000"/>
                <w:kern w:val="0"/>
                <w:szCs w:val="21"/>
              </w:rPr>
              <w:br w:type="textWrapping"/>
            </w:r>
            <w:r>
              <w:rPr>
                <w:rFonts w:hint="eastAsia" w:ascii="仿宋_GB2312" w:hAnsi="仿宋_GB2312" w:eastAsia="仿宋_GB2312" w:cs="仿宋_GB2312"/>
                <w:color w:val="000000"/>
                <w:kern w:val="0"/>
                <w:szCs w:val="21"/>
              </w:rPr>
              <w:t>（万元）</w:t>
            </w:r>
          </w:p>
        </w:tc>
        <w:tc>
          <w:tcPr>
            <w:tcW w:w="2152"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21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年初</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预算数</w:t>
            </w:r>
          </w:p>
        </w:tc>
        <w:tc>
          <w:tcPr>
            <w:tcW w:w="1162"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全年</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预算数</w:t>
            </w:r>
          </w:p>
        </w:tc>
        <w:tc>
          <w:tcPr>
            <w:tcW w:w="1475" w:type="dxa"/>
            <w:gridSpan w:val="2"/>
            <w:tcBorders>
              <w:top w:val="nil"/>
              <w:left w:val="nil"/>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全年</w:t>
            </w:r>
          </w:p>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执行数</w:t>
            </w:r>
          </w:p>
        </w:tc>
        <w:tc>
          <w:tcPr>
            <w:tcW w:w="709"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分值</w:t>
            </w:r>
          </w:p>
        </w:tc>
        <w:tc>
          <w:tcPr>
            <w:tcW w:w="851"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执行率</w:t>
            </w:r>
          </w:p>
        </w:tc>
        <w:tc>
          <w:tcPr>
            <w:tcW w:w="1356" w:type="dxa"/>
            <w:tcBorders>
              <w:top w:val="nil"/>
              <w:left w:val="nil"/>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得分</w:t>
            </w:r>
          </w:p>
        </w:tc>
      </w:tr>
      <w:tr>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2152"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年度资金总额　</w:t>
            </w:r>
          </w:p>
        </w:tc>
        <w:tc>
          <w:tcPr>
            <w:tcW w:w="121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1200</w:t>
            </w:r>
          </w:p>
        </w:tc>
        <w:tc>
          <w:tcPr>
            <w:tcW w:w="1162"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564.22</w:t>
            </w:r>
          </w:p>
        </w:tc>
        <w:tc>
          <w:tcPr>
            <w:tcW w:w="1475"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564.22</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35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10</w:t>
            </w:r>
          </w:p>
        </w:tc>
      </w:tr>
      <w:tr>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2152"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其中：当年财政拨款　</w:t>
            </w:r>
          </w:p>
        </w:tc>
        <w:tc>
          <w:tcPr>
            <w:tcW w:w="121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1200</w:t>
            </w:r>
          </w:p>
        </w:tc>
        <w:tc>
          <w:tcPr>
            <w:tcW w:w="1162"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564.22</w:t>
            </w:r>
          </w:p>
        </w:tc>
        <w:tc>
          <w:tcPr>
            <w:tcW w:w="1475"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kern w:val="0"/>
                <w:szCs w:val="21"/>
              </w:rPr>
              <w:t>564.22</w:t>
            </w:r>
          </w:p>
        </w:tc>
        <w:tc>
          <w:tcPr>
            <w:tcW w:w="70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5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2152" w:type="dxa"/>
            <w:gridSpan w:val="2"/>
            <w:tcBorders>
              <w:top w:val="nil"/>
              <w:left w:val="nil"/>
              <w:bottom w:val="single" w:color="auto" w:sz="4" w:space="0"/>
              <w:right w:val="single" w:color="auto" w:sz="4" w:space="0"/>
            </w:tcBorders>
            <w:vAlign w:val="center"/>
          </w:tcPr>
          <w:p>
            <w:pPr>
              <w:widowControl/>
              <w:ind w:firstLine="630" w:firstLineChars="3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上年结转资金　</w:t>
            </w:r>
          </w:p>
        </w:tc>
        <w:tc>
          <w:tcPr>
            <w:tcW w:w="121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162"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7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70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5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2152" w:type="dxa"/>
            <w:gridSpan w:val="2"/>
            <w:tcBorders>
              <w:top w:val="nil"/>
              <w:left w:val="nil"/>
              <w:bottom w:val="single" w:color="auto" w:sz="4" w:space="0"/>
              <w:right w:val="single" w:color="auto" w:sz="4" w:space="0"/>
            </w:tcBorders>
            <w:vAlign w:val="center"/>
          </w:tcPr>
          <w:p>
            <w:pPr>
              <w:widowControl/>
              <w:ind w:firstLine="630" w:firstLineChars="300"/>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121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162"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47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709"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85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c>
          <w:tcPr>
            <w:tcW w:w="135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r>
        <w:tblPrEx>
          <w:tblCellMar>
            <w:top w:w="0" w:type="dxa"/>
            <w:left w:w="108" w:type="dxa"/>
            <w:bottom w:w="0" w:type="dxa"/>
            <w:right w:w="108" w:type="dxa"/>
          </w:tblCellMar>
        </w:tblPrEx>
        <w:trPr>
          <w:jc w:val="center"/>
        </w:trPr>
        <w:tc>
          <w:tcPr>
            <w:tcW w:w="1077"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年度总体目标</w:t>
            </w:r>
          </w:p>
        </w:tc>
        <w:tc>
          <w:tcPr>
            <w:tcW w:w="4533"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预期目标</w:t>
            </w:r>
          </w:p>
        </w:tc>
        <w:tc>
          <w:tcPr>
            <w:tcW w:w="4391"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实际完成情况　</w:t>
            </w:r>
          </w:p>
        </w:tc>
      </w:tr>
      <w:tr>
        <w:tblPrEx>
          <w:tblCellMar>
            <w:top w:w="0" w:type="dxa"/>
            <w:left w:w="108" w:type="dxa"/>
            <w:bottom w:w="0" w:type="dxa"/>
            <w:right w:w="108" w:type="dxa"/>
          </w:tblCellMar>
        </w:tblPrEx>
        <w:trPr>
          <w:jc w:val="center"/>
        </w:trPr>
        <w:tc>
          <w:tcPr>
            <w:tcW w:w="107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4533" w:type="dxa"/>
            <w:gridSpan w:val="5"/>
            <w:tcBorders>
              <w:top w:val="single" w:color="auto" w:sz="4" w:space="0"/>
              <w:left w:val="nil"/>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4391" w:type="dxa"/>
            <w:gridSpan w:val="5"/>
            <w:tcBorders>
              <w:top w:val="single" w:color="auto" w:sz="4" w:space="0"/>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100%</w:t>
            </w:r>
          </w:p>
        </w:tc>
      </w:tr>
      <w:tr>
        <w:tblPrEx>
          <w:tblCellMar>
            <w:top w:w="0" w:type="dxa"/>
            <w:left w:w="108" w:type="dxa"/>
            <w:bottom w:w="0" w:type="dxa"/>
            <w:right w:w="108" w:type="dxa"/>
          </w:tblCellMar>
        </w:tblPrEx>
        <w:trPr>
          <w:trHeight w:val="572" w:hRule="atLeast"/>
          <w:jc w:val="center"/>
        </w:trPr>
        <w:tc>
          <w:tcPr>
            <w:tcW w:w="1077" w:type="dxa"/>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标</w:t>
            </w:r>
          </w:p>
        </w:tc>
        <w:tc>
          <w:tcPr>
            <w:tcW w:w="1077"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一级指标</w:t>
            </w:r>
          </w:p>
        </w:tc>
        <w:tc>
          <w:tcPr>
            <w:tcW w:w="1075"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二级指标</w:t>
            </w:r>
          </w:p>
        </w:tc>
        <w:tc>
          <w:tcPr>
            <w:tcW w:w="1955"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三级指标</w:t>
            </w:r>
          </w:p>
        </w:tc>
        <w:tc>
          <w:tcPr>
            <w:tcW w:w="909"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指标值</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w:t>
            </w:r>
          </w:p>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分值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得分</w:t>
            </w:r>
          </w:p>
        </w:tc>
        <w:tc>
          <w:tcPr>
            <w:tcW w:w="1356"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偏差原因分析及改进措施</w:t>
            </w: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产出指标</w:t>
            </w:r>
          </w:p>
          <w:p>
            <w:pPr>
              <w:widowControl/>
              <w:jc w:val="center"/>
              <w:rPr>
                <w:rFonts w:hint="eastAsia" w:ascii="仿宋_GB2312" w:hAnsi="仿宋_GB2312" w:eastAsia="仿宋_GB2312" w:cs="仿宋_GB2312"/>
                <w:color w:val="000000"/>
                <w:kern w:val="0"/>
                <w:szCs w:val="21"/>
              </w:rPr>
            </w:pP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(50分)</w:t>
            </w:r>
          </w:p>
        </w:tc>
        <w:tc>
          <w:tcPr>
            <w:tcW w:w="1075"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数量指标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日处理污泥量完成率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年处理污泥量完成率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处理合格率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连续监测、抽检合格率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8</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时效指标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日常处理及时性</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continue"/>
            <w:tcBorders>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异常处理及时性</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4</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vMerge w:val="restart"/>
            <w:tcBorders>
              <w:top w:val="nil"/>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成本指标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成本控制</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不调价</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不调价</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075" w:type="dxa"/>
            <w:vMerge w:val="continue"/>
            <w:tcBorders>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资金利用</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合规</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合规</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restart"/>
            <w:tcBorders>
              <w:top w:val="nil"/>
              <w:left w:val="nil"/>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效益指标</w:t>
            </w:r>
          </w:p>
          <w:p>
            <w:pPr>
              <w:widowControl/>
              <w:jc w:val="left"/>
              <w:rPr>
                <w:rFonts w:hint="eastAsia" w:ascii="仿宋_GB2312" w:hAnsi="仿宋_GB2312" w:eastAsia="仿宋_GB2312" w:cs="仿宋_GB2312"/>
                <w:color w:val="000000"/>
                <w:kern w:val="0"/>
                <w:szCs w:val="21"/>
              </w:rPr>
            </w:pPr>
          </w:p>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（30分）</w:t>
            </w:r>
          </w:p>
        </w:tc>
        <w:tc>
          <w:tcPr>
            <w:tcW w:w="107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经济效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污泥协同焚烧发电资源化利用率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污泥无害化处置率，减少填埋，改善人居环境</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nil"/>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5" w:type="dxa"/>
            <w:tcBorders>
              <w:top w:val="single" w:color="auto" w:sz="4" w:space="0"/>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生态效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益指标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污泥</w:t>
            </w:r>
            <w:r>
              <w:rPr>
                <w:rFonts w:hint="eastAsia" w:ascii="仿宋_GB2312" w:hAnsi="仿宋_GB2312" w:eastAsia="仿宋_GB2312" w:cs="仿宋_GB2312"/>
                <w:szCs w:val="21"/>
              </w:rPr>
              <w:t>（含废水、废气）等处置环保达标率</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restart"/>
            <w:tcBorders>
              <w:top w:val="single" w:color="auto" w:sz="4" w:space="0"/>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标</w:t>
            </w:r>
          </w:p>
        </w:tc>
        <w:tc>
          <w:tcPr>
            <w:tcW w:w="1077" w:type="dxa"/>
            <w:vMerge w:val="restart"/>
            <w:tcBorders>
              <w:top w:val="single" w:color="auto" w:sz="4" w:space="0"/>
              <w:left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p>
            <w:pPr>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（10分）</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可持续影响指标</w:t>
            </w:r>
          </w:p>
        </w:tc>
        <w:tc>
          <w:tcPr>
            <w:tcW w:w="19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强化城市管理、提升城市品质、持续改善城乡人居环境</w:t>
            </w:r>
          </w:p>
        </w:tc>
        <w:tc>
          <w:tcPr>
            <w:tcW w:w="9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vAlign w:val="center"/>
          </w:tcPr>
          <w:p>
            <w:pPr>
              <w:jc w:val="left"/>
              <w:rPr>
                <w:rFonts w:hint="eastAsia" w:ascii="仿宋_GB2312" w:hAnsi="仿宋_GB2312" w:eastAsia="仿宋_GB2312" w:cs="仿宋_GB2312"/>
                <w:color w:val="000000"/>
                <w:kern w:val="0"/>
                <w:szCs w:val="21"/>
              </w:rPr>
            </w:pPr>
          </w:p>
        </w:tc>
        <w:tc>
          <w:tcPr>
            <w:tcW w:w="1077" w:type="dxa"/>
            <w:vMerge w:val="continue"/>
            <w:tcBorders>
              <w:left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c>
          <w:tcPr>
            <w:tcW w:w="1075" w:type="dxa"/>
            <w:tcBorders>
              <w:top w:val="single" w:color="auto" w:sz="4" w:space="0"/>
              <w:left w:val="nil"/>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服务对象满意度指标</w:t>
            </w:r>
          </w:p>
        </w:tc>
        <w:tc>
          <w:tcPr>
            <w:tcW w:w="1955" w:type="dxa"/>
            <w:gridSpan w:val="2"/>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szCs w:val="21"/>
              </w:rPr>
              <w:t>公众或服务对象对污泥处置、费用支付等的满意度</w:t>
            </w:r>
          </w:p>
        </w:tc>
        <w:tc>
          <w:tcPr>
            <w:tcW w:w="909" w:type="dxa"/>
            <w:gridSpan w:val="2"/>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99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851"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5</w:t>
            </w:r>
          </w:p>
        </w:tc>
        <w:tc>
          <w:tcPr>
            <w:tcW w:w="1356"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jc w:val="center"/>
        </w:trPr>
        <w:tc>
          <w:tcPr>
            <w:tcW w:w="7085" w:type="dxa"/>
            <w:gridSpan w:val="8"/>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总分</w:t>
            </w:r>
          </w:p>
        </w:tc>
        <w:tc>
          <w:tcPr>
            <w:tcW w:w="70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851"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c>
          <w:tcPr>
            <w:tcW w:w="1356" w:type="dxa"/>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w:t>
            </w:r>
          </w:p>
        </w:tc>
      </w:tr>
    </w:tbl>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0"/>
          <w:sz w:val="22"/>
        </w:rPr>
        <w:t>填表人：</w:t>
      </w:r>
      <w:r>
        <w:rPr>
          <w:rFonts w:hint="eastAsia" w:ascii="仿宋_GB2312" w:hAnsi="仿宋_GB2312" w:eastAsia="仿宋_GB2312" w:cs="仿宋_GB2312"/>
          <w:kern w:val="0"/>
          <w:sz w:val="22"/>
          <w:lang w:eastAsia="zh-CN"/>
        </w:rPr>
        <w:t>张剑</w:t>
      </w:r>
      <w:r>
        <w:rPr>
          <w:rFonts w:hint="eastAsia" w:ascii="仿宋_GB2312" w:hAnsi="仿宋_GB2312" w:eastAsia="仿宋_GB2312" w:cs="仿宋_GB2312"/>
          <w:kern w:val="0"/>
          <w:sz w:val="22"/>
        </w:rPr>
        <w:t xml:space="preserve">     填报日期：</w:t>
      </w:r>
      <w:r>
        <w:rPr>
          <w:rFonts w:hint="eastAsia" w:ascii="仿宋_GB2312" w:hAnsi="仿宋_GB2312" w:eastAsia="仿宋_GB2312" w:cs="仿宋_GB2312"/>
          <w:kern w:val="0"/>
          <w:sz w:val="22"/>
          <w:lang w:val="en-US" w:eastAsia="zh-CN"/>
        </w:rPr>
        <w:t>4月13日</w:t>
      </w:r>
      <w:r>
        <w:rPr>
          <w:rFonts w:hint="eastAsia" w:ascii="仿宋_GB2312" w:hAnsi="仿宋_GB2312" w:eastAsia="仿宋_GB2312" w:cs="仿宋_GB2312"/>
          <w:kern w:val="0"/>
          <w:sz w:val="22"/>
        </w:rPr>
        <w:t xml:space="preserve">    联系电话： </w:t>
      </w:r>
      <w:r>
        <w:rPr>
          <w:rFonts w:hint="eastAsia" w:ascii="仿宋_GB2312" w:hAnsi="仿宋_GB2312" w:eastAsia="仿宋_GB2312" w:cs="仿宋_GB2312"/>
          <w:kern w:val="0"/>
          <w:sz w:val="22"/>
          <w:lang w:val="en-US" w:eastAsia="zh-CN"/>
        </w:rPr>
        <w:t>6204137</w:t>
      </w:r>
      <w:r>
        <w:rPr>
          <w:rFonts w:hint="eastAsia" w:ascii="仿宋_GB2312" w:hAnsi="仿宋_GB2312" w:eastAsia="仿宋_GB2312" w:cs="仿宋_GB2312"/>
          <w:kern w:val="0"/>
          <w:sz w:val="22"/>
        </w:rPr>
        <w:t xml:space="preserve">   单位负责人签字：</w:t>
      </w:r>
      <w:r>
        <w:rPr>
          <w:rFonts w:hint="eastAsia" w:ascii="仿宋_GB2312" w:hAnsi="仿宋_GB2312" w:eastAsia="仿宋_GB2312" w:cs="仿宋_GB2312"/>
          <w:kern w:val="0"/>
          <w:sz w:val="22"/>
          <w:lang w:eastAsia="zh-CN"/>
        </w:rPr>
        <w:t>熊寿林</w:t>
      </w:r>
    </w:p>
    <w:bookmarkEnd w:id="0"/>
    <w:sectPr>
      <w:footerReference r:id="rId3" w:type="default"/>
      <w:pgSz w:w="11906" w:h="16838"/>
      <w:pgMar w:top="1418" w:right="1418"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rect id="文本框 1" o:spid="_x0000_s4097"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3"/>
                </w:pPr>
                <w:r>
                  <w:fldChar w:fldCharType="begin"/>
                </w:r>
                <w:r>
                  <w:instrText xml:space="preserve"> PAGE  \* MERGEFORMAT </w:instrText>
                </w:r>
                <w:r>
                  <w:fldChar w:fldCharType="separate"/>
                </w:r>
                <w:r>
                  <w:t>- 4 -</w:t>
                </w:r>
                <w: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BEC"/>
    <w:rsid w:val="00025A2F"/>
    <w:rsid w:val="000262AF"/>
    <w:rsid w:val="00031DD0"/>
    <w:rsid w:val="000540BE"/>
    <w:rsid w:val="0007477C"/>
    <w:rsid w:val="000E542C"/>
    <w:rsid w:val="00102760"/>
    <w:rsid w:val="001326C3"/>
    <w:rsid w:val="00175059"/>
    <w:rsid w:val="00175A05"/>
    <w:rsid w:val="0019668C"/>
    <w:rsid w:val="001B1AED"/>
    <w:rsid w:val="001B7685"/>
    <w:rsid w:val="00217055"/>
    <w:rsid w:val="00253122"/>
    <w:rsid w:val="002A5CEE"/>
    <w:rsid w:val="002D012D"/>
    <w:rsid w:val="003043F2"/>
    <w:rsid w:val="00334D14"/>
    <w:rsid w:val="003614B3"/>
    <w:rsid w:val="00376F49"/>
    <w:rsid w:val="00380002"/>
    <w:rsid w:val="0038661D"/>
    <w:rsid w:val="003907BC"/>
    <w:rsid w:val="003C07C7"/>
    <w:rsid w:val="003C1AC7"/>
    <w:rsid w:val="003E79D2"/>
    <w:rsid w:val="004241AD"/>
    <w:rsid w:val="004612B6"/>
    <w:rsid w:val="00501C8C"/>
    <w:rsid w:val="00512E33"/>
    <w:rsid w:val="0051454B"/>
    <w:rsid w:val="00561AA4"/>
    <w:rsid w:val="0058713F"/>
    <w:rsid w:val="00590106"/>
    <w:rsid w:val="005A32FA"/>
    <w:rsid w:val="005B652C"/>
    <w:rsid w:val="005E2F5E"/>
    <w:rsid w:val="00655B54"/>
    <w:rsid w:val="006E32BF"/>
    <w:rsid w:val="007043C0"/>
    <w:rsid w:val="00762A76"/>
    <w:rsid w:val="007E7DD1"/>
    <w:rsid w:val="00817B33"/>
    <w:rsid w:val="00872AC5"/>
    <w:rsid w:val="008C14F6"/>
    <w:rsid w:val="008D2466"/>
    <w:rsid w:val="00902731"/>
    <w:rsid w:val="00974BEC"/>
    <w:rsid w:val="009C2417"/>
    <w:rsid w:val="00A00C4D"/>
    <w:rsid w:val="00A32A7D"/>
    <w:rsid w:val="00A72019"/>
    <w:rsid w:val="00A96A42"/>
    <w:rsid w:val="00AA1431"/>
    <w:rsid w:val="00B21F32"/>
    <w:rsid w:val="00B24EED"/>
    <w:rsid w:val="00C46D4C"/>
    <w:rsid w:val="00C74939"/>
    <w:rsid w:val="00D302C4"/>
    <w:rsid w:val="00D5505F"/>
    <w:rsid w:val="00D56B5A"/>
    <w:rsid w:val="00D775C6"/>
    <w:rsid w:val="00D81F2F"/>
    <w:rsid w:val="00DE5D8E"/>
    <w:rsid w:val="00DE6E79"/>
    <w:rsid w:val="00DF21A8"/>
    <w:rsid w:val="00E07F9B"/>
    <w:rsid w:val="00E35766"/>
    <w:rsid w:val="00E830B4"/>
    <w:rsid w:val="00EC6342"/>
    <w:rsid w:val="00F05D3B"/>
    <w:rsid w:val="00F06CA1"/>
    <w:rsid w:val="00F10A40"/>
    <w:rsid w:val="00F47518"/>
    <w:rsid w:val="00F50BA0"/>
    <w:rsid w:val="00FA735F"/>
    <w:rsid w:val="0E625229"/>
    <w:rsid w:val="270665DD"/>
    <w:rsid w:val="34130EF0"/>
    <w:rsid w:val="35433370"/>
    <w:rsid w:val="45DE12BF"/>
    <w:rsid w:val="4FB447A6"/>
    <w:rsid w:val="59144D37"/>
    <w:rsid w:val="64834586"/>
    <w:rsid w:val="67A609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rPr>
      <w:rFonts w:cs="Times New Roman"/>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6">
    <w:name w:val="annotation subject"/>
    <w:basedOn w:val="2"/>
    <w:next w:val="2"/>
    <w:link w:val="13"/>
    <w:semiHidden/>
    <w:qFormat/>
    <w:uiPriority w:val="99"/>
    <w:rPr>
      <w:b/>
      <w:bCs/>
    </w:rPr>
  </w:style>
  <w:style w:type="character" w:styleId="9">
    <w:name w:val="annotation reference"/>
    <w:basedOn w:val="8"/>
    <w:semiHidden/>
    <w:qFormat/>
    <w:uiPriority w:val="99"/>
    <w:rPr>
      <w:rFonts w:cs="Times New Roman"/>
      <w:sz w:val="21"/>
    </w:rPr>
  </w:style>
  <w:style w:type="character" w:customStyle="1" w:styleId="10">
    <w:name w:val="Comment Text Char"/>
    <w:basedOn w:val="8"/>
    <w:link w:val="2"/>
    <w:semiHidden/>
    <w:qFormat/>
    <w:locked/>
    <w:uiPriority w:val="99"/>
    <w:rPr>
      <w:rFonts w:cs="Times New Roman"/>
      <w:kern w:val="2"/>
      <w:sz w:val="22"/>
    </w:rPr>
  </w:style>
  <w:style w:type="character" w:customStyle="1" w:styleId="11">
    <w:name w:val="Footer Char"/>
    <w:basedOn w:val="8"/>
    <w:link w:val="3"/>
    <w:semiHidden/>
    <w:qFormat/>
    <w:locked/>
    <w:uiPriority w:val="99"/>
    <w:rPr>
      <w:rFonts w:cs="黑体"/>
      <w:sz w:val="18"/>
      <w:szCs w:val="18"/>
    </w:rPr>
  </w:style>
  <w:style w:type="character" w:customStyle="1" w:styleId="12">
    <w:name w:val="Header Char"/>
    <w:basedOn w:val="8"/>
    <w:link w:val="4"/>
    <w:semiHidden/>
    <w:qFormat/>
    <w:locked/>
    <w:uiPriority w:val="99"/>
    <w:rPr>
      <w:rFonts w:cs="黑体"/>
      <w:sz w:val="18"/>
      <w:szCs w:val="18"/>
    </w:rPr>
  </w:style>
  <w:style w:type="character" w:customStyle="1" w:styleId="13">
    <w:name w:val="Comment Subject Char"/>
    <w:basedOn w:val="10"/>
    <w:link w:val="6"/>
    <w:semiHidden/>
    <w:qFormat/>
    <w:locked/>
    <w:uiPriority w:val="99"/>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5</Pages>
  <Words>436</Words>
  <Characters>2490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2021-05-12T13:39:00Z</dcterms:created>
  <dc:creator>真实1400828650</dc:creator>
  <cp:lastModifiedBy>Administrator</cp:lastModifiedBy>
  <cp:lastPrinted>2021-06-07T03:54:00Z</cp:lastPrinted>
  <dcterms:modified xsi:type="dcterms:W3CDTF">2021-06-08T03:25:13Z</dcterms:modified>
  <dc:title>专项资金绩效自评报告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08E307C1E33349F08F76218726FF503D</vt:lpwstr>
  </property>
</Properties>
</file>