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bCs/>
          <w:sz w:val="44"/>
          <w:szCs w:val="44"/>
        </w:rPr>
      </w:pPr>
    </w:p>
    <w:p>
      <w:pPr>
        <w:jc w:val="center"/>
        <w:rPr>
          <w:rFonts w:ascii="宋体" w:cs="宋体"/>
          <w:b/>
          <w:bCs/>
          <w:sz w:val="44"/>
          <w:szCs w:val="44"/>
        </w:rPr>
      </w:pPr>
    </w:p>
    <w:p>
      <w:pPr>
        <w:jc w:val="center"/>
        <w:rPr>
          <w:rFonts w:ascii="宋体" w:cs="宋体"/>
          <w:b/>
          <w:bCs/>
          <w:sz w:val="44"/>
          <w:szCs w:val="44"/>
        </w:rPr>
      </w:pPr>
    </w:p>
    <w:p>
      <w:pPr>
        <w:spacing w:line="700" w:lineRule="exact"/>
        <w:jc w:val="center"/>
        <w:rPr>
          <w:rFonts w:hint="eastAsia" w:ascii="楷体_GB2312" w:hAnsi="楷体_GB2312" w:eastAsia="楷体_GB2312" w:cs="楷体_GB2312"/>
          <w:bCs/>
          <w:sz w:val="44"/>
          <w:szCs w:val="44"/>
        </w:rPr>
      </w:pPr>
      <w:r>
        <w:rPr>
          <w:rFonts w:hint="eastAsia" w:ascii="楷体_GB2312" w:hAnsi="楷体_GB2312" w:eastAsia="楷体_GB2312" w:cs="楷体_GB2312"/>
          <w:bCs/>
          <w:sz w:val="44"/>
          <w:szCs w:val="44"/>
        </w:rPr>
        <w:t>2020年度垃圾处理补贴费预算资金绩效</w:t>
      </w:r>
    </w:p>
    <w:p>
      <w:pPr>
        <w:spacing w:line="700" w:lineRule="exact"/>
        <w:jc w:val="center"/>
        <w:rPr>
          <w:rFonts w:hint="eastAsia" w:ascii="楷体_GB2312" w:hAnsi="楷体_GB2312" w:eastAsia="楷体_GB2312" w:cs="楷体_GB2312"/>
          <w:bCs/>
          <w:sz w:val="44"/>
          <w:szCs w:val="44"/>
        </w:rPr>
      </w:pPr>
      <w:r>
        <w:rPr>
          <w:rFonts w:hint="eastAsia" w:ascii="楷体_GB2312" w:hAnsi="楷体_GB2312" w:eastAsia="楷体_GB2312" w:cs="楷体_GB2312"/>
          <w:bCs/>
          <w:sz w:val="44"/>
          <w:szCs w:val="44"/>
        </w:rPr>
        <w:t>自评报告</w:t>
      </w:r>
    </w:p>
    <w:p>
      <w:pPr>
        <w:jc w:val="center"/>
        <w:rPr>
          <w:rFonts w:ascii="宋体" w:cs="宋体"/>
          <w:b/>
          <w:bCs/>
          <w:sz w:val="44"/>
          <w:szCs w:val="44"/>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为做好2020年度专项资金绩效自评工作，根据上级有关文件精神，我们整理了专项资金支出资料，采取相关单位座谈分析等方式，对专项预算资金使用情况进行归纳、总结。现将2020年度</w:t>
      </w:r>
      <w:r>
        <w:rPr>
          <w:rFonts w:hint="eastAsia" w:ascii="仿宋_GB2312" w:hAnsi="仿宋_GB2312" w:eastAsia="仿宋_GB2312" w:cs="仿宋_GB2312"/>
          <w:bCs/>
          <w:sz w:val="32"/>
          <w:szCs w:val="32"/>
        </w:rPr>
        <w:t>垃圾处理补贴费预算</w:t>
      </w:r>
      <w:r>
        <w:rPr>
          <w:rFonts w:hint="eastAsia" w:ascii="仿宋_GB2312" w:hAnsi="仿宋_GB2312" w:eastAsia="仿宋_GB2312" w:cs="仿宋_GB2312"/>
          <w:sz w:val="32"/>
          <w:szCs w:val="32"/>
        </w:rPr>
        <w:t>资金绩效自评总结如下：</w:t>
      </w:r>
    </w:p>
    <w:p>
      <w:pPr>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spacing w:line="600" w:lineRule="exact"/>
        <w:ind w:firstLine="640"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sz w:val="32"/>
          <w:szCs w:val="32"/>
        </w:rPr>
        <w:t>（一）项目基本情况。</w:t>
      </w:r>
      <w:r>
        <w:rPr>
          <w:rFonts w:hint="eastAsia" w:ascii="仿宋_GB2312" w:hAnsi="仿宋_GB2312" w:eastAsia="仿宋_GB2312" w:cs="仿宋_GB2312"/>
          <w:color w:val="000000"/>
          <w:spacing w:val="4"/>
          <w:sz w:val="32"/>
          <w:szCs w:val="32"/>
        </w:rPr>
        <w:t>益阳市城市生活垃圾焚烧发电厂项目是经益阳市人民政府授权，由中国光大国际有限公司（以下简称：光大国际）按BOT模式投资建设的基础设施PPP项目，特许经营期30年。光大国际成立项目公司—光大环保能源（益阳）有限公司具体实施本项目。项目位于益阳市谢林港镇谢林港村，规划建设总规模为日处理生活垃圾1400吨，分两期建设，一期工程已建成规模800吨/日，服务包括资阳区、赫山区、高新区等在内的益沅桃城镇群城乡范围。项目于2016年6月正式投产运行。</w:t>
      </w:r>
    </w:p>
    <w:p>
      <w:pPr>
        <w:spacing w:line="600" w:lineRule="exact"/>
        <w:ind w:firstLine="640"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sz w:val="32"/>
          <w:szCs w:val="32"/>
        </w:rPr>
        <w:t>（二）项目技术路线。</w:t>
      </w:r>
      <w:r>
        <w:rPr>
          <w:rFonts w:hint="eastAsia" w:ascii="仿宋_GB2312" w:hAnsi="仿宋_GB2312" w:eastAsia="仿宋_GB2312" w:cs="仿宋_GB2312"/>
          <w:color w:val="000000"/>
          <w:spacing w:val="4"/>
          <w:sz w:val="32"/>
          <w:szCs w:val="32"/>
        </w:rPr>
        <w:t>采用机械炉排炉焚烧工艺，配置两台400吨/日的焚烧炉、一台15兆瓦汽轮发电机、配套烟气处理设施、垃圾渗滤液和废水处理设施。烟气排放全面执行欧盟2010标准；渗滤液和其它废水经厂内处理后回用，对外零排放；炉渣综合利用；飞灰厂内螯合固化稳定后送卫生填埋场填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（三）项目运行情况。</w:t>
      </w:r>
      <w:r>
        <w:rPr>
          <w:rFonts w:hint="eastAsia" w:ascii="仿宋_GB2312" w:hAnsi="仿宋_GB2312" w:eastAsia="仿宋_GB2312" w:cs="仿宋_GB2312"/>
          <w:bCs/>
          <w:sz w:val="32"/>
          <w:szCs w:val="32"/>
        </w:rPr>
        <w:t>由</w:t>
      </w:r>
      <w:r>
        <w:rPr>
          <w:rFonts w:hint="eastAsia" w:ascii="仿宋_GB2312" w:hAnsi="仿宋_GB2312" w:eastAsia="仿宋_GB2312" w:cs="仿宋_GB2312"/>
          <w:color w:val="000000"/>
          <w:spacing w:val="4"/>
          <w:sz w:val="32"/>
          <w:szCs w:val="32"/>
        </w:rPr>
        <w:t>光大环保能源（益阳）有限公司</w:t>
      </w:r>
      <w:r>
        <w:rPr>
          <w:rFonts w:hint="eastAsia" w:ascii="仿宋_GB2312" w:hAnsi="仿宋_GB2312" w:eastAsia="仿宋_GB2312" w:cs="仿宋_GB2312"/>
          <w:bCs/>
          <w:sz w:val="32"/>
          <w:szCs w:val="32"/>
        </w:rPr>
        <w:t>运营维护和管理，提供合格的垃圾处理服务。项目单位严格按照相关要求，加强内部管理，优化运行工艺流程，大力推行节能降耗，按质按量完成了全年不间断生活垃圾处理任务。2020年，共计处理生活垃圾31.47万吨，发出绿色电能电量12647万千瓦时，并网10946万千瓦时，处理渗滤液6.18万吨，处理飞灰0.6万吨，处理炉渣7.58万吨，折算相当于节约标准煤5.11万吨，减排二氧化碳13.28万吨，减排化学需氧量2471.12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二、专项资金使用及管理情况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市本级资阳区、赫山区、高新区城乡生活垃圾全部送市生活垃圾焚烧发电厂处理，2020年共处理生活垃圾31.47万吨，应付1825.42万元。垃圾处理补贴费年度支出预算为1708万元，年度实际支出为1745.90万元（其中含2019年12月58.42万元,2020年1月-11月1687.48万元），2020年12月份垃圾处理补贴费137.94万元安排在来年支付。</w:t>
      </w:r>
      <w:r>
        <w:rPr>
          <w:rFonts w:hint="eastAsia" w:ascii="仿宋_GB2312" w:hAnsi="仿宋_GB2312" w:eastAsia="仿宋_GB2312" w:cs="仿宋_GB2312"/>
          <w:sz w:val="32"/>
          <w:szCs w:val="32"/>
        </w:rPr>
        <w:t>垃圾处理补贴费支付均按照财务管理制度执行，资金使用与具体项目实施内容相符，绩效总目标和阶段性目标都已按照计划完成，未逾期。</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三、专项组织实施情况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城乡生活垃圾采取焚烧发电处理的方式实现了无害化处理和资源化利用，完成了年度绩效目标。运营单位的日常管理工作均按照相关管理制度执行，实现项目单位工作有计划、实施有方案、日常有监督的管理机制，工作取得了较好的成效，效能得到了提高、获得了公众和主管部门的好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四、专项绩效情况分析</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垃圾处理补贴费预算资金专项支出，从项目资金筹集、产出指标、效益指标、满意度指标等方面进行评价，自评得分100分。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1、项目资金筹集。</w:t>
      </w:r>
      <w:r>
        <w:rPr>
          <w:rFonts w:hint="eastAsia" w:ascii="仿宋_GB2312" w:hAnsi="仿宋_GB2312" w:eastAsia="仿宋_GB2312" w:cs="仿宋_GB2312"/>
          <w:bCs/>
          <w:sz w:val="32"/>
          <w:szCs w:val="32"/>
        </w:rPr>
        <w:t>2020年实际支出垃圾处理补贴费1745.90万元由财政统筹拨款支付，及时拨付、支付到位，未逾期。自评得分10分。</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2、项目产出指标。评价数量、质量、时效、成本等方面，2020年共处理处置生活垃圾</w:t>
      </w:r>
      <w:r>
        <w:rPr>
          <w:rFonts w:hint="eastAsia" w:ascii="仿宋_GB2312" w:hAnsi="仿宋_GB2312" w:eastAsia="仿宋_GB2312" w:cs="仿宋_GB2312"/>
          <w:bCs/>
          <w:sz w:val="32"/>
          <w:szCs w:val="32"/>
        </w:rPr>
        <w:t>31.47万吨，全部采取焚烧发电的方式进行了有效利用，执行特许经营协议约定价格，单价58元/吨，成本控制合理。自评得分50分。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项目效益指标。按经济、社会、生态效益三方面评价，</w:t>
      </w:r>
      <w:r>
        <w:rPr>
          <w:rFonts w:hint="eastAsia" w:ascii="仿宋_GB2312" w:hAnsi="仿宋_GB2312" w:eastAsia="仿宋_GB2312" w:cs="仿宋_GB2312"/>
          <w:bCs/>
          <w:sz w:val="32"/>
          <w:szCs w:val="32"/>
        </w:rPr>
        <w:t>市本级资阳区、赫山区、高新区等城乡生活垃圾全部送市生活垃圾焚烧发电厂处理，</w:t>
      </w:r>
      <w:r>
        <w:rPr>
          <w:rFonts w:hint="eastAsia" w:ascii="仿宋_GB2312" w:hAnsi="仿宋_GB2312" w:eastAsia="仿宋_GB2312" w:cs="仿宋_GB2312"/>
          <w:sz w:val="32"/>
          <w:szCs w:val="32"/>
        </w:rPr>
        <w:t>无害化处理率、资源化利用率、排放环保达标率均达100%。自评得分30分。</w:t>
      </w:r>
    </w:p>
    <w:p>
      <w:pPr>
        <w:spacing w:line="600" w:lineRule="exact"/>
        <w:ind w:firstLine="64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满意度指标。改变了以往生活垃圾直接卫生填埋处置方式，集中焚烧发电实现无害化处理、资源化利用，为巩固卫生城市成果作出应有贡献，提升了城市品质，改善了人居环境；服务对象和运营单位对垃圾及时处理、费用及时支付持满意态度。自评得分10分。</w:t>
      </w:r>
    </w:p>
    <w:p>
      <w:pPr>
        <w:spacing w:line="600" w:lineRule="exact"/>
        <w:ind w:firstLine="64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产生了良好的经济效益、社会效益、生态效益，社会公众的满意度及可持续影响力较好，全年累计对外接待公众参观学习115批次，共计1678人。在各级部门的支持和帮助下，益阳市生活垃圾焚烧发电厂项目已取得“益阳市环境教育基地”、“益阳市科普教育基地”、益阳市“花园式单位”、“湖南省环境教育基地”、“湖南省科普教育基地”、“湖南省花园式单位”、“绿色发展标杆企业”、“AAA级生活垃圾焚烧厂”、"环保设施和城市污水垃圾处理设施向公众开放单位"等称号，为益阳市生态环保和经济社会发展做出积极贡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五、下一步工作建议</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今后工作中，进一步健全和完善财务管理制度及内部控制制度，创新管理手段，用新思路、新方法，改进完善财务管理方法，充分发挥财政专项资金效益，更好的完成各项任务和绩效目标。强化财政部门的监督指导，按照财政支出绩效管理的要求，优化财政资金效益考评制度体系，不断提高财政资金使用管理的水平和效率。</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4633" w:firstLineChars="1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益阳市住房和城乡建设局</w:t>
      </w:r>
    </w:p>
    <w:p>
      <w:pPr>
        <w:spacing w:line="600" w:lineRule="exact"/>
        <w:ind w:firstLine="5273" w:firstLineChars="1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ascii="Times New Roman" w:hAnsi="Times New Roman" w:eastAsia="方正仿宋简体" w:cs="Times New Roman"/>
          <w:sz w:val="32"/>
          <w:szCs w:val="32"/>
        </w:rPr>
      </w:pPr>
    </w:p>
    <w:p>
      <w:pPr>
        <w:spacing w:line="600" w:lineRule="exact"/>
        <w:ind w:firstLine="640" w:firstLineChars="200"/>
        <w:rPr>
          <w:rFonts w:ascii="Times New Roman" w:hAnsi="Times New Roman" w:eastAsia="方正仿宋简体" w:cs="Times New Roman"/>
          <w:sz w:val="32"/>
          <w:szCs w:val="32"/>
        </w:rPr>
      </w:pPr>
    </w:p>
    <w:p>
      <w:pPr>
        <w:spacing w:line="600" w:lineRule="exact"/>
        <w:ind w:firstLine="640" w:firstLineChars="200"/>
        <w:rPr>
          <w:rFonts w:ascii="Times New Roman" w:hAnsi="Times New Roman" w:eastAsia="方正仿宋简体" w:cs="Times New Roman"/>
          <w:sz w:val="32"/>
          <w:szCs w:val="32"/>
        </w:rPr>
      </w:pPr>
    </w:p>
    <w:p>
      <w:pPr>
        <w:widowControl/>
        <w:spacing w:line="500" w:lineRule="exact"/>
        <w:ind w:left="-376" w:leftChars="-179"/>
        <w:jc w:val="left"/>
        <w:rPr>
          <w:rFonts w:hint="eastAsia" w:ascii="黑体" w:hAnsi="黑体" w:eastAsia="黑体"/>
          <w:szCs w:val="32"/>
        </w:rPr>
      </w:pPr>
    </w:p>
    <w:p>
      <w:pPr>
        <w:widowControl/>
        <w:spacing w:line="500" w:lineRule="exact"/>
        <w:ind w:left="-376" w:leftChars="-179"/>
        <w:jc w:val="left"/>
        <w:rPr>
          <w:rFonts w:hint="eastAsia" w:ascii="仿宋_GB2312" w:hAnsi="仿宋_GB2312" w:eastAsia="仿宋_GB2312" w:cs="仿宋_GB2312"/>
          <w:szCs w:val="32"/>
        </w:rPr>
      </w:pPr>
      <w:r>
        <w:rPr>
          <w:rFonts w:hint="eastAsia" w:ascii="仿宋_GB2312" w:hAnsi="仿宋_GB2312" w:eastAsia="仿宋_GB2312" w:cs="仿宋_GB2312"/>
          <w:szCs w:val="32"/>
        </w:rPr>
        <w:t>附件3</w:t>
      </w:r>
    </w:p>
    <w:p>
      <w:pPr>
        <w:spacing w:line="600" w:lineRule="exact"/>
        <w:jc w:val="center"/>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2020年度项目支出绩效自评表</w:t>
      </w:r>
    </w:p>
    <w:tbl>
      <w:tblPr>
        <w:tblStyle w:val="5"/>
        <w:tblW w:w="10001" w:type="dxa"/>
        <w:jc w:val="center"/>
        <w:tblLayout w:type="autofit"/>
        <w:tblCellMar>
          <w:top w:w="0" w:type="dxa"/>
          <w:left w:w="108" w:type="dxa"/>
          <w:bottom w:w="0" w:type="dxa"/>
          <w:right w:w="108" w:type="dxa"/>
        </w:tblCellMar>
      </w:tblPr>
      <w:tblGrid>
        <w:gridCol w:w="1186"/>
        <w:gridCol w:w="1080"/>
        <w:gridCol w:w="863"/>
        <w:gridCol w:w="1319"/>
        <w:gridCol w:w="835"/>
        <w:gridCol w:w="484"/>
        <w:gridCol w:w="472"/>
        <w:gridCol w:w="986"/>
        <w:gridCol w:w="689"/>
        <w:gridCol w:w="835"/>
        <w:gridCol w:w="1252"/>
      </w:tblGrid>
      <w:tr>
        <w:tblPrEx>
          <w:tblCellMar>
            <w:top w:w="0" w:type="dxa"/>
            <w:left w:w="108" w:type="dxa"/>
            <w:bottom w:w="0" w:type="dxa"/>
            <w:right w:w="108" w:type="dxa"/>
          </w:tblCellMar>
        </w:tblPrEx>
        <w:trPr>
          <w:trHeight w:val="318" w:hRule="atLeast"/>
          <w:jc w:val="center"/>
        </w:trPr>
        <w:tc>
          <w:tcPr>
            <w:tcW w:w="118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8815" w:type="dxa"/>
            <w:gridSpan w:val="10"/>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bCs/>
                <w:color w:val="000000"/>
                <w:kern w:val="0"/>
                <w:szCs w:val="21"/>
              </w:rPr>
              <w:t>垃圾处理补贴费</w:t>
            </w:r>
          </w:p>
        </w:tc>
      </w:tr>
      <w:tr>
        <w:tblPrEx>
          <w:tblCellMar>
            <w:top w:w="0" w:type="dxa"/>
            <w:left w:w="108" w:type="dxa"/>
            <w:bottom w:w="0" w:type="dxa"/>
            <w:right w:w="108" w:type="dxa"/>
          </w:tblCellMar>
        </w:tblPrEx>
        <w:trPr>
          <w:trHeight w:val="407" w:hRule="atLeast"/>
          <w:jc w:val="center"/>
        </w:trPr>
        <w:tc>
          <w:tcPr>
            <w:tcW w:w="1186"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主管部门</w:t>
            </w:r>
          </w:p>
        </w:tc>
        <w:tc>
          <w:tcPr>
            <w:tcW w:w="4581" w:type="dxa"/>
            <w:gridSpan w:val="5"/>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益阳市住房和城乡建设局</w:t>
            </w:r>
          </w:p>
        </w:tc>
        <w:tc>
          <w:tcPr>
            <w:tcW w:w="1458"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实施单位</w:t>
            </w:r>
          </w:p>
        </w:tc>
        <w:tc>
          <w:tcPr>
            <w:tcW w:w="2776" w:type="dxa"/>
            <w:gridSpan w:val="3"/>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光大环保能源（益阳）有限公司</w:t>
            </w:r>
          </w:p>
        </w:tc>
      </w:tr>
      <w:tr>
        <w:tblPrEx>
          <w:tblCellMar>
            <w:top w:w="0" w:type="dxa"/>
            <w:left w:w="108" w:type="dxa"/>
            <w:bottom w:w="0" w:type="dxa"/>
            <w:right w:w="108" w:type="dxa"/>
          </w:tblCellMar>
        </w:tblPrEx>
        <w:trPr>
          <w:trHeight w:val="555" w:hRule="atLeast"/>
          <w:jc w:val="center"/>
        </w:trPr>
        <w:tc>
          <w:tcPr>
            <w:tcW w:w="118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项目资金</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（万元）</w:t>
            </w:r>
          </w:p>
        </w:tc>
        <w:tc>
          <w:tcPr>
            <w:tcW w:w="1943"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3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年初</w:t>
            </w:r>
          </w:p>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预算数</w:t>
            </w:r>
          </w:p>
        </w:tc>
        <w:tc>
          <w:tcPr>
            <w:tcW w:w="131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全年</w:t>
            </w:r>
          </w:p>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预算数</w:t>
            </w:r>
          </w:p>
        </w:tc>
        <w:tc>
          <w:tcPr>
            <w:tcW w:w="1458"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全年</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执行数</w:t>
            </w:r>
          </w:p>
        </w:tc>
        <w:tc>
          <w:tcPr>
            <w:tcW w:w="689"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分值</w:t>
            </w:r>
          </w:p>
        </w:tc>
        <w:tc>
          <w:tcPr>
            <w:tcW w:w="835"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执行率</w:t>
            </w:r>
          </w:p>
        </w:tc>
        <w:tc>
          <w:tcPr>
            <w:tcW w:w="1252"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得分</w:t>
            </w:r>
          </w:p>
        </w:tc>
      </w:tr>
      <w:tr>
        <w:tblPrEx>
          <w:tblCellMar>
            <w:top w:w="0" w:type="dxa"/>
            <w:left w:w="108" w:type="dxa"/>
            <w:bottom w:w="0" w:type="dxa"/>
            <w:right w:w="108" w:type="dxa"/>
          </w:tblCellMar>
        </w:tblPrEx>
        <w:trPr>
          <w:jc w:val="center"/>
        </w:trPr>
        <w:tc>
          <w:tcPr>
            <w:tcW w:w="118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1943"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年度资金总额　</w:t>
            </w:r>
          </w:p>
        </w:tc>
        <w:tc>
          <w:tcPr>
            <w:tcW w:w="131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bCs/>
                <w:kern w:val="0"/>
                <w:szCs w:val="21"/>
              </w:rPr>
              <w:t>1708</w:t>
            </w:r>
          </w:p>
        </w:tc>
        <w:tc>
          <w:tcPr>
            <w:tcW w:w="131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bCs/>
                <w:kern w:val="0"/>
                <w:szCs w:val="21"/>
              </w:rPr>
              <w:t>1745.90</w:t>
            </w:r>
          </w:p>
        </w:tc>
        <w:tc>
          <w:tcPr>
            <w:tcW w:w="1458"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1745.90</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125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10</w:t>
            </w:r>
          </w:p>
        </w:tc>
      </w:tr>
      <w:tr>
        <w:tblPrEx>
          <w:tblCellMar>
            <w:top w:w="0" w:type="dxa"/>
            <w:left w:w="108" w:type="dxa"/>
            <w:bottom w:w="0" w:type="dxa"/>
            <w:right w:w="108" w:type="dxa"/>
          </w:tblCellMar>
        </w:tblPrEx>
        <w:trPr>
          <w:jc w:val="center"/>
        </w:trPr>
        <w:tc>
          <w:tcPr>
            <w:tcW w:w="118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1943"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其中：当年财政拨款　</w:t>
            </w:r>
          </w:p>
        </w:tc>
        <w:tc>
          <w:tcPr>
            <w:tcW w:w="131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bCs/>
                <w:color w:val="000000"/>
                <w:kern w:val="0"/>
                <w:szCs w:val="21"/>
              </w:rPr>
              <w:t>1708</w:t>
            </w:r>
          </w:p>
        </w:tc>
        <w:tc>
          <w:tcPr>
            <w:tcW w:w="131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bCs/>
                <w:kern w:val="0"/>
                <w:szCs w:val="21"/>
              </w:rPr>
              <w:t>1745.90</w:t>
            </w:r>
          </w:p>
        </w:tc>
        <w:tc>
          <w:tcPr>
            <w:tcW w:w="1458"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rPr>
              <w:t>1745.90</w:t>
            </w:r>
          </w:p>
        </w:tc>
        <w:tc>
          <w:tcPr>
            <w:tcW w:w="689"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835"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25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CellMar>
            <w:top w:w="0" w:type="dxa"/>
            <w:left w:w="108" w:type="dxa"/>
            <w:bottom w:w="0" w:type="dxa"/>
            <w:right w:w="108" w:type="dxa"/>
          </w:tblCellMar>
        </w:tblPrEx>
        <w:trPr>
          <w:jc w:val="center"/>
        </w:trPr>
        <w:tc>
          <w:tcPr>
            <w:tcW w:w="118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1943" w:type="dxa"/>
            <w:gridSpan w:val="2"/>
            <w:tcBorders>
              <w:top w:val="nil"/>
              <w:left w:val="nil"/>
              <w:bottom w:val="single" w:color="auto" w:sz="4" w:space="0"/>
              <w:right w:val="single" w:color="auto" w:sz="4" w:space="0"/>
            </w:tcBorders>
            <w:vAlign w:val="center"/>
          </w:tcPr>
          <w:p>
            <w:pPr>
              <w:widowControl/>
              <w:ind w:firstLine="420" w:firstLineChars="20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上年结转资金</w:t>
            </w:r>
          </w:p>
        </w:tc>
        <w:tc>
          <w:tcPr>
            <w:tcW w:w="1319"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319"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58"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689"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835"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25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CellMar>
            <w:top w:w="0" w:type="dxa"/>
            <w:left w:w="108" w:type="dxa"/>
            <w:bottom w:w="0" w:type="dxa"/>
            <w:right w:w="108" w:type="dxa"/>
          </w:tblCellMar>
        </w:tblPrEx>
        <w:trPr>
          <w:jc w:val="center"/>
        </w:trPr>
        <w:tc>
          <w:tcPr>
            <w:tcW w:w="118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1943" w:type="dxa"/>
            <w:gridSpan w:val="2"/>
            <w:tcBorders>
              <w:top w:val="nil"/>
              <w:left w:val="nil"/>
              <w:bottom w:val="single" w:color="auto" w:sz="4" w:space="0"/>
              <w:right w:val="single" w:color="auto" w:sz="4" w:space="0"/>
            </w:tcBorders>
            <w:vAlign w:val="center"/>
          </w:tcPr>
          <w:p>
            <w:pPr>
              <w:widowControl/>
              <w:ind w:firstLine="630" w:firstLineChars="30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其他资金</w:t>
            </w:r>
          </w:p>
        </w:tc>
        <w:tc>
          <w:tcPr>
            <w:tcW w:w="1319"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319"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58"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689"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835"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25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CellMar>
            <w:top w:w="0" w:type="dxa"/>
            <w:left w:w="108" w:type="dxa"/>
            <w:bottom w:w="0" w:type="dxa"/>
            <w:right w:w="108" w:type="dxa"/>
          </w:tblCellMar>
        </w:tblPrEx>
        <w:trPr>
          <w:jc w:val="center"/>
        </w:trPr>
        <w:tc>
          <w:tcPr>
            <w:tcW w:w="1186"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年度总体目标</w:t>
            </w:r>
          </w:p>
        </w:tc>
        <w:tc>
          <w:tcPr>
            <w:tcW w:w="4581" w:type="dxa"/>
            <w:gridSpan w:val="5"/>
            <w:tcBorders>
              <w:top w:val="single" w:color="auto" w:sz="4" w:space="0"/>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预期目标</w:t>
            </w:r>
          </w:p>
        </w:tc>
        <w:tc>
          <w:tcPr>
            <w:tcW w:w="4234"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实际完成情况　</w:t>
            </w:r>
          </w:p>
        </w:tc>
      </w:tr>
      <w:tr>
        <w:tblPrEx>
          <w:tblCellMar>
            <w:top w:w="0" w:type="dxa"/>
            <w:left w:w="108" w:type="dxa"/>
            <w:bottom w:w="0" w:type="dxa"/>
            <w:right w:w="108" w:type="dxa"/>
          </w:tblCellMar>
        </w:tblPrEx>
        <w:trPr>
          <w:jc w:val="center"/>
        </w:trPr>
        <w:tc>
          <w:tcPr>
            <w:tcW w:w="1186"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4581" w:type="dxa"/>
            <w:gridSpan w:val="5"/>
            <w:tcBorders>
              <w:top w:val="single" w:color="auto" w:sz="4" w:space="0"/>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4234" w:type="dxa"/>
            <w:gridSpan w:val="5"/>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100%</w:t>
            </w:r>
          </w:p>
        </w:tc>
      </w:tr>
      <w:tr>
        <w:tblPrEx>
          <w:tblCellMar>
            <w:top w:w="0" w:type="dxa"/>
            <w:left w:w="108" w:type="dxa"/>
            <w:bottom w:w="0" w:type="dxa"/>
            <w:right w:w="108" w:type="dxa"/>
          </w:tblCellMar>
        </w:tblPrEx>
        <w:trPr>
          <w:trHeight w:val="572" w:hRule="atLeast"/>
          <w:jc w:val="center"/>
        </w:trPr>
        <w:tc>
          <w:tcPr>
            <w:tcW w:w="1186" w:type="dxa"/>
            <w:vMerge w:val="restart"/>
            <w:tcBorders>
              <w:top w:val="nil"/>
              <w:left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绩</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一级指标</w:t>
            </w:r>
          </w:p>
        </w:tc>
        <w:tc>
          <w:tcPr>
            <w:tcW w:w="86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二级指标</w:t>
            </w:r>
          </w:p>
        </w:tc>
        <w:tc>
          <w:tcPr>
            <w:tcW w:w="215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三级指标</w:t>
            </w:r>
          </w:p>
        </w:tc>
        <w:tc>
          <w:tcPr>
            <w:tcW w:w="956"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年度</w:t>
            </w:r>
          </w:p>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指标值</w:t>
            </w:r>
          </w:p>
        </w:tc>
        <w:tc>
          <w:tcPr>
            <w:tcW w:w="98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实际</w:t>
            </w:r>
          </w:p>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完成值</w:t>
            </w:r>
          </w:p>
        </w:tc>
        <w:tc>
          <w:tcPr>
            <w:tcW w:w="6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分值</w:t>
            </w:r>
          </w:p>
        </w:tc>
        <w:tc>
          <w:tcPr>
            <w:tcW w:w="83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得分</w:t>
            </w:r>
          </w:p>
        </w:tc>
        <w:tc>
          <w:tcPr>
            <w:tcW w:w="125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偏差原因分析及改进措施</w:t>
            </w: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产出指标</w:t>
            </w:r>
          </w:p>
          <w:p>
            <w:pPr>
              <w:widowControl/>
              <w:jc w:val="center"/>
              <w:rPr>
                <w:rFonts w:hint="eastAsia" w:ascii="仿宋_GB2312" w:hAnsi="仿宋_GB2312" w:eastAsia="仿宋_GB2312" w:cs="仿宋_GB2312"/>
                <w:color w:val="000000"/>
                <w:kern w:val="0"/>
                <w:szCs w:val="21"/>
              </w:rPr>
            </w:pP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(50分)</w:t>
            </w:r>
          </w:p>
        </w:tc>
        <w:tc>
          <w:tcPr>
            <w:tcW w:w="863"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数量指标</w:t>
            </w: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日处理垃圾量完成率</w:t>
            </w:r>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863" w:type="dxa"/>
            <w:vMerge w:val="continue"/>
            <w:tcBorders>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年处理垃圾量完成率</w:t>
            </w:r>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863"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质量指标</w:t>
            </w: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处理合格率</w:t>
            </w:r>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863" w:type="dxa"/>
            <w:vMerge w:val="continue"/>
            <w:tcBorders>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连续监测、抽检合格率</w:t>
            </w:r>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863"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时效指标</w:t>
            </w: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日常处理及时性</w:t>
            </w:r>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863" w:type="dxa"/>
            <w:vMerge w:val="continue"/>
            <w:tcBorders>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异常处理及时性</w:t>
            </w:r>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863"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成本指标</w:t>
            </w: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成本控制</w:t>
            </w:r>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w:t>
            </w:r>
            <w:r>
              <w:rPr>
                <w:rFonts w:hint="eastAsia" w:ascii="仿宋_GB2312" w:hAnsi="仿宋_GB2312" w:eastAsia="仿宋_GB2312" w:cs="仿宋_GB2312"/>
                <w:kern w:val="0"/>
                <w:sz w:val="18"/>
                <w:szCs w:val="18"/>
              </w:rPr>
              <w:t>元/吨</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58</w:t>
            </w:r>
            <w:r>
              <w:rPr>
                <w:rFonts w:hint="eastAsia" w:ascii="仿宋_GB2312" w:hAnsi="仿宋_GB2312" w:eastAsia="仿宋_GB2312" w:cs="仿宋_GB2312"/>
                <w:kern w:val="0"/>
                <w:sz w:val="18"/>
                <w:szCs w:val="18"/>
              </w:rPr>
              <w:t>元/吨</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continue"/>
            <w:tcBorders>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863" w:type="dxa"/>
            <w:vMerge w:val="continue"/>
            <w:tcBorders>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资金利用</w:t>
            </w:r>
            <w:bookmarkStart w:id="0" w:name="_GoBack"/>
            <w:bookmarkEnd w:id="0"/>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合规</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合规</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restart"/>
            <w:tcBorders>
              <w:top w:val="nil"/>
              <w:left w:val="nil"/>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效益指标</w:t>
            </w:r>
          </w:p>
          <w:p>
            <w:pPr>
              <w:widowControl/>
              <w:jc w:val="left"/>
              <w:rPr>
                <w:rFonts w:hint="eastAsia" w:ascii="仿宋_GB2312" w:hAnsi="仿宋_GB2312" w:eastAsia="仿宋_GB2312" w:cs="仿宋_GB2312"/>
                <w:color w:val="000000"/>
                <w:kern w:val="0"/>
                <w:szCs w:val="21"/>
              </w:rPr>
            </w:pP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（30分）</w:t>
            </w:r>
          </w:p>
        </w:tc>
        <w:tc>
          <w:tcPr>
            <w:tcW w:w="86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经济效</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益指标</w:t>
            </w: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生活垃圾焚烧发电资源化利用率，发电并入国家电网</w:t>
            </w:r>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100%</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86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社会效</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益指标</w:t>
            </w: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生活垃圾无害化处置率，改善人居环境</w:t>
            </w:r>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863" w:type="dxa"/>
            <w:tcBorders>
              <w:top w:val="single" w:color="auto" w:sz="4" w:space="0"/>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生态效</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益指标</w:t>
            </w: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焚烧烟气、废水、飞灰等处置环保达标率</w:t>
            </w:r>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186"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绩</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标</w:t>
            </w:r>
          </w:p>
        </w:tc>
        <w:tc>
          <w:tcPr>
            <w:tcW w:w="1080" w:type="dxa"/>
            <w:vMerge w:val="restart"/>
            <w:tcBorders>
              <w:top w:val="single" w:color="auto" w:sz="4" w:space="0"/>
              <w:left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满意度</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p>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（10分）</w:t>
            </w:r>
          </w:p>
        </w:tc>
        <w:tc>
          <w:tcPr>
            <w:tcW w:w="8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可持续影响指标</w:t>
            </w:r>
          </w:p>
        </w:tc>
        <w:tc>
          <w:tcPr>
            <w:tcW w:w="21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强化城市管理、提升城市品质、持续改善城乡人居环境</w:t>
            </w:r>
          </w:p>
        </w:tc>
        <w:tc>
          <w:tcPr>
            <w:tcW w:w="95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w:t>
            </w:r>
          </w:p>
        </w:tc>
        <w:tc>
          <w:tcPr>
            <w:tcW w:w="9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w:t>
            </w:r>
          </w:p>
        </w:tc>
        <w:tc>
          <w:tcPr>
            <w:tcW w:w="6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8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186"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80"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c>
          <w:tcPr>
            <w:tcW w:w="863" w:type="dxa"/>
            <w:tcBorders>
              <w:top w:val="single" w:color="auto" w:sz="4" w:space="0"/>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服务对象满意度指标</w:t>
            </w:r>
          </w:p>
        </w:tc>
        <w:tc>
          <w:tcPr>
            <w:tcW w:w="2154"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公众或服务对象对生活垃圾处置、费用支付等的满意度</w:t>
            </w:r>
          </w:p>
        </w:tc>
        <w:tc>
          <w:tcPr>
            <w:tcW w:w="956"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8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83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125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7225"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总分</w:t>
            </w:r>
          </w:p>
        </w:tc>
        <w:tc>
          <w:tcPr>
            <w:tcW w:w="68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835"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1252"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bl>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2"/>
        </w:rPr>
        <w:t>填表人：</w:t>
      </w:r>
      <w:r>
        <w:rPr>
          <w:rFonts w:hint="eastAsia" w:ascii="仿宋_GB2312" w:hAnsi="仿宋_GB2312" w:eastAsia="仿宋_GB2312" w:cs="仿宋_GB2312"/>
          <w:kern w:val="0"/>
          <w:sz w:val="22"/>
          <w:lang w:eastAsia="zh-CN"/>
        </w:rPr>
        <w:t>张剑</w:t>
      </w:r>
      <w:r>
        <w:rPr>
          <w:rFonts w:hint="eastAsia" w:ascii="仿宋_GB2312" w:hAnsi="仿宋_GB2312" w:eastAsia="仿宋_GB2312" w:cs="仿宋_GB2312"/>
          <w:kern w:val="0"/>
          <w:sz w:val="22"/>
        </w:rPr>
        <w:t xml:space="preserve">     填报日期：</w:t>
      </w:r>
      <w:r>
        <w:rPr>
          <w:rFonts w:hint="eastAsia" w:ascii="仿宋_GB2312" w:hAnsi="仿宋_GB2312" w:eastAsia="仿宋_GB2312" w:cs="仿宋_GB2312"/>
          <w:kern w:val="0"/>
          <w:sz w:val="22"/>
          <w:lang w:val="en-US" w:eastAsia="zh-CN"/>
        </w:rPr>
        <w:t>4月13日</w:t>
      </w:r>
      <w:r>
        <w:rPr>
          <w:rFonts w:hint="eastAsia" w:ascii="仿宋_GB2312" w:hAnsi="仿宋_GB2312" w:eastAsia="仿宋_GB2312" w:cs="仿宋_GB2312"/>
          <w:kern w:val="0"/>
          <w:sz w:val="22"/>
        </w:rPr>
        <w:t xml:space="preserve">    联系电话： </w:t>
      </w:r>
      <w:r>
        <w:rPr>
          <w:rFonts w:hint="eastAsia" w:ascii="仿宋_GB2312" w:hAnsi="仿宋_GB2312" w:eastAsia="仿宋_GB2312" w:cs="仿宋_GB2312"/>
          <w:kern w:val="0"/>
          <w:sz w:val="22"/>
          <w:lang w:val="en-US" w:eastAsia="zh-CN"/>
        </w:rPr>
        <w:t>6204137</w:t>
      </w:r>
      <w:r>
        <w:rPr>
          <w:rFonts w:hint="eastAsia" w:ascii="仿宋_GB2312" w:hAnsi="仿宋_GB2312" w:eastAsia="仿宋_GB2312" w:cs="仿宋_GB2312"/>
          <w:kern w:val="0"/>
          <w:sz w:val="22"/>
        </w:rPr>
        <w:t xml:space="preserve">   单位负责人签字：</w:t>
      </w:r>
      <w:r>
        <w:rPr>
          <w:rFonts w:hint="eastAsia" w:ascii="仿宋_GB2312" w:hAnsi="仿宋_GB2312" w:eastAsia="仿宋_GB2312" w:cs="仿宋_GB2312"/>
          <w:kern w:val="0"/>
          <w:sz w:val="22"/>
          <w:lang w:eastAsia="zh-CN"/>
        </w:rPr>
        <w:t>熊寿林</w:t>
      </w:r>
    </w:p>
    <w:p>
      <w:pPr>
        <w:rPr>
          <w:rFonts w:hint="eastAsia" w:ascii="仿宋_GB2312" w:hAnsi="仿宋_GB2312" w:eastAsia="仿宋_GB2312" w:cs="仿宋_GB2312"/>
          <w:sz w:val="32"/>
          <w:szCs w:val="32"/>
        </w:rPr>
      </w:pPr>
    </w:p>
    <w:sectPr>
      <w:footerReference r:id="rId3" w:type="default"/>
      <w:pgSz w:w="11906" w:h="16838"/>
      <w:pgMar w:top="1418" w:right="1418"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script"/>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rect id="文本框 1"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BEC"/>
    <w:rsid w:val="00025A2F"/>
    <w:rsid w:val="00031DD0"/>
    <w:rsid w:val="00066985"/>
    <w:rsid w:val="000F3F8D"/>
    <w:rsid w:val="00175059"/>
    <w:rsid w:val="001B7685"/>
    <w:rsid w:val="001E284D"/>
    <w:rsid w:val="002058F2"/>
    <w:rsid w:val="00214B72"/>
    <w:rsid w:val="002B716C"/>
    <w:rsid w:val="002D012D"/>
    <w:rsid w:val="003043F2"/>
    <w:rsid w:val="00380002"/>
    <w:rsid w:val="0038661D"/>
    <w:rsid w:val="003930AD"/>
    <w:rsid w:val="003E79D2"/>
    <w:rsid w:val="004421BC"/>
    <w:rsid w:val="00495B32"/>
    <w:rsid w:val="00512E33"/>
    <w:rsid w:val="00525EDC"/>
    <w:rsid w:val="00561AA4"/>
    <w:rsid w:val="0058713F"/>
    <w:rsid w:val="0059607E"/>
    <w:rsid w:val="00655B54"/>
    <w:rsid w:val="006936DD"/>
    <w:rsid w:val="007043C0"/>
    <w:rsid w:val="0074285C"/>
    <w:rsid w:val="00762A76"/>
    <w:rsid w:val="007A58B0"/>
    <w:rsid w:val="0085621B"/>
    <w:rsid w:val="00872AC5"/>
    <w:rsid w:val="008D2466"/>
    <w:rsid w:val="00902731"/>
    <w:rsid w:val="00936326"/>
    <w:rsid w:val="00974BEC"/>
    <w:rsid w:val="009C2417"/>
    <w:rsid w:val="009D2107"/>
    <w:rsid w:val="00A32A7D"/>
    <w:rsid w:val="00AC67AD"/>
    <w:rsid w:val="00AE5C87"/>
    <w:rsid w:val="00B02E0D"/>
    <w:rsid w:val="00B21F32"/>
    <w:rsid w:val="00B52628"/>
    <w:rsid w:val="00C24DD9"/>
    <w:rsid w:val="00C74939"/>
    <w:rsid w:val="00C94119"/>
    <w:rsid w:val="00D5505F"/>
    <w:rsid w:val="00D56B5A"/>
    <w:rsid w:val="00DE4BC7"/>
    <w:rsid w:val="00E11461"/>
    <w:rsid w:val="00EC6342"/>
    <w:rsid w:val="00EE6E68"/>
    <w:rsid w:val="00F47518"/>
    <w:rsid w:val="00F50BA0"/>
    <w:rsid w:val="15F50218"/>
    <w:rsid w:val="1A401E8B"/>
    <w:rsid w:val="1BCB0A1F"/>
    <w:rsid w:val="261C193D"/>
    <w:rsid w:val="2C583032"/>
    <w:rsid w:val="2F4C0191"/>
    <w:rsid w:val="32623E5A"/>
    <w:rsid w:val="38B27FC8"/>
    <w:rsid w:val="403F77D9"/>
    <w:rsid w:val="611D2A48"/>
    <w:rsid w:val="71964D17"/>
    <w:rsid w:val="73C073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Footer Char"/>
    <w:basedOn w:val="6"/>
    <w:link w:val="2"/>
    <w:semiHidden/>
    <w:qFormat/>
    <w:locked/>
    <w:uiPriority w:val="99"/>
    <w:rPr>
      <w:rFonts w:cs="黑体"/>
      <w:sz w:val="18"/>
      <w:szCs w:val="18"/>
    </w:rPr>
  </w:style>
  <w:style w:type="character" w:customStyle="1" w:styleId="8">
    <w:name w:val="Header Char"/>
    <w:basedOn w:val="6"/>
    <w:link w:val="3"/>
    <w:semiHidden/>
    <w:qFormat/>
    <w:locked/>
    <w:uiPriority w:val="99"/>
    <w:rPr>
      <w:rFonts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5</Pages>
  <Words>438</Words>
  <Characters>2499</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2021-03-17T01:17:00Z</dcterms:created>
  <dc:creator>真实1400828650</dc:creator>
  <cp:lastModifiedBy>Administrator</cp:lastModifiedBy>
  <cp:lastPrinted>2021-06-07T03:52:00Z</cp:lastPrinted>
  <dcterms:modified xsi:type="dcterms:W3CDTF">2021-06-08T03:24:11Z</dcterms:modified>
  <dc:title>专项资金绩效自评报告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3D3131C6D6F84837956CF29C7F99A069</vt:lpwstr>
  </property>
</Properties>
</file>