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0"/>
          <w:szCs w:val="30"/>
        </w:rPr>
      </w:pPr>
      <w:r>
        <w:rPr>
          <w:rFonts w:hint="eastAsia"/>
          <w:b/>
          <w:sz w:val="30"/>
          <w:szCs w:val="30"/>
        </w:rPr>
        <w:t xml:space="preserve">附件3 </w:t>
      </w:r>
    </w:p>
    <w:p>
      <w:pPr>
        <w:widowControl/>
        <w:shd w:val="clear" w:color="auto" w:fill="FFFFFF"/>
        <w:spacing w:before="180" w:after="180" w:line="640" w:lineRule="atLeast"/>
        <w:jc w:val="center"/>
        <w:rPr>
          <w:rFonts w:ascii="宋体" w:hAnsi="宋体" w:cs="宋体"/>
          <w:b/>
          <w:color w:val="000000"/>
          <w:kern w:val="0"/>
          <w:sz w:val="36"/>
          <w:szCs w:val="28"/>
        </w:rPr>
      </w:pPr>
      <w:r>
        <w:rPr>
          <w:rFonts w:hint="eastAsia" w:ascii="宋体" w:hAnsi="宋体" w:cs="宋体"/>
          <w:b/>
          <w:color w:val="000000"/>
          <w:kern w:val="0"/>
          <w:sz w:val="36"/>
          <w:szCs w:val="28"/>
        </w:rPr>
        <w:t xml:space="preserve"> 益阳市房屋建筑和市政基础设施工程招标投标施工企业“社会贡献”信用评价分值标准（试行）</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10"/>
        <w:gridCol w:w="458"/>
        <w:gridCol w:w="1261"/>
        <w:gridCol w:w="5021"/>
        <w:gridCol w:w="816"/>
        <w:gridCol w:w="4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hint="eastAsia" w:ascii="仿宋" w:hAnsi="仿宋" w:eastAsia="仿宋" w:cs="宋体"/>
                <w:kern w:val="0"/>
                <w:sz w:val="24"/>
                <w:szCs w:val="24"/>
              </w:rPr>
              <w:t>最高标准</w:t>
            </w:r>
          </w:p>
        </w:tc>
        <w:tc>
          <w:tcPr>
            <w:tcW w:w="1355"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评价因素（单项最高分）</w:t>
            </w:r>
          </w:p>
        </w:tc>
        <w:tc>
          <w:tcPr>
            <w:tcW w:w="5658" w:type="dxa"/>
            <w:noWrap w:val="0"/>
            <w:tcMar>
              <w:top w:w="0" w:type="dxa"/>
              <w:left w:w="108" w:type="dxa"/>
              <w:bottom w:w="0" w:type="dxa"/>
              <w:right w:w="108" w:type="dxa"/>
            </w:tcMar>
            <w:vAlign w:val="center"/>
          </w:tcPr>
          <w:p>
            <w:pPr>
              <w:widowControl/>
              <w:spacing w:before="180" w:after="180"/>
              <w:ind w:firstLine="480"/>
              <w:jc w:val="left"/>
              <w:rPr>
                <w:rFonts w:ascii="仿宋" w:hAnsi="仿宋" w:eastAsia="仿宋" w:cs="宋体"/>
                <w:kern w:val="0"/>
                <w:sz w:val="24"/>
                <w:szCs w:val="24"/>
              </w:rPr>
            </w:pPr>
            <w:r>
              <w:rPr>
                <w:rFonts w:hint="eastAsia" w:ascii="仿宋" w:hAnsi="仿宋" w:eastAsia="仿宋" w:cs="宋体"/>
                <w:kern w:val="0"/>
                <w:sz w:val="24"/>
                <w:szCs w:val="24"/>
              </w:rPr>
              <w:t xml:space="preserve">              评价标准</w:t>
            </w:r>
          </w:p>
        </w:tc>
        <w:tc>
          <w:tcPr>
            <w:tcW w:w="0" w:type="auto"/>
            <w:gridSpan w:val="2"/>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hint="eastAsia" w:ascii="仿宋" w:hAnsi="仿宋" w:eastAsia="仿宋" w:cs="宋体"/>
                <w:kern w:val="0"/>
                <w:sz w:val="24"/>
                <w:szCs w:val="24"/>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6" w:hRule="atLeast"/>
          <w:jc w:val="center"/>
        </w:trPr>
        <w:tc>
          <w:tcPr>
            <w:tcW w:w="0" w:type="auto"/>
            <w:noWrap w:val="0"/>
            <w:tcMar>
              <w:top w:w="0" w:type="dxa"/>
              <w:left w:w="108" w:type="dxa"/>
              <w:bottom w:w="0" w:type="dxa"/>
              <w:right w:w="108" w:type="dxa"/>
            </w:tcMar>
            <w:vAlign w:val="center"/>
          </w:tcPr>
          <w:p>
            <w:pPr>
              <w:widowControl/>
              <w:spacing w:before="180" w:after="180"/>
              <w:ind w:firstLine="199" w:firstLineChars="83"/>
              <w:jc w:val="center"/>
              <w:rPr>
                <w:rFonts w:ascii="仿宋" w:hAnsi="仿宋" w:eastAsia="仿宋" w:cs="宋体"/>
                <w:kern w:val="0"/>
                <w:sz w:val="24"/>
                <w:szCs w:val="24"/>
              </w:rPr>
            </w:pPr>
            <w:r>
              <w:rPr>
                <w:rFonts w:ascii="仿宋" w:hAnsi="仿宋" w:eastAsia="仿宋"/>
                <w:kern w:val="0"/>
                <w:sz w:val="24"/>
                <w:szCs w:val="24"/>
              </w:rPr>
              <w:t>1</w:t>
            </w:r>
          </w:p>
        </w:tc>
        <w:tc>
          <w:tcPr>
            <w:tcW w:w="0" w:type="auto"/>
            <w:vMerge w:val="restart"/>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ascii="仿宋" w:hAnsi="仿宋" w:eastAsia="仿宋"/>
                <w:b/>
                <w:bCs/>
                <w:kern w:val="0"/>
                <w:sz w:val="24"/>
                <w:szCs w:val="24"/>
              </w:rPr>
              <w:t>10</w:t>
            </w:r>
          </w:p>
        </w:tc>
        <w:tc>
          <w:tcPr>
            <w:tcW w:w="1355" w:type="dxa"/>
            <w:vMerge w:val="restart"/>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质量安全管理</w:t>
            </w:r>
          </w:p>
          <w:p>
            <w:pPr>
              <w:widowControl/>
              <w:spacing w:before="180" w:after="180"/>
              <w:jc w:val="left"/>
              <w:rPr>
                <w:rFonts w:ascii="仿宋" w:hAnsi="仿宋" w:eastAsia="仿宋" w:cs="宋体"/>
                <w:kern w:val="0"/>
                <w:sz w:val="24"/>
                <w:szCs w:val="24"/>
              </w:rPr>
            </w:pPr>
            <w:r>
              <w:rPr>
                <w:rFonts w:hint="eastAsia" w:ascii="仿宋" w:hAnsi="仿宋" w:eastAsia="仿宋"/>
                <w:kern w:val="0"/>
                <w:sz w:val="24"/>
                <w:szCs w:val="24"/>
              </w:rPr>
              <w:t xml:space="preserve">  4</w:t>
            </w:r>
            <w:r>
              <w:rPr>
                <w:rFonts w:hint="eastAsia" w:ascii="仿宋" w:hAnsi="仿宋" w:eastAsia="仿宋" w:cs="宋体"/>
                <w:kern w:val="0"/>
                <w:sz w:val="24"/>
                <w:szCs w:val="24"/>
              </w:rPr>
              <w:t>分</w:t>
            </w:r>
          </w:p>
        </w:tc>
        <w:tc>
          <w:tcPr>
            <w:tcW w:w="5658"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项目获得益阳市优质工程，计</w:t>
            </w:r>
            <w:r>
              <w:rPr>
                <w:rFonts w:ascii="仿宋" w:hAnsi="仿宋" w:eastAsia="仿宋"/>
                <w:kern w:val="0"/>
                <w:sz w:val="24"/>
                <w:szCs w:val="24"/>
              </w:rPr>
              <w:t>0.</w:t>
            </w:r>
            <w:r>
              <w:rPr>
                <w:rFonts w:hint="eastAsia" w:ascii="仿宋" w:hAnsi="仿宋" w:eastAsia="仿宋"/>
                <w:kern w:val="0"/>
                <w:sz w:val="24"/>
                <w:szCs w:val="24"/>
              </w:rPr>
              <w:t>5</w:t>
            </w:r>
            <w:r>
              <w:rPr>
                <w:rFonts w:hint="eastAsia" w:ascii="仿宋" w:hAnsi="仿宋" w:eastAsia="仿宋" w:cs="宋体"/>
                <w:kern w:val="0"/>
                <w:sz w:val="24"/>
                <w:szCs w:val="24"/>
              </w:rPr>
              <w:t>分</w:t>
            </w:r>
            <w:r>
              <w:rPr>
                <w:rFonts w:ascii="仿宋" w:hAnsi="仿宋" w:eastAsia="仿宋"/>
                <w:kern w:val="0"/>
                <w:sz w:val="24"/>
                <w:szCs w:val="24"/>
              </w:rPr>
              <w:t>∕</w:t>
            </w:r>
            <w:r>
              <w:rPr>
                <w:rFonts w:hint="eastAsia" w:ascii="仿宋" w:hAnsi="仿宋" w:eastAsia="仿宋" w:cs="宋体"/>
                <w:kern w:val="0"/>
                <w:sz w:val="24"/>
                <w:szCs w:val="24"/>
              </w:rPr>
              <w:t>项。</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hint="eastAsia" w:ascii="仿宋" w:hAnsi="仿宋" w:eastAsia="仿宋"/>
                <w:kern w:val="0"/>
                <w:sz w:val="24"/>
                <w:szCs w:val="24"/>
              </w:rPr>
              <w:t>2</w:t>
            </w:r>
          </w:p>
        </w:tc>
        <w:tc>
          <w:tcPr>
            <w:tcW w:w="0" w:type="auto"/>
            <w:vMerge w:val="restart"/>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hint="eastAsia" w:ascii="仿宋" w:hAnsi="仿宋" w:eastAsia="仿宋" w:cs="宋体"/>
                <w:kern w:val="0"/>
                <w:sz w:val="24"/>
                <w:szCs w:val="24"/>
              </w:rPr>
              <w:t>加分制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2" w:hRule="atLeast"/>
          <w:jc w:val="center"/>
        </w:trPr>
        <w:tc>
          <w:tcPr>
            <w:tcW w:w="0" w:type="auto"/>
            <w:noWrap w:val="0"/>
            <w:tcMar>
              <w:top w:w="0" w:type="dxa"/>
              <w:left w:w="108" w:type="dxa"/>
              <w:bottom w:w="0" w:type="dxa"/>
              <w:right w:w="108" w:type="dxa"/>
            </w:tcMar>
            <w:vAlign w:val="center"/>
          </w:tcPr>
          <w:p>
            <w:pPr>
              <w:widowControl/>
              <w:spacing w:before="180" w:after="180"/>
              <w:ind w:firstLine="199" w:firstLineChars="83"/>
              <w:jc w:val="center"/>
              <w:rPr>
                <w:rFonts w:ascii="仿宋" w:hAnsi="仿宋" w:eastAsia="仿宋" w:cs="宋体"/>
                <w:kern w:val="0"/>
                <w:sz w:val="24"/>
                <w:szCs w:val="24"/>
              </w:rPr>
            </w:pPr>
            <w:r>
              <w:rPr>
                <w:rFonts w:hint="eastAsia" w:ascii="仿宋" w:hAnsi="仿宋" w:eastAsia="仿宋"/>
                <w:kern w:val="0"/>
                <w:sz w:val="24"/>
                <w:szCs w:val="24"/>
              </w:rPr>
              <w:t>2</w:t>
            </w:r>
          </w:p>
        </w:tc>
        <w:tc>
          <w:tcPr>
            <w:tcW w:w="0" w:type="auto"/>
            <w:vMerge w:val="continue"/>
            <w:noWrap w:val="0"/>
            <w:tcMar>
              <w:top w:w="0" w:type="dxa"/>
              <w:left w:w="108" w:type="dxa"/>
              <w:bottom w:w="0" w:type="dxa"/>
              <w:right w:w="108" w:type="dxa"/>
            </w:tcMar>
            <w:vAlign w:val="center"/>
          </w:tcPr>
          <w:p>
            <w:pPr>
              <w:widowControl/>
              <w:ind w:firstLine="480"/>
              <w:jc w:val="center"/>
              <w:rPr>
                <w:rFonts w:ascii="仿宋" w:hAnsi="仿宋" w:eastAsia="仿宋" w:cs="宋体"/>
                <w:kern w:val="0"/>
                <w:sz w:val="24"/>
                <w:szCs w:val="24"/>
              </w:rPr>
            </w:pPr>
          </w:p>
        </w:tc>
        <w:tc>
          <w:tcPr>
            <w:tcW w:w="1355" w:type="dxa"/>
            <w:vMerge w:val="continue"/>
            <w:noWrap w:val="0"/>
            <w:tcMar>
              <w:top w:w="0" w:type="dxa"/>
              <w:left w:w="108" w:type="dxa"/>
              <w:bottom w:w="0" w:type="dxa"/>
              <w:right w:w="108" w:type="dxa"/>
            </w:tcMar>
            <w:vAlign w:val="center"/>
          </w:tcPr>
          <w:p>
            <w:pPr>
              <w:widowControl/>
              <w:ind w:firstLine="480"/>
              <w:jc w:val="left"/>
              <w:rPr>
                <w:rFonts w:ascii="仿宋" w:hAnsi="仿宋" w:eastAsia="仿宋" w:cs="宋体"/>
                <w:kern w:val="0"/>
                <w:sz w:val="24"/>
                <w:szCs w:val="24"/>
              </w:rPr>
            </w:pPr>
          </w:p>
        </w:tc>
        <w:tc>
          <w:tcPr>
            <w:tcW w:w="5658"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项目获得建筑施工质量管理标准化季度考评优良工地，计</w:t>
            </w:r>
            <w:r>
              <w:rPr>
                <w:rFonts w:ascii="仿宋" w:hAnsi="仿宋" w:eastAsia="仿宋"/>
                <w:kern w:val="0"/>
                <w:sz w:val="24"/>
                <w:szCs w:val="24"/>
              </w:rPr>
              <w:t>0.</w:t>
            </w:r>
            <w:r>
              <w:rPr>
                <w:rFonts w:hint="eastAsia" w:ascii="仿宋" w:hAnsi="仿宋" w:eastAsia="仿宋"/>
                <w:kern w:val="0"/>
                <w:sz w:val="24"/>
                <w:szCs w:val="24"/>
              </w:rPr>
              <w:t>5</w:t>
            </w:r>
            <w:r>
              <w:rPr>
                <w:rFonts w:hint="eastAsia" w:ascii="仿宋" w:hAnsi="仿宋" w:eastAsia="仿宋" w:cs="宋体"/>
                <w:kern w:val="0"/>
                <w:sz w:val="24"/>
                <w:szCs w:val="24"/>
              </w:rPr>
              <w:t>分</w:t>
            </w:r>
            <w:r>
              <w:rPr>
                <w:rFonts w:ascii="仿宋" w:hAnsi="仿宋" w:eastAsia="仿宋"/>
                <w:kern w:val="0"/>
                <w:sz w:val="24"/>
                <w:szCs w:val="24"/>
              </w:rPr>
              <w:t>∕</w:t>
            </w:r>
            <w:r>
              <w:rPr>
                <w:rFonts w:hint="eastAsia" w:ascii="仿宋" w:hAnsi="仿宋" w:eastAsia="仿宋" w:cs="宋体"/>
                <w:kern w:val="0"/>
                <w:sz w:val="24"/>
                <w:szCs w:val="24"/>
              </w:rPr>
              <w:t>项。</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hint="eastAsia" w:ascii="仿宋" w:hAnsi="仿宋" w:eastAsia="仿宋"/>
                <w:kern w:val="0"/>
                <w:sz w:val="24"/>
                <w:szCs w:val="24"/>
              </w:rPr>
              <w:t>1</w:t>
            </w:r>
          </w:p>
        </w:tc>
        <w:tc>
          <w:tcPr>
            <w:tcW w:w="0" w:type="auto"/>
            <w:vMerge w:val="continue"/>
            <w:noWrap w:val="0"/>
            <w:vAlign w:val="center"/>
          </w:tcPr>
          <w:p>
            <w:pPr>
              <w:widowControl/>
              <w:ind w:firstLine="480"/>
              <w:jc w:val="center"/>
              <w:rPr>
                <w:rFonts w:ascii="仿宋" w:hAnsi="仿宋" w:eastAsia="仿宋"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jc w:val="center"/>
        </w:trPr>
        <w:tc>
          <w:tcPr>
            <w:tcW w:w="0" w:type="auto"/>
            <w:noWrap w:val="0"/>
            <w:tcMar>
              <w:top w:w="0" w:type="dxa"/>
              <w:left w:w="108" w:type="dxa"/>
              <w:bottom w:w="0" w:type="dxa"/>
              <w:right w:w="108" w:type="dxa"/>
            </w:tcMar>
            <w:vAlign w:val="center"/>
          </w:tcPr>
          <w:p>
            <w:pPr>
              <w:widowControl/>
              <w:spacing w:before="180" w:after="180"/>
              <w:ind w:firstLine="199" w:firstLineChars="83"/>
              <w:jc w:val="center"/>
              <w:rPr>
                <w:rFonts w:ascii="仿宋" w:hAnsi="仿宋" w:eastAsia="仿宋" w:cs="宋体"/>
                <w:kern w:val="0"/>
                <w:sz w:val="24"/>
                <w:szCs w:val="24"/>
              </w:rPr>
            </w:pPr>
            <w:r>
              <w:rPr>
                <w:rFonts w:hint="eastAsia" w:ascii="仿宋" w:hAnsi="仿宋" w:eastAsia="仿宋"/>
                <w:kern w:val="0"/>
                <w:sz w:val="24"/>
                <w:szCs w:val="24"/>
              </w:rPr>
              <w:t>3</w:t>
            </w:r>
          </w:p>
        </w:tc>
        <w:tc>
          <w:tcPr>
            <w:tcW w:w="0" w:type="auto"/>
            <w:vMerge w:val="continue"/>
            <w:noWrap w:val="0"/>
            <w:tcMar>
              <w:top w:w="0" w:type="dxa"/>
              <w:left w:w="108" w:type="dxa"/>
              <w:bottom w:w="0" w:type="dxa"/>
              <w:right w:w="108" w:type="dxa"/>
            </w:tcMar>
            <w:vAlign w:val="center"/>
          </w:tcPr>
          <w:p>
            <w:pPr>
              <w:widowControl/>
              <w:ind w:firstLine="480"/>
              <w:jc w:val="center"/>
              <w:rPr>
                <w:rFonts w:ascii="仿宋" w:hAnsi="仿宋" w:eastAsia="仿宋" w:cs="宋体"/>
                <w:kern w:val="0"/>
                <w:sz w:val="24"/>
                <w:szCs w:val="24"/>
              </w:rPr>
            </w:pPr>
          </w:p>
        </w:tc>
        <w:tc>
          <w:tcPr>
            <w:tcW w:w="1355" w:type="dxa"/>
            <w:vMerge w:val="continue"/>
            <w:noWrap w:val="0"/>
            <w:tcMar>
              <w:top w:w="0" w:type="dxa"/>
              <w:left w:w="108" w:type="dxa"/>
              <w:bottom w:w="0" w:type="dxa"/>
              <w:right w:w="108" w:type="dxa"/>
            </w:tcMar>
            <w:vAlign w:val="center"/>
          </w:tcPr>
          <w:p>
            <w:pPr>
              <w:widowControl/>
              <w:ind w:firstLine="480"/>
              <w:jc w:val="left"/>
              <w:rPr>
                <w:rFonts w:ascii="仿宋" w:hAnsi="仿宋" w:eastAsia="仿宋" w:cs="宋体"/>
                <w:kern w:val="0"/>
                <w:sz w:val="24"/>
                <w:szCs w:val="24"/>
              </w:rPr>
            </w:pPr>
          </w:p>
        </w:tc>
        <w:tc>
          <w:tcPr>
            <w:tcW w:w="5658"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项目获得建筑施工安全生产标准化季度考评优良工地，计</w:t>
            </w:r>
            <w:r>
              <w:rPr>
                <w:rFonts w:ascii="仿宋" w:hAnsi="仿宋" w:eastAsia="仿宋"/>
                <w:kern w:val="0"/>
                <w:sz w:val="24"/>
                <w:szCs w:val="24"/>
              </w:rPr>
              <w:t>0.</w:t>
            </w:r>
            <w:r>
              <w:rPr>
                <w:rFonts w:hint="eastAsia" w:ascii="仿宋" w:hAnsi="仿宋" w:eastAsia="仿宋"/>
                <w:kern w:val="0"/>
                <w:sz w:val="24"/>
                <w:szCs w:val="24"/>
              </w:rPr>
              <w:t>5</w:t>
            </w:r>
            <w:r>
              <w:rPr>
                <w:rFonts w:hint="eastAsia" w:ascii="仿宋" w:hAnsi="仿宋" w:eastAsia="仿宋" w:cs="宋体"/>
                <w:kern w:val="0"/>
                <w:sz w:val="24"/>
                <w:szCs w:val="24"/>
              </w:rPr>
              <w:t>分</w:t>
            </w:r>
            <w:r>
              <w:rPr>
                <w:rFonts w:ascii="仿宋" w:hAnsi="仿宋" w:eastAsia="仿宋"/>
                <w:kern w:val="0"/>
                <w:sz w:val="24"/>
                <w:szCs w:val="24"/>
              </w:rPr>
              <w:t>∕</w:t>
            </w:r>
            <w:r>
              <w:rPr>
                <w:rFonts w:hint="eastAsia" w:ascii="仿宋" w:hAnsi="仿宋" w:eastAsia="仿宋" w:cs="宋体"/>
                <w:kern w:val="0"/>
                <w:sz w:val="24"/>
                <w:szCs w:val="24"/>
              </w:rPr>
              <w:t>项。</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hint="eastAsia" w:ascii="仿宋" w:hAnsi="仿宋" w:eastAsia="仿宋"/>
                <w:kern w:val="0"/>
                <w:sz w:val="24"/>
                <w:szCs w:val="24"/>
              </w:rPr>
              <w:t>1</w:t>
            </w:r>
          </w:p>
        </w:tc>
        <w:tc>
          <w:tcPr>
            <w:tcW w:w="0" w:type="auto"/>
            <w:vMerge w:val="continue"/>
            <w:noWrap w:val="0"/>
            <w:vAlign w:val="center"/>
          </w:tcPr>
          <w:p>
            <w:pPr>
              <w:widowControl/>
              <w:ind w:firstLine="480"/>
              <w:jc w:val="center"/>
              <w:rPr>
                <w:rFonts w:ascii="仿宋" w:hAnsi="仿宋" w:eastAsia="仿宋"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1" w:hRule="atLeast"/>
          <w:jc w:val="center"/>
        </w:trPr>
        <w:tc>
          <w:tcPr>
            <w:tcW w:w="0" w:type="auto"/>
            <w:noWrap w:val="0"/>
            <w:tcMar>
              <w:top w:w="0" w:type="dxa"/>
              <w:left w:w="108" w:type="dxa"/>
              <w:bottom w:w="0" w:type="dxa"/>
              <w:right w:w="108" w:type="dxa"/>
            </w:tcMar>
            <w:vAlign w:val="center"/>
          </w:tcPr>
          <w:p>
            <w:pPr>
              <w:widowControl/>
              <w:spacing w:before="180" w:after="180"/>
              <w:ind w:firstLine="199" w:firstLineChars="83"/>
              <w:jc w:val="center"/>
              <w:rPr>
                <w:rFonts w:ascii="仿宋" w:hAnsi="仿宋" w:eastAsia="仿宋"/>
                <w:kern w:val="0"/>
                <w:sz w:val="24"/>
                <w:szCs w:val="24"/>
              </w:rPr>
            </w:pPr>
            <w:r>
              <w:rPr>
                <w:rFonts w:hint="eastAsia" w:ascii="仿宋" w:hAnsi="仿宋" w:eastAsia="仿宋"/>
                <w:kern w:val="0"/>
                <w:sz w:val="24"/>
                <w:szCs w:val="24"/>
              </w:rPr>
              <w:t>4</w:t>
            </w:r>
          </w:p>
        </w:tc>
        <w:tc>
          <w:tcPr>
            <w:tcW w:w="0" w:type="auto"/>
            <w:vMerge w:val="continue"/>
            <w:noWrap w:val="0"/>
            <w:tcMar>
              <w:top w:w="0" w:type="dxa"/>
              <w:left w:w="108" w:type="dxa"/>
              <w:bottom w:w="0" w:type="dxa"/>
              <w:right w:w="108" w:type="dxa"/>
            </w:tcMar>
            <w:vAlign w:val="center"/>
          </w:tcPr>
          <w:p>
            <w:pPr>
              <w:widowControl/>
              <w:ind w:firstLine="480"/>
              <w:jc w:val="center"/>
              <w:rPr>
                <w:rFonts w:ascii="仿宋" w:hAnsi="仿宋" w:eastAsia="仿宋" w:cs="宋体"/>
                <w:kern w:val="0"/>
                <w:sz w:val="24"/>
                <w:szCs w:val="24"/>
              </w:rPr>
            </w:pPr>
          </w:p>
        </w:tc>
        <w:tc>
          <w:tcPr>
            <w:tcW w:w="1355"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应急救灾、捐资助学、扶贫帮困</w:t>
            </w:r>
          </w:p>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 xml:space="preserve">  3.5分</w:t>
            </w:r>
          </w:p>
        </w:tc>
        <w:tc>
          <w:tcPr>
            <w:tcW w:w="5658"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在益阳市行政区域内，开展应急救灾、捐资助学、扶贫帮困等社会义务的，每项计基础分1分；在履行社会义务折合价值人民币3万元以上的，每增加3万元加0.5分。</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hint="eastAsia" w:ascii="仿宋" w:hAnsi="仿宋" w:eastAsia="仿宋" w:cs="宋体"/>
                <w:kern w:val="0"/>
                <w:sz w:val="24"/>
                <w:szCs w:val="24"/>
              </w:rPr>
              <w:t>3.5</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hint="eastAsia" w:ascii="仿宋" w:hAnsi="仿宋" w:eastAsia="仿宋" w:cs="宋体"/>
                <w:kern w:val="0"/>
                <w:sz w:val="24"/>
                <w:szCs w:val="24"/>
              </w:rPr>
              <w:t>加分制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4" w:hRule="atLeast"/>
          <w:jc w:val="center"/>
        </w:trPr>
        <w:tc>
          <w:tcPr>
            <w:tcW w:w="0" w:type="auto"/>
            <w:noWrap w:val="0"/>
            <w:tcMar>
              <w:top w:w="0" w:type="dxa"/>
              <w:left w:w="108" w:type="dxa"/>
              <w:bottom w:w="0" w:type="dxa"/>
              <w:right w:w="108" w:type="dxa"/>
            </w:tcMar>
            <w:vAlign w:val="center"/>
          </w:tcPr>
          <w:p>
            <w:pPr>
              <w:widowControl/>
              <w:spacing w:before="180" w:after="180"/>
              <w:ind w:firstLine="199" w:firstLineChars="83"/>
              <w:jc w:val="center"/>
              <w:rPr>
                <w:rFonts w:ascii="仿宋" w:hAnsi="仿宋" w:eastAsia="仿宋"/>
                <w:kern w:val="0"/>
                <w:sz w:val="24"/>
                <w:szCs w:val="24"/>
              </w:rPr>
            </w:pPr>
            <w:r>
              <w:rPr>
                <w:rFonts w:hint="eastAsia" w:ascii="仿宋" w:hAnsi="仿宋" w:eastAsia="仿宋"/>
                <w:kern w:val="0"/>
                <w:sz w:val="24"/>
                <w:szCs w:val="24"/>
              </w:rPr>
              <w:t>5</w:t>
            </w:r>
          </w:p>
        </w:tc>
        <w:tc>
          <w:tcPr>
            <w:tcW w:w="0" w:type="auto"/>
            <w:vMerge w:val="continue"/>
            <w:noWrap w:val="0"/>
            <w:tcMar>
              <w:top w:w="0" w:type="dxa"/>
              <w:left w:w="108" w:type="dxa"/>
              <w:bottom w:w="0" w:type="dxa"/>
              <w:right w:w="108" w:type="dxa"/>
            </w:tcMar>
            <w:vAlign w:val="center"/>
          </w:tcPr>
          <w:p>
            <w:pPr>
              <w:widowControl/>
              <w:ind w:firstLine="480"/>
              <w:jc w:val="center"/>
              <w:rPr>
                <w:rFonts w:ascii="仿宋" w:hAnsi="仿宋" w:eastAsia="仿宋" w:cs="宋体"/>
                <w:kern w:val="0"/>
                <w:sz w:val="24"/>
                <w:szCs w:val="24"/>
              </w:rPr>
            </w:pPr>
          </w:p>
        </w:tc>
        <w:tc>
          <w:tcPr>
            <w:tcW w:w="1355" w:type="dxa"/>
            <w:vMerge w:val="restart"/>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投标、履约守信情况</w:t>
            </w:r>
          </w:p>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 xml:space="preserve">  2分</w:t>
            </w:r>
          </w:p>
        </w:tc>
        <w:tc>
          <w:tcPr>
            <w:tcW w:w="5658"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在投标活动中，遵守相关法律法规、政策文件。</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kern w:val="0"/>
                <w:sz w:val="24"/>
                <w:szCs w:val="24"/>
              </w:rPr>
            </w:pPr>
            <w:r>
              <w:rPr>
                <w:rFonts w:hint="eastAsia" w:ascii="仿宋" w:hAnsi="仿宋" w:eastAsia="仿宋"/>
                <w:kern w:val="0"/>
                <w:sz w:val="24"/>
                <w:szCs w:val="24"/>
              </w:rPr>
              <w:t>1</w:t>
            </w:r>
          </w:p>
        </w:tc>
        <w:tc>
          <w:tcPr>
            <w:tcW w:w="0" w:type="auto"/>
            <w:vMerge w:val="restart"/>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hint="eastAsia" w:ascii="仿宋" w:hAnsi="仿宋" w:eastAsia="仿宋" w:cs="宋体"/>
                <w:kern w:val="0"/>
                <w:sz w:val="24"/>
                <w:szCs w:val="24"/>
              </w:rPr>
              <w:t>加分制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6" w:hRule="atLeast"/>
          <w:jc w:val="center"/>
        </w:trPr>
        <w:tc>
          <w:tcPr>
            <w:tcW w:w="0" w:type="auto"/>
            <w:noWrap w:val="0"/>
            <w:tcMar>
              <w:top w:w="0" w:type="dxa"/>
              <w:left w:w="108" w:type="dxa"/>
              <w:bottom w:w="0" w:type="dxa"/>
              <w:right w:w="108" w:type="dxa"/>
            </w:tcMar>
            <w:vAlign w:val="center"/>
          </w:tcPr>
          <w:p>
            <w:pPr>
              <w:spacing w:before="180" w:after="180"/>
              <w:ind w:firstLine="199" w:firstLineChars="83"/>
              <w:jc w:val="center"/>
              <w:rPr>
                <w:rFonts w:ascii="仿宋" w:hAnsi="仿宋" w:eastAsia="仿宋"/>
                <w:kern w:val="0"/>
                <w:sz w:val="24"/>
                <w:szCs w:val="24"/>
              </w:rPr>
            </w:pPr>
            <w:r>
              <w:rPr>
                <w:rFonts w:hint="eastAsia" w:ascii="仿宋" w:hAnsi="仿宋" w:eastAsia="仿宋"/>
                <w:kern w:val="0"/>
                <w:sz w:val="24"/>
                <w:szCs w:val="24"/>
              </w:rPr>
              <w:t>6</w:t>
            </w:r>
          </w:p>
        </w:tc>
        <w:tc>
          <w:tcPr>
            <w:tcW w:w="0" w:type="auto"/>
            <w:vMerge w:val="continue"/>
            <w:noWrap w:val="0"/>
            <w:tcMar>
              <w:top w:w="0" w:type="dxa"/>
              <w:left w:w="108" w:type="dxa"/>
              <w:bottom w:w="0" w:type="dxa"/>
              <w:right w:w="108" w:type="dxa"/>
            </w:tcMar>
            <w:vAlign w:val="center"/>
          </w:tcPr>
          <w:p>
            <w:pPr>
              <w:widowControl/>
              <w:ind w:firstLine="480"/>
              <w:jc w:val="center"/>
              <w:rPr>
                <w:rFonts w:ascii="仿宋" w:hAnsi="仿宋" w:eastAsia="仿宋" w:cs="宋体"/>
                <w:kern w:val="0"/>
                <w:sz w:val="24"/>
                <w:szCs w:val="24"/>
              </w:rPr>
            </w:pPr>
          </w:p>
        </w:tc>
        <w:tc>
          <w:tcPr>
            <w:tcW w:w="1355" w:type="dxa"/>
            <w:vMerge w:val="continue"/>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p>
        </w:tc>
        <w:tc>
          <w:tcPr>
            <w:tcW w:w="5658"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企业在中标后，按照投标文件中的约定、承诺完成建设。</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kern w:val="0"/>
                <w:sz w:val="24"/>
                <w:szCs w:val="24"/>
              </w:rPr>
            </w:pPr>
            <w:r>
              <w:rPr>
                <w:rFonts w:hint="eastAsia" w:ascii="仿宋" w:hAnsi="仿宋" w:eastAsia="仿宋"/>
                <w:kern w:val="0"/>
                <w:sz w:val="24"/>
                <w:szCs w:val="24"/>
              </w:rPr>
              <w:t>1</w:t>
            </w:r>
          </w:p>
          <w:p>
            <w:pPr>
              <w:spacing w:before="180" w:after="180"/>
              <w:ind w:firstLine="480"/>
              <w:jc w:val="center"/>
              <w:rPr>
                <w:rFonts w:ascii="仿宋" w:hAnsi="仿宋" w:eastAsia="仿宋"/>
                <w:kern w:val="0"/>
                <w:sz w:val="24"/>
                <w:szCs w:val="24"/>
              </w:rPr>
            </w:pPr>
            <w:r>
              <w:rPr>
                <w:rFonts w:hint="eastAsia" w:ascii="仿宋" w:hAnsi="仿宋" w:eastAsia="仿宋"/>
                <w:kern w:val="0"/>
                <w:sz w:val="24"/>
                <w:szCs w:val="24"/>
              </w:rPr>
              <w:t>1</w:t>
            </w:r>
          </w:p>
        </w:tc>
        <w:tc>
          <w:tcPr>
            <w:tcW w:w="0" w:type="auto"/>
            <w:vMerge w:val="continue"/>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0" w:hRule="atLeast"/>
          <w:jc w:val="center"/>
        </w:trPr>
        <w:tc>
          <w:tcPr>
            <w:tcW w:w="0" w:type="auto"/>
            <w:noWrap w:val="0"/>
            <w:tcMar>
              <w:top w:w="0" w:type="dxa"/>
              <w:left w:w="108" w:type="dxa"/>
              <w:bottom w:w="0" w:type="dxa"/>
              <w:right w:w="108" w:type="dxa"/>
            </w:tcMar>
            <w:vAlign w:val="center"/>
          </w:tcPr>
          <w:p>
            <w:pPr>
              <w:widowControl/>
              <w:spacing w:before="180" w:after="180"/>
              <w:ind w:firstLine="199" w:firstLineChars="83"/>
              <w:jc w:val="center"/>
              <w:rPr>
                <w:rFonts w:ascii="仿宋" w:hAnsi="仿宋" w:eastAsia="仿宋" w:cs="宋体"/>
                <w:kern w:val="0"/>
                <w:sz w:val="24"/>
                <w:szCs w:val="24"/>
              </w:rPr>
            </w:pPr>
            <w:r>
              <w:rPr>
                <w:rFonts w:hint="eastAsia" w:ascii="仿宋" w:hAnsi="仿宋" w:eastAsia="仿宋"/>
                <w:kern w:val="0"/>
                <w:sz w:val="24"/>
                <w:szCs w:val="24"/>
              </w:rPr>
              <w:t>7</w:t>
            </w:r>
          </w:p>
        </w:tc>
        <w:tc>
          <w:tcPr>
            <w:tcW w:w="0" w:type="auto"/>
            <w:vMerge w:val="continue"/>
            <w:noWrap w:val="0"/>
            <w:tcMar>
              <w:top w:w="0" w:type="dxa"/>
              <w:left w:w="108" w:type="dxa"/>
              <w:bottom w:w="0" w:type="dxa"/>
              <w:right w:w="108" w:type="dxa"/>
            </w:tcMar>
            <w:vAlign w:val="center"/>
          </w:tcPr>
          <w:p>
            <w:pPr>
              <w:widowControl/>
              <w:ind w:firstLine="480"/>
              <w:jc w:val="center"/>
              <w:rPr>
                <w:rFonts w:ascii="仿宋" w:hAnsi="仿宋" w:eastAsia="仿宋" w:cs="宋体"/>
                <w:kern w:val="0"/>
                <w:sz w:val="24"/>
                <w:szCs w:val="24"/>
              </w:rPr>
            </w:pPr>
          </w:p>
        </w:tc>
        <w:tc>
          <w:tcPr>
            <w:tcW w:w="1355" w:type="dxa"/>
            <w:vMerge w:val="restart"/>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拓展市外市场</w:t>
            </w:r>
          </w:p>
          <w:p>
            <w:pPr>
              <w:widowControl/>
              <w:spacing w:before="180" w:after="180"/>
              <w:jc w:val="left"/>
              <w:rPr>
                <w:rFonts w:ascii="仿宋" w:hAnsi="仿宋" w:eastAsia="仿宋" w:cs="宋体"/>
                <w:kern w:val="0"/>
                <w:sz w:val="24"/>
                <w:szCs w:val="24"/>
              </w:rPr>
            </w:pPr>
            <w:r>
              <w:rPr>
                <w:rFonts w:hint="eastAsia" w:ascii="仿宋" w:hAnsi="仿宋" w:eastAsia="仿宋"/>
                <w:kern w:val="0"/>
                <w:sz w:val="24"/>
                <w:szCs w:val="24"/>
              </w:rPr>
              <w:t xml:space="preserve">  </w:t>
            </w:r>
            <w:r>
              <w:rPr>
                <w:rFonts w:ascii="仿宋" w:hAnsi="仿宋" w:eastAsia="仿宋"/>
                <w:kern w:val="0"/>
                <w:sz w:val="24"/>
                <w:szCs w:val="24"/>
              </w:rPr>
              <w:t>0.5</w:t>
            </w:r>
            <w:r>
              <w:rPr>
                <w:rFonts w:hint="eastAsia" w:ascii="仿宋" w:hAnsi="仿宋" w:eastAsia="仿宋" w:cs="宋体"/>
                <w:kern w:val="0"/>
                <w:sz w:val="24"/>
                <w:szCs w:val="24"/>
              </w:rPr>
              <w:t>分</w:t>
            </w:r>
          </w:p>
        </w:tc>
        <w:tc>
          <w:tcPr>
            <w:tcW w:w="5658"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企业年度外拓产值</w:t>
            </w:r>
            <w:r>
              <w:rPr>
                <w:rFonts w:ascii="仿宋" w:hAnsi="仿宋" w:eastAsia="仿宋"/>
                <w:kern w:val="0"/>
                <w:sz w:val="24"/>
                <w:szCs w:val="24"/>
              </w:rPr>
              <w:t>2</w:t>
            </w:r>
            <w:r>
              <w:rPr>
                <w:rFonts w:hint="eastAsia" w:ascii="仿宋" w:hAnsi="仿宋" w:eastAsia="仿宋" w:cs="宋体"/>
                <w:kern w:val="0"/>
                <w:sz w:val="24"/>
                <w:szCs w:val="24"/>
              </w:rPr>
              <w:t>千万元以上，计</w:t>
            </w:r>
            <w:r>
              <w:rPr>
                <w:rFonts w:ascii="仿宋" w:hAnsi="仿宋" w:eastAsia="仿宋"/>
                <w:kern w:val="0"/>
                <w:sz w:val="24"/>
                <w:szCs w:val="24"/>
              </w:rPr>
              <w:t>0.5</w:t>
            </w:r>
            <w:r>
              <w:rPr>
                <w:rFonts w:hint="eastAsia" w:ascii="仿宋" w:hAnsi="仿宋" w:eastAsia="仿宋" w:cs="宋体"/>
                <w:kern w:val="0"/>
                <w:sz w:val="24"/>
                <w:szCs w:val="24"/>
              </w:rPr>
              <w:t>分。</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ascii="仿宋" w:hAnsi="仿宋" w:eastAsia="仿宋"/>
                <w:kern w:val="0"/>
                <w:sz w:val="24"/>
                <w:szCs w:val="24"/>
              </w:rPr>
              <w:t>0.5</w:t>
            </w:r>
          </w:p>
        </w:tc>
        <w:tc>
          <w:tcPr>
            <w:tcW w:w="0" w:type="auto"/>
            <w:vMerge w:val="restart"/>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hint="eastAsia" w:ascii="仿宋" w:hAnsi="仿宋" w:eastAsia="仿宋" w:cs="宋体"/>
                <w:kern w:val="0"/>
                <w:sz w:val="24"/>
                <w:szCs w:val="24"/>
              </w:rPr>
              <w:t>加分制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5" w:hRule="atLeast"/>
          <w:jc w:val="center"/>
        </w:trPr>
        <w:tc>
          <w:tcPr>
            <w:tcW w:w="0" w:type="auto"/>
            <w:noWrap w:val="0"/>
            <w:tcMar>
              <w:top w:w="0" w:type="dxa"/>
              <w:left w:w="108" w:type="dxa"/>
              <w:bottom w:w="0" w:type="dxa"/>
              <w:right w:w="108" w:type="dxa"/>
            </w:tcMar>
            <w:vAlign w:val="center"/>
          </w:tcPr>
          <w:p>
            <w:pPr>
              <w:widowControl/>
              <w:spacing w:before="180" w:after="180"/>
              <w:ind w:firstLine="199" w:firstLineChars="83"/>
              <w:jc w:val="center"/>
              <w:rPr>
                <w:rFonts w:ascii="仿宋" w:hAnsi="仿宋" w:eastAsia="仿宋" w:cs="宋体"/>
                <w:kern w:val="0"/>
                <w:sz w:val="24"/>
                <w:szCs w:val="24"/>
              </w:rPr>
            </w:pPr>
            <w:r>
              <w:rPr>
                <w:rFonts w:hint="eastAsia" w:ascii="仿宋" w:hAnsi="仿宋" w:eastAsia="仿宋"/>
                <w:kern w:val="0"/>
                <w:sz w:val="24"/>
                <w:szCs w:val="24"/>
              </w:rPr>
              <w:t>8</w:t>
            </w:r>
          </w:p>
        </w:tc>
        <w:tc>
          <w:tcPr>
            <w:tcW w:w="0" w:type="auto"/>
            <w:vMerge w:val="continue"/>
            <w:noWrap w:val="0"/>
            <w:tcMar>
              <w:top w:w="0" w:type="dxa"/>
              <w:left w:w="108" w:type="dxa"/>
              <w:bottom w:w="0" w:type="dxa"/>
              <w:right w:w="108" w:type="dxa"/>
            </w:tcMar>
            <w:vAlign w:val="center"/>
          </w:tcPr>
          <w:p>
            <w:pPr>
              <w:widowControl/>
              <w:ind w:firstLine="480"/>
              <w:jc w:val="center"/>
              <w:rPr>
                <w:rFonts w:ascii="仿宋" w:hAnsi="仿宋" w:eastAsia="仿宋" w:cs="宋体"/>
                <w:kern w:val="0"/>
                <w:sz w:val="24"/>
                <w:szCs w:val="24"/>
              </w:rPr>
            </w:pPr>
          </w:p>
        </w:tc>
        <w:tc>
          <w:tcPr>
            <w:tcW w:w="1355" w:type="dxa"/>
            <w:vMerge w:val="continue"/>
            <w:noWrap w:val="0"/>
            <w:tcMar>
              <w:top w:w="0" w:type="dxa"/>
              <w:left w:w="108" w:type="dxa"/>
              <w:bottom w:w="0" w:type="dxa"/>
              <w:right w:w="108" w:type="dxa"/>
            </w:tcMar>
            <w:vAlign w:val="center"/>
          </w:tcPr>
          <w:p>
            <w:pPr>
              <w:widowControl/>
              <w:ind w:firstLine="480"/>
              <w:jc w:val="left"/>
              <w:rPr>
                <w:rFonts w:ascii="仿宋" w:hAnsi="仿宋" w:eastAsia="仿宋" w:cs="宋体"/>
                <w:kern w:val="0"/>
                <w:sz w:val="24"/>
                <w:szCs w:val="24"/>
              </w:rPr>
            </w:pPr>
          </w:p>
        </w:tc>
        <w:tc>
          <w:tcPr>
            <w:tcW w:w="5658"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企业年度外拓产值</w:t>
            </w:r>
            <w:r>
              <w:rPr>
                <w:rFonts w:ascii="仿宋" w:hAnsi="仿宋" w:eastAsia="仿宋"/>
                <w:kern w:val="0"/>
                <w:sz w:val="24"/>
                <w:szCs w:val="24"/>
              </w:rPr>
              <w:t>400</w:t>
            </w:r>
            <w:r>
              <w:rPr>
                <w:rFonts w:hint="eastAsia" w:ascii="仿宋" w:hAnsi="仿宋" w:eastAsia="仿宋" w:cs="宋体"/>
                <w:kern w:val="0"/>
                <w:sz w:val="24"/>
                <w:szCs w:val="24"/>
              </w:rPr>
              <w:t>万至</w:t>
            </w:r>
            <w:r>
              <w:rPr>
                <w:rFonts w:ascii="仿宋" w:hAnsi="仿宋" w:eastAsia="仿宋"/>
                <w:kern w:val="0"/>
                <w:sz w:val="24"/>
                <w:szCs w:val="24"/>
              </w:rPr>
              <w:t>2</w:t>
            </w:r>
            <w:r>
              <w:rPr>
                <w:rFonts w:hint="eastAsia" w:ascii="仿宋" w:hAnsi="仿宋" w:eastAsia="仿宋" w:cs="宋体"/>
                <w:kern w:val="0"/>
                <w:sz w:val="24"/>
                <w:szCs w:val="24"/>
              </w:rPr>
              <w:t>千万元以内，计</w:t>
            </w:r>
            <w:r>
              <w:rPr>
                <w:rFonts w:ascii="仿宋" w:hAnsi="仿宋" w:eastAsia="仿宋"/>
                <w:kern w:val="0"/>
                <w:sz w:val="24"/>
                <w:szCs w:val="24"/>
              </w:rPr>
              <w:t>0.3</w:t>
            </w:r>
            <w:r>
              <w:rPr>
                <w:rFonts w:hint="eastAsia" w:ascii="仿宋" w:hAnsi="仿宋" w:eastAsia="仿宋" w:cs="宋体"/>
                <w:kern w:val="0"/>
                <w:sz w:val="24"/>
                <w:szCs w:val="24"/>
              </w:rPr>
              <w:t>分。</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cs="宋体"/>
                <w:kern w:val="0"/>
                <w:sz w:val="24"/>
                <w:szCs w:val="24"/>
              </w:rPr>
            </w:pPr>
            <w:r>
              <w:rPr>
                <w:rFonts w:ascii="仿宋" w:hAnsi="仿宋" w:eastAsia="仿宋"/>
                <w:kern w:val="0"/>
                <w:sz w:val="24"/>
                <w:szCs w:val="24"/>
              </w:rPr>
              <w:t>0.3</w:t>
            </w:r>
          </w:p>
        </w:tc>
        <w:tc>
          <w:tcPr>
            <w:tcW w:w="0" w:type="auto"/>
            <w:vMerge w:val="continue"/>
            <w:noWrap w:val="0"/>
            <w:vAlign w:val="center"/>
          </w:tcPr>
          <w:p>
            <w:pPr>
              <w:widowControl/>
              <w:ind w:firstLine="480"/>
              <w:jc w:val="center"/>
              <w:rPr>
                <w:rFonts w:ascii="仿宋" w:hAnsi="仿宋" w:eastAsia="仿宋"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kern w:val="0"/>
                <w:sz w:val="24"/>
                <w:szCs w:val="24"/>
              </w:rPr>
            </w:pPr>
            <w:r>
              <w:rPr>
                <w:rFonts w:hint="eastAsia" w:ascii="仿宋" w:hAnsi="仿宋" w:eastAsia="仿宋"/>
                <w:kern w:val="0"/>
                <w:sz w:val="24"/>
                <w:szCs w:val="24"/>
              </w:rPr>
              <w:t>9</w:t>
            </w:r>
          </w:p>
        </w:tc>
        <w:tc>
          <w:tcPr>
            <w:tcW w:w="0" w:type="auto"/>
            <w:vMerge w:val="continue"/>
            <w:noWrap w:val="0"/>
            <w:tcMar>
              <w:top w:w="0" w:type="dxa"/>
              <w:left w:w="108" w:type="dxa"/>
              <w:bottom w:w="0" w:type="dxa"/>
              <w:right w:w="108" w:type="dxa"/>
            </w:tcMar>
            <w:vAlign w:val="center"/>
          </w:tcPr>
          <w:p>
            <w:pPr>
              <w:widowControl/>
              <w:ind w:firstLine="480"/>
              <w:jc w:val="center"/>
              <w:rPr>
                <w:rFonts w:ascii="仿宋" w:hAnsi="仿宋" w:eastAsia="仿宋" w:cs="宋体"/>
                <w:kern w:val="0"/>
                <w:sz w:val="24"/>
                <w:szCs w:val="24"/>
              </w:rPr>
            </w:pPr>
          </w:p>
        </w:tc>
        <w:tc>
          <w:tcPr>
            <w:tcW w:w="1355"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低于成本投标</w:t>
            </w:r>
          </w:p>
          <w:p>
            <w:pPr>
              <w:widowControl/>
              <w:spacing w:before="180" w:after="180"/>
              <w:jc w:val="left"/>
              <w:rPr>
                <w:rFonts w:ascii="仿宋" w:hAnsi="仿宋" w:eastAsia="仿宋" w:cs="宋体"/>
                <w:kern w:val="0"/>
                <w:sz w:val="24"/>
                <w:szCs w:val="24"/>
              </w:rPr>
            </w:pPr>
            <w:r>
              <w:rPr>
                <w:rFonts w:hint="eastAsia" w:ascii="仿宋" w:hAnsi="仿宋" w:eastAsia="仿宋"/>
                <w:kern w:val="0"/>
                <w:sz w:val="24"/>
                <w:szCs w:val="24"/>
              </w:rPr>
              <w:t xml:space="preserve">   1</w:t>
            </w:r>
            <w:r>
              <w:rPr>
                <w:rFonts w:hint="eastAsia" w:ascii="仿宋" w:hAnsi="仿宋" w:eastAsia="仿宋" w:cs="宋体"/>
                <w:kern w:val="0"/>
                <w:sz w:val="24"/>
                <w:szCs w:val="24"/>
              </w:rPr>
              <w:t>分</w:t>
            </w:r>
          </w:p>
        </w:tc>
        <w:tc>
          <w:tcPr>
            <w:tcW w:w="5658" w:type="dxa"/>
            <w:noWrap w:val="0"/>
            <w:tcMar>
              <w:top w:w="0" w:type="dxa"/>
              <w:left w:w="108" w:type="dxa"/>
              <w:bottom w:w="0" w:type="dxa"/>
              <w:right w:w="108" w:type="dxa"/>
            </w:tcMar>
            <w:vAlign w:val="center"/>
          </w:tcPr>
          <w:p>
            <w:pPr>
              <w:widowControl/>
              <w:spacing w:before="180" w:after="18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企业在投标活动中，评标专家根据《湖南省房屋建筑和市政基础设施工程施工投标报价成本评审暂行办法》（湘建监督〔2018〕163号）评定报价低于成本，认定为废标，</w:t>
            </w:r>
            <w:r>
              <w:rPr>
                <w:rFonts w:hint="eastAsia" w:ascii="仿宋" w:hAnsi="仿宋" w:eastAsia="仿宋" w:cs="宋体"/>
                <w:kern w:val="0"/>
                <w:sz w:val="24"/>
                <w:szCs w:val="24"/>
              </w:rPr>
              <w:t>扣</w:t>
            </w:r>
            <w:r>
              <w:rPr>
                <w:rFonts w:hint="eastAsia" w:ascii="仿宋" w:hAnsi="仿宋" w:eastAsia="仿宋"/>
                <w:kern w:val="0"/>
                <w:sz w:val="24"/>
                <w:szCs w:val="24"/>
              </w:rPr>
              <w:t>1</w:t>
            </w:r>
            <w:r>
              <w:rPr>
                <w:rFonts w:hint="eastAsia" w:ascii="仿宋" w:hAnsi="仿宋" w:eastAsia="仿宋" w:cs="宋体"/>
                <w:kern w:val="0"/>
                <w:sz w:val="24"/>
                <w:szCs w:val="24"/>
              </w:rPr>
              <w:t>分。</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kern w:val="0"/>
                <w:sz w:val="24"/>
                <w:szCs w:val="24"/>
              </w:rPr>
            </w:pPr>
            <w:r>
              <w:rPr>
                <w:rFonts w:hint="eastAsia" w:ascii="仿宋" w:hAnsi="仿宋" w:eastAsia="仿宋"/>
                <w:kern w:val="0"/>
                <w:sz w:val="24"/>
                <w:szCs w:val="24"/>
              </w:rPr>
              <w:t>1</w:t>
            </w:r>
          </w:p>
        </w:tc>
        <w:tc>
          <w:tcPr>
            <w:tcW w:w="0" w:type="auto"/>
            <w:noWrap w:val="0"/>
            <w:tcMar>
              <w:top w:w="0" w:type="dxa"/>
              <w:left w:w="108" w:type="dxa"/>
              <w:bottom w:w="0" w:type="dxa"/>
              <w:right w:w="108" w:type="dxa"/>
            </w:tcMar>
            <w:vAlign w:val="center"/>
          </w:tcPr>
          <w:p>
            <w:pPr>
              <w:spacing w:before="180" w:after="180"/>
              <w:jc w:val="center"/>
              <w:rPr>
                <w:rFonts w:ascii="仿宋" w:hAnsi="仿宋" w:eastAsia="仿宋" w:cs="宋体"/>
                <w:kern w:val="0"/>
                <w:sz w:val="24"/>
                <w:szCs w:val="24"/>
              </w:rPr>
            </w:pPr>
            <w:r>
              <w:rPr>
                <w:rFonts w:hint="eastAsia" w:ascii="仿宋" w:hAnsi="仿宋" w:eastAsia="仿宋" w:cs="宋体"/>
                <w:kern w:val="0"/>
                <w:sz w:val="24"/>
                <w:szCs w:val="24"/>
              </w:rPr>
              <w:t>扣分制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kern w:val="0"/>
                <w:sz w:val="24"/>
                <w:szCs w:val="24"/>
              </w:rPr>
            </w:pPr>
          </w:p>
        </w:tc>
        <w:tc>
          <w:tcPr>
            <w:tcW w:w="0" w:type="auto"/>
            <w:vMerge w:val="continue"/>
            <w:noWrap w:val="0"/>
            <w:tcMar>
              <w:top w:w="0" w:type="dxa"/>
              <w:left w:w="108" w:type="dxa"/>
              <w:bottom w:w="0" w:type="dxa"/>
              <w:right w:w="108" w:type="dxa"/>
            </w:tcMar>
            <w:vAlign w:val="center"/>
          </w:tcPr>
          <w:p>
            <w:pPr>
              <w:widowControl/>
              <w:ind w:firstLine="480"/>
              <w:jc w:val="center"/>
              <w:rPr>
                <w:rFonts w:ascii="仿宋" w:hAnsi="仿宋" w:eastAsia="仿宋" w:cs="宋体"/>
                <w:kern w:val="0"/>
                <w:sz w:val="24"/>
                <w:szCs w:val="24"/>
              </w:rPr>
            </w:pPr>
          </w:p>
        </w:tc>
        <w:tc>
          <w:tcPr>
            <w:tcW w:w="1355"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标后稽查</w:t>
            </w:r>
          </w:p>
          <w:p>
            <w:pPr>
              <w:widowControl/>
              <w:spacing w:before="180" w:after="180"/>
              <w:jc w:val="left"/>
              <w:rPr>
                <w:rFonts w:ascii="仿宋" w:hAnsi="仿宋" w:eastAsia="仿宋" w:cs="宋体"/>
                <w:kern w:val="0"/>
                <w:sz w:val="24"/>
                <w:szCs w:val="24"/>
              </w:rPr>
            </w:pPr>
            <w:r>
              <w:rPr>
                <w:rFonts w:hint="eastAsia" w:ascii="仿宋" w:hAnsi="仿宋" w:eastAsia="仿宋"/>
                <w:kern w:val="0"/>
                <w:sz w:val="24"/>
                <w:szCs w:val="24"/>
              </w:rPr>
              <w:t xml:space="preserve">   2</w:t>
            </w:r>
            <w:r>
              <w:rPr>
                <w:rFonts w:hint="eastAsia" w:ascii="仿宋" w:hAnsi="仿宋" w:eastAsia="仿宋" w:cs="宋体"/>
                <w:kern w:val="0"/>
                <w:sz w:val="24"/>
                <w:szCs w:val="24"/>
              </w:rPr>
              <w:t>分</w:t>
            </w:r>
          </w:p>
        </w:tc>
        <w:tc>
          <w:tcPr>
            <w:tcW w:w="5658" w:type="dxa"/>
            <w:noWrap w:val="0"/>
            <w:tcMar>
              <w:top w:w="0" w:type="dxa"/>
              <w:left w:w="108" w:type="dxa"/>
              <w:bottom w:w="0" w:type="dxa"/>
              <w:right w:w="108" w:type="dxa"/>
            </w:tcMar>
            <w:vAlign w:val="center"/>
          </w:tcPr>
          <w:p>
            <w:pPr>
              <w:widowControl/>
              <w:spacing w:before="180" w:after="180"/>
              <w:jc w:val="left"/>
              <w:rPr>
                <w:rFonts w:ascii="仿宋" w:hAnsi="仿宋" w:eastAsia="仿宋" w:cs="宋体"/>
                <w:color w:val="000000"/>
                <w:kern w:val="0"/>
                <w:sz w:val="24"/>
                <w:szCs w:val="24"/>
              </w:rPr>
            </w:pPr>
            <w:r>
              <w:rPr>
                <w:rFonts w:hint="eastAsia" w:ascii="仿宋" w:hAnsi="仿宋" w:eastAsia="仿宋" w:cs="宋体"/>
                <w:kern w:val="0"/>
                <w:sz w:val="24"/>
                <w:szCs w:val="24"/>
              </w:rPr>
              <w:t>市、县级建设行政主管部门按照</w:t>
            </w:r>
            <w:r>
              <w:rPr>
                <w:rFonts w:ascii="仿宋" w:hAnsi="仿宋" w:eastAsia="仿宋" w:cs="仿宋_GB2312"/>
                <w:color w:val="000000"/>
                <w:kern w:val="0"/>
                <w:sz w:val="24"/>
                <w:szCs w:val="24"/>
              </w:rPr>
              <w:t>《湖南省房屋建筑和市政基础设施工程标后稽查实施办法》</w:t>
            </w:r>
            <w:r>
              <w:rPr>
                <w:rFonts w:hint="eastAsia" w:ascii="仿宋" w:hAnsi="仿宋" w:eastAsia="仿宋" w:cs="宋体"/>
                <w:color w:val="000000"/>
                <w:kern w:val="0"/>
                <w:sz w:val="24"/>
                <w:szCs w:val="24"/>
              </w:rPr>
              <w:t>（湘建监督〔2018〕64号）</w:t>
            </w:r>
            <w:r>
              <w:rPr>
                <w:rFonts w:hint="eastAsia" w:ascii="仿宋" w:hAnsi="仿宋" w:eastAsia="仿宋" w:cs="宋体"/>
                <w:kern w:val="0"/>
                <w:sz w:val="24"/>
                <w:szCs w:val="24"/>
              </w:rPr>
              <w:t>开展标后稽查，稽查通报中，施工单位存在问题，扣</w:t>
            </w:r>
            <w:r>
              <w:rPr>
                <w:rFonts w:hint="eastAsia" w:ascii="仿宋" w:hAnsi="仿宋" w:eastAsia="仿宋"/>
                <w:kern w:val="0"/>
                <w:sz w:val="24"/>
                <w:szCs w:val="24"/>
              </w:rPr>
              <w:t>1</w:t>
            </w:r>
            <w:r>
              <w:rPr>
                <w:rFonts w:hint="eastAsia" w:ascii="仿宋" w:hAnsi="仿宋" w:eastAsia="仿宋" w:cs="宋体"/>
                <w:kern w:val="0"/>
                <w:sz w:val="24"/>
                <w:szCs w:val="24"/>
              </w:rPr>
              <w:t>分／项。</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kern w:val="0"/>
                <w:sz w:val="24"/>
                <w:szCs w:val="24"/>
              </w:rPr>
            </w:pPr>
            <w:r>
              <w:rPr>
                <w:rFonts w:hint="eastAsia" w:ascii="仿宋" w:hAnsi="仿宋" w:eastAsia="仿宋"/>
                <w:kern w:val="0"/>
                <w:sz w:val="24"/>
                <w:szCs w:val="24"/>
              </w:rPr>
              <w:t>2</w:t>
            </w:r>
          </w:p>
        </w:tc>
        <w:tc>
          <w:tcPr>
            <w:tcW w:w="0" w:type="auto"/>
            <w:noWrap w:val="0"/>
            <w:tcMar>
              <w:top w:w="0" w:type="dxa"/>
              <w:left w:w="108" w:type="dxa"/>
              <w:bottom w:w="0" w:type="dxa"/>
              <w:right w:w="108" w:type="dxa"/>
            </w:tcMar>
            <w:vAlign w:val="center"/>
          </w:tcPr>
          <w:p>
            <w:pPr>
              <w:spacing w:before="180" w:after="180"/>
              <w:jc w:val="center"/>
              <w:rPr>
                <w:rFonts w:ascii="仿宋" w:hAnsi="仿宋" w:eastAsia="仿宋" w:cs="宋体"/>
                <w:kern w:val="0"/>
                <w:sz w:val="24"/>
                <w:szCs w:val="24"/>
              </w:rPr>
            </w:pPr>
            <w:r>
              <w:rPr>
                <w:rFonts w:hint="eastAsia" w:ascii="仿宋" w:hAnsi="仿宋" w:eastAsia="仿宋" w:cs="宋体"/>
                <w:kern w:val="0"/>
                <w:sz w:val="24"/>
                <w:szCs w:val="24"/>
              </w:rPr>
              <w:t>扣分制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kern w:val="0"/>
                <w:sz w:val="24"/>
                <w:szCs w:val="24"/>
              </w:rPr>
            </w:pPr>
            <w:r>
              <w:rPr>
                <w:rFonts w:hint="eastAsia" w:ascii="仿宋" w:hAnsi="仿宋" w:eastAsia="仿宋"/>
                <w:kern w:val="0"/>
                <w:sz w:val="24"/>
                <w:szCs w:val="24"/>
              </w:rPr>
              <w:t>10</w:t>
            </w:r>
          </w:p>
        </w:tc>
        <w:tc>
          <w:tcPr>
            <w:tcW w:w="0" w:type="auto"/>
            <w:vMerge w:val="continue"/>
            <w:noWrap w:val="0"/>
            <w:tcMar>
              <w:top w:w="0" w:type="dxa"/>
              <w:left w:w="108" w:type="dxa"/>
              <w:bottom w:w="0" w:type="dxa"/>
              <w:right w:w="108" w:type="dxa"/>
            </w:tcMar>
            <w:vAlign w:val="center"/>
          </w:tcPr>
          <w:p>
            <w:pPr>
              <w:widowControl/>
              <w:ind w:firstLine="480"/>
              <w:jc w:val="center"/>
              <w:rPr>
                <w:rFonts w:ascii="仿宋" w:hAnsi="仿宋" w:eastAsia="仿宋" w:cs="宋体"/>
                <w:kern w:val="0"/>
                <w:sz w:val="24"/>
                <w:szCs w:val="24"/>
              </w:rPr>
            </w:pPr>
          </w:p>
        </w:tc>
        <w:tc>
          <w:tcPr>
            <w:tcW w:w="1355"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kern w:val="0"/>
                <w:sz w:val="24"/>
                <w:szCs w:val="24"/>
              </w:rPr>
              <w:t>质量安全生产事故</w:t>
            </w:r>
          </w:p>
          <w:p>
            <w:pPr>
              <w:widowControl/>
              <w:spacing w:before="180" w:after="180"/>
              <w:jc w:val="left"/>
              <w:rPr>
                <w:rFonts w:ascii="仿宋" w:hAnsi="仿宋" w:eastAsia="仿宋" w:cs="宋体"/>
                <w:kern w:val="0"/>
                <w:sz w:val="24"/>
                <w:szCs w:val="24"/>
              </w:rPr>
            </w:pPr>
            <w:r>
              <w:rPr>
                <w:rFonts w:hint="eastAsia" w:ascii="仿宋" w:hAnsi="仿宋" w:eastAsia="仿宋"/>
                <w:kern w:val="0"/>
                <w:sz w:val="24"/>
                <w:szCs w:val="24"/>
              </w:rPr>
              <w:t xml:space="preserve">  2</w:t>
            </w:r>
            <w:r>
              <w:rPr>
                <w:rFonts w:hint="eastAsia" w:ascii="仿宋" w:hAnsi="仿宋" w:eastAsia="仿宋" w:cs="宋体"/>
                <w:kern w:val="0"/>
                <w:sz w:val="24"/>
                <w:szCs w:val="24"/>
              </w:rPr>
              <w:t>分</w:t>
            </w:r>
          </w:p>
        </w:tc>
        <w:tc>
          <w:tcPr>
            <w:tcW w:w="5658" w:type="dxa"/>
            <w:noWrap w:val="0"/>
            <w:tcMar>
              <w:top w:w="0" w:type="dxa"/>
              <w:left w:w="108" w:type="dxa"/>
              <w:bottom w:w="0" w:type="dxa"/>
              <w:right w:w="108" w:type="dxa"/>
            </w:tcMar>
            <w:vAlign w:val="center"/>
          </w:tcPr>
          <w:p>
            <w:pPr>
              <w:widowControl/>
              <w:spacing w:before="180" w:after="180"/>
              <w:jc w:val="left"/>
              <w:rPr>
                <w:rFonts w:ascii="仿宋" w:hAnsi="仿宋" w:eastAsia="仿宋" w:cs="宋体"/>
                <w:kern w:val="0"/>
                <w:sz w:val="24"/>
                <w:szCs w:val="24"/>
              </w:rPr>
            </w:pPr>
            <w:r>
              <w:rPr>
                <w:rFonts w:hint="eastAsia" w:ascii="仿宋" w:hAnsi="仿宋" w:eastAsia="仿宋" w:cs="宋体"/>
                <w:color w:val="000000"/>
                <w:kern w:val="0"/>
                <w:sz w:val="24"/>
                <w:szCs w:val="24"/>
              </w:rPr>
              <w:t>企业</w:t>
            </w:r>
            <w:r>
              <w:rPr>
                <w:rFonts w:hint="eastAsia" w:ascii="仿宋" w:hAnsi="仿宋" w:eastAsia="仿宋" w:cs="宋体"/>
                <w:kern w:val="0"/>
                <w:sz w:val="24"/>
                <w:szCs w:val="24"/>
              </w:rPr>
              <w:t>在益阳市行政区域内的施工项目，</w:t>
            </w:r>
            <w:r>
              <w:rPr>
                <w:rFonts w:hint="eastAsia" w:ascii="仿宋" w:hAnsi="仿宋" w:eastAsia="仿宋" w:cs="宋体"/>
                <w:color w:val="000000"/>
                <w:kern w:val="0"/>
                <w:sz w:val="24"/>
                <w:szCs w:val="24"/>
              </w:rPr>
              <w:t>出现质量安全生产事故，较大及以上事故</w:t>
            </w:r>
            <w:r>
              <w:rPr>
                <w:rFonts w:hint="eastAsia" w:ascii="仿宋" w:hAnsi="仿宋" w:eastAsia="仿宋" w:cs="宋体"/>
                <w:kern w:val="0"/>
                <w:sz w:val="24"/>
                <w:szCs w:val="24"/>
              </w:rPr>
              <w:t>扣</w:t>
            </w:r>
            <w:r>
              <w:rPr>
                <w:rFonts w:hint="eastAsia" w:ascii="仿宋" w:hAnsi="仿宋" w:eastAsia="仿宋"/>
                <w:kern w:val="0"/>
                <w:sz w:val="24"/>
                <w:szCs w:val="24"/>
              </w:rPr>
              <w:t>2</w:t>
            </w:r>
            <w:r>
              <w:rPr>
                <w:rFonts w:hint="eastAsia" w:ascii="仿宋" w:hAnsi="仿宋" w:eastAsia="仿宋" w:cs="宋体"/>
                <w:kern w:val="0"/>
                <w:sz w:val="24"/>
                <w:szCs w:val="24"/>
              </w:rPr>
              <w:t>分；一般事故1分／起。</w:t>
            </w:r>
          </w:p>
        </w:tc>
        <w:tc>
          <w:tcPr>
            <w:tcW w:w="0" w:type="auto"/>
            <w:noWrap w:val="0"/>
            <w:tcMar>
              <w:top w:w="0" w:type="dxa"/>
              <w:left w:w="108" w:type="dxa"/>
              <w:bottom w:w="0" w:type="dxa"/>
              <w:right w:w="108" w:type="dxa"/>
            </w:tcMar>
            <w:vAlign w:val="center"/>
          </w:tcPr>
          <w:p>
            <w:pPr>
              <w:widowControl/>
              <w:spacing w:before="180" w:after="180"/>
              <w:jc w:val="center"/>
              <w:rPr>
                <w:rFonts w:ascii="仿宋" w:hAnsi="仿宋" w:eastAsia="仿宋"/>
                <w:kern w:val="0"/>
                <w:sz w:val="24"/>
                <w:szCs w:val="24"/>
              </w:rPr>
            </w:pPr>
            <w:r>
              <w:rPr>
                <w:rFonts w:hint="eastAsia" w:ascii="仿宋" w:hAnsi="仿宋" w:eastAsia="仿宋"/>
                <w:kern w:val="0"/>
                <w:sz w:val="24"/>
                <w:szCs w:val="24"/>
              </w:rPr>
              <w:t>2</w:t>
            </w:r>
          </w:p>
        </w:tc>
        <w:tc>
          <w:tcPr>
            <w:tcW w:w="0" w:type="auto"/>
            <w:noWrap w:val="0"/>
            <w:tcMar>
              <w:top w:w="0" w:type="dxa"/>
              <w:left w:w="108" w:type="dxa"/>
              <w:bottom w:w="0" w:type="dxa"/>
              <w:right w:w="108" w:type="dxa"/>
            </w:tcMar>
            <w:vAlign w:val="center"/>
          </w:tcPr>
          <w:p>
            <w:pPr>
              <w:spacing w:before="180" w:after="180"/>
              <w:jc w:val="center"/>
              <w:rPr>
                <w:rFonts w:ascii="仿宋" w:hAnsi="仿宋" w:eastAsia="仿宋" w:cs="宋体"/>
                <w:kern w:val="0"/>
                <w:sz w:val="24"/>
                <w:szCs w:val="24"/>
              </w:rPr>
            </w:pPr>
            <w:r>
              <w:rPr>
                <w:rFonts w:hint="eastAsia" w:ascii="仿宋" w:hAnsi="仿宋" w:eastAsia="仿宋" w:cs="宋体"/>
                <w:kern w:val="0"/>
                <w:sz w:val="24"/>
                <w:szCs w:val="24"/>
              </w:rPr>
              <w:t>扣分制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81145"/>
    <w:rsid w:val="6B88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2020-06-10T01:42:00Z</dcterms:created>
  <dc:creator>市住建局办公室</dc:creator>
  <cp:lastModifiedBy>市住建局办公室</cp:lastModifiedBy>
  <dcterms:modified xsi:type="dcterms:W3CDTF">2020-06-10T01:42:40Z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