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附件1</w:t>
      </w:r>
    </w:p>
    <w:p>
      <w:pPr>
        <w:pStyle w:val="2"/>
      </w:pPr>
    </w:p>
    <w:p>
      <w:pPr>
        <w:widowControl/>
        <w:spacing w:line="600" w:lineRule="exact"/>
        <w:jc w:val="center"/>
        <w:rPr>
          <w:rFonts w:ascii="Times New Roman" w:hAnsi="Times New Roman" w:eastAsia="方正小标宋_GBK" w:cs="Times New Roman"/>
          <w:kern w:val="0"/>
          <w:sz w:val="44"/>
          <w:szCs w:val="44"/>
        </w:rPr>
      </w:pPr>
      <w:bookmarkStart w:id="0" w:name="_GoBack"/>
      <w:r>
        <w:rPr>
          <w:rFonts w:ascii="Times New Roman" w:hAnsi="Times New Roman" w:eastAsia="方正小标宋_GBK" w:cs="Times New Roman"/>
          <w:kern w:val="0"/>
          <w:sz w:val="44"/>
          <w:szCs w:val="44"/>
        </w:rPr>
        <w:t>2025年-2027年益阳市市直行政事业单位</w:t>
      </w:r>
    </w:p>
    <w:p>
      <w:pPr>
        <w:widowControl/>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办公用房物业服务费指导标准</w:t>
      </w:r>
    </w:p>
    <w:bookmarkEnd w:id="0"/>
    <w:tbl>
      <w:tblPr>
        <w:tblStyle w:val="6"/>
        <w:tblW w:w="10217" w:type="dxa"/>
        <w:jc w:val="center"/>
        <w:tblLayout w:type="autofit"/>
        <w:tblCellMar>
          <w:top w:w="15" w:type="dxa"/>
          <w:left w:w="15" w:type="dxa"/>
          <w:bottom w:w="15" w:type="dxa"/>
          <w:right w:w="15" w:type="dxa"/>
        </w:tblCellMar>
      </w:tblPr>
      <w:tblGrid>
        <w:gridCol w:w="1828"/>
        <w:gridCol w:w="4228"/>
        <w:gridCol w:w="1785"/>
        <w:gridCol w:w="2376"/>
      </w:tblGrid>
      <w:tr>
        <w:tblPrEx>
          <w:tblCellMar>
            <w:top w:w="15" w:type="dxa"/>
            <w:left w:w="15" w:type="dxa"/>
            <w:bottom w:w="15" w:type="dxa"/>
            <w:right w:w="15" w:type="dxa"/>
          </w:tblCellMar>
        </w:tblPrEx>
        <w:trPr>
          <w:trHeight w:val="606" w:hRule="exact"/>
          <w:tblHeader/>
          <w:jc w:val="center"/>
        </w:trPr>
        <w:tc>
          <w:tcPr>
            <w:tcW w:w="1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黑体_GBK" w:cs="Times New Roman"/>
                <w:kern w:val="0"/>
                <w:sz w:val="24"/>
                <w:szCs w:val="24"/>
              </w:rPr>
            </w:pPr>
            <w:r>
              <w:rPr>
                <w:rFonts w:ascii="Times New Roman" w:hAnsi="方正黑体_GBK" w:eastAsia="方正黑体_GBK" w:cs="Times New Roman"/>
                <w:kern w:val="0"/>
                <w:sz w:val="24"/>
                <w:szCs w:val="24"/>
              </w:rPr>
              <w:t>服务事项</w:t>
            </w:r>
          </w:p>
        </w:tc>
        <w:tc>
          <w:tcPr>
            <w:tcW w:w="422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黑体_GBK" w:cs="Times New Roman"/>
                <w:kern w:val="0"/>
                <w:sz w:val="24"/>
                <w:szCs w:val="24"/>
              </w:rPr>
            </w:pPr>
            <w:r>
              <w:rPr>
                <w:rFonts w:ascii="Times New Roman" w:hAnsi="方正黑体_GBK" w:eastAsia="方正黑体_GBK" w:cs="Times New Roman"/>
                <w:kern w:val="0"/>
                <w:sz w:val="24"/>
                <w:szCs w:val="24"/>
              </w:rPr>
              <w:t>服务内容</w:t>
            </w:r>
          </w:p>
        </w:tc>
        <w:tc>
          <w:tcPr>
            <w:tcW w:w="178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黑体_GBK" w:cs="Times New Roman"/>
                <w:kern w:val="0"/>
                <w:sz w:val="24"/>
                <w:szCs w:val="24"/>
              </w:rPr>
            </w:pPr>
            <w:r>
              <w:rPr>
                <w:rFonts w:ascii="Times New Roman" w:hAnsi="方正黑体_GBK" w:eastAsia="方正黑体_GBK" w:cs="Times New Roman"/>
                <w:kern w:val="0"/>
                <w:sz w:val="24"/>
                <w:szCs w:val="24"/>
              </w:rPr>
              <w:t>指导标准</w:t>
            </w:r>
          </w:p>
        </w:tc>
        <w:tc>
          <w:tcPr>
            <w:tcW w:w="237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黑体_GBK" w:cs="Times New Roman"/>
                <w:kern w:val="0"/>
                <w:sz w:val="24"/>
                <w:szCs w:val="24"/>
              </w:rPr>
            </w:pPr>
            <w:r>
              <w:rPr>
                <w:rFonts w:ascii="Times New Roman" w:hAnsi="方正黑体_GBK" w:eastAsia="方正黑体_GBK" w:cs="Times New Roman"/>
                <w:kern w:val="0"/>
                <w:sz w:val="24"/>
                <w:szCs w:val="24"/>
              </w:rPr>
              <w:t>备注</w:t>
            </w:r>
          </w:p>
        </w:tc>
      </w:tr>
      <w:tr>
        <w:tblPrEx>
          <w:tblCellMar>
            <w:top w:w="15" w:type="dxa"/>
            <w:left w:w="15" w:type="dxa"/>
            <w:bottom w:w="15" w:type="dxa"/>
            <w:right w:w="15" w:type="dxa"/>
          </w:tblCellMar>
        </w:tblPrEx>
        <w:trPr>
          <w:trHeight w:val="613"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办公区综合管理服务</w:t>
            </w:r>
          </w:p>
        </w:tc>
        <w:tc>
          <w:tcPr>
            <w:tcW w:w="4228"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包含但不限于</w:t>
            </w:r>
            <w:r>
              <w:rPr>
                <w:rFonts w:ascii="Times New Roman" w:hAnsi="方正仿宋_GBK" w:eastAsia="方正仿宋_GBK" w:cs="Times New Roman"/>
                <w:sz w:val="24"/>
                <w:szCs w:val="24"/>
              </w:rPr>
              <w:t>办公费、办公物料费、印刷费、通讯网络费、邮寄费用、交通费、差旅费、招待费、办公维修费、低值易耗品摊销、秩序物料、办公室人员工资。</w:t>
            </w:r>
          </w:p>
        </w:tc>
        <w:tc>
          <w:tcPr>
            <w:tcW w:w="178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0.25</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㎡指机关办公楼（区）内建筑面积。</w:t>
            </w:r>
          </w:p>
        </w:tc>
      </w:tr>
      <w:tr>
        <w:tblPrEx>
          <w:tblCellMar>
            <w:top w:w="15" w:type="dxa"/>
            <w:left w:w="15" w:type="dxa"/>
            <w:bottom w:w="15" w:type="dxa"/>
            <w:right w:w="15" w:type="dxa"/>
          </w:tblCellMar>
        </w:tblPrEx>
        <w:trPr>
          <w:trHeight w:val="1300"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房屋养护与设备维护</w:t>
            </w:r>
          </w:p>
        </w:tc>
        <w:tc>
          <w:tcPr>
            <w:tcW w:w="4228"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w:t>
            </w:r>
            <w:r>
              <w:rPr>
                <w:rFonts w:ascii="Times New Roman" w:hAnsi="方正仿宋_GBK" w:eastAsia="方正仿宋_GBK" w:cs="Times New Roman"/>
                <w:kern w:val="0"/>
                <w:sz w:val="24"/>
                <w:szCs w:val="24"/>
              </w:rPr>
              <w:t>办公楼（区）房屋建筑物部件、附属构筑物的地面、墙面、台面以及吊顶、门窗、楼梯、通风道等的日常养护维修。</w:t>
            </w:r>
          </w:p>
          <w:p>
            <w:pPr>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w:t>
            </w:r>
            <w:r>
              <w:rPr>
                <w:rFonts w:ascii="Times New Roman" w:hAnsi="方正仿宋_GBK" w:eastAsia="方正仿宋_GBK" w:cs="Times New Roman"/>
                <w:kern w:val="0"/>
                <w:sz w:val="24"/>
                <w:szCs w:val="24"/>
              </w:rPr>
              <w:t>办公楼（区）房屋内外给排水系统的水质监测，及蓄水池、供水管路、排水管、消火栓、隔油池等设备设施的日常养护维修。</w:t>
            </w:r>
          </w:p>
          <w:p>
            <w:pPr>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w:t>
            </w:r>
            <w:r>
              <w:rPr>
                <w:rFonts w:ascii="Times New Roman" w:hAnsi="方正仿宋_GBK" w:eastAsia="方正仿宋_GBK" w:cs="Times New Roman"/>
                <w:kern w:val="0"/>
                <w:sz w:val="24"/>
                <w:szCs w:val="24"/>
              </w:rPr>
              <w:t>办公楼（区）供电系统、高低压电器设备、电线电缆、电器照明装置等的日常管理和养护维修及避雷检测工作。</w:t>
            </w:r>
          </w:p>
          <w:p>
            <w:pPr>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w:t>
            </w:r>
            <w:r>
              <w:rPr>
                <w:rFonts w:ascii="Times New Roman" w:hAnsi="方正仿宋_GBK" w:eastAsia="方正仿宋_GBK" w:cs="Times New Roman"/>
                <w:kern w:val="0"/>
                <w:sz w:val="24"/>
                <w:szCs w:val="24"/>
              </w:rPr>
              <w:t>办公楼（区）水质检测、各类设备、仪器仪表、水管线路的日常运行和检修维护。</w:t>
            </w:r>
          </w:p>
        </w:tc>
        <w:tc>
          <w:tcPr>
            <w:tcW w:w="178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0.3</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㎡指机关办公楼（区）内建筑面积。此费用包含由承接主体承担的</w:t>
            </w:r>
            <w:r>
              <w:rPr>
                <w:rFonts w:ascii="Times New Roman" w:hAnsi="Times New Roman" w:eastAsia="方正仿宋_GBK" w:cs="Times New Roman"/>
                <w:kern w:val="0"/>
                <w:sz w:val="24"/>
                <w:szCs w:val="24"/>
              </w:rPr>
              <w:t>200</w:t>
            </w:r>
            <w:r>
              <w:rPr>
                <w:rFonts w:ascii="Times New Roman" w:hAnsi="方正仿宋_GBK" w:eastAsia="方正仿宋_GBK" w:cs="Times New Roman"/>
                <w:kern w:val="0"/>
                <w:sz w:val="24"/>
                <w:szCs w:val="24"/>
              </w:rPr>
              <w:t>元以下的单个维修零配件材料费。</w:t>
            </w:r>
          </w:p>
        </w:tc>
      </w:tr>
      <w:tr>
        <w:tblPrEx>
          <w:tblCellMar>
            <w:top w:w="15" w:type="dxa"/>
            <w:left w:w="15" w:type="dxa"/>
            <w:bottom w:w="15" w:type="dxa"/>
            <w:right w:w="15" w:type="dxa"/>
          </w:tblCellMar>
        </w:tblPrEx>
        <w:trPr>
          <w:trHeight w:val="1497" w:hRule="atLeast"/>
          <w:jc w:val="center"/>
        </w:trPr>
        <w:tc>
          <w:tcPr>
            <w:tcW w:w="1828" w:type="dxa"/>
            <w:vMerge w:val="restart"/>
            <w:tcBorders>
              <w:top w:val="nil"/>
              <w:left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安全保卫</w:t>
            </w:r>
          </w:p>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服务</w:t>
            </w:r>
          </w:p>
        </w:tc>
        <w:tc>
          <w:tcPr>
            <w:tcW w:w="4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办公楼（区）门卫和日常巡逻、防盗等报警监控运行管理，车辆、道路及公共秩序维护，防汛、治安及其它突发事件处理等。</w:t>
            </w:r>
          </w:p>
        </w:tc>
        <w:tc>
          <w:tcPr>
            <w:tcW w:w="1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1.5</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㎡指机关办公楼（区）内建筑面积。</w:t>
            </w:r>
          </w:p>
        </w:tc>
      </w:tr>
      <w:tr>
        <w:tblPrEx>
          <w:tblCellMar>
            <w:top w:w="15" w:type="dxa"/>
            <w:left w:w="15" w:type="dxa"/>
            <w:bottom w:w="15" w:type="dxa"/>
            <w:right w:w="15" w:type="dxa"/>
          </w:tblCellMar>
        </w:tblPrEx>
        <w:trPr>
          <w:trHeight w:val="1477" w:hRule="atLeast"/>
          <w:jc w:val="center"/>
        </w:trPr>
        <w:tc>
          <w:tcPr>
            <w:tcW w:w="1828" w:type="dxa"/>
            <w:vMerge w:val="continue"/>
            <w:tcBorders>
              <w:left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cs="Times New Roman"/>
                <w:sz w:val="24"/>
                <w:szCs w:val="24"/>
              </w:rPr>
            </w:pPr>
          </w:p>
        </w:tc>
        <w:tc>
          <w:tcPr>
            <w:tcW w:w="4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办公楼（区）来人来访的通报、证件检验、登记、证件退还等</w:t>
            </w:r>
          </w:p>
        </w:tc>
        <w:tc>
          <w:tcPr>
            <w:tcW w:w="1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0.3</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㎡指机关办公楼（区）内建筑面积，限设置楼内值班门岗的建筑物，一般情况不考虑。</w:t>
            </w:r>
          </w:p>
        </w:tc>
      </w:tr>
      <w:tr>
        <w:tblPrEx>
          <w:tblCellMar>
            <w:top w:w="15" w:type="dxa"/>
            <w:left w:w="15" w:type="dxa"/>
            <w:bottom w:w="15" w:type="dxa"/>
            <w:right w:w="15" w:type="dxa"/>
          </w:tblCellMar>
        </w:tblPrEx>
        <w:trPr>
          <w:trHeight w:val="368" w:hRule="atLeast"/>
          <w:jc w:val="center"/>
        </w:trPr>
        <w:tc>
          <w:tcPr>
            <w:tcW w:w="182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p>
        </w:tc>
        <w:tc>
          <w:tcPr>
            <w:tcW w:w="4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两个以上面向公共道路出口值守</w:t>
            </w:r>
          </w:p>
        </w:tc>
        <w:tc>
          <w:tcPr>
            <w:tcW w:w="1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按每增加</w:t>
            </w:r>
            <w:r>
              <w:rPr>
                <w:rFonts w:ascii="Times New Roman" w:hAnsi="Times New Roman" w:eastAsia="方正仿宋_GBK" w:cs="Times New Roman"/>
                <w:kern w:val="0"/>
                <w:sz w:val="24"/>
                <w:szCs w:val="24"/>
              </w:rPr>
              <w:t>1</w:t>
            </w:r>
            <w:r>
              <w:rPr>
                <w:rFonts w:ascii="Times New Roman" w:hAnsi="方正仿宋_GBK" w:eastAsia="方正仿宋_GBK" w:cs="Times New Roman"/>
                <w:kern w:val="0"/>
                <w:sz w:val="24"/>
                <w:szCs w:val="24"/>
              </w:rPr>
              <w:t>个出口，增加</w:t>
            </w:r>
            <w:r>
              <w:rPr>
                <w:rFonts w:ascii="Times New Roman" w:hAnsi="Times New Roman" w:eastAsia="方正仿宋_GBK" w:cs="Times New Roman"/>
                <w:kern w:val="0"/>
                <w:sz w:val="24"/>
                <w:szCs w:val="24"/>
              </w:rPr>
              <w:t>1</w:t>
            </w:r>
            <w:r>
              <w:rPr>
                <w:rFonts w:ascii="Times New Roman" w:hAnsi="方正仿宋_GBK" w:eastAsia="方正仿宋_GBK" w:cs="Times New Roman"/>
                <w:kern w:val="0"/>
                <w:sz w:val="24"/>
                <w:szCs w:val="24"/>
              </w:rPr>
              <w:t>人，每人每年</w:t>
            </w:r>
            <w:r>
              <w:rPr>
                <w:rFonts w:ascii="Times New Roman" w:hAnsi="Times New Roman" w:eastAsia="方正仿宋_GBK" w:cs="Times New Roman"/>
                <w:kern w:val="0"/>
                <w:sz w:val="24"/>
                <w:szCs w:val="24"/>
              </w:rPr>
              <w:t>4</w:t>
            </w:r>
            <w:r>
              <w:rPr>
                <w:rFonts w:ascii="Times New Roman" w:hAnsi="方正仿宋_GBK" w:eastAsia="方正仿宋_GBK" w:cs="Times New Roman"/>
                <w:kern w:val="0"/>
                <w:sz w:val="24"/>
                <w:szCs w:val="24"/>
              </w:rPr>
              <w:t>万元考虑。</w:t>
            </w:r>
          </w:p>
        </w:tc>
        <w:tc>
          <w:tcPr>
            <w:tcW w:w="23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p>
        </w:tc>
      </w:tr>
      <w:tr>
        <w:tblPrEx>
          <w:tblCellMar>
            <w:top w:w="15" w:type="dxa"/>
            <w:left w:w="15" w:type="dxa"/>
            <w:bottom w:w="15" w:type="dxa"/>
            <w:right w:w="15" w:type="dxa"/>
          </w:tblCellMar>
        </w:tblPrEx>
        <w:trPr>
          <w:trHeight w:val="734"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保洁服务</w:t>
            </w:r>
          </w:p>
        </w:tc>
        <w:tc>
          <w:tcPr>
            <w:tcW w:w="422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办公楼（区）内大厅、过道、楼梯、天台、电梯间、卫生间、茶水间、公共活动场所、楼宇外墙等所有公共部位，办公区域道路、停车场（库）等所有公共场地及</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门前三包</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区域的日常清洁人员费（含公共卫生间易耗品）。</w:t>
            </w:r>
          </w:p>
        </w:tc>
        <w:tc>
          <w:tcPr>
            <w:tcW w:w="178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0.8</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p>
            <w:pPr>
              <w:spacing w:line="320" w:lineRule="exact"/>
              <w:jc w:val="center"/>
              <w:rPr>
                <w:rFonts w:ascii="Times New Roman" w:hAnsi="Times New Roman" w:eastAsia="方正仿宋_GBK" w:cs="Times New Roman"/>
                <w:kern w:val="0"/>
                <w:sz w:val="24"/>
                <w:szCs w:val="24"/>
              </w:rPr>
            </w:pPr>
          </w:p>
        </w:tc>
        <w:tc>
          <w:tcPr>
            <w:tcW w:w="237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㎡指机关办公楼（区）内建筑面积。</w:t>
            </w:r>
          </w:p>
        </w:tc>
      </w:tr>
      <w:tr>
        <w:tblPrEx>
          <w:tblCellMar>
            <w:top w:w="15" w:type="dxa"/>
            <w:left w:w="15" w:type="dxa"/>
            <w:bottom w:w="15" w:type="dxa"/>
            <w:right w:w="15" w:type="dxa"/>
          </w:tblCellMar>
        </w:tblPrEx>
        <w:trPr>
          <w:trHeight w:val="1563"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绿化服务</w:t>
            </w:r>
          </w:p>
        </w:tc>
        <w:tc>
          <w:tcPr>
            <w:tcW w:w="4228"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办公楼（区）室外各类植株进行整形修剪、土壤、水肥管理和病虫害综合治理等日常养护，绿化带、盆株的日常清洁和绿化生产垃圾的清运，办公楼（区）门前规定区域绿地的养护管理等。</w:t>
            </w:r>
          </w:p>
        </w:tc>
        <w:tc>
          <w:tcPr>
            <w:tcW w:w="178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0.4</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㎡指物业面积内绿化服务区域面积。</w:t>
            </w:r>
          </w:p>
        </w:tc>
      </w:tr>
      <w:tr>
        <w:tblPrEx>
          <w:tblCellMar>
            <w:top w:w="15" w:type="dxa"/>
            <w:left w:w="15" w:type="dxa"/>
            <w:bottom w:w="15" w:type="dxa"/>
            <w:right w:w="15" w:type="dxa"/>
          </w:tblCellMar>
        </w:tblPrEx>
        <w:trPr>
          <w:trHeight w:val="477"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会议服务</w:t>
            </w:r>
          </w:p>
        </w:tc>
        <w:tc>
          <w:tcPr>
            <w:tcW w:w="4228"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办公楼（区）内发生的会前的物品准备、会场清洁、会场布置、会议期间的茶水供应、应急疏散、会议用品保管等。</w:t>
            </w:r>
          </w:p>
        </w:tc>
        <w:tc>
          <w:tcPr>
            <w:tcW w:w="178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3700</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人</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每</w:t>
            </w:r>
            <w:r>
              <w:rPr>
                <w:rFonts w:ascii="Times New Roman" w:hAnsi="Times New Roman" w:eastAsia="方正仿宋_GBK" w:cs="Times New Roman"/>
                <w:kern w:val="0"/>
                <w:sz w:val="24"/>
                <w:szCs w:val="24"/>
              </w:rPr>
              <w:t>500</w:t>
            </w:r>
            <w:r>
              <w:rPr>
                <w:rFonts w:ascii="Times New Roman" w:hAnsi="方正仿宋_GBK" w:eastAsia="方正仿宋_GBK" w:cs="Times New Roman"/>
                <w:kern w:val="0"/>
                <w:sz w:val="24"/>
                <w:szCs w:val="24"/>
              </w:rPr>
              <w:t>平米会议室设置</w:t>
            </w:r>
            <w:r>
              <w:rPr>
                <w:rFonts w:ascii="Times New Roman" w:hAnsi="Times New Roman" w:eastAsia="方正仿宋_GBK" w:cs="Times New Roman"/>
                <w:kern w:val="0"/>
                <w:sz w:val="24"/>
                <w:szCs w:val="24"/>
              </w:rPr>
              <w:t>1</w:t>
            </w:r>
            <w:r>
              <w:rPr>
                <w:rFonts w:ascii="Times New Roman" w:hAnsi="方正仿宋_GBK" w:eastAsia="方正仿宋_GBK" w:cs="Times New Roman"/>
                <w:kern w:val="0"/>
                <w:sz w:val="24"/>
                <w:szCs w:val="24"/>
              </w:rPr>
              <w:t>人，市领导使用的会议室取</w:t>
            </w:r>
            <w:r>
              <w:rPr>
                <w:rFonts w:ascii="Times New Roman" w:hAnsi="Times New Roman" w:eastAsia="方正仿宋_GBK" w:cs="Times New Roman"/>
                <w:kern w:val="0"/>
                <w:sz w:val="24"/>
                <w:szCs w:val="24"/>
              </w:rPr>
              <w:t>1.2</w:t>
            </w:r>
            <w:r>
              <w:rPr>
                <w:rFonts w:ascii="Times New Roman" w:hAnsi="方正仿宋_GBK" w:eastAsia="方正仿宋_GBK" w:cs="Times New Roman"/>
                <w:kern w:val="0"/>
                <w:sz w:val="24"/>
                <w:szCs w:val="24"/>
              </w:rPr>
              <w:t>倍系数。</w:t>
            </w:r>
          </w:p>
        </w:tc>
      </w:tr>
      <w:tr>
        <w:tblPrEx>
          <w:tblCellMar>
            <w:top w:w="15" w:type="dxa"/>
            <w:left w:w="15" w:type="dxa"/>
            <w:bottom w:w="15" w:type="dxa"/>
            <w:right w:w="15" w:type="dxa"/>
          </w:tblCellMar>
        </w:tblPrEx>
        <w:trPr>
          <w:trHeight w:val="1958"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sz w:val="24"/>
                <w:szCs w:val="24"/>
              </w:rPr>
              <w:t>卫生消毒</w:t>
            </w:r>
          </w:p>
        </w:tc>
        <w:tc>
          <w:tcPr>
            <w:tcW w:w="4228"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办公垃圾等废弃物分类、清理。</w:t>
            </w:r>
          </w:p>
        </w:tc>
        <w:tc>
          <w:tcPr>
            <w:tcW w:w="178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0.2</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㎡指机关办公楼（区）内建筑面积。此费用包含由承接主体承担的清洁药剂、清洁工具、洗手液、卫生纸等低值易耗品费。</w:t>
            </w:r>
          </w:p>
        </w:tc>
      </w:tr>
      <w:tr>
        <w:tblPrEx>
          <w:tblCellMar>
            <w:top w:w="15" w:type="dxa"/>
            <w:left w:w="15" w:type="dxa"/>
            <w:bottom w:w="15" w:type="dxa"/>
            <w:right w:w="15" w:type="dxa"/>
          </w:tblCellMar>
        </w:tblPrEx>
        <w:trPr>
          <w:trHeight w:val="2109"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sz w:val="24"/>
                <w:szCs w:val="24"/>
              </w:rPr>
            </w:pPr>
            <w:r>
              <w:rPr>
                <w:rFonts w:ascii="Times New Roman" w:hAnsi="方正仿宋_GBK" w:eastAsia="方正仿宋_GBK" w:cs="Times New Roman"/>
                <w:sz w:val="24"/>
                <w:szCs w:val="24"/>
              </w:rPr>
              <w:t>电梯运行</w:t>
            </w:r>
          </w:p>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sz w:val="24"/>
                <w:szCs w:val="24"/>
              </w:rPr>
              <w:t>维护</w:t>
            </w:r>
          </w:p>
        </w:tc>
        <w:tc>
          <w:tcPr>
            <w:tcW w:w="4228"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电梯年检及机房设备、井道系统、轿厢设备等的日常养护维修。</w:t>
            </w:r>
          </w:p>
        </w:tc>
        <w:tc>
          <w:tcPr>
            <w:tcW w:w="178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sz w:val="24"/>
                <w:szCs w:val="24"/>
              </w:rPr>
              <w:t>600</w:t>
            </w:r>
            <w:r>
              <w:rPr>
                <w:rFonts w:ascii="Times New Roman" w:hAnsi="方正仿宋_GBK" w:eastAsia="方正仿宋_GBK" w:cs="Times New Roman"/>
                <w:sz w:val="24"/>
                <w:szCs w:val="24"/>
              </w:rPr>
              <w:t>元</w:t>
            </w:r>
            <w:r>
              <w:rPr>
                <w:rFonts w:ascii="Times New Roman" w:hAnsi="Times New Roman" w:eastAsia="方正仿宋_GBK" w:cs="Times New Roman"/>
                <w:sz w:val="24"/>
                <w:szCs w:val="24"/>
              </w:rPr>
              <w:t>/</w:t>
            </w:r>
            <w:r>
              <w:rPr>
                <w:rFonts w:ascii="Times New Roman" w:hAnsi="方正仿宋_GBK" w:eastAsia="方正仿宋_GBK" w:cs="Times New Roman"/>
                <w:sz w:val="24"/>
                <w:szCs w:val="24"/>
              </w:rPr>
              <w:t>部</w:t>
            </w:r>
            <w:r>
              <w:rPr>
                <w:rFonts w:ascii="Times New Roman" w:hAnsi="Times New Roman" w:eastAsia="方正仿宋_GBK" w:cs="Times New Roman"/>
                <w:sz w:val="24"/>
                <w:szCs w:val="24"/>
              </w:rPr>
              <w:t>/</w:t>
            </w:r>
            <w:r>
              <w:rPr>
                <w:rFonts w:ascii="Times New Roman" w:hAnsi="方正仿宋_GBK" w:eastAsia="方正仿宋_GBK" w:cs="Times New Roman"/>
                <w:sz w:val="24"/>
                <w:szCs w:val="24"/>
              </w:rPr>
              <w:t>月</w:t>
            </w:r>
          </w:p>
        </w:tc>
        <w:tc>
          <w:tcPr>
            <w:tcW w:w="2376"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w:t>
            </w:r>
            <w:r>
              <w:rPr>
                <w:rFonts w:ascii="Times New Roman" w:hAnsi="方正仿宋_GBK" w:eastAsia="方正仿宋_GBK" w:cs="Times New Roman"/>
                <w:kern w:val="0"/>
                <w:sz w:val="24"/>
                <w:szCs w:val="24"/>
              </w:rPr>
              <w:t>层（含）以下</w:t>
            </w:r>
            <w:r>
              <w:rPr>
                <w:rFonts w:ascii="Times New Roman" w:hAnsi="Times New Roman" w:eastAsia="方正仿宋_GBK" w:cs="Times New Roman"/>
                <w:kern w:val="0"/>
                <w:sz w:val="24"/>
                <w:szCs w:val="24"/>
              </w:rPr>
              <w:t>600</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部</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月，每增加</w:t>
            </w:r>
            <w:r>
              <w:rPr>
                <w:rFonts w:ascii="Times New Roman" w:hAnsi="Times New Roman" w:eastAsia="方正仿宋_GBK" w:cs="Times New Roman"/>
                <w:kern w:val="0"/>
                <w:sz w:val="24"/>
                <w:szCs w:val="24"/>
              </w:rPr>
              <w:t>1</w:t>
            </w:r>
            <w:r>
              <w:rPr>
                <w:rFonts w:ascii="Times New Roman" w:hAnsi="方正仿宋_GBK" w:eastAsia="方正仿宋_GBK" w:cs="Times New Roman"/>
                <w:kern w:val="0"/>
                <w:sz w:val="24"/>
                <w:szCs w:val="24"/>
              </w:rPr>
              <w:t>层，增加</w:t>
            </w:r>
            <w:r>
              <w:rPr>
                <w:rFonts w:ascii="Times New Roman" w:hAnsi="Times New Roman" w:eastAsia="方正仿宋_GBK" w:cs="Times New Roman"/>
                <w:kern w:val="0"/>
                <w:sz w:val="24"/>
                <w:szCs w:val="24"/>
              </w:rPr>
              <w:t>10—20</w:t>
            </w:r>
            <w:r>
              <w:rPr>
                <w:rFonts w:ascii="Times New Roman" w:hAnsi="方正仿宋_GBK" w:eastAsia="方正仿宋_GBK" w:cs="Times New Roman"/>
                <w:kern w:val="0"/>
                <w:sz w:val="24"/>
                <w:szCs w:val="24"/>
              </w:rPr>
              <w:t>元。此费用包含由承接主体承担的</w:t>
            </w:r>
            <w:r>
              <w:rPr>
                <w:rFonts w:ascii="Times New Roman" w:hAnsi="Times New Roman" w:eastAsia="方正仿宋_GBK" w:cs="Times New Roman"/>
                <w:kern w:val="0"/>
                <w:sz w:val="24"/>
                <w:szCs w:val="24"/>
              </w:rPr>
              <w:t>200</w:t>
            </w:r>
            <w:r>
              <w:rPr>
                <w:rFonts w:ascii="Times New Roman" w:hAnsi="方正仿宋_GBK" w:eastAsia="方正仿宋_GBK" w:cs="Times New Roman"/>
                <w:kern w:val="0"/>
                <w:sz w:val="24"/>
                <w:szCs w:val="24"/>
              </w:rPr>
              <w:t>元以下的单个维修零配件材料费。</w:t>
            </w:r>
          </w:p>
        </w:tc>
      </w:tr>
      <w:tr>
        <w:tblPrEx>
          <w:tblCellMar>
            <w:top w:w="15" w:type="dxa"/>
            <w:left w:w="15" w:type="dxa"/>
            <w:bottom w:w="15" w:type="dxa"/>
            <w:right w:w="15" w:type="dxa"/>
          </w:tblCellMar>
        </w:tblPrEx>
        <w:trPr>
          <w:trHeight w:val="676" w:hRule="atLeast"/>
          <w:jc w:val="center"/>
        </w:trPr>
        <w:tc>
          <w:tcPr>
            <w:tcW w:w="1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除</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四害</w:t>
            </w:r>
            <w:r>
              <w:rPr>
                <w:rFonts w:ascii="Times New Roman" w:hAnsi="Times New Roman" w:eastAsia="方正仿宋_GBK" w:cs="Times New Roman"/>
                <w:kern w:val="0"/>
                <w:sz w:val="24"/>
                <w:szCs w:val="24"/>
              </w:rPr>
              <w:t>”</w:t>
            </w:r>
          </w:p>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管理</w:t>
            </w:r>
          </w:p>
        </w:tc>
        <w:tc>
          <w:tcPr>
            <w:tcW w:w="422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四害预防、灭治。</w:t>
            </w:r>
          </w:p>
        </w:tc>
        <w:tc>
          <w:tcPr>
            <w:tcW w:w="178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0.03</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㎡指机关办公楼（区）内占地面积。</w:t>
            </w:r>
          </w:p>
        </w:tc>
      </w:tr>
      <w:tr>
        <w:tblPrEx>
          <w:tblCellMar>
            <w:top w:w="15" w:type="dxa"/>
            <w:left w:w="15" w:type="dxa"/>
            <w:bottom w:w="15" w:type="dxa"/>
            <w:right w:w="15" w:type="dxa"/>
          </w:tblCellMar>
        </w:tblPrEx>
        <w:trPr>
          <w:trHeight w:val="595"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sz w:val="24"/>
                <w:szCs w:val="24"/>
              </w:rPr>
            </w:pPr>
            <w:r>
              <w:rPr>
                <w:rFonts w:ascii="Times New Roman" w:hAnsi="方正仿宋_GBK" w:eastAsia="方正仿宋_GBK" w:cs="Times New Roman"/>
                <w:sz w:val="24"/>
                <w:szCs w:val="24"/>
              </w:rPr>
              <w:t>消防系统</w:t>
            </w:r>
          </w:p>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sz w:val="24"/>
                <w:szCs w:val="24"/>
              </w:rPr>
              <w:t>维护</w:t>
            </w:r>
          </w:p>
        </w:tc>
        <w:tc>
          <w:tcPr>
            <w:tcW w:w="4228"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办公楼（区）灭火器与自动报警系统、自动喷淋系统、安全疏散系统及红外线报警器等日常管理养护。</w:t>
            </w:r>
          </w:p>
        </w:tc>
        <w:tc>
          <w:tcPr>
            <w:tcW w:w="178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Arial" w:hAnsi="Arial" w:eastAsia="方正仿宋_GBK" w:cs="Times New Roman"/>
                <w:kern w:val="0"/>
                <w:sz w:val="24"/>
                <w:szCs w:val="24"/>
              </w:rPr>
              <w:t>≦</w:t>
            </w:r>
            <w:r>
              <w:rPr>
                <w:rFonts w:ascii="Times New Roman" w:hAnsi="Times New Roman" w:eastAsia="方正仿宋_GBK" w:cs="Times New Roman"/>
                <w:kern w:val="0"/>
                <w:sz w:val="24"/>
                <w:szCs w:val="24"/>
              </w:rPr>
              <w:t>0.1</w:t>
            </w:r>
            <w:r>
              <w:rPr>
                <w:rFonts w:ascii="Times New Roman" w:hAnsi="方正仿宋_GBK" w:eastAsia="方正仿宋_GBK" w:cs="Times New Roman"/>
                <w:kern w:val="0"/>
                <w:sz w:val="24"/>
                <w:szCs w:val="24"/>
              </w:rPr>
              <w:t>元</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w:t>
            </w:r>
            <w:r>
              <w:rPr>
                <w:rFonts w:ascii="Times New Roman" w:hAnsi="Times New Roman" w:eastAsia="方正仿宋_GBK" w:cs="Times New Roman"/>
                <w:kern w:val="0"/>
                <w:sz w:val="24"/>
                <w:szCs w:val="24"/>
              </w:rPr>
              <w:t>/</w:t>
            </w:r>
            <w:r>
              <w:rPr>
                <w:rFonts w:ascii="Times New Roman" w:hAnsi="方正仿宋_GBK" w:eastAsia="方正仿宋_GBK" w:cs="Times New Roman"/>
                <w:kern w:val="0"/>
                <w:sz w:val="24"/>
                <w:szCs w:val="24"/>
              </w:rPr>
              <w:t>月</w:t>
            </w:r>
          </w:p>
        </w:tc>
        <w:tc>
          <w:tcPr>
            <w:tcW w:w="2376"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㎡指机关办公楼（区）内建筑面积。此费用包含由承接主体承担的</w:t>
            </w:r>
            <w:r>
              <w:rPr>
                <w:rFonts w:ascii="Times New Roman" w:hAnsi="Times New Roman" w:eastAsia="方正仿宋_GBK" w:cs="Times New Roman"/>
                <w:kern w:val="0"/>
                <w:sz w:val="24"/>
                <w:szCs w:val="24"/>
              </w:rPr>
              <w:t>200</w:t>
            </w:r>
            <w:r>
              <w:rPr>
                <w:rFonts w:ascii="Times New Roman" w:hAnsi="方正仿宋_GBK" w:eastAsia="方正仿宋_GBK" w:cs="Times New Roman"/>
                <w:kern w:val="0"/>
                <w:sz w:val="24"/>
                <w:szCs w:val="24"/>
              </w:rPr>
              <w:t>元以下的单个维修零配件材料费。</w:t>
            </w:r>
          </w:p>
        </w:tc>
      </w:tr>
      <w:tr>
        <w:tblPrEx>
          <w:tblCellMar>
            <w:top w:w="15" w:type="dxa"/>
            <w:left w:w="15" w:type="dxa"/>
            <w:bottom w:w="15" w:type="dxa"/>
            <w:right w:w="15" w:type="dxa"/>
          </w:tblCellMar>
        </w:tblPrEx>
        <w:trPr>
          <w:trHeight w:val="442" w:hRule="atLeast"/>
          <w:jc w:val="center"/>
        </w:trPr>
        <w:tc>
          <w:tcPr>
            <w:tcW w:w="182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Times New Roman" w:hAnsi="Times New Roman" w:eastAsia="方正仿宋_GBK" w:cs="Times New Roman"/>
                <w:kern w:val="0"/>
                <w:sz w:val="24"/>
                <w:szCs w:val="24"/>
              </w:rPr>
            </w:pPr>
            <w:r>
              <w:rPr>
                <w:rFonts w:ascii="Times New Roman" w:hAnsi="方正仿宋_GBK" w:eastAsia="方正仿宋_GBK" w:cs="Times New Roman"/>
                <w:sz w:val="24"/>
                <w:szCs w:val="24"/>
              </w:rPr>
              <w:t>其他项目</w:t>
            </w:r>
          </w:p>
        </w:tc>
        <w:tc>
          <w:tcPr>
            <w:tcW w:w="8389" w:type="dxa"/>
            <w:gridSpan w:val="3"/>
            <w:tcBorders>
              <w:top w:val="nil"/>
              <w:left w:val="nil"/>
              <w:bottom w:val="single" w:color="auto" w:sz="4" w:space="0"/>
              <w:right w:val="single" w:color="auto" w:sz="4" w:space="0"/>
            </w:tcBorders>
            <w:tcMar>
              <w:top w:w="0" w:type="dxa"/>
              <w:left w:w="108" w:type="dxa"/>
              <w:bottom w:w="0" w:type="dxa"/>
              <w:right w:w="108" w:type="dxa"/>
            </w:tcMar>
            <w:vAlign w:val="center"/>
          </w:tcPr>
          <w:p>
            <w:pPr>
              <w:spacing w:line="320" w:lineRule="exact"/>
              <w:rPr>
                <w:rFonts w:ascii="Times New Roman" w:hAnsi="Times New Roman" w:eastAsia="方正仿宋_GBK" w:cs="Times New Roman"/>
                <w:kern w:val="0"/>
                <w:sz w:val="24"/>
                <w:szCs w:val="24"/>
              </w:rPr>
            </w:pPr>
            <w:r>
              <w:rPr>
                <w:rFonts w:ascii="Times New Roman" w:hAnsi="方正仿宋_GBK" w:eastAsia="方正仿宋_GBK" w:cs="Times New Roman"/>
                <w:kern w:val="0"/>
                <w:sz w:val="24"/>
                <w:szCs w:val="24"/>
              </w:rPr>
              <w:t>根据本单位情况双方协商确定服务内容、质量和收费标准。</w:t>
            </w:r>
          </w:p>
        </w:tc>
      </w:tr>
    </w:tbl>
    <w:p>
      <w:pPr>
        <w:spacing w:line="500" w:lineRule="exact"/>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说明：</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（一）物业面积测算及分类</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物业面积</w:t>
      </w:r>
      <w:r>
        <w:rPr>
          <w:rFonts w:ascii="Times New Roman" w:hAnsi="Times New Roman" w:eastAsia="方正楷体_GBK" w:cs="Times New Roman"/>
          <w:kern w:val="0"/>
          <w:sz w:val="28"/>
          <w:szCs w:val="28"/>
        </w:rPr>
        <w:t>=</w:t>
      </w:r>
      <w:r>
        <w:rPr>
          <w:rFonts w:ascii="Times New Roman" w:hAnsi="方正楷体_GBK" w:eastAsia="方正楷体_GBK" w:cs="Times New Roman"/>
          <w:kern w:val="0"/>
          <w:sz w:val="28"/>
          <w:szCs w:val="28"/>
        </w:rPr>
        <w:t>建筑面积</w:t>
      </w:r>
      <w:r>
        <w:rPr>
          <w:rFonts w:ascii="Times New Roman" w:hAnsi="Times New Roman" w:eastAsia="方正楷体_GBK" w:cs="Times New Roman"/>
          <w:kern w:val="0"/>
          <w:sz w:val="28"/>
          <w:szCs w:val="28"/>
        </w:rPr>
        <w:t>+</w:t>
      </w:r>
      <w:r>
        <w:rPr>
          <w:rFonts w:ascii="Times New Roman" w:hAnsi="方正楷体_GBK" w:eastAsia="方正楷体_GBK" w:cs="Times New Roman"/>
          <w:kern w:val="0"/>
          <w:sz w:val="28"/>
          <w:szCs w:val="28"/>
        </w:rPr>
        <w:t>占地面积，同一办公楼（区）按照所有单位的物业面积总和进行分类。</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（二）上表所有运行管理维护超出标准的维修零配件另行计算。</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（三）该价格标准根据益阳市年度平均工资标准上调比例每三年进行一次调整。</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（四）此标准不包含水、电、气等能耗费用。</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（五）按照建筑规模、建筑年限、人均建筑面积三项调整系数，对物业费预算分项指标汇总数按相应系数进行调整。</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建筑规模调整系数。建筑面积少于</w:t>
      </w:r>
      <w:r>
        <w:rPr>
          <w:rFonts w:ascii="Times New Roman" w:hAnsi="Times New Roman" w:eastAsia="方正楷体_GBK" w:cs="Times New Roman"/>
          <w:kern w:val="0"/>
          <w:sz w:val="28"/>
          <w:szCs w:val="28"/>
        </w:rPr>
        <w:t>1</w:t>
      </w:r>
      <w:r>
        <w:rPr>
          <w:rFonts w:ascii="Times New Roman" w:hAnsi="方正楷体_GBK" w:eastAsia="方正楷体_GBK" w:cs="Times New Roman"/>
          <w:kern w:val="0"/>
          <w:sz w:val="28"/>
          <w:szCs w:val="28"/>
        </w:rPr>
        <w:t>万平方米（不含</w:t>
      </w:r>
      <w:r>
        <w:rPr>
          <w:rFonts w:ascii="Times New Roman" w:hAnsi="Times New Roman" w:eastAsia="方正楷体_GBK" w:cs="Times New Roman"/>
          <w:kern w:val="0"/>
          <w:sz w:val="28"/>
          <w:szCs w:val="28"/>
        </w:rPr>
        <w:t>1</w:t>
      </w:r>
      <w:r>
        <w:rPr>
          <w:rFonts w:ascii="Times New Roman" w:hAnsi="方正楷体_GBK" w:eastAsia="方正楷体_GBK" w:cs="Times New Roman"/>
          <w:kern w:val="0"/>
          <w:sz w:val="28"/>
          <w:szCs w:val="28"/>
        </w:rPr>
        <w:t>万平方米，下同）的，上浮</w:t>
      </w:r>
      <w:r>
        <w:rPr>
          <w:rFonts w:ascii="Times New Roman" w:hAnsi="Times New Roman" w:eastAsia="方正楷体_GBK" w:cs="Times New Roman"/>
          <w:kern w:val="0"/>
          <w:sz w:val="28"/>
          <w:szCs w:val="28"/>
        </w:rPr>
        <w:t>5%</w:t>
      </w:r>
      <w:r>
        <w:rPr>
          <w:rFonts w:ascii="Times New Roman" w:hAnsi="方正楷体_GBK" w:eastAsia="方正楷体_GBK" w:cs="Times New Roman"/>
          <w:kern w:val="0"/>
          <w:sz w:val="28"/>
          <w:szCs w:val="28"/>
        </w:rPr>
        <w:t>；</w:t>
      </w:r>
      <w:r>
        <w:rPr>
          <w:rFonts w:ascii="Times New Roman" w:hAnsi="Times New Roman" w:eastAsia="方正楷体_GBK" w:cs="Times New Roman"/>
          <w:kern w:val="0"/>
          <w:sz w:val="28"/>
          <w:szCs w:val="28"/>
        </w:rPr>
        <w:t>1</w:t>
      </w:r>
      <w:r>
        <w:rPr>
          <w:rFonts w:ascii="Times New Roman" w:hAnsi="方正楷体_GBK" w:eastAsia="方正楷体_GBK" w:cs="Times New Roman"/>
          <w:kern w:val="0"/>
          <w:sz w:val="28"/>
          <w:szCs w:val="28"/>
        </w:rPr>
        <w:t>至</w:t>
      </w:r>
      <w:r>
        <w:rPr>
          <w:rFonts w:ascii="Times New Roman" w:hAnsi="Times New Roman" w:eastAsia="方正楷体_GBK" w:cs="Times New Roman"/>
          <w:kern w:val="0"/>
          <w:sz w:val="28"/>
          <w:szCs w:val="28"/>
        </w:rPr>
        <w:t>3</w:t>
      </w:r>
      <w:r>
        <w:rPr>
          <w:rFonts w:ascii="Times New Roman" w:hAnsi="方正楷体_GBK" w:eastAsia="方正楷体_GBK" w:cs="Times New Roman"/>
          <w:kern w:val="0"/>
          <w:sz w:val="28"/>
          <w:szCs w:val="28"/>
        </w:rPr>
        <w:t>万平方米的，上浮</w:t>
      </w:r>
      <w:r>
        <w:rPr>
          <w:rFonts w:ascii="Times New Roman" w:hAnsi="Times New Roman" w:eastAsia="方正楷体_GBK" w:cs="Times New Roman"/>
          <w:kern w:val="0"/>
          <w:sz w:val="28"/>
          <w:szCs w:val="28"/>
        </w:rPr>
        <w:t>3%</w:t>
      </w:r>
      <w:r>
        <w:rPr>
          <w:rFonts w:ascii="Times New Roman" w:hAnsi="方正楷体_GBK" w:eastAsia="方正楷体_GBK" w:cs="Times New Roman"/>
          <w:kern w:val="0"/>
          <w:sz w:val="28"/>
          <w:szCs w:val="28"/>
        </w:rPr>
        <w:t>；</w:t>
      </w:r>
      <w:r>
        <w:rPr>
          <w:rFonts w:ascii="Times New Roman" w:hAnsi="Times New Roman" w:eastAsia="方正楷体_GBK" w:cs="Times New Roman"/>
          <w:kern w:val="0"/>
          <w:sz w:val="28"/>
          <w:szCs w:val="28"/>
        </w:rPr>
        <w:t>3</w:t>
      </w:r>
      <w:r>
        <w:rPr>
          <w:rFonts w:ascii="Times New Roman" w:hAnsi="方正楷体_GBK" w:eastAsia="方正楷体_GBK" w:cs="Times New Roman"/>
          <w:kern w:val="0"/>
          <w:sz w:val="28"/>
          <w:szCs w:val="28"/>
        </w:rPr>
        <w:t>至</w:t>
      </w:r>
      <w:r>
        <w:rPr>
          <w:rFonts w:ascii="Times New Roman" w:hAnsi="Times New Roman" w:eastAsia="方正楷体_GBK" w:cs="Times New Roman"/>
          <w:kern w:val="0"/>
          <w:sz w:val="28"/>
          <w:szCs w:val="28"/>
        </w:rPr>
        <w:t>7</w:t>
      </w:r>
      <w:r>
        <w:rPr>
          <w:rFonts w:ascii="Times New Roman" w:hAnsi="方正楷体_GBK" w:eastAsia="方正楷体_GBK" w:cs="Times New Roman"/>
          <w:kern w:val="0"/>
          <w:sz w:val="28"/>
          <w:szCs w:val="28"/>
        </w:rPr>
        <w:t>万平方米的，不调整；</w:t>
      </w:r>
      <w:r>
        <w:rPr>
          <w:rFonts w:ascii="Times New Roman" w:hAnsi="Times New Roman" w:eastAsia="方正楷体_GBK" w:cs="Times New Roman"/>
          <w:kern w:val="0"/>
          <w:sz w:val="28"/>
          <w:szCs w:val="28"/>
        </w:rPr>
        <w:t>7</w:t>
      </w:r>
      <w:r>
        <w:rPr>
          <w:rFonts w:ascii="Times New Roman" w:hAnsi="方正楷体_GBK" w:eastAsia="方正楷体_GBK" w:cs="Times New Roman"/>
          <w:kern w:val="0"/>
          <w:sz w:val="28"/>
          <w:szCs w:val="28"/>
        </w:rPr>
        <w:t>至</w:t>
      </w:r>
      <w:r>
        <w:rPr>
          <w:rFonts w:ascii="Times New Roman" w:hAnsi="Times New Roman" w:eastAsia="方正楷体_GBK" w:cs="Times New Roman"/>
          <w:kern w:val="0"/>
          <w:sz w:val="28"/>
          <w:szCs w:val="28"/>
        </w:rPr>
        <w:t>12</w:t>
      </w:r>
      <w:r>
        <w:rPr>
          <w:rFonts w:ascii="Times New Roman" w:hAnsi="方正楷体_GBK" w:eastAsia="方正楷体_GBK" w:cs="Times New Roman"/>
          <w:kern w:val="0"/>
          <w:sz w:val="28"/>
          <w:szCs w:val="28"/>
        </w:rPr>
        <w:t>万平方米的，下浮</w:t>
      </w:r>
      <w:r>
        <w:rPr>
          <w:rFonts w:ascii="Times New Roman" w:hAnsi="Times New Roman" w:eastAsia="方正楷体_GBK" w:cs="Times New Roman"/>
          <w:kern w:val="0"/>
          <w:sz w:val="28"/>
          <w:szCs w:val="28"/>
        </w:rPr>
        <w:t>3%</w:t>
      </w:r>
      <w:r>
        <w:rPr>
          <w:rFonts w:ascii="Times New Roman" w:hAnsi="方正楷体_GBK" w:eastAsia="方正楷体_GBK" w:cs="Times New Roman"/>
          <w:kern w:val="0"/>
          <w:sz w:val="28"/>
          <w:szCs w:val="28"/>
        </w:rPr>
        <w:t>；</w:t>
      </w:r>
      <w:r>
        <w:rPr>
          <w:rFonts w:ascii="Times New Roman" w:hAnsi="Times New Roman" w:eastAsia="方正楷体_GBK" w:cs="Times New Roman"/>
          <w:kern w:val="0"/>
          <w:sz w:val="28"/>
          <w:szCs w:val="28"/>
        </w:rPr>
        <w:t xml:space="preserve"> 12</w:t>
      </w:r>
      <w:r>
        <w:rPr>
          <w:rFonts w:ascii="Times New Roman" w:hAnsi="方正楷体_GBK" w:eastAsia="方正楷体_GBK" w:cs="Times New Roman"/>
          <w:kern w:val="0"/>
          <w:sz w:val="28"/>
          <w:szCs w:val="28"/>
        </w:rPr>
        <w:t>万平方米及以上的，下浮</w:t>
      </w:r>
      <w:r>
        <w:rPr>
          <w:rFonts w:ascii="Times New Roman" w:hAnsi="Times New Roman" w:eastAsia="方正楷体_GBK" w:cs="Times New Roman"/>
          <w:kern w:val="0"/>
          <w:sz w:val="28"/>
          <w:szCs w:val="28"/>
        </w:rPr>
        <w:t>5%</w:t>
      </w:r>
      <w:r>
        <w:rPr>
          <w:rFonts w:ascii="Times New Roman" w:hAnsi="方正楷体_GBK" w:eastAsia="方正楷体_GBK" w:cs="Times New Roman"/>
          <w:kern w:val="0"/>
          <w:sz w:val="28"/>
          <w:szCs w:val="28"/>
        </w:rPr>
        <w:t>。</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建筑年限调整系数。建筑年限超过</w:t>
      </w:r>
      <w:r>
        <w:rPr>
          <w:rFonts w:ascii="Times New Roman" w:hAnsi="Times New Roman" w:eastAsia="方正楷体_GBK" w:cs="Times New Roman"/>
          <w:kern w:val="0"/>
          <w:sz w:val="28"/>
          <w:szCs w:val="28"/>
        </w:rPr>
        <w:t>25</w:t>
      </w:r>
      <w:r>
        <w:rPr>
          <w:rFonts w:ascii="Times New Roman" w:hAnsi="方正楷体_GBK" w:eastAsia="方正楷体_GBK" w:cs="Times New Roman"/>
          <w:kern w:val="0"/>
          <w:sz w:val="28"/>
          <w:szCs w:val="28"/>
        </w:rPr>
        <w:t>年的建筑物占机关大院总面积超过</w:t>
      </w:r>
      <w:r>
        <w:rPr>
          <w:rFonts w:ascii="Times New Roman" w:hAnsi="Times New Roman" w:eastAsia="方正楷体_GBK" w:cs="Times New Roman"/>
          <w:kern w:val="0"/>
          <w:sz w:val="28"/>
          <w:szCs w:val="28"/>
        </w:rPr>
        <w:t>50%</w:t>
      </w:r>
      <w:r>
        <w:rPr>
          <w:rFonts w:ascii="Times New Roman" w:hAnsi="方正楷体_GBK" w:eastAsia="方正楷体_GBK" w:cs="Times New Roman"/>
          <w:kern w:val="0"/>
          <w:sz w:val="28"/>
          <w:szCs w:val="28"/>
        </w:rPr>
        <w:t>的（不含</w:t>
      </w:r>
      <w:r>
        <w:rPr>
          <w:rFonts w:ascii="Times New Roman" w:hAnsi="Times New Roman" w:eastAsia="方正楷体_GBK" w:cs="Times New Roman"/>
          <w:kern w:val="0"/>
          <w:sz w:val="28"/>
          <w:szCs w:val="28"/>
        </w:rPr>
        <w:t>50%</w:t>
      </w:r>
      <w:r>
        <w:rPr>
          <w:rFonts w:ascii="Times New Roman" w:hAnsi="方正楷体_GBK" w:eastAsia="方正楷体_GBK" w:cs="Times New Roman"/>
          <w:kern w:val="0"/>
          <w:sz w:val="28"/>
          <w:szCs w:val="28"/>
        </w:rPr>
        <w:t>），上浮</w:t>
      </w:r>
      <w:r>
        <w:rPr>
          <w:rFonts w:ascii="Times New Roman" w:hAnsi="Times New Roman" w:eastAsia="方正楷体_GBK" w:cs="Times New Roman"/>
          <w:kern w:val="0"/>
          <w:sz w:val="28"/>
          <w:szCs w:val="28"/>
        </w:rPr>
        <w:t>3%</w:t>
      </w:r>
      <w:r>
        <w:rPr>
          <w:rFonts w:ascii="Times New Roman" w:hAnsi="方正楷体_GBK" w:eastAsia="方正楷体_GBK" w:cs="Times New Roman"/>
          <w:kern w:val="0"/>
          <w:sz w:val="28"/>
          <w:szCs w:val="28"/>
        </w:rPr>
        <w:t>。</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人均建筑面积调整系数。人均建筑面积（原则上按单位核定编制人数计算）</w:t>
      </w:r>
      <w:r>
        <w:rPr>
          <w:rFonts w:ascii="Times New Roman" w:hAnsi="Times New Roman" w:eastAsia="方正楷体_GBK" w:cs="Times New Roman"/>
          <w:kern w:val="0"/>
          <w:sz w:val="28"/>
          <w:szCs w:val="28"/>
        </w:rPr>
        <w:t>50</w:t>
      </w:r>
      <w:r>
        <w:rPr>
          <w:rFonts w:ascii="Times New Roman" w:hAnsi="方正楷体_GBK" w:eastAsia="方正楷体_GBK" w:cs="Times New Roman"/>
          <w:kern w:val="0"/>
          <w:sz w:val="28"/>
          <w:szCs w:val="28"/>
        </w:rPr>
        <w:t>平方米（不含</w:t>
      </w:r>
      <w:r>
        <w:rPr>
          <w:rFonts w:ascii="Times New Roman" w:hAnsi="Times New Roman" w:eastAsia="方正楷体_GBK" w:cs="Times New Roman"/>
          <w:kern w:val="0"/>
          <w:sz w:val="28"/>
          <w:szCs w:val="28"/>
        </w:rPr>
        <w:t>50</w:t>
      </w:r>
      <w:r>
        <w:rPr>
          <w:rFonts w:ascii="Times New Roman" w:hAnsi="方正楷体_GBK" w:eastAsia="方正楷体_GBK" w:cs="Times New Roman"/>
          <w:kern w:val="0"/>
          <w:sz w:val="28"/>
          <w:szCs w:val="28"/>
        </w:rPr>
        <w:t>平方米，下同）以下的，上浮</w:t>
      </w:r>
      <w:r>
        <w:rPr>
          <w:rFonts w:ascii="Times New Roman" w:hAnsi="Times New Roman" w:eastAsia="方正楷体_GBK" w:cs="Times New Roman"/>
          <w:kern w:val="0"/>
          <w:sz w:val="28"/>
          <w:szCs w:val="28"/>
        </w:rPr>
        <w:t>10%</w:t>
      </w:r>
      <w:r>
        <w:rPr>
          <w:rFonts w:ascii="Times New Roman" w:hAnsi="方正楷体_GBK" w:eastAsia="方正楷体_GBK" w:cs="Times New Roman"/>
          <w:kern w:val="0"/>
          <w:sz w:val="28"/>
          <w:szCs w:val="28"/>
        </w:rPr>
        <w:t>；</w:t>
      </w:r>
      <w:r>
        <w:rPr>
          <w:rFonts w:ascii="Times New Roman" w:hAnsi="Times New Roman" w:eastAsia="方正楷体_GBK" w:cs="Times New Roman"/>
          <w:kern w:val="0"/>
          <w:sz w:val="28"/>
          <w:szCs w:val="28"/>
        </w:rPr>
        <w:t>50</w:t>
      </w:r>
      <w:r>
        <w:rPr>
          <w:rFonts w:ascii="Times New Roman" w:hAnsi="方正楷体_GBK" w:eastAsia="方正楷体_GBK" w:cs="Times New Roman"/>
          <w:kern w:val="0"/>
          <w:sz w:val="28"/>
          <w:szCs w:val="28"/>
        </w:rPr>
        <w:t>至</w:t>
      </w:r>
      <w:r>
        <w:rPr>
          <w:rFonts w:ascii="Times New Roman" w:hAnsi="Times New Roman" w:eastAsia="方正楷体_GBK" w:cs="Times New Roman"/>
          <w:kern w:val="0"/>
          <w:sz w:val="28"/>
          <w:szCs w:val="28"/>
        </w:rPr>
        <w:t>100</w:t>
      </w:r>
      <w:r>
        <w:rPr>
          <w:rFonts w:ascii="Times New Roman" w:hAnsi="方正楷体_GBK" w:eastAsia="方正楷体_GBK" w:cs="Times New Roman"/>
          <w:kern w:val="0"/>
          <w:sz w:val="28"/>
          <w:szCs w:val="28"/>
        </w:rPr>
        <w:t>平方米的，不调整；</w:t>
      </w:r>
      <w:r>
        <w:rPr>
          <w:rFonts w:ascii="Times New Roman" w:hAnsi="Times New Roman" w:eastAsia="方正楷体_GBK" w:cs="Times New Roman"/>
          <w:kern w:val="0"/>
          <w:sz w:val="28"/>
          <w:szCs w:val="28"/>
        </w:rPr>
        <w:t>100</w:t>
      </w:r>
      <w:r>
        <w:rPr>
          <w:rFonts w:ascii="Times New Roman" w:hAnsi="方正楷体_GBK" w:eastAsia="方正楷体_GBK" w:cs="Times New Roman"/>
          <w:kern w:val="0"/>
          <w:sz w:val="28"/>
          <w:szCs w:val="28"/>
        </w:rPr>
        <w:t>平方米及以上的，下浮</w:t>
      </w:r>
      <w:r>
        <w:rPr>
          <w:rFonts w:ascii="Times New Roman" w:hAnsi="Times New Roman" w:eastAsia="方正楷体_GBK" w:cs="Times New Roman"/>
          <w:kern w:val="0"/>
          <w:sz w:val="28"/>
          <w:szCs w:val="28"/>
        </w:rPr>
        <w:t>10%</w:t>
      </w:r>
      <w:r>
        <w:rPr>
          <w:rFonts w:ascii="Times New Roman" w:hAnsi="方正楷体_GBK" w:eastAsia="方正楷体_GBK" w:cs="Times New Roman"/>
          <w:kern w:val="0"/>
          <w:sz w:val="28"/>
          <w:szCs w:val="28"/>
        </w:rPr>
        <w:t>。</w:t>
      </w:r>
    </w:p>
    <w:p>
      <w:pPr>
        <w:spacing w:line="500" w:lineRule="exact"/>
        <w:ind w:firstLine="560" w:firstLineChars="200"/>
        <w:rPr>
          <w:rFonts w:ascii="Times New Roman" w:hAnsi="Times New Roman" w:eastAsia="方正楷体_GBK" w:cs="Times New Roman"/>
          <w:kern w:val="0"/>
          <w:sz w:val="28"/>
          <w:szCs w:val="28"/>
        </w:rPr>
      </w:pPr>
      <w:r>
        <w:rPr>
          <w:rFonts w:ascii="Times New Roman" w:hAnsi="方正楷体_GBK" w:eastAsia="方正楷体_GBK" w:cs="Times New Roman"/>
          <w:kern w:val="0"/>
          <w:sz w:val="28"/>
          <w:szCs w:val="28"/>
        </w:rPr>
        <w:t>（六）本标准为指导性标准（非强制性标准），适用于益阳市直行政事业单位办公</w:t>
      </w:r>
      <w:r>
        <w:rPr>
          <w:rFonts w:hint="eastAsia" w:ascii="Times New Roman" w:hAnsi="方正楷体_GBK" w:eastAsia="方正楷体_GBK" w:cs="Times New Roman"/>
          <w:kern w:val="0"/>
          <w:sz w:val="28"/>
          <w:szCs w:val="28"/>
        </w:rPr>
        <w:t>楼（</w:t>
      </w:r>
      <w:r>
        <w:rPr>
          <w:rFonts w:ascii="Times New Roman" w:hAnsi="方正楷体_GBK" w:eastAsia="方正楷体_GBK" w:cs="Times New Roman"/>
          <w:kern w:val="0"/>
          <w:sz w:val="28"/>
          <w:szCs w:val="28"/>
        </w:rPr>
        <w:t>区</w:t>
      </w:r>
      <w:r>
        <w:rPr>
          <w:rFonts w:hint="eastAsia" w:ascii="Times New Roman" w:hAnsi="方正楷体_GBK" w:eastAsia="方正楷体_GBK" w:cs="Times New Roman"/>
          <w:kern w:val="0"/>
          <w:sz w:val="28"/>
          <w:szCs w:val="28"/>
        </w:rPr>
        <w:t>）</w:t>
      </w:r>
      <w:r>
        <w:rPr>
          <w:rFonts w:ascii="Times New Roman" w:hAnsi="方正楷体_GBK" w:eastAsia="方正楷体_GBK" w:cs="Times New Roman"/>
          <w:kern w:val="0"/>
          <w:sz w:val="28"/>
          <w:szCs w:val="28"/>
        </w:rPr>
        <w:t>物业的服务和管理。各单位可参照本标准中的物业服务内容和标准，并根据实际情况，与物业服务公司商定服务具体内容和标准。</w:t>
      </w:r>
    </w:p>
    <w:p>
      <w:pPr>
        <w:pStyle w:val="3"/>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sectPr>
      <w:footerReference r:id="rId3" w:type="default"/>
      <w:pgSz w:w="11906" w:h="16838"/>
      <w:pgMar w:top="2098" w:right="1531" w:bottom="1928" w:left="1531"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path/>
          <v:fill on="f" focussize="0,0"/>
          <v:stroke on="f" joinstyle="miter"/>
          <v:imagedata o:title=""/>
          <o:lock v:ext="edit"/>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xODFmOGZhMWQzOGU5NmMzOWQ4OWQ2YmZkMDE3OWQifQ=="/>
  </w:docVars>
  <w:rsids>
    <w:rsidRoot w:val="001B55D9"/>
    <w:rsid w:val="000204FC"/>
    <w:rsid w:val="000A354B"/>
    <w:rsid w:val="000B7646"/>
    <w:rsid w:val="000E0266"/>
    <w:rsid w:val="000F322D"/>
    <w:rsid w:val="001169A3"/>
    <w:rsid w:val="001464AE"/>
    <w:rsid w:val="00164657"/>
    <w:rsid w:val="00166B3C"/>
    <w:rsid w:val="00177ADE"/>
    <w:rsid w:val="001A7250"/>
    <w:rsid w:val="001B55D9"/>
    <w:rsid w:val="001C35C7"/>
    <w:rsid w:val="001E7339"/>
    <w:rsid w:val="001F18C4"/>
    <w:rsid w:val="001F47F0"/>
    <w:rsid w:val="00237E1A"/>
    <w:rsid w:val="00264B37"/>
    <w:rsid w:val="00277B64"/>
    <w:rsid w:val="002934D8"/>
    <w:rsid w:val="002D2CE4"/>
    <w:rsid w:val="00391DC4"/>
    <w:rsid w:val="003F0C88"/>
    <w:rsid w:val="00411062"/>
    <w:rsid w:val="00427FE1"/>
    <w:rsid w:val="00453694"/>
    <w:rsid w:val="00470CA6"/>
    <w:rsid w:val="0049156A"/>
    <w:rsid w:val="004D4113"/>
    <w:rsid w:val="004E15FF"/>
    <w:rsid w:val="00500826"/>
    <w:rsid w:val="00526F06"/>
    <w:rsid w:val="0053003D"/>
    <w:rsid w:val="00535A96"/>
    <w:rsid w:val="00543563"/>
    <w:rsid w:val="00545164"/>
    <w:rsid w:val="0056323D"/>
    <w:rsid w:val="00584157"/>
    <w:rsid w:val="005842FE"/>
    <w:rsid w:val="005A3088"/>
    <w:rsid w:val="005B19DD"/>
    <w:rsid w:val="00640C8C"/>
    <w:rsid w:val="006D44E5"/>
    <w:rsid w:val="006E0EF6"/>
    <w:rsid w:val="00716E88"/>
    <w:rsid w:val="007A50CE"/>
    <w:rsid w:val="007A7784"/>
    <w:rsid w:val="007D568F"/>
    <w:rsid w:val="00846E31"/>
    <w:rsid w:val="008858C8"/>
    <w:rsid w:val="008A44AB"/>
    <w:rsid w:val="008C4969"/>
    <w:rsid w:val="008C7F6F"/>
    <w:rsid w:val="008D79E3"/>
    <w:rsid w:val="009134D9"/>
    <w:rsid w:val="00942AC7"/>
    <w:rsid w:val="0095246F"/>
    <w:rsid w:val="0095382C"/>
    <w:rsid w:val="00983A85"/>
    <w:rsid w:val="009A055B"/>
    <w:rsid w:val="009B60C7"/>
    <w:rsid w:val="009F085B"/>
    <w:rsid w:val="00A14941"/>
    <w:rsid w:val="00A45A35"/>
    <w:rsid w:val="00AE2BD6"/>
    <w:rsid w:val="00B02C08"/>
    <w:rsid w:val="00B168DF"/>
    <w:rsid w:val="00B230BC"/>
    <w:rsid w:val="00B4265B"/>
    <w:rsid w:val="00B8160D"/>
    <w:rsid w:val="00BA2DCC"/>
    <w:rsid w:val="00BA5551"/>
    <w:rsid w:val="00BB47EA"/>
    <w:rsid w:val="00C00F4E"/>
    <w:rsid w:val="00C24DCD"/>
    <w:rsid w:val="00CB49ED"/>
    <w:rsid w:val="00CF09F4"/>
    <w:rsid w:val="00DE3992"/>
    <w:rsid w:val="00E54001"/>
    <w:rsid w:val="00E81C68"/>
    <w:rsid w:val="00EC13F5"/>
    <w:rsid w:val="00F0357D"/>
    <w:rsid w:val="00F21222"/>
    <w:rsid w:val="00F512E8"/>
    <w:rsid w:val="00F61540"/>
    <w:rsid w:val="00F828E3"/>
    <w:rsid w:val="0A454007"/>
    <w:rsid w:val="0E802337"/>
    <w:rsid w:val="113C4B5E"/>
    <w:rsid w:val="2C9640B5"/>
    <w:rsid w:val="57AD1477"/>
    <w:rsid w:val="59382876"/>
    <w:rsid w:val="59587DB2"/>
    <w:rsid w:val="5A2360CB"/>
    <w:rsid w:val="6C13295D"/>
    <w:rsid w:val="72A158E7"/>
    <w:rsid w:val="7A3F1F09"/>
    <w:rsid w:val="7C7A0F51"/>
    <w:rsid w:val="7DFAE2F7"/>
    <w:rsid w:val="7E903682"/>
    <w:rsid w:val="7F7FA494"/>
    <w:rsid w:val="7FEDDAEE"/>
    <w:rsid w:val="BF7F15E9"/>
    <w:rsid w:val="DFE586D7"/>
    <w:rsid w:val="E7FE78CB"/>
    <w:rsid w:val="E8BD1D27"/>
    <w:rsid w:val="F3733FE3"/>
    <w:rsid w:val="F591EFBE"/>
    <w:rsid w:val="F6B7862C"/>
    <w:rsid w:val="FF7DE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next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paragraph" w:customStyle="1" w:styleId="11">
    <w:name w:val="正文文本1"/>
    <w:basedOn w:val="1"/>
    <w:qFormat/>
    <w:uiPriority w:val="0"/>
    <w:pPr>
      <w:spacing w:after="140" w:line="480" w:lineRule="auto"/>
      <w:ind w:firstLine="400"/>
    </w:pPr>
    <w:rPr>
      <w:rFonts w:ascii="宋体" w:hAnsi="宋体" w:cs="宋体"/>
      <w:sz w:val="26"/>
      <w:szCs w:val="26"/>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967</Words>
  <Characters>5514</Characters>
  <Lines>45</Lines>
  <Paragraphs>12</Paragraphs>
  <TotalTime>2</TotalTime>
  <ScaleCrop>false</ScaleCrop>
  <LinksUpToDate>false</LinksUpToDate>
  <CharactersWithSpaces>6469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2024-09-07T12:25:00Z</dcterms:created>
  <dc:creator>Administrator</dc:creator>
  <cp:lastModifiedBy>greatwall</cp:lastModifiedBy>
  <cp:lastPrinted>2024-12-07T12:38:00Z</cp:lastPrinted>
  <dcterms:modified xsi:type="dcterms:W3CDTF">2025-02-18T16:13:51Z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EC24A5B83687482F9C3FF2A1742C08FB_13</vt:lpwstr>
  </property>
</Properties>
</file>