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spacing w:before="0" w:after="0" w:line="600" w:lineRule="exact"/>
        <w:ind w:left="0" w:leftChars="0" w:firstLine="0" w:firstLineChars="0"/>
        <w:jc w:val="center"/>
        <w:rPr>
          <w:rFonts w:hint="eastAsia" w:ascii="Times New Roman" w:hAnsi="Times New Roman" w:eastAsia="方正小标宋_GBK" w:cstheme="minorBidi"/>
          <w:b w:val="0"/>
          <w:szCs w:val="32"/>
          <w:lang w:eastAsia="zh-CN"/>
        </w:rPr>
      </w:pPr>
      <w:r>
        <w:rPr>
          <w:rFonts w:hint="eastAsia" w:ascii="Times New Roman" w:hAnsi="Times New Roman" w:eastAsia="方正小标宋_GBK" w:cstheme="minorBidi"/>
          <w:b w:val="0"/>
          <w:szCs w:val="32"/>
        </w:rPr>
        <w:t>2020年度</w:t>
      </w:r>
      <w:r>
        <w:rPr>
          <w:rFonts w:hint="eastAsia" w:ascii="Times New Roman" w:hAnsi="Times New Roman" w:eastAsia="方正小标宋_GBK" w:cstheme="minorBidi"/>
          <w:b w:val="0"/>
          <w:szCs w:val="32"/>
          <w:lang w:eastAsia="zh-CN"/>
        </w:rPr>
        <w:t>益阳市国资委</w:t>
      </w:r>
    </w:p>
    <w:p>
      <w:pPr>
        <w:pStyle w:val="2"/>
        <w:bidi w:val="0"/>
        <w:spacing w:before="0" w:after="0" w:line="600" w:lineRule="exact"/>
        <w:ind w:left="0" w:leftChars="0" w:firstLine="0" w:firstLineChars="0"/>
        <w:jc w:val="center"/>
        <w:rPr>
          <w:rFonts w:hint="eastAsia" w:ascii="Times New Roman" w:hAnsi="Times New Roman" w:eastAsia="方正小标宋_GBK" w:cstheme="minorBidi"/>
          <w:b w:val="0"/>
          <w:szCs w:val="32"/>
        </w:rPr>
      </w:pPr>
      <w:r>
        <w:rPr>
          <w:rFonts w:hint="eastAsia" w:ascii="Times New Roman" w:hAnsi="Times New Roman" w:eastAsia="方正小标宋_GBK" w:cstheme="minorBidi"/>
          <w:b w:val="0"/>
          <w:szCs w:val="32"/>
          <w:lang w:eastAsia="zh-CN"/>
        </w:rPr>
        <w:t>部门</w:t>
      </w:r>
      <w:r>
        <w:rPr>
          <w:rFonts w:hint="eastAsia" w:ascii="Times New Roman" w:hAnsi="Times New Roman" w:eastAsia="方正小标宋_GBK" w:cstheme="minorBidi"/>
          <w:b w:val="0"/>
          <w:szCs w:val="32"/>
        </w:rPr>
        <w:t>整体支出绩效自评报告</w:t>
      </w:r>
    </w:p>
    <w:p>
      <w:pPr>
        <w:spacing w:line="560" w:lineRule="exact"/>
        <w:jc w:val="both"/>
        <w:rPr>
          <w:rFonts w:ascii="仿宋" w:hAnsi="仿宋" w:eastAsia="仿宋"/>
          <w:sz w:val="36"/>
          <w:szCs w:val="36"/>
        </w:rPr>
      </w:pP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t>根据中央、省、市有关绩效管理办法和年度绩效目标等</w:t>
      </w:r>
      <w:r>
        <w:rPr>
          <w:b w:val="0"/>
          <w:bCs w:val="0"/>
        </w:rPr>
        <w:t>工作要求，按照《益阳市财政局关于开展2020年度部门绩效自评工作的通知》部署安排，我</w:t>
      </w:r>
      <w:r>
        <w:rPr>
          <w:rFonts w:hint="eastAsia"/>
          <w:b w:val="0"/>
          <w:bCs w:val="0"/>
          <w:lang w:eastAsia="zh-CN"/>
        </w:rPr>
        <w:t>委</w:t>
      </w:r>
      <w:r>
        <w:rPr>
          <w:b w:val="0"/>
          <w:bCs w:val="0"/>
        </w:rPr>
        <w:t>认真开展了2020年度预算绩效自评工作，现将部门整体支出绩效评价情况报告如下：</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rFonts w:hint="eastAsia"/>
          <w:b w:val="0"/>
          <w:bCs w:val="0"/>
          <w:lang w:eastAsia="zh-CN"/>
        </w:rPr>
        <w:t>一、</w:t>
      </w:r>
      <w:r>
        <w:rPr>
          <w:b w:val="0"/>
          <w:bCs w:val="0"/>
        </w:rPr>
        <w:t>单位基本情况</w:t>
      </w:r>
    </w:p>
    <w:p>
      <w:pPr>
        <w:pStyle w:val="4"/>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（一）组织机构设置情况</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市国资委2020年部门预</w:t>
      </w:r>
      <w:r>
        <w:rPr>
          <w:rFonts w:hint="eastAsia"/>
          <w:b w:val="0"/>
          <w:bCs w:val="0"/>
          <w:lang w:eastAsia="zh-CN"/>
        </w:rPr>
        <w:t>决</w:t>
      </w:r>
      <w:r>
        <w:rPr>
          <w:rFonts w:hint="eastAsia"/>
          <w:b w:val="0"/>
          <w:bCs w:val="0"/>
        </w:rPr>
        <w:t>算包括本级预</w:t>
      </w:r>
      <w:r>
        <w:rPr>
          <w:rFonts w:hint="eastAsia"/>
          <w:b w:val="0"/>
          <w:bCs w:val="0"/>
          <w:lang w:eastAsia="zh-CN"/>
        </w:rPr>
        <w:t>决</w:t>
      </w:r>
      <w:r>
        <w:rPr>
          <w:rFonts w:hint="eastAsia"/>
          <w:b w:val="0"/>
          <w:bCs w:val="0"/>
        </w:rPr>
        <w:t>算和所属单位预</w:t>
      </w:r>
      <w:r>
        <w:rPr>
          <w:rFonts w:hint="eastAsia"/>
          <w:b w:val="0"/>
          <w:bCs w:val="0"/>
          <w:lang w:eastAsia="zh-CN"/>
        </w:rPr>
        <w:t>决</w:t>
      </w:r>
      <w:r>
        <w:rPr>
          <w:rFonts w:hint="eastAsia"/>
          <w:b w:val="0"/>
          <w:bCs w:val="0"/>
        </w:rPr>
        <w:t>算在内的汇总情况，包括：市国资委（机关）、市国资委企业服务中心、城市信用资产办。</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rPr>
        <w:t>市国资委（机关）内设11个职能科室（办公室、政策法规科、产权管理科、资本合作科、企业发展改革科、考核分配科、信访稳定科、资本收益与财务管理科、人事科、监督科、离退休人员管理科），设机关党委、直属单位党委（党建工作部）、工会、驻市国资委纪检组。</w:t>
      </w:r>
      <w:r>
        <w:rPr>
          <w:rFonts w:hint="eastAsia"/>
          <w:b w:val="0"/>
          <w:bCs w:val="0"/>
          <w:lang w:val="en-US" w:eastAsia="zh-CN"/>
        </w:rPr>
        <w:t>2020年末人员编制数39名，其中行政编制36名、工勤编制3名；年末在职人员实有人数46人，其中含机构改革人员4人、市纪委监委驻市国资委纪检监察组5人。</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rFonts w:hint="default"/>
          <w:b w:val="0"/>
          <w:bCs w:val="0"/>
          <w:lang w:val="en-US" w:eastAsia="zh-CN"/>
        </w:rPr>
        <w:t>市</w:t>
      </w:r>
      <w:r>
        <w:rPr>
          <w:rFonts w:hint="eastAsia"/>
          <w:b w:val="0"/>
          <w:bCs w:val="0"/>
          <w:lang w:val="en-US" w:eastAsia="zh-CN"/>
        </w:rPr>
        <w:t>国资委</w:t>
      </w:r>
      <w:r>
        <w:rPr>
          <w:rFonts w:hint="default"/>
          <w:b w:val="0"/>
          <w:bCs w:val="0"/>
          <w:lang w:val="en-US" w:eastAsia="zh-CN"/>
        </w:rPr>
        <w:t>企业服务中心下设办公室、财务室、维稳办、遗留问题处理办公室、核算中心。2020年末人员编制数3</w:t>
      </w:r>
      <w:r>
        <w:rPr>
          <w:rFonts w:hint="eastAsia"/>
          <w:b w:val="0"/>
          <w:bCs w:val="0"/>
          <w:lang w:val="en-US" w:eastAsia="zh-CN"/>
        </w:rPr>
        <w:t>7</w:t>
      </w:r>
      <w:r>
        <w:rPr>
          <w:rFonts w:hint="default"/>
          <w:b w:val="0"/>
          <w:bCs w:val="0"/>
          <w:lang w:val="en-US" w:eastAsia="zh-CN"/>
        </w:rPr>
        <w:t>名，</w:t>
      </w:r>
      <w:r>
        <w:rPr>
          <w:rFonts w:hint="eastAsia"/>
          <w:b w:val="0"/>
          <w:bCs w:val="0"/>
          <w:lang w:val="en-US" w:eastAsia="zh-CN"/>
        </w:rPr>
        <w:t>全部为全额拨款事业编制</w:t>
      </w:r>
      <w:r>
        <w:rPr>
          <w:rFonts w:hint="default"/>
          <w:b w:val="0"/>
          <w:bCs w:val="0"/>
          <w:lang w:val="en-US" w:eastAsia="zh-CN"/>
        </w:rPr>
        <w:t>；年末在职人员实有人数</w:t>
      </w:r>
      <w:r>
        <w:rPr>
          <w:rFonts w:hint="eastAsia"/>
          <w:b w:val="0"/>
          <w:bCs w:val="0"/>
          <w:lang w:val="en-US" w:eastAsia="zh-CN"/>
        </w:rPr>
        <w:t>29</w:t>
      </w:r>
      <w:r>
        <w:rPr>
          <w:rFonts w:hint="default"/>
          <w:b w:val="0"/>
          <w:bCs w:val="0"/>
          <w:lang w:val="en-US" w:eastAsia="zh-CN"/>
        </w:rPr>
        <w:t>人。</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rFonts w:hint="default"/>
          <w:b w:val="0"/>
          <w:bCs w:val="0"/>
          <w:lang w:val="en-US" w:eastAsia="zh-CN"/>
        </w:rPr>
        <w:t>城市信用资产办内设办公室、业务科、财务科。2020年末人员编制数</w:t>
      </w:r>
      <w:r>
        <w:rPr>
          <w:rFonts w:hint="eastAsia"/>
          <w:b w:val="0"/>
          <w:bCs w:val="0"/>
          <w:lang w:val="en-US" w:eastAsia="zh-CN"/>
        </w:rPr>
        <w:t>4</w:t>
      </w:r>
      <w:r>
        <w:rPr>
          <w:rFonts w:hint="default"/>
          <w:b w:val="0"/>
          <w:bCs w:val="0"/>
          <w:lang w:val="en-US" w:eastAsia="zh-CN"/>
        </w:rPr>
        <w:t>名，</w:t>
      </w:r>
      <w:r>
        <w:rPr>
          <w:rFonts w:hint="eastAsia"/>
          <w:b w:val="0"/>
          <w:bCs w:val="0"/>
          <w:lang w:val="en-US" w:eastAsia="zh-CN"/>
        </w:rPr>
        <w:t>全部为全额拨款事业编制</w:t>
      </w:r>
      <w:r>
        <w:rPr>
          <w:rFonts w:hint="default"/>
          <w:b w:val="0"/>
          <w:bCs w:val="0"/>
          <w:lang w:val="en-US" w:eastAsia="zh-CN"/>
        </w:rPr>
        <w:t>；年末在职人员实有人数</w:t>
      </w:r>
      <w:r>
        <w:rPr>
          <w:rFonts w:hint="eastAsia"/>
          <w:b w:val="0"/>
          <w:bCs w:val="0"/>
          <w:lang w:val="en-US" w:eastAsia="zh-CN"/>
        </w:rPr>
        <w:t>1</w:t>
      </w:r>
      <w:r>
        <w:rPr>
          <w:rFonts w:hint="default"/>
          <w:b w:val="0"/>
          <w:bCs w:val="0"/>
          <w:lang w:val="en-US" w:eastAsia="zh-CN"/>
        </w:rPr>
        <w:t>人。</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（二）单位的职能职责</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1、贯彻执行国家、省有关国有资产监督管理法律、法规和方针、政策；拟订国有资产监督管理地方性法规，制定有关规章制度。</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2、根据市人民政府授权，履行市属（含市直行政事业单位所属）国有独资、国有全资、国有控股、国有参股企业出资人职责，加强企业国有资产的监督管理工作。</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3、根据市政府授权，决定所监管企业国有资产经营、管理、处置等重大事宜。负责所监管企业国有资产处置的审批和资金收缴管理。组织实施国有资本金权属的界定、登记、划转、转让、纠纷调处。</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4、承担监督所监管企业国有资产保值增值的责任。建立和完善国有资产保值增值指标体系，制定考核标准，通过统计、稽核，对所监管企业国有资产的保值增值情况进行监管，维护国有资产出资人权益。负责组织所监管企业上交国有资本收益。</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5、指导推进市属国有企业改革和重组，推进国有企业的现代企业制度建设，完善公司治理结构。指导所监管企业引进战略投资者、产权（股权）招商引资与资本合作，加强与中央、省属企业对接合作；牵头组织协调所监管企业与中央、省属企业对接合作工作。负责中央、省属落户益阳的国有企业的经营管理、破产改制的协调服务和党务关系的对接工作。</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6、负责所监管企业的领导班子建设、党的建设、思想政府和精神文明建设工作。依照法定程序对所监管企业的负责人进行任免、考核，并根据考核结果对其进行奖惩；建立符合社会主义市场经济体制和现代企业制度要求的选人、用人机制，完善经营者激励和约束机制。</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7、负责建立和完善市级国有投资公司的管理办法，健全项目监控制度、投资责任追究制度；履行对国家出资公司国有资产的监管职责。</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8、按照出资人职责，负责督促检查所监管企业贯彻落实国家安全生产方针政策和法律法规、标准等工作；指导、监督所监管企业法律顾问工作。</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9、完成市委、市政府交办的其他任务。</w:t>
      </w:r>
    </w:p>
    <w:p>
      <w:pPr>
        <w:pStyle w:val="3"/>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二、一般公共预算支出情况</w:t>
      </w:r>
    </w:p>
    <w:p>
      <w:pPr>
        <w:pStyle w:val="4"/>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rFonts w:ascii="Arial" w:hAnsi="Arial" w:eastAsia="黑体" w:cs="Times New Roman"/>
          <w:b w:val="0"/>
          <w:bCs w:val="0"/>
          <w:kern w:val="2"/>
          <w:sz w:val="32"/>
          <w:szCs w:val="20"/>
          <w:lang w:val="en-US" w:eastAsia="zh-CN" w:bidi="ar-SA"/>
        </w:rPr>
      </w:pPr>
      <w:r>
        <w:rPr>
          <w:rFonts w:ascii="Arial" w:hAnsi="Arial" w:eastAsia="黑体" w:cs="Times New Roman"/>
          <w:b w:val="0"/>
          <w:bCs w:val="0"/>
          <w:kern w:val="2"/>
          <w:sz w:val="32"/>
          <w:szCs w:val="20"/>
          <w:lang w:val="en-US" w:eastAsia="zh-CN" w:bidi="ar-SA"/>
        </w:rPr>
        <w:t>（一）基本支出情况</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基本支出是指用于保障机构正常运转、完成日常工作任务而发生的各项支出，包括在职和退休人员基本工资、津贴补贴等人员经费以及办公费、印刷费、水电费、办公设备购置、公务用车购置等日常公用经费。2020年基本支出</w:t>
      </w:r>
      <w:r>
        <w:rPr>
          <w:rFonts w:hint="eastAsia"/>
          <w:b w:val="0"/>
          <w:bCs w:val="0"/>
          <w:lang w:val="en-US" w:eastAsia="zh-CN"/>
        </w:rPr>
        <w:t>1236.30</w:t>
      </w:r>
      <w:r>
        <w:rPr>
          <w:b w:val="0"/>
          <w:bCs w:val="0"/>
        </w:rPr>
        <w:t>万元，较上年</w:t>
      </w:r>
      <w:r>
        <w:rPr>
          <w:rFonts w:hint="eastAsia"/>
          <w:b w:val="0"/>
          <w:bCs w:val="0"/>
          <w:lang w:eastAsia="zh-CN"/>
        </w:rPr>
        <w:t>下降</w:t>
      </w:r>
      <w:r>
        <w:rPr>
          <w:rFonts w:hint="eastAsia"/>
          <w:b w:val="0"/>
          <w:bCs w:val="0"/>
          <w:lang w:val="en-US" w:eastAsia="zh-CN"/>
        </w:rPr>
        <w:t>97.91</w:t>
      </w:r>
      <w:r>
        <w:rPr>
          <w:b w:val="0"/>
          <w:bCs w:val="0"/>
        </w:rPr>
        <w:t>万元，</w:t>
      </w:r>
      <w:r>
        <w:rPr>
          <w:rFonts w:hint="eastAsia"/>
          <w:b w:val="0"/>
          <w:bCs w:val="0"/>
          <w:lang w:eastAsia="zh-CN"/>
        </w:rPr>
        <w:t>同比下降</w:t>
      </w:r>
      <w:r>
        <w:rPr>
          <w:rFonts w:hint="eastAsia"/>
          <w:b w:val="0"/>
          <w:bCs w:val="0"/>
          <w:lang w:val="en-US" w:eastAsia="zh-CN"/>
        </w:rPr>
        <w:t>7.34</w:t>
      </w:r>
      <w:r>
        <w:rPr>
          <w:b w:val="0"/>
          <w:bCs w:val="0"/>
        </w:rPr>
        <w:t>%。</w:t>
      </w:r>
      <w:r>
        <w:rPr>
          <w:rFonts w:hint="eastAsia"/>
          <w:b w:val="0"/>
          <w:bCs w:val="0"/>
          <w:lang w:eastAsia="zh-CN"/>
        </w:rPr>
        <w:t>其中</w:t>
      </w:r>
      <w:r>
        <w:rPr>
          <w:b w:val="0"/>
          <w:bCs w:val="0"/>
        </w:rPr>
        <w:t>人员经费</w:t>
      </w:r>
      <w:r>
        <w:rPr>
          <w:rFonts w:hint="eastAsia"/>
          <w:b w:val="0"/>
          <w:bCs w:val="0"/>
          <w:lang w:val="en-US" w:eastAsia="zh-CN"/>
        </w:rPr>
        <w:t>1122.48</w:t>
      </w:r>
      <w:r>
        <w:rPr>
          <w:b w:val="0"/>
          <w:bCs w:val="0"/>
        </w:rPr>
        <w:t>万元，占基本支出的</w:t>
      </w:r>
      <w:r>
        <w:rPr>
          <w:rFonts w:hint="eastAsia"/>
          <w:b w:val="0"/>
          <w:bCs w:val="0"/>
          <w:lang w:val="en-US" w:eastAsia="zh-CN"/>
        </w:rPr>
        <w:t>90.79</w:t>
      </w:r>
      <w:r>
        <w:rPr>
          <w:b w:val="0"/>
          <w:bCs w:val="0"/>
        </w:rPr>
        <w:t>%，较上年增长</w:t>
      </w:r>
      <w:r>
        <w:rPr>
          <w:rFonts w:hint="eastAsia"/>
          <w:b w:val="0"/>
          <w:bCs w:val="0"/>
          <w:lang w:val="en-US" w:eastAsia="zh-CN"/>
        </w:rPr>
        <w:t>30.74</w:t>
      </w:r>
      <w:r>
        <w:rPr>
          <w:b w:val="0"/>
          <w:bCs w:val="0"/>
        </w:rPr>
        <w:t>万元，增长2</w:t>
      </w:r>
      <w:r>
        <w:rPr>
          <w:rFonts w:hint="eastAsia"/>
          <w:b w:val="0"/>
          <w:bCs w:val="0"/>
          <w:lang w:val="en-US" w:eastAsia="zh-CN"/>
        </w:rPr>
        <w:t>.</w:t>
      </w:r>
      <w:r>
        <w:rPr>
          <w:b w:val="0"/>
          <w:bCs w:val="0"/>
        </w:rPr>
        <w:t>8</w:t>
      </w:r>
      <w:r>
        <w:rPr>
          <w:rFonts w:hint="eastAsia"/>
          <w:b w:val="0"/>
          <w:bCs w:val="0"/>
          <w:lang w:val="en-US" w:eastAsia="zh-CN"/>
        </w:rPr>
        <w:t>2</w:t>
      </w:r>
      <w:r>
        <w:rPr>
          <w:b w:val="0"/>
          <w:bCs w:val="0"/>
        </w:rPr>
        <w:t>%，</w:t>
      </w:r>
      <w:r>
        <w:rPr>
          <w:rFonts w:hint="eastAsia"/>
          <w:b w:val="0"/>
          <w:bCs w:val="0"/>
          <w:lang w:eastAsia="zh-CN"/>
        </w:rPr>
        <w:t>主要是人员工资基数自然增长；</w:t>
      </w:r>
      <w:r>
        <w:rPr>
          <w:b w:val="0"/>
          <w:bCs w:val="0"/>
        </w:rPr>
        <w:t>日常公用经费支出</w:t>
      </w:r>
      <w:r>
        <w:rPr>
          <w:rFonts w:hint="eastAsia"/>
          <w:b w:val="0"/>
          <w:bCs w:val="0"/>
          <w:lang w:val="en-US" w:eastAsia="zh-CN"/>
        </w:rPr>
        <w:t>113.82</w:t>
      </w:r>
      <w:r>
        <w:rPr>
          <w:b w:val="0"/>
          <w:bCs w:val="0"/>
        </w:rPr>
        <w:t>万元，占基本支出的9.</w:t>
      </w:r>
      <w:r>
        <w:rPr>
          <w:rFonts w:hint="eastAsia"/>
          <w:b w:val="0"/>
          <w:bCs w:val="0"/>
          <w:lang w:val="en-US" w:eastAsia="zh-CN"/>
        </w:rPr>
        <w:t>21</w:t>
      </w:r>
      <w:r>
        <w:rPr>
          <w:b w:val="0"/>
          <w:bCs w:val="0"/>
        </w:rPr>
        <w:t>%，较上年</w:t>
      </w:r>
      <w:r>
        <w:rPr>
          <w:rFonts w:hint="eastAsia"/>
          <w:b w:val="0"/>
          <w:bCs w:val="0"/>
          <w:lang w:eastAsia="zh-CN"/>
        </w:rPr>
        <w:t>减少</w:t>
      </w:r>
      <w:r>
        <w:rPr>
          <w:rFonts w:hint="eastAsia"/>
          <w:b w:val="0"/>
          <w:bCs w:val="0"/>
          <w:lang w:val="en-US" w:eastAsia="zh-CN"/>
        </w:rPr>
        <w:t>3.80</w:t>
      </w:r>
      <w:r>
        <w:rPr>
          <w:b w:val="0"/>
          <w:bCs w:val="0"/>
        </w:rPr>
        <w:t>%，主要原因是</w:t>
      </w:r>
      <w:r>
        <w:rPr>
          <w:rFonts w:hint="eastAsia"/>
          <w:b w:val="0"/>
          <w:bCs w:val="0"/>
          <w:lang w:eastAsia="zh-CN"/>
        </w:rPr>
        <w:t>厉行节约、严控经费开支</w:t>
      </w:r>
      <w:r>
        <w:rPr>
          <w:b w:val="0"/>
          <w:bCs w:val="0"/>
        </w:rPr>
        <w:t>。</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（二）项目支出情况</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项目支出是指为完成业务相关专项经费，主要</w:t>
      </w:r>
      <w:r>
        <w:rPr>
          <w:rFonts w:hint="eastAsia"/>
          <w:b w:val="0"/>
          <w:bCs w:val="0"/>
          <w:lang w:eastAsia="zh-CN"/>
        </w:rPr>
        <w:t>包括国有资产监督管理相关经费、市改制办工作经费、融资平台公司转型工作经费、职教幼教工作经费、纪检监察工作及专案经费等</w:t>
      </w:r>
      <w:r>
        <w:rPr>
          <w:b w:val="0"/>
          <w:bCs w:val="0"/>
        </w:rPr>
        <w:t>。2020年项目支出</w:t>
      </w:r>
      <w:r>
        <w:rPr>
          <w:rFonts w:hint="eastAsia"/>
          <w:b w:val="0"/>
          <w:bCs w:val="0"/>
          <w:lang w:val="en-US" w:eastAsia="zh-CN"/>
        </w:rPr>
        <w:t>290.09</w:t>
      </w:r>
      <w:r>
        <w:rPr>
          <w:b w:val="0"/>
          <w:bCs w:val="0"/>
        </w:rPr>
        <w:t>万元，比上年增加</w:t>
      </w:r>
      <w:r>
        <w:rPr>
          <w:rFonts w:hint="eastAsia"/>
          <w:b w:val="0"/>
          <w:bCs w:val="0"/>
          <w:lang w:val="en-US" w:eastAsia="zh-CN"/>
        </w:rPr>
        <w:t>16.33</w:t>
      </w:r>
      <w:r>
        <w:rPr>
          <w:b w:val="0"/>
          <w:bCs w:val="0"/>
        </w:rPr>
        <w:t>万元，增长</w:t>
      </w:r>
      <w:r>
        <w:rPr>
          <w:rFonts w:hint="eastAsia"/>
          <w:b w:val="0"/>
          <w:bCs w:val="0"/>
          <w:lang w:val="en-US" w:eastAsia="zh-CN"/>
        </w:rPr>
        <w:t>5.97</w:t>
      </w:r>
      <w:r>
        <w:rPr>
          <w:b w:val="0"/>
          <w:bCs w:val="0"/>
        </w:rPr>
        <w:t>%，主要原因是增加</w:t>
      </w:r>
      <w:r>
        <w:rPr>
          <w:rFonts w:hint="eastAsia"/>
          <w:b w:val="0"/>
          <w:bCs w:val="0"/>
          <w:lang w:eastAsia="zh-CN"/>
        </w:rPr>
        <w:t>市国企改革办融资平台公司转型工作经费</w:t>
      </w:r>
      <w:r>
        <w:rPr>
          <w:b w:val="0"/>
          <w:bCs w:val="0"/>
        </w:rPr>
        <w:t>。</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rFonts w:ascii="Times New Roman" w:hAnsi="Times New Roman" w:eastAsia="黑体"/>
          <w:b w:val="0"/>
          <w:bCs w:val="0"/>
          <w:szCs w:val="32"/>
        </w:rPr>
      </w:pPr>
      <w:r>
        <w:rPr>
          <w:rFonts w:hint="eastAsia"/>
          <w:b w:val="0"/>
          <w:bCs w:val="0"/>
          <w:lang w:eastAsia="zh-CN"/>
        </w:rPr>
        <w:t>三、</w:t>
      </w:r>
      <w:r>
        <w:rPr>
          <w:b w:val="0"/>
          <w:bCs w:val="0"/>
        </w:rPr>
        <w:t>政府性基金预算支出情况</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2020年无政府性基金预算支出。</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rFonts w:hint="eastAsia"/>
          <w:b w:val="0"/>
          <w:bCs w:val="0"/>
          <w:lang w:eastAsia="zh-CN"/>
        </w:rPr>
        <w:t>四、</w:t>
      </w:r>
      <w:r>
        <w:rPr>
          <w:b w:val="0"/>
          <w:bCs w:val="0"/>
        </w:rPr>
        <w:t>国有资本经营预算支出情况</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b w:val="0"/>
          <w:bCs w:val="0"/>
          <w:color w:val="000000"/>
          <w:szCs w:val="32"/>
        </w:rPr>
      </w:pPr>
      <w:r>
        <w:rPr>
          <w:b w:val="0"/>
          <w:bCs w:val="0"/>
        </w:rPr>
        <w:t>2020年无国有资本经营预算支出。</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rFonts w:hint="eastAsia"/>
          <w:b w:val="0"/>
          <w:bCs w:val="0"/>
          <w:lang w:eastAsia="zh-CN"/>
        </w:rPr>
        <w:t>五、</w:t>
      </w:r>
      <w:r>
        <w:rPr>
          <w:b w:val="0"/>
          <w:bCs w:val="0"/>
        </w:rPr>
        <w:t>社会保险基金预算支出情况</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2020年无社会保险基金预算支出。</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六、部门整体支出绩效情况</w:t>
      </w:r>
    </w:p>
    <w:p>
      <w:pPr>
        <w:pStyle w:val="4"/>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（一）部门整体支出概况</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2020年部门决算收支完成情况如下：</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1、年初结转和结余</w:t>
      </w:r>
      <w:r>
        <w:rPr>
          <w:rFonts w:hint="eastAsia"/>
          <w:b w:val="0"/>
          <w:bCs w:val="0"/>
          <w:lang w:val="en-US" w:eastAsia="zh-CN"/>
        </w:rPr>
        <w:t>49.31</w:t>
      </w:r>
      <w:r>
        <w:rPr>
          <w:b w:val="0"/>
          <w:bCs w:val="0"/>
        </w:rPr>
        <w:t>万元，主要是一般行政管理事务</w:t>
      </w:r>
      <w:r>
        <w:rPr>
          <w:rFonts w:hint="eastAsia"/>
          <w:b w:val="0"/>
          <w:bCs w:val="0"/>
          <w:lang w:eastAsia="zh-CN"/>
        </w:rPr>
        <w:t>、纪检监察经费、扶贫工作经费的</w:t>
      </w:r>
      <w:r>
        <w:rPr>
          <w:b w:val="0"/>
          <w:bCs w:val="0"/>
        </w:rPr>
        <w:t>结转和结余。</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2、总收入：</w:t>
      </w:r>
      <w:r>
        <w:rPr>
          <w:rFonts w:hint="eastAsia"/>
          <w:b w:val="0"/>
          <w:bCs w:val="0"/>
          <w:lang w:val="en-US" w:eastAsia="zh-CN"/>
        </w:rPr>
        <w:t>1480.72</w:t>
      </w:r>
      <w:r>
        <w:rPr>
          <w:b w:val="0"/>
          <w:bCs w:val="0"/>
        </w:rPr>
        <w:t>万元。其中一般公共预算财政拨款收入</w:t>
      </w:r>
      <w:r>
        <w:rPr>
          <w:rFonts w:hint="eastAsia"/>
          <w:b w:val="0"/>
          <w:bCs w:val="0"/>
          <w:lang w:val="en-US" w:eastAsia="zh-CN"/>
        </w:rPr>
        <w:t>1474.18</w:t>
      </w:r>
      <w:r>
        <w:rPr>
          <w:b w:val="0"/>
          <w:bCs w:val="0"/>
        </w:rPr>
        <w:t>万元，为总收入的</w:t>
      </w:r>
      <w:r>
        <w:rPr>
          <w:rFonts w:hint="eastAsia"/>
          <w:b w:val="0"/>
          <w:bCs w:val="0"/>
          <w:lang w:val="en-US" w:eastAsia="zh-CN"/>
        </w:rPr>
        <w:t>99.56</w:t>
      </w:r>
      <w:r>
        <w:rPr>
          <w:b w:val="0"/>
          <w:bCs w:val="0"/>
        </w:rPr>
        <w:t>%，其他收入</w:t>
      </w:r>
      <w:r>
        <w:rPr>
          <w:rFonts w:hint="eastAsia"/>
          <w:b w:val="0"/>
          <w:bCs w:val="0"/>
          <w:lang w:val="en-US" w:eastAsia="zh-CN"/>
        </w:rPr>
        <w:t>6.54</w:t>
      </w:r>
      <w:r>
        <w:rPr>
          <w:b w:val="0"/>
          <w:bCs w:val="0"/>
        </w:rPr>
        <w:t>万元，占总收入的0.</w:t>
      </w:r>
      <w:r>
        <w:rPr>
          <w:rFonts w:hint="eastAsia"/>
          <w:b w:val="0"/>
          <w:bCs w:val="0"/>
          <w:lang w:val="en-US" w:eastAsia="zh-CN"/>
        </w:rPr>
        <w:t>44</w:t>
      </w:r>
      <w:r>
        <w:rPr>
          <w:b w:val="0"/>
          <w:bCs w:val="0"/>
        </w:rPr>
        <w:t>%。</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b w:val="0"/>
          <w:bCs w:val="0"/>
        </w:rPr>
        <w:t>3、总支出：</w:t>
      </w:r>
      <w:r>
        <w:rPr>
          <w:rFonts w:hint="eastAsia"/>
          <w:b w:val="0"/>
          <w:bCs w:val="0"/>
          <w:lang w:val="en-US" w:eastAsia="zh-CN"/>
        </w:rPr>
        <w:t>1526.39</w:t>
      </w:r>
      <w:r>
        <w:rPr>
          <w:b w:val="0"/>
          <w:bCs w:val="0"/>
        </w:rPr>
        <w:t>万元。</w:t>
      </w:r>
      <w:r>
        <w:rPr>
          <w:rFonts w:hint="eastAsia"/>
          <w:b w:val="0"/>
          <w:bCs w:val="0"/>
          <w:lang w:eastAsia="zh-CN"/>
        </w:rPr>
        <w:t>其中一般公共服务支出</w:t>
      </w:r>
      <w:r>
        <w:rPr>
          <w:rFonts w:hint="eastAsia"/>
          <w:b w:val="0"/>
          <w:bCs w:val="0"/>
          <w:lang w:val="en-US" w:eastAsia="zh-CN"/>
        </w:rPr>
        <w:t>66.03万元，占比4.33%；公共安全支出3万元，占比0.20%；教育支出3.42万元，占比0.22%；社会保障和就业支出180.42万元，占比11.82%；卫生健康支出89.48万元，占比5.86%；城乡社区支出1万元，占比0.07%；资源勘探工业信息等支出1102.77万元，占比72.24%；金融支出5万元，占比0.33%；住房保障支出70.77万元，占比4.64%；灾害防治及应急管理支出1万元，占比0.07%；其他支出3.5万元，占比0.22%。</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4、本年度年末结转和结余</w:t>
      </w:r>
      <w:r>
        <w:rPr>
          <w:rFonts w:hint="eastAsia"/>
          <w:b w:val="0"/>
          <w:bCs w:val="0"/>
          <w:lang w:val="en-US" w:eastAsia="zh-CN"/>
        </w:rPr>
        <w:t>3.64</w:t>
      </w:r>
      <w:r>
        <w:rPr>
          <w:b w:val="0"/>
          <w:bCs w:val="0"/>
        </w:rPr>
        <w:t>万元。主要是</w:t>
      </w:r>
      <w:r>
        <w:rPr>
          <w:rFonts w:hint="eastAsia"/>
          <w:b w:val="0"/>
          <w:bCs w:val="0"/>
          <w:lang w:eastAsia="zh-CN"/>
        </w:rPr>
        <w:t>纪检监察经费、扶贫工作经费的</w:t>
      </w:r>
      <w:r>
        <w:rPr>
          <w:b w:val="0"/>
          <w:bCs w:val="0"/>
        </w:rPr>
        <w:t>结转和结余。</w:t>
      </w:r>
    </w:p>
    <w:p>
      <w:pPr>
        <w:pStyle w:val="4"/>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（二）整体支出绩效目标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小标宋_GBK"/>
          <w:b w:val="0"/>
          <w:bCs w:val="0"/>
          <w:sz w:val="32"/>
          <w:szCs w:val="36"/>
          <w:lang w:val="en-US" w:eastAsia="zh-CN"/>
        </w:rPr>
      </w:pPr>
      <w:r>
        <w:rPr>
          <w:rFonts w:hint="eastAsia" w:ascii="Times New Roman" w:hAnsi="Times New Roman" w:eastAsia="仿宋_GB2312" w:cs="方正小标宋_GBK"/>
          <w:b w:val="0"/>
          <w:bCs w:val="0"/>
          <w:sz w:val="32"/>
          <w:szCs w:val="36"/>
          <w:lang w:val="en-US" w:eastAsia="zh-CN"/>
        </w:rPr>
        <w:t>1. 部门整体支出年度绩效目标</w:t>
      </w:r>
      <w:r>
        <w:rPr>
          <w:rFonts w:hint="eastAsia" w:ascii="Times New Roman" w:hAnsi="Times New Roman" w:cs="方正小标宋_GBK"/>
          <w:b w:val="0"/>
          <w:bCs w:val="0"/>
          <w:sz w:val="32"/>
          <w:szCs w:val="36"/>
          <w:lang w:val="en-US" w:eastAsia="zh-CN"/>
        </w:rPr>
        <w:t>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cs="方正小标宋_GBK"/>
          <w:b w:val="0"/>
          <w:bCs w:val="0"/>
          <w:sz w:val="32"/>
          <w:szCs w:val="36"/>
          <w:lang w:val="en-US" w:eastAsia="zh-CN"/>
        </w:rPr>
      </w:pPr>
      <w:r>
        <w:rPr>
          <w:rFonts w:hint="eastAsia" w:ascii="Times New Roman" w:hAnsi="Times New Roman" w:eastAsia="仿宋_GB2312" w:cs="方正小标宋_GBK"/>
          <w:b w:val="0"/>
          <w:bCs w:val="0"/>
          <w:sz w:val="32"/>
          <w:szCs w:val="36"/>
          <w:lang w:val="en-US" w:eastAsia="zh-CN"/>
        </w:rPr>
        <w:t>（1）</w:t>
      </w:r>
      <w:r>
        <w:rPr>
          <w:rFonts w:hint="eastAsia" w:ascii="Times New Roman" w:hAnsi="Times New Roman" w:cs="方正小标宋_GBK"/>
          <w:b w:val="0"/>
          <w:bCs w:val="0"/>
          <w:sz w:val="32"/>
          <w:szCs w:val="36"/>
          <w:lang w:val="en-US" w:eastAsia="zh-CN"/>
        </w:rPr>
        <w:t>处理改制企业遗留问题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方正小标宋_GBK"/>
          <w:b w:val="0"/>
          <w:bCs w:val="0"/>
          <w:sz w:val="32"/>
          <w:szCs w:val="36"/>
          <w:lang w:val="en-US" w:eastAsia="zh-CN"/>
        </w:rPr>
      </w:pPr>
      <w:r>
        <w:rPr>
          <w:rFonts w:hint="eastAsia" w:ascii="Times New Roman" w:hAnsi="Times New Roman" w:eastAsia="仿宋_GB2312" w:cs="方正小标宋_GBK"/>
          <w:b w:val="0"/>
          <w:bCs w:val="0"/>
          <w:sz w:val="32"/>
          <w:szCs w:val="36"/>
          <w:lang w:val="en-US" w:eastAsia="zh-CN"/>
        </w:rPr>
        <w:t>目标值</w:t>
      </w:r>
      <w:r>
        <w:rPr>
          <w:rFonts w:hint="eastAsia" w:ascii="Times New Roman" w:hAnsi="Times New Roman" w:cs="方正小标宋_GBK"/>
          <w:b w:val="0"/>
          <w:bCs w:val="0"/>
          <w:sz w:val="32"/>
          <w:szCs w:val="36"/>
          <w:lang w:val="en-US" w:eastAsia="zh-CN"/>
        </w:rPr>
        <w:t>：3-5个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小标宋_GBK"/>
          <w:b w:val="0"/>
          <w:bCs w:val="0"/>
          <w:sz w:val="32"/>
          <w:szCs w:val="36"/>
          <w:lang w:val="en-US" w:eastAsia="zh-CN"/>
        </w:rPr>
      </w:pPr>
      <w:r>
        <w:rPr>
          <w:rFonts w:hint="eastAsia" w:ascii="Times New Roman" w:hAnsi="Times New Roman" w:eastAsia="仿宋_GB2312" w:cs="方正小标宋_GBK"/>
          <w:b w:val="0"/>
          <w:bCs w:val="0"/>
          <w:sz w:val="32"/>
          <w:szCs w:val="36"/>
          <w:lang w:val="en-US" w:eastAsia="zh-CN"/>
        </w:rPr>
        <w:t>完成值</w:t>
      </w:r>
      <w:r>
        <w:rPr>
          <w:rFonts w:hint="eastAsia" w:ascii="Times New Roman" w:hAnsi="Times New Roman" w:cs="方正小标宋_GBK"/>
          <w:b w:val="0"/>
          <w:bCs w:val="0"/>
          <w:sz w:val="32"/>
          <w:szCs w:val="36"/>
          <w:lang w:val="en-US" w:eastAsia="zh-CN"/>
        </w:rPr>
        <w:t>：加速处理红旗化、应电重大遗留问题，益麻留守处移交，集中办理权证登记，完成央企地方移交共4大项。</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bookmarkStart w:id="0" w:name="_GoBack"/>
      <w:bookmarkEnd w:id="0"/>
      <w:r>
        <w:rPr>
          <w:rFonts w:hint="eastAsia" w:ascii="Times New Roman" w:hAnsi="Times New Roman" w:cs="方正小标宋_GBK"/>
          <w:b w:val="0"/>
          <w:bCs w:val="0"/>
          <w:szCs w:val="36"/>
          <w:lang w:val="en-US" w:eastAsia="zh-CN"/>
        </w:rPr>
        <w:t>具体情况：一是集中清理红旗化、应电遗留问题。按照今年市公安经侦关于对原红旗化、应电经济问题甄别意见，红旗化及应电两家留守处积极应对处置，完成了大部分应付款兑付及职工安置户分房工作。其中：应电留守处清退购房款598.05万元；支付工程款373.44万元；分配职工住户入住101户；红旗化留守处积极配合银湘公司，妥善安置了原红旗家园职工集资购房住户135户，将原购房集资款723万元抵扣</w:t>
      </w:r>
      <w:r>
        <w:rPr>
          <w:rFonts w:hint="eastAsia"/>
          <w:b w:val="0"/>
          <w:bCs w:val="0"/>
          <w:lang w:val="en-US" w:eastAsia="zh-CN"/>
        </w:rPr>
        <w:t>国富小区安置房购房款；对厂外15户非红旗化职工集资购房户退还本金71万元；清偿了原立新生活小区一期工程款45.6万元。二是益麻留守机构移交赫山区政府管理。中心主动对接赫山区委、区政府，积极推进益麻留守机构地方政府移交。2020年1月，我委与赫山区政府签署了益麻留守机构《移交协议书》，益麻留守机构整体移交赫山区政府管理，全面完成了下划省属国企留守机构地方移交工作。三是集中处置土地房产权证遗留问题。为加速处理涉及职工权益的土地房产权证历史遗留问题，中心组织专班为市直改制企业160余户职工房改房住户办理了100%产权衔接，集中解决了270余户商品房和集资房住户国有出让土地落宗和不动产权证登记。四是根据市政府安排，协助上级有关部门完成了“七一五” 矿留守机构高新区政府移交、央企省企退休人员档案移交、桃江下划四家与洞庭水泥厂遗留问题协调处置。</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（2）完善国企现代企业制度建设</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目标值：2-5个</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完成值：出台7个相关管理制度文件</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具体情况：依托融资平台转型，出台了《益阳市市属企业国有资产监督管理暂行办法》《益阳市市属国有企业工资总额管理暂行办法》《益阳市市管企业负责人薪酬制度改革实施方案》《关于印发&lt;益阳市市级融资平台公司转型在编人员安置办法&gt;的通知》《关于印发融资平台转型“12341”模式相关文件的通知》《关于印发&lt;益阳市市本级融资平台公司转型资产配置方案&gt;的通知》《益阳市国资委监管企业领导人员履职待遇、业务支出管理暂行办法》等制度。</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（3）实行央企省企退休人员社会化管理</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目标值：15家</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完成值：完成26家央企、8家省企退休人员社会化管理工作。</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具体情况：在2020年底前，已将尚未实行社会化管理的国有企业退休人员移交街道和社区实行社会化管理。共接收央企、省企34家，11062名退休人员，其中接收26家中央企业（含中央下放715社区、长沙锌业有限责任公司留守处以及邮政、烟草、广铁集团等其他部委监管企业）退休人员共8704人，其中党员党员2820人，档案8704份，接收8家省属企业退休人员共2358人，其中党员547人，档案2358份。</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（4）对单位或企业（留守处）开展内部财务检查</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目标值：2家</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完成值：2家</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具体情况：通过开展现场专门审计和财务检查的方式，完成了对市国资委企业服务中心和市银城大市场的财务检查工作，掌握企业执行国家法律法规和有关政策的情况，了解企业的收入、支出管理及内控制度的制定和执行情况，检查各种津补贴发放情况以及与财务管理相关情况。</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（5）资产处置项目评估率</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rFonts w:hint="eastAsia"/>
          <w:b w:val="0"/>
          <w:bCs w:val="0"/>
          <w:lang w:val="en-US" w:eastAsia="zh-CN"/>
        </w:rPr>
        <w:t>目标值：100%</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完成值：100%</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具体情况：一是按照《企业国有资产评估管理暂行办法》对市城投集团6台车辆处置进行了评估；二是对2020年转企业的6家经营事业单位资产处置进行了评估。</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（6）国有企业产权登记率</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rFonts w:hint="eastAsia"/>
          <w:b w:val="0"/>
          <w:bCs w:val="0"/>
          <w:lang w:val="en-US" w:eastAsia="zh-CN"/>
        </w:rPr>
        <w:t>目标值：100%</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完成值：100%</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具体情况：目前，市国资委履行出资人职责的企业共12家，已全部进行了国有企业产权登记。</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（7）部门预决算及时公开</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目标值：市财政局批复后20日内</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完成值：市财政局批复后20日内</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具体情况：一是市财政局于2020年1月30日批复2020年预算，我委于2020年2月13日完成2020年委机关、服务中心、城市信用资产办、市国资委汇总4个预算公开说明，并在市财政局、市国资委官网上完成公示。二是市财政局于2020年9月15日批复2019年决算，我委于2020年9月30日完成2019年市国资委、委机关、企业服务中心、城市信用资产办4个决算公开说明，并在市财政局、市国资委官网上公示。</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（8）市长热线、网信办结率</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目标值：100%</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完成值：100%</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rFonts w:hint="eastAsia"/>
          <w:b w:val="0"/>
          <w:bCs w:val="0"/>
          <w:lang w:val="en-US" w:eastAsia="zh-CN"/>
        </w:rPr>
        <w:t>具体情况：2020年度累计处信135件，其中市长热线73件、网信62件，限期办结率100%。</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2. 资产管理和开展业务情况</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（1）存量资金管理。年初结转结余49.31万元，通过统筹安排，加快存量资金的使用，提高资金使用效率，年末结转结余3.64万元，存量资金减少92.6%。</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lang w:val="en-US" w:eastAsia="zh-CN"/>
        </w:rPr>
      </w:pPr>
      <w:r>
        <w:rPr>
          <w:rFonts w:hint="eastAsia"/>
          <w:b w:val="0"/>
          <w:bCs w:val="0"/>
          <w:lang w:val="en-US" w:eastAsia="zh-CN"/>
        </w:rPr>
        <w:t>（2）资产管理。</w:t>
      </w:r>
      <w:r>
        <w:rPr>
          <w:rFonts w:hint="eastAsia"/>
          <w:b w:val="0"/>
          <w:bCs w:val="0"/>
        </w:rPr>
        <w:t>为加强固定资产管理，合理配置、有效利用、规范处置资产，防止国有资产流失，</w:t>
      </w:r>
      <w:r>
        <w:rPr>
          <w:rFonts w:hint="eastAsia"/>
          <w:b w:val="0"/>
          <w:bCs w:val="0"/>
          <w:lang w:val="en-US" w:eastAsia="zh-CN"/>
        </w:rPr>
        <w:t>我委制定了《益阳市国资委固定资产管理办法》等，明确了具体责任人，对资产购置、报账、管理、处置、清查等手续明确相关规定。</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rFonts w:hint="eastAsia"/>
          <w:b w:val="0"/>
          <w:bCs w:val="0"/>
          <w:lang w:eastAsia="zh-CN"/>
        </w:rPr>
        <w:t>（</w:t>
      </w:r>
      <w:r>
        <w:rPr>
          <w:rFonts w:hint="eastAsia"/>
          <w:b w:val="0"/>
          <w:bCs w:val="0"/>
          <w:lang w:val="en-US" w:eastAsia="zh-CN"/>
        </w:rPr>
        <w:t>3</w:t>
      </w:r>
      <w:r>
        <w:rPr>
          <w:rFonts w:hint="eastAsia"/>
          <w:b w:val="0"/>
          <w:bCs w:val="0"/>
          <w:lang w:eastAsia="zh-CN"/>
        </w:rPr>
        <w:t>）</w:t>
      </w:r>
      <w:r>
        <w:rPr>
          <w:b w:val="0"/>
          <w:bCs w:val="0"/>
        </w:rPr>
        <w:t>三公经费控制情况</w:t>
      </w:r>
      <w:r>
        <w:rPr>
          <w:rFonts w:hint="eastAsia"/>
          <w:b w:val="0"/>
          <w:bCs w:val="0"/>
          <w:lang w:eastAsia="zh-CN"/>
        </w:rPr>
        <w:t>。</w:t>
      </w:r>
      <w:r>
        <w:rPr>
          <w:b w:val="0"/>
          <w:bCs w:val="0"/>
        </w:rPr>
        <w:t>严格控制“三公经费”支出，进一步加强内部管理。</w:t>
      </w:r>
      <w:r>
        <w:rPr>
          <w:rFonts w:hint="eastAsia"/>
          <w:b w:val="0"/>
          <w:bCs w:val="0"/>
          <w:lang w:val="en-US" w:eastAsia="zh-CN"/>
        </w:rPr>
        <w:t>2020年</w:t>
      </w:r>
      <w:r>
        <w:rPr>
          <w:rFonts w:hint="eastAsia"/>
          <w:b w:val="0"/>
          <w:bCs w:val="0"/>
        </w:rPr>
        <w:t>三公经费年初预算23.5万元，其中公务接待费9.5万元，公务用车运行维护费14万元。</w:t>
      </w:r>
      <w:r>
        <w:rPr>
          <w:rFonts w:hint="eastAsia"/>
          <w:b w:val="0"/>
          <w:bCs w:val="0"/>
          <w:lang w:val="en-US" w:eastAsia="zh-CN"/>
        </w:rPr>
        <w:t>2020年</w:t>
      </w:r>
      <w:r>
        <w:rPr>
          <w:rFonts w:hint="eastAsia"/>
          <w:b w:val="0"/>
          <w:bCs w:val="0"/>
        </w:rPr>
        <w:t>三公经费决算数10.31万元，完成预算的44%，比上年的20.73万元减少10.42万元。</w:t>
      </w:r>
      <w:r>
        <w:rPr>
          <w:rFonts w:hint="eastAsia"/>
          <w:b w:val="0"/>
          <w:bCs w:val="0"/>
          <w:lang w:eastAsia="zh-CN"/>
        </w:rPr>
        <w:t>其中</w:t>
      </w:r>
      <w:r>
        <w:rPr>
          <w:rFonts w:hint="eastAsia"/>
          <w:b w:val="0"/>
          <w:bCs w:val="0"/>
        </w:rPr>
        <w:t>公务用车运行维护费决算数7.73万元，完成预算的55%，比上年的7.87万元减少了0.14万元</w:t>
      </w:r>
      <w:r>
        <w:rPr>
          <w:rFonts w:hint="eastAsia"/>
          <w:b w:val="0"/>
          <w:bCs w:val="0"/>
          <w:lang w:eastAsia="zh-CN"/>
        </w:rPr>
        <w:t>；</w:t>
      </w:r>
      <w:r>
        <w:rPr>
          <w:rFonts w:hint="eastAsia"/>
          <w:b w:val="0"/>
          <w:bCs w:val="0"/>
        </w:rPr>
        <w:t>公务接待费本年决算数2.58万元，比上年决算的6.06万元减少3.48万元，下降57%</w:t>
      </w:r>
      <w:r>
        <w:rPr>
          <w:rFonts w:hint="eastAsia"/>
          <w:b w:val="0"/>
          <w:bCs w:val="0"/>
          <w:lang w:eastAsia="zh-CN"/>
        </w:rPr>
        <w:t>，接待支出主要用于餐费，国内公务接待</w:t>
      </w:r>
      <w:r>
        <w:rPr>
          <w:rFonts w:hint="eastAsia"/>
          <w:b w:val="0"/>
          <w:bCs w:val="0"/>
          <w:lang w:val="en-US" w:eastAsia="zh-CN"/>
        </w:rPr>
        <w:t>20批次，接待130人次。</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default"/>
          <w:b w:val="0"/>
          <w:bCs w:val="0"/>
          <w:lang w:val="en-US" w:eastAsia="zh-CN"/>
        </w:rPr>
      </w:pPr>
      <w:r>
        <w:rPr>
          <w:rFonts w:hint="eastAsia"/>
          <w:b w:val="0"/>
          <w:bCs w:val="0"/>
          <w:lang w:val="en-US" w:eastAsia="zh-CN"/>
        </w:rPr>
        <w:t>（4）内部管理制度建设情况。近年来，我委相继建立健全了《益阳市国资委机关财务管理制度》《益阳市国资委经费报销会审联签制度》《益阳市国资委固定资产管理办法》《中共益阳市人民政府国有资产监督管理委员会委员会党费管理办法》《益阳市国资委机关工会经费管理办法》等一系列内部管理制度，并严格按照制度执行。</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b w:val="0"/>
          <w:bCs w:val="0"/>
        </w:rPr>
      </w:pPr>
      <w:r>
        <w:rPr>
          <w:rFonts w:hint="eastAsia"/>
          <w:b w:val="0"/>
          <w:bCs w:val="0"/>
          <w:lang w:eastAsia="zh-CN"/>
        </w:rPr>
        <w:t>（</w:t>
      </w:r>
      <w:r>
        <w:rPr>
          <w:rFonts w:hint="eastAsia"/>
          <w:b w:val="0"/>
          <w:bCs w:val="0"/>
          <w:lang w:val="en-US" w:eastAsia="zh-CN"/>
        </w:rPr>
        <w:t>5</w:t>
      </w:r>
      <w:r>
        <w:rPr>
          <w:rFonts w:hint="eastAsia"/>
          <w:b w:val="0"/>
          <w:bCs w:val="0"/>
          <w:lang w:eastAsia="zh-CN"/>
        </w:rPr>
        <w:t>）</w:t>
      </w:r>
      <w:r>
        <w:rPr>
          <w:b w:val="0"/>
          <w:bCs w:val="0"/>
        </w:rPr>
        <w:t>可持续发展能力：为益阳</w:t>
      </w:r>
      <w:r>
        <w:rPr>
          <w:rFonts w:hint="eastAsia"/>
          <w:b w:val="0"/>
          <w:bCs w:val="0"/>
          <w:lang w:eastAsia="zh-CN"/>
        </w:rPr>
        <w:t>国资国企</w:t>
      </w:r>
      <w:r>
        <w:rPr>
          <w:b w:val="0"/>
          <w:bCs w:val="0"/>
        </w:rPr>
        <w:t>高质量发展提供坚强的</w:t>
      </w:r>
      <w:r>
        <w:rPr>
          <w:rFonts w:hint="eastAsia"/>
          <w:b w:val="0"/>
          <w:bCs w:val="0"/>
          <w:lang w:eastAsia="zh-CN"/>
        </w:rPr>
        <w:t>保障</w:t>
      </w:r>
      <w:r>
        <w:rPr>
          <w:b w:val="0"/>
          <w:bCs w:val="0"/>
        </w:rPr>
        <w:t>。</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b w:val="0"/>
          <w:bCs w:val="0"/>
        </w:rPr>
      </w:pPr>
      <w:r>
        <w:rPr>
          <w:rFonts w:hint="eastAsia"/>
          <w:b w:val="0"/>
          <w:bCs w:val="0"/>
          <w:lang w:eastAsia="zh-CN"/>
        </w:rPr>
        <w:t>（</w:t>
      </w:r>
      <w:r>
        <w:rPr>
          <w:rFonts w:hint="eastAsia"/>
          <w:b w:val="0"/>
          <w:bCs w:val="0"/>
          <w:lang w:val="en-US" w:eastAsia="zh-CN"/>
        </w:rPr>
        <w:t>6</w:t>
      </w:r>
      <w:r>
        <w:rPr>
          <w:rFonts w:hint="eastAsia"/>
          <w:b w:val="0"/>
          <w:bCs w:val="0"/>
          <w:lang w:eastAsia="zh-CN"/>
        </w:rPr>
        <w:t>）</w:t>
      </w:r>
      <w:r>
        <w:rPr>
          <w:b w:val="0"/>
          <w:bCs w:val="0"/>
        </w:rPr>
        <w:t>服务对象满意度：群众对单位的满意度为</w:t>
      </w:r>
      <w:r>
        <w:rPr>
          <w:rFonts w:hint="eastAsia"/>
          <w:b w:val="0"/>
          <w:bCs w:val="0"/>
          <w:lang w:val="en-US" w:eastAsia="zh-CN"/>
        </w:rPr>
        <w:t>100</w:t>
      </w:r>
      <w:r>
        <w:rPr>
          <w:b w:val="0"/>
          <w:bCs w:val="0"/>
        </w:rPr>
        <w:t>%，达到了预期目标。</w:t>
      </w:r>
    </w:p>
    <w:p>
      <w:pPr>
        <w:pStyle w:val="4"/>
        <w:pageBreakBefore w:val="0"/>
        <w:widowControl w:val="0"/>
        <w:kinsoku/>
        <w:wordWrap/>
        <w:overflowPunct/>
        <w:topLinePunct w:val="0"/>
        <w:autoSpaceDE/>
        <w:autoSpaceDN/>
        <w:bidi w:val="0"/>
        <w:adjustRightInd/>
        <w:snapToGrid/>
        <w:spacing w:before="0" w:beforeLines="0" w:after="0" w:afterLines="0" w:line="600" w:lineRule="exact"/>
        <w:ind w:firstLine="640" w:firstLineChars="200"/>
        <w:textAlignment w:val="auto"/>
        <w:rPr>
          <w:b w:val="0"/>
          <w:bCs/>
        </w:rPr>
      </w:pPr>
      <w:r>
        <w:rPr>
          <w:b w:val="0"/>
          <w:bCs/>
        </w:rPr>
        <w:t>（三）主要绩效及评价结论</w:t>
      </w:r>
    </w:p>
    <w:p>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一是攻坚克难，积极推进国资国企改革。1. 扎实做好融资平台转型工作。出台了“1+3+5”文件方案，按照省里推介的“12341”转型模式制定了有关制度方案。全面开展资产清理，确定了资产配置方案，组建了三大集团公司。2. 积极推进国企办社会职能分离移交工作。我市央企省企退休人员社会化管理工作共涉及企业33家，其中纳入绩效考核任务的有驻益央企19家、省企8家，指导协调企业6家。该项工作得到省督导组充分肯定，走在全省前列。3. 大力推动改制遗留问题处理。根据市国企改革领导小组《国企改革遗留问题处理工作落实清单》，逐项督促落实。</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二是健全制度，切实加强国资监管。1. 加强国资监管制度建设。先后出台了《益阳市国资委监管企业负责人综合绩效考核暂行办法》等制度文件。2. 推动经营性国有资产集中监管。市政府明确益阳市建筑设计院等7家转企单位由市国资委履行出资人职责，纳入市国资委统一监管；完成市国资经营公司、市二招待所两家事业单位改革任务。目前，市国资委监管的企业共13家。3. 落实国有资产报告制度。市国资委连续三年代表市人民政府向市人大常委会报告市属企业国有资产管理情况，接受市人大监督，该项工作走在全省前列。4. 加强国有资本风险控制和考核激励约束。一是党组织研究讨论作为公司“三重一大”决策的前置条件，做好风险控制。二是对重大对外投融资项目进行专家集中评审。三是严格规范财务管理，按照事前防范、事中控制、事后监督实行内部控制及外部监督，对银城大市场、二招待所、企业服务中心、银湘公司开展了财务检查和负责人经济责任审计。四是组织制订《2020年度监管企业负责人综合绩效考核实施方案》。</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三是多措并举，努力促进企业高质量发展。1. 支持平台公司转型发展。一是充分落实企业经营自主权。二是推动出台《益阳市融资平台转型土地出让匹配机制》。三是推动出台《益阳市基础设施建设项目代建机制》。2. 整合国有资源做实企业资产。一是将水利、住建、自然资源和规划等部门的经营性国有资产调整配置市城投集团。二是将交通、公路系统的经营性国有资产调整配置市交投集团。三是相关公益性资产和非经营性资产采取委托代管的方式，由集团公司进行管理。3. 打造特色创业园区。华盛中小企业创业基地被省人社厅和省财政厅评为2019年度优秀省级创业孵化基地。4. 积极开展招商引资。成功引进两个招商项目，合计投资总额2.2亿元，形成固定资产投资额1.3亿元。5. 认真谋划未来发展聘请专业咨询机构，正在组织编制《益阳市国资国企发展战略暨“十四五”规划》，积极推进“智慧国资”建设。</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四是真抓实干，大力推进项目建设。1. 全力推进重点项目建设。一是市招商引资重点项目“益阳国际黄金之城”涉及腾地拆迁任务包括房屋等建构筑物80间，面积6267.48平方米，目前已拆除房屋41间，面积4000余平方米。二是城投集团负责的资江风貌带和城市西环线建设项目完成总投资6.7亿元，全力推进青龙洲大桥、滨江路、扬帆路、白马山路延伸线、虎山路工程项目建设。完成了生命签证主题馆项目、团洲污水处理厂提标扩容改造项目、益阳市中心城区黑臭水体整治工程等市重点工程项目。交投集团负责的投资超5亿元的金桥广场项目进入预售阶段，已实现销售收入1.07亿元。两型投集团负责的宝林冲特色商业小镇、时光小镇、日光湖畔和加油站项目进展顺利。2. 大力实施棚户区改造。长益路棚改项目（国富小区）已全部竣工，轴承厂招商项目已完成主体工程建设，橡胶机老旧小区改造工程于今年6月竣工。</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五是坚持以人民为中心，维护大局稳定。1. 着力改善职工群众生活条件。一是今年文明创建工作多次获得上级表彰奖励。二是关注民生办实事，通过春节送温暖，“双联”慰问，大病救助、常年性帮扶、金秋助学等方式，累计筹措资金约110万元，帮扶慰问困难职工约2300人次。三是扎实做好疫情防控和企业复工复产工作。2. 做实做细安全、环保、平安创建工作。一是严格落实安全生产责任。二是落实市污染防治攻坚工作要求。三是严格落实《健全落实社会治安综合治理领导责任制规定》。3. 抓信访维稳定。今年累计接谈劝返职工群众246批次1739人次，处置群体性事件61起，回复市长热线、网上办信、红网论坛等网络舆情285条，限期办结率100%。系统整体平安稳定。</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六是常抓不懈，全面加强党的建设。1. 切实加强国企党建。一是认真落实国企党建30项重点工作任务。二是落实党支部“五化”建设要求。三是加强党员队伍建设。四是注重发挥各级党组织和广大党员在推动工作、攻坚克难中的重要作用。2. 切实加强意识形态工作。两个优秀微宣讲视频入选“学习强国”湖南平台展播，理论宣讲工作被市委宣传部评为先进单位，推荐到省委宣传部。3. 扎实开展扶贫攻坚。今年共落实扶贫资金85万元，其中54万元用于村项目建设。城西村建档立卡贫困户112户、310人已全部脱贫。4. 加强党风廉政建设。一是高度重视党风廉政建设。二是扎实开展专项整治。三是加强监督执纪。5. 全力抓好巡察整改“回头看”。委党委高度重视，迅速成立领导小组，做到对账销号，及时向巡察组报送相关资料，推动巡察整改真正落实落细落地。</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b w:val="0"/>
          <w:bCs w:val="0"/>
        </w:rPr>
      </w:pPr>
      <w:r>
        <w:rPr>
          <w:rFonts w:hint="eastAsia"/>
          <w:b w:val="0"/>
          <w:bCs w:val="0"/>
        </w:rPr>
        <w:t>根据部门整体支出绩效评价指标确定的内容，经</w:t>
      </w:r>
      <w:r>
        <w:rPr>
          <w:rFonts w:hint="eastAsia"/>
          <w:b w:val="0"/>
          <w:bCs w:val="0"/>
          <w:lang w:eastAsia="zh-CN"/>
        </w:rPr>
        <w:t>自评</w:t>
      </w:r>
      <w:r>
        <w:rPr>
          <w:rFonts w:hint="eastAsia"/>
          <w:b w:val="0"/>
          <w:bCs w:val="0"/>
        </w:rPr>
        <w:t>，</w:t>
      </w:r>
      <w:r>
        <w:rPr>
          <w:rFonts w:hint="eastAsia"/>
          <w:b w:val="0"/>
          <w:bCs w:val="0"/>
          <w:lang w:eastAsia="zh-CN"/>
        </w:rPr>
        <w:t>市国资委</w:t>
      </w:r>
      <w:r>
        <w:rPr>
          <w:rFonts w:hint="eastAsia"/>
          <w:b w:val="0"/>
          <w:bCs w:val="0"/>
        </w:rPr>
        <w:t>2020年度整体支出绩效评为“优秀”。</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七、存在的问题及原因分析</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1、预算编制有待更加规范，预算编制与实际支出存在差异。</w:t>
      </w:r>
    </w:p>
    <w:p>
      <w:pPr>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b w:val="0"/>
          <w:bCs w:val="0"/>
          <w:color w:val="000000"/>
          <w:szCs w:val="32"/>
        </w:rPr>
      </w:pPr>
      <w:r>
        <w:rPr>
          <w:b w:val="0"/>
          <w:bCs w:val="0"/>
        </w:rPr>
        <w:t>2、部门绩效目标设定后，对于不能量化的目标考核评价标准有待进一步优化。预算执行力度有待进一步加强。</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八、下一步改进措施</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1、进一步细化预算编制工作，认真做好预算的编制。</w:t>
      </w:r>
    </w:p>
    <w:p>
      <w:pPr>
        <w:pageBreakBefore w:val="0"/>
        <w:kinsoku/>
        <w:wordWrap/>
        <w:overflowPunct/>
        <w:topLinePunct w:val="0"/>
        <w:autoSpaceDE/>
        <w:autoSpaceDN/>
        <w:bidi w:val="0"/>
        <w:adjustRightInd/>
        <w:snapToGrid/>
        <w:spacing w:line="600" w:lineRule="exact"/>
        <w:ind w:firstLine="640" w:firstLineChars="200"/>
        <w:jc w:val="both"/>
        <w:textAlignment w:val="auto"/>
        <w:rPr>
          <w:b w:val="0"/>
          <w:bCs w:val="0"/>
        </w:rPr>
      </w:pPr>
      <w:r>
        <w:rPr>
          <w:b w:val="0"/>
          <w:bCs w:val="0"/>
        </w:rPr>
        <w:t>2、科学合理制定绩效目标及考核体系，充分发挥绩效工作效用。严格执行预算，提高资金使用效率。</w:t>
      </w:r>
    </w:p>
    <w:p>
      <w:pPr>
        <w:pStyle w:val="3"/>
        <w:pageBreakBefore w:val="0"/>
        <w:kinsoku/>
        <w:wordWrap/>
        <w:overflowPunct/>
        <w:topLinePunct w:val="0"/>
        <w:autoSpaceDE/>
        <w:autoSpaceDN/>
        <w:bidi w:val="0"/>
        <w:adjustRightInd/>
        <w:snapToGrid/>
        <w:spacing w:before="0" w:beforeLines="0" w:after="0" w:afterLines="0" w:line="600" w:lineRule="exact"/>
        <w:ind w:firstLine="640" w:firstLineChars="200"/>
        <w:jc w:val="both"/>
        <w:textAlignment w:val="auto"/>
        <w:rPr>
          <w:b w:val="0"/>
          <w:bCs w:val="0"/>
        </w:rPr>
      </w:pPr>
      <w:r>
        <w:rPr>
          <w:b w:val="0"/>
          <w:bCs w:val="0"/>
        </w:rPr>
        <w:t>九、部门整体支出绩效自评结果拟应用和公开情况</w:t>
      </w:r>
    </w:p>
    <w:p>
      <w:pPr>
        <w:pageBreakBefore w:val="0"/>
        <w:kinsoku/>
        <w:wordWrap/>
        <w:overflowPunct/>
        <w:topLinePunct w:val="0"/>
        <w:autoSpaceDE/>
        <w:autoSpaceDN/>
        <w:bidi w:val="0"/>
        <w:adjustRightInd/>
        <w:snapToGrid/>
        <w:spacing w:line="600" w:lineRule="exact"/>
        <w:ind w:firstLine="640" w:firstLineChars="200"/>
        <w:jc w:val="both"/>
        <w:textAlignment w:val="auto"/>
      </w:pPr>
      <w:r>
        <w:t>绩效自评结果将为下年度预算配置、预算执行和预算管理提供参照和依据，不断细化绩效评价指标，提高资金使用效益。绩效评价报告及相关表格将按规定在</w:t>
      </w:r>
      <w:r>
        <w:rPr>
          <w:rFonts w:hint="eastAsia"/>
          <w:lang w:eastAsia="zh-CN"/>
        </w:rPr>
        <w:t>益阳市国资委官网</w:t>
      </w:r>
      <w:r>
        <w:t>进行公开。</w:t>
      </w: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color w:val="000000"/>
          <w:szCs w:val="32"/>
        </w:rPr>
      </w:pP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szCs w:val="32"/>
        </w:rPr>
      </w:pPr>
    </w:p>
    <w:p>
      <w:pPr>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szCs w:val="32"/>
        </w:rPr>
      </w:pPr>
      <w:r>
        <w:rPr>
          <w:rFonts w:ascii="Times New Roman" w:hAnsi="Times New Roman"/>
          <w:szCs w:val="32"/>
        </w:rPr>
        <w:t>附件: 1、部门整体支出绩效评价基础数据表</w:t>
      </w:r>
    </w:p>
    <w:p>
      <w:pPr>
        <w:pageBreakBefore w:val="0"/>
        <w:widowControl/>
        <w:kinsoku/>
        <w:wordWrap/>
        <w:overflowPunct/>
        <w:topLinePunct w:val="0"/>
        <w:autoSpaceDE/>
        <w:autoSpaceDN/>
        <w:bidi w:val="0"/>
        <w:adjustRightInd/>
        <w:snapToGrid/>
        <w:spacing w:line="600" w:lineRule="exact"/>
        <w:ind w:firstLine="1440" w:firstLineChars="450"/>
        <w:jc w:val="both"/>
        <w:textAlignment w:val="auto"/>
        <w:rPr>
          <w:rFonts w:ascii="Times New Roman" w:hAnsi="Times New Roman"/>
          <w:szCs w:val="32"/>
        </w:rPr>
      </w:pPr>
      <w:r>
        <w:rPr>
          <w:rFonts w:ascii="Times New Roman" w:hAnsi="Times New Roman"/>
          <w:szCs w:val="32"/>
        </w:rPr>
        <w:t>2、部门整体支出绩效自评表</w:t>
      </w:r>
    </w:p>
    <w:p>
      <w:pPr>
        <w:widowControl/>
        <w:spacing w:line="600" w:lineRule="exact"/>
        <w:ind w:firstLine="616" w:firstLineChars="200"/>
        <w:jc w:val="both"/>
        <w:rPr>
          <w:rFonts w:hint="eastAsia" w:ascii="Times New Roman" w:hAnsi="Times New Roman" w:eastAsia="仿宋_GB2312"/>
          <w:spacing w:val="-6"/>
          <w:sz w:val="32"/>
          <w:szCs w:val="32"/>
        </w:rPr>
      </w:pPr>
    </w:p>
    <w:p>
      <w:pPr>
        <w:rPr>
          <w:rFonts w:ascii="黑体" w:hAnsi="黑体" w:eastAsia="黑体"/>
          <w:szCs w:val="32"/>
        </w:rPr>
      </w:pPr>
      <w:r>
        <w:rPr>
          <w:rFonts w:ascii="黑体" w:hAnsi="黑体" w:eastAsia="黑体"/>
          <w:szCs w:val="32"/>
        </w:rPr>
        <w:br w:type="page"/>
      </w:r>
    </w:p>
    <w:p>
      <w:pPr>
        <w:widowControl/>
        <w:spacing w:line="400" w:lineRule="exact"/>
        <w:ind w:leftChars="-134" w:hanging="428" w:hangingChars="134"/>
        <w:jc w:val="both"/>
        <w:rPr>
          <w:rFonts w:ascii="黑体" w:hAnsi="黑体" w:eastAsia="黑体"/>
          <w:szCs w:val="32"/>
        </w:rPr>
      </w:pPr>
      <w:r>
        <w:rPr>
          <w:rFonts w:ascii="黑体" w:hAnsi="黑体" w:eastAsia="黑体"/>
          <w:szCs w:val="32"/>
        </w:rPr>
        <w:t>附件</w:t>
      </w:r>
      <w:r>
        <w:rPr>
          <w:rFonts w:hint="eastAsia" w:ascii="黑体" w:hAnsi="黑体" w:eastAsia="黑体"/>
          <w:szCs w:val="32"/>
        </w:rPr>
        <w:t>1</w:t>
      </w:r>
    </w:p>
    <w:p>
      <w:pPr>
        <w:spacing w:line="600" w:lineRule="exact"/>
        <w:jc w:val="center"/>
        <w:rPr>
          <w:rFonts w:ascii="方正小标宋简体" w:eastAsia="方正小标宋简体"/>
          <w:kern w:val="0"/>
          <w:sz w:val="36"/>
          <w:szCs w:val="36"/>
        </w:rPr>
      </w:pPr>
      <w:r>
        <w:rPr>
          <w:rFonts w:hint="eastAsia" w:ascii="方正小标宋简体" w:eastAsia="方正小标宋简体"/>
          <w:kern w:val="0"/>
          <w:sz w:val="36"/>
          <w:szCs w:val="36"/>
        </w:rPr>
        <w:t>2020年度部门整体支出绩效评价基础数据表</w:t>
      </w:r>
    </w:p>
    <w:tbl>
      <w:tblPr>
        <w:tblStyle w:val="9"/>
        <w:tblW w:w="9825" w:type="dxa"/>
        <w:jc w:val="center"/>
        <w:tblLayout w:type="fixed"/>
        <w:tblCellMar>
          <w:top w:w="0" w:type="dxa"/>
          <w:left w:w="108" w:type="dxa"/>
          <w:bottom w:w="0" w:type="dxa"/>
          <w:right w:w="108" w:type="dxa"/>
        </w:tblCellMar>
      </w:tblPr>
      <w:tblGrid>
        <w:gridCol w:w="3257"/>
        <w:gridCol w:w="1217"/>
        <w:gridCol w:w="1139"/>
        <w:gridCol w:w="1094"/>
        <w:gridCol w:w="1156"/>
        <w:gridCol w:w="973"/>
        <w:gridCol w:w="989"/>
      </w:tblGrid>
      <w:tr>
        <w:tblPrEx>
          <w:tblCellMar>
            <w:top w:w="0" w:type="dxa"/>
            <w:left w:w="108" w:type="dxa"/>
            <w:bottom w:w="0" w:type="dxa"/>
            <w:right w:w="108" w:type="dxa"/>
          </w:tblCellMar>
        </w:tblPrEx>
        <w:trPr>
          <w:cantSplit/>
          <w:trHeight w:val="397" w:hRule="exact"/>
          <w:jc w:val="center"/>
        </w:trPr>
        <w:tc>
          <w:tcPr>
            <w:tcW w:w="325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财政供养人员情况（人）</w:t>
            </w:r>
          </w:p>
        </w:tc>
        <w:tc>
          <w:tcPr>
            <w:tcW w:w="2356"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编制数</w:t>
            </w:r>
          </w:p>
        </w:tc>
        <w:tc>
          <w:tcPr>
            <w:tcW w:w="2250"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2020年实际在职人数</w:t>
            </w:r>
          </w:p>
        </w:tc>
        <w:tc>
          <w:tcPr>
            <w:tcW w:w="1962"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控制率</w:t>
            </w:r>
          </w:p>
        </w:tc>
      </w:tr>
      <w:tr>
        <w:tblPrEx>
          <w:tblCellMar>
            <w:top w:w="0" w:type="dxa"/>
            <w:left w:w="108" w:type="dxa"/>
            <w:bottom w:w="0" w:type="dxa"/>
            <w:right w:w="108" w:type="dxa"/>
          </w:tblCellMar>
        </w:tblPrEx>
        <w:trPr>
          <w:cantSplit/>
          <w:trHeight w:val="397" w:hRule="exact"/>
          <w:jc w:val="center"/>
        </w:trPr>
        <w:tc>
          <w:tcPr>
            <w:tcW w:w="325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p>
        </w:tc>
        <w:tc>
          <w:tcPr>
            <w:tcW w:w="2356"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80</w:t>
            </w:r>
          </w:p>
        </w:tc>
        <w:tc>
          <w:tcPr>
            <w:tcW w:w="2250"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76</w:t>
            </w:r>
          </w:p>
        </w:tc>
        <w:tc>
          <w:tcPr>
            <w:tcW w:w="1962" w:type="dxa"/>
            <w:gridSpan w:val="2"/>
            <w:tcBorders>
              <w:top w:val="single" w:color="auto" w:sz="4" w:space="0"/>
              <w:left w:val="nil"/>
              <w:bottom w:val="single" w:color="auto" w:sz="4" w:space="0"/>
              <w:right w:val="single" w:color="auto"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95%</w:t>
            </w:r>
          </w:p>
        </w:tc>
      </w:tr>
      <w:tr>
        <w:tblPrEx>
          <w:tblCellMar>
            <w:top w:w="0" w:type="dxa"/>
            <w:left w:w="108" w:type="dxa"/>
            <w:bottom w:w="0" w:type="dxa"/>
            <w:right w:w="108" w:type="dxa"/>
          </w:tblCellMar>
        </w:tblPrEx>
        <w:trPr>
          <w:cantSplit/>
          <w:trHeight w:val="397"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kern w:val="0"/>
                <w:sz w:val="21"/>
                <w:szCs w:val="21"/>
              </w:rPr>
            </w:pPr>
            <w:r>
              <w:rPr>
                <w:rFonts w:ascii="Times New Roman" w:hAnsi="Times New Roman"/>
                <w:kern w:val="0"/>
                <w:sz w:val="21"/>
                <w:szCs w:val="21"/>
              </w:rPr>
              <w:t>经费控制情况（万元）</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2019年决算数</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2020年预算数</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ascii="Times New Roman" w:hAnsi="Times New Roman"/>
                <w:b/>
                <w:bCs/>
                <w:kern w:val="0"/>
                <w:sz w:val="21"/>
                <w:szCs w:val="21"/>
              </w:rPr>
            </w:pPr>
            <w:r>
              <w:rPr>
                <w:rFonts w:ascii="Times New Roman" w:hAnsi="Times New Roman"/>
                <w:b/>
                <w:bCs/>
                <w:kern w:val="0"/>
                <w:sz w:val="21"/>
                <w:szCs w:val="21"/>
              </w:rPr>
              <w:t>2020年决算数</w:t>
            </w:r>
          </w:p>
        </w:tc>
      </w:tr>
      <w:tr>
        <w:tblPrEx>
          <w:tblCellMar>
            <w:top w:w="0" w:type="dxa"/>
            <w:left w:w="108" w:type="dxa"/>
            <w:bottom w:w="0" w:type="dxa"/>
            <w:right w:w="108" w:type="dxa"/>
          </w:tblCellMar>
        </w:tblPrEx>
        <w:trPr>
          <w:cantSplit/>
          <w:trHeight w:val="397"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三公经费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20.73</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23.5</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10.31</w:t>
            </w:r>
          </w:p>
        </w:tc>
      </w:tr>
      <w:tr>
        <w:tblPrEx>
          <w:tblCellMar>
            <w:top w:w="0" w:type="dxa"/>
            <w:left w:w="108" w:type="dxa"/>
            <w:bottom w:w="0" w:type="dxa"/>
            <w:right w:w="108" w:type="dxa"/>
          </w:tblCellMar>
        </w:tblPrEx>
        <w:trPr>
          <w:cantSplit/>
          <w:trHeight w:val="397"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1、公务用车购置和维护经费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7.87</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7.73</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其中：公车购置</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公车运行维护</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7.87</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7.73</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2、出国经费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6.8</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3、公务接待</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6.06</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9.5</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2.58</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项目支出</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273.76</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222.84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290.09</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1、业务工作经费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273.73</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222.84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290.09</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2、运行维护经费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ind w:firstLine="420" w:firstLineChars="200"/>
              <w:jc w:val="both"/>
              <w:rPr>
                <w:rFonts w:ascii="Times New Roman" w:hAnsi="Times New Roman"/>
                <w:kern w:val="0"/>
                <w:sz w:val="21"/>
                <w:szCs w:val="21"/>
              </w:rPr>
            </w:pPr>
            <w:r>
              <w:rPr>
                <w:rFonts w:ascii="Times New Roman" w:hAnsi="Times New Roman"/>
                <w:kern w:val="0"/>
                <w:sz w:val="21"/>
                <w:szCs w:val="21"/>
              </w:rPr>
              <w:t>3、</w:t>
            </w:r>
            <w:r>
              <w:rPr>
                <w:rFonts w:hint="eastAsia" w:ascii="Times New Roman" w:hAnsi="Times New Roman"/>
                <w:kern w:val="0"/>
                <w:sz w:val="21"/>
                <w:szCs w:val="21"/>
              </w:rPr>
              <w:t>市</w:t>
            </w:r>
            <w:r>
              <w:rPr>
                <w:rFonts w:ascii="Times New Roman" w:hAnsi="Times New Roman"/>
                <w:kern w:val="0"/>
                <w:sz w:val="21"/>
                <w:szCs w:val="21"/>
              </w:rPr>
              <w:t>级专项资金</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公用经费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292.92</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175.76</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280.06</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其中：办公经费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18.74</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17.5</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14.04</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水费、电费、差旅费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27.08</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18.41</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26.6</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          会议费、培训费</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25.72</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5.4</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color w:val="000000" w:themeColor="text1"/>
                <w:kern w:val="0"/>
                <w:sz w:val="21"/>
                <w:szCs w:val="21"/>
                <w:lang w:val="en-US" w:eastAsia="zh-CN"/>
                <w14:textFill>
                  <w14:solidFill>
                    <w14:schemeClr w14:val="tx1"/>
                  </w14:solidFill>
                </w14:textFill>
              </w:rPr>
            </w:pPr>
            <w:r>
              <w:rPr>
                <w:rFonts w:hint="eastAsia" w:ascii="Times New Roman" w:hAnsi="Times New Roman"/>
                <w:color w:val="000000" w:themeColor="text1"/>
                <w:kern w:val="0"/>
                <w:sz w:val="21"/>
                <w:szCs w:val="21"/>
                <w:lang w:val="en-US" w:eastAsia="zh-CN"/>
                <w14:textFill>
                  <w14:solidFill>
                    <w14:schemeClr w14:val="tx1"/>
                  </w14:solidFill>
                </w14:textFill>
              </w:rPr>
              <w:t>7.03</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政府采购金额</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val="en-US" w:eastAsia="zh-CN"/>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45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both"/>
              <w:rPr>
                <w:rFonts w:ascii="Times New Roman" w:hAnsi="Times New Roman"/>
                <w:kern w:val="0"/>
                <w:sz w:val="21"/>
                <w:szCs w:val="21"/>
              </w:rPr>
            </w:pPr>
            <w:r>
              <w:rPr>
                <w:rFonts w:ascii="Times New Roman" w:hAnsi="Times New Roman"/>
                <w:kern w:val="0"/>
                <w:sz w:val="21"/>
                <w:szCs w:val="21"/>
              </w:rPr>
              <w:t xml:space="preserve">部门基本支出预算调整 </w:t>
            </w:r>
          </w:p>
        </w:tc>
        <w:tc>
          <w:tcPr>
            <w:tcW w:w="2356" w:type="dxa"/>
            <w:gridSpan w:val="2"/>
            <w:tcBorders>
              <w:top w:val="single" w:color="auto" w:sz="4" w:space="0"/>
              <w:left w:val="nil"/>
              <w:bottom w:val="single" w:color="auto" w:sz="4" w:space="0"/>
              <w:right w:val="single" w:color="000000" w:sz="4" w:space="0"/>
            </w:tcBorders>
            <w:vAlign w:val="center"/>
          </w:tcPr>
          <w:p>
            <w:pPr>
              <w:widowControl/>
              <w:jc w:val="center"/>
              <w:rPr>
                <w:rFonts w:hint="eastAsia" w:ascii="Times New Roman" w:hAnsi="Times New Roman" w:eastAsia="仿宋_GB2312"/>
                <w:kern w:val="0"/>
                <w:sz w:val="21"/>
                <w:szCs w:val="21"/>
                <w:lang w:eastAsia="zh-CN"/>
              </w:rPr>
            </w:pPr>
            <w:r>
              <w:rPr>
                <w:rFonts w:hint="eastAsia" w:ascii="Times New Roman" w:hAnsi="Times New Roman"/>
                <w:kern w:val="0"/>
                <w:sz w:val="21"/>
                <w:szCs w:val="21"/>
                <w:lang w:eastAsia="zh-CN"/>
              </w:rPr>
              <w:t>——</w:t>
            </w:r>
          </w:p>
        </w:tc>
        <w:tc>
          <w:tcPr>
            <w:tcW w:w="2250"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1236.30</w:t>
            </w:r>
          </w:p>
        </w:tc>
        <w:tc>
          <w:tcPr>
            <w:tcW w:w="1962" w:type="dxa"/>
            <w:gridSpan w:val="2"/>
            <w:tcBorders>
              <w:top w:val="single" w:color="auto" w:sz="4" w:space="0"/>
              <w:left w:val="nil"/>
              <w:bottom w:val="single" w:color="auto" w:sz="4" w:space="0"/>
              <w:right w:val="single" w:color="000000" w:sz="4" w:space="0"/>
            </w:tcBorders>
            <w:vAlign w:val="center"/>
          </w:tcPr>
          <w:p>
            <w:pPr>
              <w:widowControl/>
              <w:jc w:val="center"/>
              <w:rPr>
                <w:rFonts w:hint="default" w:ascii="Times New Roman" w:hAnsi="Times New Roman" w:eastAsia="仿宋_GB2312"/>
                <w:kern w:val="0"/>
                <w:sz w:val="21"/>
                <w:szCs w:val="21"/>
                <w:lang w:val="en-US" w:eastAsia="zh-CN"/>
              </w:rPr>
            </w:pPr>
            <w:r>
              <w:rPr>
                <w:rFonts w:hint="eastAsia" w:ascii="Times New Roman" w:hAnsi="Times New Roman"/>
                <w:kern w:val="0"/>
                <w:sz w:val="21"/>
                <w:szCs w:val="21"/>
                <w:lang w:val="en-US" w:eastAsia="zh-CN"/>
              </w:rPr>
              <w:t>1236.30</w:t>
            </w:r>
          </w:p>
        </w:tc>
      </w:tr>
      <w:tr>
        <w:tblPrEx>
          <w:tblCellMar>
            <w:top w:w="0" w:type="dxa"/>
            <w:left w:w="108" w:type="dxa"/>
            <w:bottom w:w="0" w:type="dxa"/>
            <w:right w:w="108" w:type="dxa"/>
          </w:tblCellMar>
        </w:tblPrEx>
        <w:trPr>
          <w:cantSplit/>
          <w:trHeight w:val="1021" w:hRule="exact"/>
          <w:jc w:val="center"/>
        </w:trPr>
        <w:tc>
          <w:tcPr>
            <w:tcW w:w="3257" w:type="dxa"/>
            <w:vMerge w:val="restart"/>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楼堂馆所控制情况</w:t>
            </w:r>
            <w:r>
              <w:rPr>
                <w:rFonts w:ascii="Times New Roman" w:hAnsi="Times New Roman"/>
                <w:kern w:val="0"/>
                <w:sz w:val="21"/>
                <w:szCs w:val="21"/>
              </w:rPr>
              <w:br w:type="textWrapping"/>
            </w:r>
            <w:r>
              <w:rPr>
                <w:rFonts w:ascii="Times New Roman" w:hAnsi="Times New Roman"/>
                <w:kern w:val="0"/>
                <w:sz w:val="21"/>
                <w:szCs w:val="21"/>
              </w:rPr>
              <w:t>（2020年完工项目）</w:t>
            </w:r>
          </w:p>
        </w:tc>
        <w:tc>
          <w:tcPr>
            <w:tcW w:w="1217"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批复规模</w:t>
            </w:r>
            <w:r>
              <w:rPr>
                <w:rFonts w:ascii="Times New Roman" w:hAnsi="Times New Roman"/>
                <w:kern w:val="0"/>
                <w:sz w:val="21"/>
                <w:szCs w:val="21"/>
              </w:rPr>
              <w:br w:type="textWrapping"/>
            </w:r>
            <w:r>
              <w:rPr>
                <w:rFonts w:ascii="Times New Roman" w:hAnsi="Times New Roman"/>
                <w:kern w:val="0"/>
                <w:sz w:val="21"/>
                <w:szCs w:val="21"/>
              </w:rPr>
              <w:t>（㎡）</w:t>
            </w:r>
          </w:p>
        </w:tc>
        <w:tc>
          <w:tcPr>
            <w:tcW w:w="113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实际规模（㎡）</w:t>
            </w:r>
          </w:p>
        </w:tc>
        <w:tc>
          <w:tcPr>
            <w:tcW w:w="109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规模</w:t>
            </w:r>
          </w:p>
          <w:p>
            <w:pPr>
              <w:widowControl/>
              <w:jc w:val="center"/>
              <w:rPr>
                <w:rFonts w:ascii="Times New Roman" w:hAnsi="Times New Roman"/>
                <w:kern w:val="0"/>
                <w:sz w:val="21"/>
                <w:szCs w:val="21"/>
              </w:rPr>
            </w:pPr>
            <w:r>
              <w:rPr>
                <w:rFonts w:ascii="Times New Roman" w:hAnsi="Times New Roman"/>
                <w:kern w:val="0"/>
                <w:sz w:val="21"/>
                <w:szCs w:val="21"/>
              </w:rPr>
              <w:t>控制率</w:t>
            </w:r>
          </w:p>
        </w:tc>
        <w:tc>
          <w:tcPr>
            <w:tcW w:w="115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预算</w:t>
            </w:r>
          </w:p>
          <w:p>
            <w:pPr>
              <w:widowControl/>
              <w:jc w:val="center"/>
              <w:rPr>
                <w:rFonts w:ascii="Times New Roman" w:hAnsi="Times New Roman"/>
                <w:kern w:val="0"/>
                <w:sz w:val="21"/>
                <w:szCs w:val="21"/>
              </w:rPr>
            </w:pPr>
            <w:r>
              <w:rPr>
                <w:rFonts w:ascii="Times New Roman" w:hAnsi="Times New Roman"/>
                <w:kern w:val="0"/>
                <w:sz w:val="21"/>
                <w:szCs w:val="21"/>
              </w:rPr>
              <w:t>投资</w:t>
            </w:r>
          </w:p>
          <w:p>
            <w:pPr>
              <w:widowControl/>
              <w:jc w:val="center"/>
              <w:rPr>
                <w:rFonts w:ascii="Times New Roman" w:hAnsi="Times New Roman"/>
                <w:kern w:val="0"/>
                <w:sz w:val="21"/>
                <w:szCs w:val="21"/>
              </w:rPr>
            </w:pPr>
            <w:r>
              <w:rPr>
                <w:rFonts w:ascii="Times New Roman" w:hAnsi="Times New Roman"/>
                <w:kern w:val="0"/>
                <w:sz w:val="21"/>
                <w:szCs w:val="21"/>
              </w:rPr>
              <w:t>（万元）</w:t>
            </w:r>
          </w:p>
        </w:tc>
        <w:tc>
          <w:tcPr>
            <w:tcW w:w="97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实际</w:t>
            </w:r>
          </w:p>
          <w:p>
            <w:pPr>
              <w:widowControl/>
              <w:jc w:val="center"/>
              <w:rPr>
                <w:rFonts w:ascii="Times New Roman" w:hAnsi="Times New Roman"/>
                <w:kern w:val="0"/>
                <w:sz w:val="21"/>
                <w:szCs w:val="21"/>
              </w:rPr>
            </w:pPr>
            <w:r>
              <w:rPr>
                <w:rFonts w:ascii="Times New Roman" w:hAnsi="Times New Roman"/>
                <w:kern w:val="0"/>
                <w:sz w:val="21"/>
                <w:szCs w:val="21"/>
              </w:rPr>
              <w:t>投资</w:t>
            </w:r>
          </w:p>
          <w:p>
            <w:pPr>
              <w:widowControl/>
              <w:jc w:val="center"/>
              <w:rPr>
                <w:rFonts w:ascii="Times New Roman" w:hAnsi="Times New Roman"/>
                <w:kern w:val="0"/>
                <w:sz w:val="21"/>
                <w:szCs w:val="21"/>
              </w:rPr>
            </w:pPr>
            <w:r>
              <w:rPr>
                <w:rFonts w:ascii="Times New Roman" w:hAnsi="Times New Roman"/>
                <w:kern w:val="0"/>
                <w:sz w:val="21"/>
                <w:szCs w:val="21"/>
              </w:rPr>
              <w:t>（万元）</w:t>
            </w:r>
          </w:p>
        </w:tc>
        <w:tc>
          <w:tcPr>
            <w:tcW w:w="98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投</w:t>
            </w:r>
            <w:r>
              <w:rPr>
                <w:rFonts w:hint="eastAsia" w:ascii="Times New Roman" w:hAnsi="Times New Roman"/>
                <w:kern w:val="0"/>
                <w:sz w:val="21"/>
                <w:szCs w:val="21"/>
                <w:lang w:val="en-US" w:eastAsia="zh-CN"/>
              </w:rPr>
              <w:t xml:space="preserve">  </w:t>
            </w:r>
            <w:r>
              <w:rPr>
                <w:rFonts w:ascii="Times New Roman" w:hAnsi="Times New Roman"/>
                <w:kern w:val="0"/>
                <w:sz w:val="21"/>
                <w:szCs w:val="21"/>
              </w:rPr>
              <w:t>资</w:t>
            </w:r>
          </w:p>
          <w:p>
            <w:pPr>
              <w:widowControl/>
              <w:jc w:val="center"/>
              <w:rPr>
                <w:rFonts w:ascii="Times New Roman" w:hAnsi="Times New Roman"/>
                <w:kern w:val="0"/>
                <w:sz w:val="21"/>
                <w:szCs w:val="21"/>
              </w:rPr>
            </w:pPr>
            <w:r>
              <w:rPr>
                <w:rFonts w:ascii="Times New Roman" w:hAnsi="Times New Roman"/>
                <w:kern w:val="0"/>
                <w:sz w:val="21"/>
                <w:szCs w:val="21"/>
              </w:rPr>
              <w:t>概</w:t>
            </w:r>
            <w:r>
              <w:rPr>
                <w:rFonts w:hint="eastAsia" w:ascii="Times New Roman" w:hAnsi="Times New Roman"/>
                <w:kern w:val="0"/>
                <w:sz w:val="21"/>
                <w:szCs w:val="21"/>
                <w:lang w:val="en-US" w:eastAsia="zh-CN"/>
              </w:rPr>
              <w:t xml:space="preserve">  </w:t>
            </w:r>
            <w:r>
              <w:rPr>
                <w:rFonts w:ascii="Times New Roman" w:hAnsi="Times New Roman"/>
                <w:kern w:val="0"/>
                <w:sz w:val="21"/>
                <w:szCs w:val="21"/>
              </w:rPr>
              <w:t>算</w:t>
            </w:r>
          </w:p>
          <w:p>
            <w:pPr>
              <w:widowControl/>
              <w:jc w:val="center"/>
              <w:rPr>
                <w:rFonts w:ascii="Times New Roman" w:hAnsi="Times New Roman"/>
                <w:kern w:val="0"/>
                <w:sz w:val="21"/>
                <w:szCs w:val="21"/>
              </w:rPr>
            </w:pPr>
            <w:r>
              <w:rPr>
                <w:rFonts w:ascii="Times New Roman" w:hAnsi="Times New Roman"/>
                <w:kern w:val="0"/>
                <w:sz w:val="21"/>
                <w:szCs w:val="21"/>
              </w:rPr>
              <w:t>控制率</w:t>
            </w:r>
          </w:p>
        </w:tc>
      </w:tr>
      <w:tr>
        <w:tblPrEx>
          <w:tblCellMar>
            <w:top w:w="0" w:type="dxa"/>
            <w:left w:w="108" w:type="dxa"/>
            <w:bottom w:w="0" w:type="dxa"/>
            <w:right w:w="108" w:type="dxa"/>
          </w:tblCellMar>
        </w:tblPrEx>
        <w:trPr>
          <w:cantSplit/>
          <w:trHeight w:val="510" w:hRule="exact"/>
          <w:jc w:val="center"/>
        </w:trPr>
        <w:tc>
          <w:tcPr>
            <w:tcW w:w="3257" w:type="dxa"/>
            <w:vMerge w:val="continue"/>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p>
        </w:tc>
        <w:tc>
          <w:tcPr>
            <w:tcW w:w="1217"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kern w:val="0"/>
                <w:sz w:val="21"/>
                <w:szCs w:val="21"/>
                <w:lang w:eastAsia="zh-CN"/>
              </w:rPr>
            </w:pPr>
            <w:r>
              <w:rPr>
                <w:rFonts w:hint="eastAsia" w:ascii="Times New Roman" w:hAnsi="Times New Roman"/>
                <w:kern w:val="0"/>
                <w:sz w:val="21"/>
                <w:szCs w:val="21"/>
                <w:lang w:eastAsia="zh-CN"/>
              </w:rPr>
              <w:t>——</w:t>
            </w:r>
          </w:p>
        </w:tc>
        <w:tc>
          <w:tcPr>
            <w:tcW w:w="113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1094"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1156"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973"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c>
          <w:tcPr>
            <w:tcW w:w="989" w:type="dxa"/>
            <w:tcBorders>
              <w:top w:val="nil"/>
              <w:left w:val="nil"/>
              <w:bottom w:val="single" w:color="auto" w:sz="4" w:space="0"/>
              <w:right w:val="single" w:color="auto" w:sz="4" w:space="0"/>
            </w:tcBorders>
            <w:vAlign w:val="center"/>
          </w:tcPr>
          <w:p>
            <w:pPr>
              <w:widowControl/>
              <w:jc w:val="center"/>
              <w:rPr>
                <w:rFonts w:ascii="Times New Roman" w:hAnsi="Times New Roman"/>
                <w:kern w:val="0"/>
                <w:sz w:val="21"/>
                <w:szCs w:val="21"/>
              </w:rPr>
            </w:pPr>
            <w:r>
              <w:rPr>
                <w:rFonts w:hint="eastAsia" w:ascii="Times New Roman" w:hAnsi="Times New Roman"/>
                <w:kern w:val="0"/>
                <w:sz w:val="21"/>
                <w:szCs w:val="21"/>
                <w:lang w:eastAsia="zh-CN"/>
              </w:rPr>
              <w:t>——</w:t>
            </w:r>
          </w:p>
        </w:tc>
      </w:tr>
      <w:tr>
        <w:tblPrEx>
          <w:tblCellMar>
            <w:top w:w="0" w:type="dxa"/>
            <w:left w:w="108" w:type="dxa"/>
            <w:bottom w:w="0" w:type="dxa"/>
            <w:right w:w="108" w:type="dxa"/>
          </w:tblCellMar>
        </w:tblPrEx>
        <w:trPr>
          <w:cantSplit/>
          <w:trHeight w:val="1814" w:hRule="exact"/>
          <w:jc w:val="center"/>
        </w:trPr>
        <w:tc>
          <w:tcPr>
            <w:tcW w:w="3257"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kern w:val="0"/>
                <w:sz w:val="21"/>
                <w:szCs w:val="21"/>
              </w:rPr>
            </w:pPr>
            <w:r>
              <w:rPr>
                <w:rFonts w:ascii="Times New Roman" w:hAnsi="Times New Roman"/>
                <w:kern w:val="0"/>
                <w:sz w:val="21"/>
                <w:szCs w:val="21"/>
              </w:rPr>
              <w:t>厉行节约保障措施</w:t>
            </w:r>
          </w:p>
        </w:tc>
        <w:tc>
          <w:tcPr>
            <w:tcW w:w="6568" w:type="dxa"/>
            <w:gridSpan w:val="6"/>
            <w:tcBorders>
              <w:top w:val="single" w:color="auto" w:sz="4" w:space="0"/>
              <w:left w:val="nil"/>
              <w:bottom w:val="single" w:color="auto" w:sz="4" w:space="0"/>
              <w:right w:val="single" w:color="000000" w:sz="4" w:space="0"/>
            </w:tcBorders>
            <w:vAlign w:val="center"/>
          </w:tcPr>
          <w:p>
            <w:pPr>
              <w:widowControl/>
              <w:jc w:val="both"/>
              <w:rPr>
                <w:rFonts w:ascii="Times New Roman" w:hAnsi="Times New Roman"/>
                <w:kern w:val="0"/>
                <w:sz w:val="21"/>
                <w:szCs w:val="21"/>
              </w:rPr>
            </w:pPr>
            <w:r>
              <w:rPr>
                <w:rFonts w:hint="eastAsia" w:ascii="Times New Roman" w:hAnsi="Times New Roman"/>
                <w:kern w:val="0"/>
                <w:sz w:val="21"/>
                <w:szCs w:val="21"/>
              </w:rPr>
              <w:t>2020年，益阳市国资委认真贯彻中央“八项规定”、省委“九项规定”、市委“十项规定”精神，牢固树立“过紧日子”的思想，坚持厉行节约，反对铺张浪费。建立健全内控制度，强化支出审核责任制，严格规范会计核算，坚持精打细算、勤俭节约使用财政资金，严禁铺张浪费和大手大脚花钱。</w:t>
            </w:r>
          </w:p>
        </w:tc>
      </w:tr>
    </w:tbl>
    <w:p>
      <w:pPr>
        <w:widowControl/>
        <w:spacing w:line="300" w:lineRule="exact"/>
        <w:jc w:val="both"/>
        <w:rPr>
          <w:kern w:val="0"/>
          <w:sz w:val="22"/>
          <w:szCs w:val="24"/>
        </w:rPr>
      </w:pPr>
      <w:r>
        <w:rPr>
          <w:kern w:val="0"/>
          <w:sz w:val="22"/>
          <w:szCs w:val="24"/>
        </w:rPr>
        <w:t>说明：“项目支出”需要填报基本支出以外的所有项目支出情况，“公用经费”填报基本支出中的一般商品和服务支出。</w:t>
      </w:r>
    </w:p>
    <w:p>
      <w:pPr>
        <w:widowControl/>
        <w:spacing w:line="500" w:lineRule="exact"/>
        <w:ind w:left="-318" w:leftChars="-108" w:hanging="28" w:hangingChars="12"/>
        <w:jc w:val="both"/>
        <w:rPr>
          <w:rFonts w:ascii="Times New Roman" w:hAnsi="Times New Roman"/>
          <w:kern w:val="0"/>
          <w:sz w:val="21"/>
          <w:szCs w:val="21"/>
        </w:rPr>
      </w:pPr>
      <w:r>
        <w:rPr>
          <w:kern w:val="0"/>
          <w:sz w:val="24"/>
          <w:szCs w:val="24"/>
        </w:rPr>
        <w:t>填表人</w:t>
      </w:r>
      <w:r>
        <w:rPr>
          <w:rFonts w:hint="eastAsia"/>
          <w:kern w:val="0"/>
          <w:sz w:val="24"/>
          <w:szCs w:val="24"/>
        </w:rPr>
        <w:t>：</w:t>
      </w:r>
      <w:r>
        <w:rPr>
          <w:kern w:val="0"/>
          <w:sz w:val="24"/>
          <w:szCs w:val="24"/>
        </w:rPr>
        <w:t xml:space="preserve">  </w:t>
      </w:r>
      <w:r>
        <w:rPr>
          <w:rFonts w:hint="eastAsia"/>
          <w:kern w:val="0"/>
          <w:sz w:val="24"/>
          <w:szCs w:val="24"/>
        </w:rPr>
        <w:t xml:space="preserve">       </w:t>
      </w:r>
      <w:r>
        <w:rPr>
          <w:kern w:val="0"/>
          <w:sz w:val="24"/>
          <w:szCs w:val="24"/>
        </w:rPr>
        <w:t xml:space="preserve">填报日期：  </w:t>
      </w:r>
      <w:r>
        <w:rPr>
          <w:rFonts w:hint="eastAsia"/>
          <w:kern w:val="0"/>
          <w:sz w:val="24"/>
          <w:szCs w:val="24"/>
        </w:rPr>
        <w:t xml:space="preserve">   </w:t>
      </w:r>
      <w:r>
        <w:rPr>
          <w:kern w:val="0"/>
          <w:sz w:val="24"/>
          <w:szCs w:val="24"/>
        </w:rPr>
        <w:t xml:space="preserve">  </w:t>
      </w:r>
      <w:r>
        <w:rPr>
          <w:rFonts w:hint="eastAsia"/>
          <w:kern w:val="0"/>
          <w:sz w:val="24"/>
          <w:szCs w:val="24"/>
        </w:rPr>
        <w:t xml:space="preserve">  </w:t>
      </w:r>
      <w:r>
        <w:rPr>
          <w:kern w:val="0"/>
          <w:sz w:val="24"/>
          <w:szCs w:val="24"/>
        </w:rPr>
        <w:t>联系电话：          单位负责人签字：</w:t>
      </w:r>
      <w:r>
        <w:rPr>
          <w:kern w:val="0"/>
          <w:sz w:val="22"/>
          <w:szCs w:val="24"/>
        </w:rPr>
        <w:br w:type="page"/>
      </w:r>
    </w:p>
    <w:p>
      <w:pPr>
        <w:widowControl/>
        <w:spacing w:line="500" w:lineRule="exact"/>
        <w:ind w:left="-308" w:leftChars="-108" w:hanging="38" w:hangingChars="12"/>
        <w:jc w:val="left"/>
        <w:rPr>
          <w:rFonts w:hint="eastAsia" w:ascii="Times New Roman" w:hAnsi="Times New Roman" w:eastAsia="黑体"/>
          <w:szCs w:val="32"/>
        </w:rPr>
      </w:pPr>
      <w:r>
        <w:rPr>
          <w:rFonts w:ascii="黑体" w:hAnsi="黑体" w:eastAsia="黑体"/>
          <w:szCs w:val="32"/>
        </w:rPr>
        <w:t>附件</w:t>
      </w:r>
      <w:r>
        <w:rPr>
          <w:rFonts w:hint="eastAsia" w:ascii="黑体" w:hAnsi="黑体" w:eastAsia="黑体"/>
          <w:szCs w:val="32"/>
        </w:rPr>
        <w:t>2</w:t>
      </w:r>
    </w:p>
    <w:p>
      <w:pPr>
        <w:spacing w:line="600" w:lineRule="exact"/>
        <w:jc w:val="center"/>
        <w:rPr>
          <w:rFonts w:ascii="方正小标宋简体" w:eastAsia="方正小标宋简体"/>
          <w:kern w:val="0"/>
          <w:sz w:val="36"/>
          <w:szCs w:val="36"/>
        </w:rPr>
      </w:pPr>
      <w:r>
        <w:rPr>
          <w:rFonts w:ascii="方正小标宋简体" w:eastAsia="方正小标宋简体"/>
          <w:kern w:val="0"/>
          <w:sz w:val="36"/>
          <w:szCs w:val="36"/>
        </w:rPr>
        <w:t>2020年度部门整体支出绩效自评表</w:t>
      </w:r>
    </w:p>
    <w:tbl>
      <w:tblPr>
        <w:tblStyle w:val="9"/>
        <w:tblW w:w="9993" w:type="dxa"/>
        <w:jc w:val="center"/>
        <w:tblLayout w:type="autofit"/>
        <w:tblCellMar>
          <w:top w:w="0" w:type="dxa"/>
          <w:left w:w="108" w:type="dxa"/>
          <w:bottom w:w="0" w:type="dxa"/>
          <w:right w:w="108" w:type="dxa"/>
        </w:tblCellMar>
      </w:tblPr>
      <w:tblGrid>
        <w:gridCol w:w="1080"/>
        <w:gridCol w:w="1080"/>
        <w:gridCol w:w="953"/>
        <w:gridCol w:w="1256"/>
        <w:gridCol w:w="95"/>
        <w:gridCol w:w="1200"/>
        <w:gridCol w:w="1276"/>
        <w:gridCol w:w="709"/>
        <w:gridCol w:w="992"/>
        <w:gridCol w:w="1352"/>
      </w:tblGrid>
      <w:tr>
        <w:tblPrEx>
          <w:tblCellMar>
            <w:top w:w="0" w:type="dxa"/>
            <w:left w:w="108" w:type="dxa"/>
            <w:bottom w:w="0" w:type="dxa"/>
            <w:right w:w="108" w:type="dxa"/>
          </w:tblCellMar>
        </w:tblPrEx>
        <w:trPr>
          <w:trHeight w:val="32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预算部门</w:t>
            </w:r>
          </w:p>
        </w:tc>
        <w:tc>
          <w:tcPr>
            <w:tcW w:w="8913"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eastAsia="zh-CN"/>
              </w:rPr>
              <w:t>益阳市国资委</w:t>
            </w:r>
            <w:r>
              <w:rPr>
                <w:rFonts w:ascii="Times New Roman" w:hAnsi="Times New Roman"/>
                <w:color w:val="000000"/>
                <w:kern w:val="0"/>
                <w:sz w:val="21"/>
                <w:szCs w:val="21"/>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年度预</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算申请</w:t>
            </w:r>
            <w:r>
              <w:rPr>
                <w:rFonts w:ascii="Times New Roman" w:hAnsi="Times New Roman"/>
                <w:color w:val="000000"/>
                <w:kern w:val="0"/>
                <w:sz w:val="21"/>
                <w:szCs w:val="21"/>
              </w:rPr>
              <w:br w:type="textWrapping"/>
            </w:r>
            <w:r>
              <w:rPr>
                <w:rFonts w:ascii="Times New Roman" w:hAnsi="Times New Roman"/>
                <w:color w:val="000000"/>
                <w:kern w:val="0"/>
                <w:sz w:val="21"/>
                <w:szCs w:val="21"/>
              </w:rPr>
              <w:t>（万元）</w:t>
            </w:r>
          </w:p>
        </w:tc>
        <w:tc>
          <w:tcPr>
            <w:tcW w:w="2033" w:type="dxa"/>
            <w:gridSpan w:val="2"/>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p>
        </w:tc>
        <w:tc>
          <w:tcPr>
            <w:tcW w:w="1256"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年初</w:t>
            </w:r>
          </w:p>
          <w:p>
            <w:pPr>
              <w:spacing w:line="240" w:lineRule="exact"/>
              <w:jc w:val="center"/>
              <w:rPr>
                <w:rFonts w:ascii="Times New Roman" w:hAnsi="Times New Roman"/>
                <w:sz w:val="21"/>
                <w:szCs w:val="21"/>
              </w:rPr>
            </w:pPr>
            <w:r>
              <w:rPr>
                <w:rFonts w:ascii="Times New Roman" w:hAnsi="Times New Roman"/>
                <w:sz w:val="21"/>
                <w:szCs w:val="21"/>
              </w:rPr>
              <w:t>预算数</w:t>
            </w:r>
          </w:p>
        </w:tc>
        <w:tc>
          <w:tcPr>
            <w:tcW w:w="1295" w:type="dxa"/>
            <w:gridSpan w:val="2"/>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全年预算数</w:t>
            </w:r>
          </w:p>
        </w:tc>
        <w:tc>
          <w:tcPr>
            <w:tcW w:w="1276"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全年执行数</w:t>
            </w:r>
          </w:p>
        </w:tc>
        <w:tc>
          <w:tcPr>
            <w:tcW w:w="709"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分值</w:t>
            </w:r>
          </w:p>
        </w:tc>
        <w:tc>
          <w:tcPr>
            <w:tcW w:w="992"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执行率</w:t>
            </w:r>
          </w:p>
        </w:tc>
        <w:tc>
          <w:tcPr>
            <w:tcW w:w="1352"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c>
          <w:tcPr>
            <w:tcW w:w="2033" w:type="dxa"/>
            <w:gridSpan w:val="2"/>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color w:val="000000"/>
                <w:kern w:val="0"/>
                <w:sz w:val="21"/>
                <w:szCs w:val="21"/>
              </w:rPr>
              <w:t>年度资金总额</w:t>
            </w:r>
          </w:p>
        </w:tc>
        <w:tc>
          <w:tcPr>
            <w:tcW w:w="125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1293.67</w:t>
            </w:r>
          </w:p>
        </w:tc>
        <w:tc>
          <w:tcPr>
            <w:tcW w:w="1295"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1530.03</w:t>
            </w:r>
          </w:p>
        </w:tc>
        <w:tc>
          <w:tcPr>
            <w:tcW w:w="1276"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1526.39</w:t>
            </w:r>
          </w:p>
        </w:tc>
        <w:tc>
          <w:tcPr>
            <w:tcW w:w="709" w:type="dxa"/>
            <w:tcBorders>
              <w:top w:val="nil"/>
              <w:left w:val="nil"/>
              <w:bottom w:val="single" w:color="auto" w:sz="4" w:space="0"/>
              <w:right w:val="single" w:color="auto" w:sz="4" w:space="0"/>
            </w:tcBorders>
            <w:noWrap w:val="0"/>
            <w:vAlign w:val="center"/>
          </w:tcPr>
          <w:p>
            <w:pPr>
              <w:spacing w:line="240" w:lineRule="exact"/>
              <w:jc w:val="center"/>
              <w:rPr>
                <w:rFonts w:ascii="Times New Roman" w:hAnsi="Times New Roman"/>
                <w:sz w:val="21"/>
                <w:szCs w:val="21"/>
              </w:rPr>
            </w:pPr>
            <w:r>
              <w:rPr>
                <w:rFonts w:ascii="Times New Roman" w:hAnsi="Times New Roman"/>
                <w:sz w:val="21"/>
                <w:szCs w:val="21"/>
              </w:rPr>
              <w:t>10</w:t>
            </w:r>
          </w:p>
        </w:tc>
        <w:tc>
          <w:tcPr>
            <w:tcW w:w="992" w:type="dxa"/>
            <w:tcBorders>
              <w:top w:val="nil"/>
              <w:left w:val="nil"/>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sz w:val="21"/>
                <w:szCs w:val="21"/>
                <w:lang w:val="en-US" w:eastAsia="zh-CN"/>
              </w:rPr>
            </w:pPr>
            <w:r>
              <w:rPr>
                <w:rFonts w:hint="eastAsia" w:ascii="Times New Roman" w:hAnsi="Times New Roman"/>
                <w:sz w:val="21"/>
                <w:szCs w:val="21"/>
                <w:lang w:val="en-US" w:eastAsia="zh-CN"/>
              </w:rPr>
              <w:t>99.76%</w:t>
            </w:r>
          </w:p>
        </w:tc>
        <w:tc>
          <w:tcPr>
            <w:tcW w:w="1352" w:type="dxa"/>
            <w:tcBorders>
              <w:top w:val="nil"/>
              <w:left w:val="nil"/>
              <w:bottom w:val="single" w:color="auto" w:sz="4" w:space="0"/>
              <w:right w:val="single" w:color="auto" w:sz="4" w:space="0"/>
            </w:tcBorders>
            <w:noWrap w:val="0"/>
            <w:vAlign w:val="center"/>
          </w:tcPr>
          <w:p>
            <w:pPr>
              <w:spacing w:line="240" w:lineRule="exact"/>
              <w:jc w:val="center"/>
              <w:rPr>
                <w:rFonts w:hint="eastAsia" w:ascii="Times New Roman" w:hAnsi="Times New Roman" w:eastAsia="仿宋_GB2312"/>
                <w:sz w:val="21"/>
                <w:szCs w:val="21"/>
                <w:lang w:val="en-US" w:eastAsia="zh-CN"/>
              </w:rPr>
            </w:pPr>
            <w:r>
              <w:rPr>
                <w:rFonts w:hint="eastAsia" w:ascii="Times New Roman" w:hAnsi="Times New Roman"/>
                <w:sz w:val="21"/>
                <w:szCs w:val="21"/>
                <w:lang w:val="en-US" w:eastAsia="zh-CN"/>
              </w:rPr>
              <w:t>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按收入性质分：</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 xml:space="preserve">  其中：</w:t>
            </w:r>
            <w:r>
              <w:rPr>
                <w:rFonts w:hint="eastAsia" w:ascii="Times New Roman" w:hAnsi="Times New Roman"/>
                <w:color w:val="000000"/>
                <w:kern w:val="0"/>
                <w:sz w:val="21"/>
                <w:szCs w:val="21"/>
                <w:lang w:val="en-US" w:eastAsia="zh-CN"/>
              </w:rPr>
              <w:t xml:space="preserve">    </w:t>
            </w:r>
            <w:r>
              <w:rPr>
                <w:rFonts w:ascii="Times New Roman" w:hAnsi="Times New Roman"/>
                <w:color w:val="000000"/>
                <w:kern w:val="0"/>
                <w:sz w:val="21"/>
                <w:szCs w:val="21"/>
              </w:rPr>
              <w:t xml:space="preserve">  一般公共预算：</w:t>
            </w:r>
            <w:r>
              <w:rPr>
                <w:rFonts w:hint="eastAsia" w:ascii="Times New Roman" w:hAnsi="Times New Roman"/>
                <w:color w:val="000000"/>
                <w:kern w:val="0"/>
                <w:sz w:val="21"/>
                <w:szCs w:val="21"/>
                <w:lang w:val="en-US" w:eastAsia="zh-CN"/>
              </w:rPr>
              <w:t>1474.18</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其中：基本支出：</w:t>
            </w:r>
            <w:r>
              <w:rPr>
                <w:rFonts w:hint="eastAsia" w:ascii="Times New Roman" w:hAnsi="Times New Roman"/>
                <w:color w:val="000000"/>
                <w:kern w:val="0"/>
                <w:sz w:val="21"/>
                <w:szCs w:val="21"/>
                <w:lang w:val="en-US" w:eastAsia="zh-CN"/>
              </w:rPr>
              <w:t>1237.99</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ind w:firstLine="1260" w:firstLineChars="600"/>
              <w:jc w:val="left"/>
              <w:rPr>
                <w:rFonts w:ascii="Times New Roman" w:hAnsi="Times New Roman"/>
                <w:color w:val="000000"/>
                <w:kern w:val="0"/>
                <w:sz w:val="21"/>
                <w:szCs w:val="21"/>
              </w:rPr>
            </w:pPr>
            <w:r>
              <w:rPr>
                <w:rFonts w:ascii="Times New Roman" w:hAnsi="Times New Roman"/>
                <w:color w:val="000000"/>
                <w:kern w:val="0"/>
                <w:sz w:val="21"/>
                <w:szCs w:val="21"/>
              </w:rPr>
              <w:t>政府性基金拨款：</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ind w:firstLine="630" w:firstLineChars="300"/>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项目支出：</w:t>
            </w:r>
            <w:r>
              <w:rPr>
                <w:rFonts w:hint="eastAsia" w:ascii="Times New Roman" w:hAnsi="Times New Roman"/>
                <w:color w:val="000000"/>
                <w:kern w:val="0"/>
                <w:sz w:val="21"/>
                <w:szCs w:val="21"/>
                <w:lang w:val="en-US" w:eastAsia="zh-CN"/>
              </w:rPr>
              <w:t>292.04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纳入专户管理的非税收入拨款：</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nil"/>
              <w:left w:val="nil"/>
              <w:bottom w:val="single" w:color="auto" w:sz="4" w:space="0"/>
              <w:right w:val="single" w:color="auto" w:sz="4" w:space="0"/>
            </w:tcBorders>
            <w:noWrap w:val="0"/>
            <w:vAlign w:val="center"/>
          </w:tcPr>
          <w:p>
            <w:pPr>
              <w:widowControl/>
              <w:spacing w:line="240" w:lineRule="exact"/>
              <w:ind w:firstLine="1890" w:firstLineChars="900"/>
              <w:jc w:val="left"/>
              <w:rPr>
                <w:rFonts w:hint="default" w:ascii="Times New Roman" w:hAnsi="Times New Roman" w:eastAsia="仿宋_GB2312"/>
                <w:color w:val="000000"/>
                <w:kern w:val="0"/>
                <w:sz w:val="21"/>
                <w:szCs w:val="21"/>
                <w:lang w:val="en-US" w:eastAsia="zh-CN"/>
              </w:rPr>
            </w:pPr>
            <w:r>
              <w:rPr>
                <w:rFonts w:ascii="Times New Roman" w:hAnsi="Times New Roman"/>
                <w:color w:val="000000"/>
                <w:kern w:val="0"/>
                <w:sz w:val="21"/>
                <w:szCs w:val="21"/>
              </w:rPr>
              <w:t>其他资金：</w:t>
            </w:r>
            <w:r>
              <w:rPr>
                <w:rFonts w:hint="eastAsia" w:ascii="Times New Roman" w:hAnsi="Times New Roman"/>
                <w:color w:val="000000"/>
                <w:kern w:val="0"/>
                <w:sz w:val="21"/>
                <w:szCs w:val="21"/>
                <w:lang w:val="en-US" w:eastAsia="zh-CN"/>
              </w:rPr>
              <w:t>55.85</w:t>
            </w:r>
          </w:p>
        </w:tc>
        <w:tc>
          <w:tcPr>
            <w:tcW w:w="4329"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年度总体目标</w:t>
            </w:r>
          </w:p>
        </w:tc>
        <w:tc>
          <w:tcPr>
            <w:tcW w:w="4584" w:type="dxa"/>
            <w:gridSpan w:val="5"/>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预期目标</w:t>
            </w:r>
          </w:p>
        </w:tc>
        <w:tc>
          <w:tcPr>
            <w:tcW w:w="432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p>
        </w:tc>
        <w:tc>
          <w:tcPr>
            <w:tcW w:w="4584" w:type="dxa"/>
            <w:gridSpan w:val="5"/>
            <w:tcBorders>
              <w:top w:val="single" w:color="auto" w:sz="4" w:space="0"/>
              <w:left w:val="nil"/>
              <w:bottom w:val="single" w:color="auto" w:sz="4" w:space="0"/>
              <w:right w:val="single" w:color="000000" w:sz="4" w:space="0"/>
            </w:tcBorders>
            <w:noWrap w:val="0"/>
            <w:vAlign w:val="center"/>
          </w:tcPr>
          <w:p>
            <w:pPr>
              <w:widowControl/>
              <w:numPr>
                <w:ilvl w:val="0"/>
                <w:numId w:val="1"/>
              </w:numPr>
              <w:spacing w:line="240" w:lineRule="exact"/>
              <w:jc w:val="both"/>
              <w:rPr>
                <w:rFonts w:hint="eastAsia" w:ascii="Times New Roman" w:hAnsi="Times New Roman"/>
                <w:color w:val="000000"/>
                <w:kern w:val="0"/>
                <w:sz w:val="21"/>
                <w:szCs w:val="21"/>
                <w:lang w:eastAsia="zh-CN"/>
              </w:rPr>
            </w:pPr>
            <w:r>
              <w:rPr>
                <w:rFonts w:hint="eastAsia" w:ascii="Times New Roman" w:hAnsi="Times New Roman"/>
                <w:color w:val="000000"/>
                <w:kern w:val="0"/>
                <w:sz w:val="21"/>
                <w:szCs w:val="21"/>
                <w:lang w:eastAsia="zh-CN"/>
              </w:rPr>
              <w:t>防止国有资产流失、深化国资国企改革。</w:t>
            </w:r>
          </w:p>
          <w:p>
            <w:pPr>
              <w:widowControl/>
              <w:numPr>
                <w:ilvl w:val="0"/>
                <w:numId w:val="0"/>
              </w:numPr>
              <w:spacing w:line="240" w:lineRule="exact"/>
              <w:jc w:val="both"/>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2、妥善处理改制企业遗留问题。</w:t>
            </w:r>
            <w:r>
              <w:rPr>
                <w:rFonts w:ascii="Times New Roman" w:hAnsi="Times New Roman"/>
                <w:color w:val="000000"/>
                <w:kern w:val="0"/>
                <w:sz w:val="21"/>
                <w:szCs w:val="21"/>
              </w:rPr>
              <w:t>　　</w:t>
            </w:r>
          </w:p>
        </w:tc>
        <w:tc>
          <w:tcPr>
            <w:tcW w:w="432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1、完善国企现代企业制度建设，完成产权登记。2、处理4大块改制企业遗留问题。</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绩</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效</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标</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一级指标</w:t>
            </w:r>
          </w:p>
        </w:tc>
        <w:tc>
          <w:tcPr>
            <w:tcW w:w="953"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二级指标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三级指标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年度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指标值</w:t>
            </w:r>
          </w:p>
        </w:tc>
        <w:tc>
          <w:tcPr>
            <w:tcW w:w="1276" w:type="dxa"/>
            <w:tcBorders>
              <w:top w:val="nil"/>
              <w:left w:val="nil"/>
              <w:bottom w:val="single" w:color="auto" w:sz="4" w:space="0"/>
              <w:right w:val="single" w:color="auto" w:sz="4" w:space="0"/>
            </w:tcBorders>
            <w:noWrap w:val="0"/>
            <w:vAlign w:val="center"/>
          </w:tcPr>
          <w:p>
            <w:pPr>
              <w:widowControl/>
              <w:spacing w:line="240" w:lineRule="exact"/>
              <w:rPr>
                <w:rFonts w:ascii="Times New Roman" w:hAnsi="Times New Roman"/>
                <w:color w:val="000000"/>
                <w:kern w:val="0"/>
                <w:sz w:val="21"/>
                <w:szCs w:val="21"/>
              </w:rPr>
            </w:pPr>
            <w:r>
              <w:rPr>
                <w:rFonts w:ascii="Times New Roman" w:hAnsi="Times New Roman"/>
                <w:color w:val="000000"/>
                <w:kern w:val="0"/>
                <w:sz w:val="21"/>
                <w:szCs w:val="21"/>
              </w:rPr>
              <w:t>实际完成值</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分值</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得分</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偏差原因</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分析及</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改进措施</w:t>
            </w:r>
          </w:p>
        </w:tc>
      </w:tr>
      <w:tr>
        <w:tblPrEx>
          <w:tblCellMar>
            <w:top w:w="0" w:type="dxa"/>
            <w:left w:w="108" w:type="dxa"/>
            <w:bottom w:w="0" w:type="dxa"/>
            <w:right w:w="108" w:type="dxa"/>
          </w:tblCellMar>
        </w:tblPrEx>
        <w:trPr>
          <w:trHeight w:val="85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产出指标</w:t>
            </w:r>
          </w:p>
          <w:p>
            <w:pPr>
              <w:widowControl/>
              <w:spacing w:line="240" w:lineRule="exact"/>
              <w:jc w:val="center"/>
              <w:rPr>
                <w:rFonts w:ascii="Times New Roman" w:hAnsi="Times New Roman"/>
                <w:color w:val="000000"/>
                <w:kern w:val="0"/>
                <w:sz w:val="21"/>
                <w:szCs w:val="21"/>
              </w:rPr>
            </w:pPr>
          </w:p>
          <w:p>
            <w:pPr>
              <w:widowControl/>
              <w:spacing w:line="240" w:lineRule="exact"/>
              <w:jc w:val="center"/>
              <w:rPr>
                <w:rFonts w:hint="eastAsia" w:ascii="Times New Roman" w:hAnsi="Times New Roman" w:eastAsia="仿宋_GB2312"/>
                <w:color w:val="000000"/>
                <w:kern w:val="0"/>
                <w:sz w:val="21"/>
                <w:szCs w:val="21"/>
                <w:lang w:eastAsia="zh-CN"/>
              </w:rPr>
            </w:pPr>
            <w:r>
              <w:rPr>
                <w:rFonts w:hint="eastAsia" w:ascii="Times New Roman" w:hAnsi="Times New Roman"/>
                <w:color w:val="000000"/>
                <w:kern w:val="0"/>
                <w:sz w:val="21"/>
                <w:szCs w:val="21"/>
                <w:lang w:eastAsia="zh-CN"/>
              </w:rPr>
              <w:t>（</w:t>
            </w:r>
            <w:r>
              <w:rPr>
                <w:rFonts w:ascii="Times New Roman" w:hAnsi="Times New Roman"/>
                <w:color w:val="000000"/>
                <w:kern w:val="0"/>
                <w:sz w:val="21"/>
                <w:szCs w:val="21"/>
              </w:rPr>
              <w:t>50分</w:t>
            </w:r>
            <w:r>
              <w:rPr>
                <w:rFonts w:hint="eastAsia" w:ascii="Times New Roman" w:hAnsi="Times New Roman"/>
                <w:color w:val="000000"/>
                <w:kern w:val="0"/>
                <w:sz w:val="21"/>
                <w:szCs w:val="21"/>
                <w:lang w:eastAsia="zh-CN"/>
              </w:rPr>
              <w:t>）</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数量</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完善国企现代企业制度建设</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2-5个</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7个</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106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Times New Roman" w:hAnsi="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指标2：</w:t>
            </w:r>
            <w:r>
              <w:rPr>
                <w:rFonts w:hint="eastAsia" w:ascii="Times New Roman" w:hAnsi="Times New Roman"/>
                <w:color w:val="000000"/>
                <w:kern w:val="0"/>
                <w:sz w:val="21"/>
                <w:szCs w:val="21"/>
                <w:lang w:eastAsia="zh-CN"/>
              </w:rPr>
              <w:t>实行央企省企退休人员社会化管理</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15家</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34个</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1306"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指标2：</w:t>
            </w:r>
            <w:r>
              <w:rPr>
                <w:rFonts w:hint="eastAsia" w:ascii="Times New Roman" w:hAnsi="Times New Roman"/>
                <w:color w:val="000000"/>
                <w:kern w:val="0"/>
                <w:sz w:val="21"/>
                <w:szCs w:val="21"/>
                <w:lang w:eastAsia="zh-CN"/>
              </w:rPr>
              <w:t>对单位或企业（留守处）开展内部财务检查</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2家</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2家</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802"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质量</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处理改制企业遗留问题</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3-5个</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4个</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9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left w:val="nil"/>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时效</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部门预决算及时公开</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eastAsia="zh-CN"/>
              </w:rPr>
              <w:t>市财政局批复后</w:t>
            </w:r>
            <w:r>
              <w:rPr>
                <w:rFonts w:hint="eastAsia" w:ascii="Times New Roman" w:hAnsi="Times New Roman"/>
                <w:color w:val="000000"/>
                <w:kern w:val="0"/>
                <w:sz w:val="21"/>
                <w:szCs w:val="21"/>
                <w:lang w:val="en-US" w:eastAsia="zh-CN"/>
              </w:rPr>
              <w:t>20日内</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eastAsia="zh-CN"/>
              </w:rPr>
              <w:t>市财政局批复后</w:t>
            </w:r>
            <w:r>
              <w:rPr>
                <w:rFonts w:hint="eastAsia" w:ascii="Times New Roman" w:hAnsi="Times New Roman"/>
                <w:color w:val="000000"/>
                <w:kern w:val="0"/>
                <w:sz w:val="21"/>
                <w:szCs w:val="21"/>
                <w:lang w:val="en-US" w:eastAsia="zh-CN"/>
              </w:rPr>
              <w:t>20日内</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91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效益指标</w:t>
            </w:r>
          </w:p>
          <w:p>
            <w:pPr>
              <w:widowControl/>
              <w:spacing w:line="240" w:lineRule="exact"/>
              <w:jc w:val="left"/>
              <w:rPr>
                <w:rFonts w:ascii="Times New Roman" w:hAnsi="Times New Roman"/>
                <w:color w:val="000000"/>
                <w:kern w:val="0"/>
                <w:sz w:val="21"/>
                <w:szCs w:val="21"/>
              </w:rPr>
            </w:pPr>
          </w:p>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（30分）</w:t>
            </w:r>
          </w:p>
        </w:tc>
        <w:tc>
          <w:tcPr>
            <w:tcW w:w="95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经济效</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益指标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指标1：</w:t>
            </w:r>
            <w:r>
              <w:rPr>
                <w:rFonts w:hint="eastAsia" w:ascii="Times New Roman" w:hAnsi="Times New Roman"/>
                <w:color w:val="000000"/>
                <w:kern w:val="0"/>
                <w:sz w:val="21"/>
                <w:szCs w:val="21"/>
                <w:lang w:eastAsia="zh-CN"/>
              </w:rPr>
              <w:t>资产处置项目评估率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100%</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87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953"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center"/>
              <w:rPr>
                <w:rFonts w:ascii="Times New Roman" w:hAnsi="Times New Roman"/>
                <w:color w:val="000000"/>
                <w:kern w:val="0"/>
                <w:sz w:val="21"/>
                <w:szCs w:val="21"/>
              </w:rPr>
            </w:pP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指标2：</w:t>
            </w:r>
            <w:r>
              <w:rPr>
                <w:rFonts w:hint="eastAsia" w:ascii="Times New Roman" w:hAnsi="Times New Roman"/>
                <w:color w:val="000000"/>
                <w:kern w:val="0"/>
                <w:sz w:val="21"/>
                <w:szCs w:val="21"/>
                <w:lang w:eastAsia="zh-CN"/>
              </w:rPr>
              <w:t>国有企业产权登记率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100%</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15</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874"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ascii="Times New Roman" w:hAnsi="Times New Roman"/>
                <w:color w:val="000000"/>
                <w:kern w:val="0"/>
                <w:sz w:val="21"/>
                <w:szCs w:val="21"/>
              </w:rPr>
            </w:pPr>
          </w:p>
        </w:tc>
        <w:tc>
          <w:tcPr>
            <w:tcW w:w="1080" w:type="dxa"/>
            <w:tcBorders>
              <w:top w:val="single" w:color="auto" w:sz="4" w:space="0"/>
              <w:left w:val="nil"/>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满意度</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指标</w:t>
            </w:r>
          </w:p>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（10分）</w:t>
            </w:r>
          </w:p>
        </w:tc>
        <w:tc>
          <w:tcPr>
            <w:tcW w:w="953" w:type="dxa"/>
            <w:tcBorders>
              <w:top w:val="single" w:color="auto" w:sz="4" w:space="0"/>
              <w:left w:val="nil"/>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服务对象满意度指标</w:t>
            </w:r>
          </w:p>
        </w:tc>
        <w:tc>
          <w:tcPr>
            <w:tcW w:w="1351"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Times New Roman" w:hAnsi="Times New Roman" w:eastAsia="仿宋_GB2312"/>
                <w:color w:val="000000"/>
                <w:kern w:val="0"/>
                <w:sz w:val="21"/>
                <w:szCs w:val="21"/>
                <w:lang w:eastAsia="zh-CN"/>
              </w:rPr>
            </w:pPr>
            <w:r>
              <w:rPr>
                <w:rFonts w:ascii="Times New Roman" w:hAnsi="Times New Roman"/>
                <w:color w:val="000000"/>
                <w:kern w:val="0"/>
                <w:sz w:val="21"/>
                <w:szCs w:val="21"/>
              </w:rPr>
              <w:t>指标</w:t>
            </w:r>
            <w:r>
              <w:rPr>
                <w:rFonts w:hint="eastAsia" w:ascii="Times New Roman" w:hAnsi="Times New Roman"/>
                <w:color w:val="000000"/>
                <w:kern w:val="0"/>
                <w:sz w:val="21"/>
                <w:szCs w:val="21"/>
                <w:lang w:val="en-US" w:eastAsia="zh-CN"/>
              </w:rPr>
              <w:t>1</w:t>
            </w:r>
            <w:r>
              <w:rPr>
                <w:rFonts w:ascii="Times New Roman" w:hAnsi="Times New Roman"/>
                <w:color w:val="000000"/>
                <w:kern w:val="0"/>
                <w:sz w:val="21"/>
                <w:szCs w:val="21"/>
              </w:rPr>
              <w:t>：</w:t>
            </w:r>
            <w:r>
              <w:rPr>
                <w:rFonts w:hint="eastAsia" w:ascii="Times New Roman" w:hAnsi="Times New Roman"/>
                <w:color w:val="000000"/>
                <w:kern w:val="0"/>
                <w:sz w:val="21"/>
                <w:szCs w:val="21"/>
                <w:lang w:eastAsia="zh-CN"/>
              </w:rPr>
              <w:t>市长热线、网信办结率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hint="eastAsia" w:ascii="Times New Roman" w:hAnsi="Times New Roman"/>
                <w:color w:val="000000"/>
                <w:kern w:val="0"/>
                <w:sz w:val="21"/>
                <w:szCs w:val="21"/>
                <w:lang w:val="en-US" w:eastAsia="zh-CN"/>
              </w:rPr>
              <w:t>100%</w:t>
            </w:r>
          </w:p>
        </w:tc>
        <w:tc>
          <w:tcPr>
            <w:tcW w:w="127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100%</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10</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p>
        </w:tc>
      </w:tr>
      <w:tr>
        <w:tblPrEx>
          <w:tblCellMar>
            <w:top w:w="0" w:type="dxa"/>
            <w:left w:w="108" w:type="dxa"/>
            <w:bottom w:w="0" w:type="dxa"/>
            <w:right w:w="108" w:type="dxa"/>
          </w:tblCellMar>
        </w:tblPrEx>
        <w:trPr>
          <w:trHeight w:val="424" w:hRule="atLeast"/>
          <w:jc w:val="center"/>
        </w:trPr>
        <w:tc>
          <w:tcPr>
            <w:tcW w:w="6940" w:type="dxa"/>
            <w:gridSpan w:val="7"/>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总分</w:t>
            </w:r>
          </w:p>
        </w:tc>
        <w:tc>
          <w:tcPr>
            <w:tcW w:w="709" w:type="dxa"/>
            <w:tcBorders>
              <w:top w:val="nil"/>
              <w:left w:val="nil"/>
              <w:bottom w:val="single" w:color="auto" w:sz="4" w:space="0"/>
              <w:right w:val="single" w:color="auto" w:sz="4" w:space="0"/>
            </w:tcBorders>
            <w:noWrap w:val="0"/>
            <w:vAlign w:val="center"/>
          </w:tcPr>
          <w:p>
            <w:pPr>
              <w:widowControl/>
              <w:spacing w:line="240" w:lineRule="exact"/>
              <w:jc w:val="center"/>
              <w:rPr>
                <w:rFonts w:ascii="Times New Roman" w:hAnsi="Times New Roman"/>
                <w:color w:val="000000"/>
                <w:kern w:val="0"/>
                <w:sz w:val="21"/>
                <w:szCs w:val="21"/>
              </w:rPr>
            </w:pPr>
            <w:r>
              <w:rPr>
                <w:rFonts w:ascii="Times New Roman" w:hAnsi="Times New Roman"/>
                <w:color w:val="000000"/>
                <w:kern w:val="0"/>
                <w:sz w:val="21"/>
                <w:szCs w:val="21"/>
              </w:rPr>
              <w:t>100</w:t>
            </w:r>
          </w:p>
        </w:tc>
        <w:tc>
          <w:tcPr>
            <w:tcW w:w="99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imes New Roman" w:hAnsi="Times New Roman" w:eastAsia="仿宋_GB2312"/>
                <w:color w:val="000000"/>
                <w:kern w:val="0"/>
                <w:sz w:val="21"/>
                <w:szCs w:val="21"/>
                <w:lang w:val="en-US" w:eastAsia="zh-CN"/>
              </w:rPr>
            </w:pPr>
            <w:r>
              <w:rPr>
                <w:rFonts w:hint="eastAsia" w:ascii="Times New Roman" w:hAnsi="Times New Roman"/>
                <w:color w:val="000000"/>
                <w:kern w:val="0"/>
                <w:sz w:val="21"/>
                <w:szCs w:val="21"/>
                <w:lang w:val="en-US" w:eastAsia="zh-CN"/>
              </w:rPr>
              <w:t>99</w:t>
            </w:r>
          </w:p>
        </w:tc>
        <w:tc>
          <w:tcPr>
            <w:tcW w:w="1352" w:type="dxa"/>
            <w:tcBorders>
              <w:top w:val="nil"/>
              <w:left w:val="nil"/>
              <w:bottom w:val="single" w:color="auto" w:sz="4" w:space="0"/>
              <w:right w:val="single" w:color="auto" w:sz="4" w:space="0"/>
            </w:tcBorders>
            <w:noWrap w:val="0"/>
            <w:vAlign w:val="center"/>
          </w:tcPr>
          <w:p>
            <w:pPr>
              <w:widowControl/>
              <w:spacing w:line="240" w:lineRule="exact"/>
              <w:jc w:val="left"/>
              <w:rPr>
                <w:rFonts w:ascii="Times New Roman" w:hAnsi="Times New Roman"/>
                <w:color w:val="000000"/>
                <w:kern w:val="0"/>
                <w:sz w:val="21"/>
                <w:szCs w:val="21"/>
              </w:rPr>
            </w:pPr>
            <w:r>
              <w:rPr>
                <w:rFonts w:ascii="Times New Roman" w:hAnsi="Times New Roman"/>
                <w:color w:val="000000"/>
                <w:kern w:val="0"/>
                <w:sz w:val="21"/>
                <w:szCs w:val="21"/>
              </w:rPr>
              <w:t>　</w:t>
            </w:r>
          </w:p>
        </w:tc>
      </w:tr>
    </w:tbl>
    <w:p>
      <w:pPr>
        <w:widowControl/>
        <w:spacing w:line="500" w:lineRule="exact"/>
        <w:ind w:left="-321" w:leftChars="-108" w:hanging="25" w:hangingChars="12"/>
        <w:jc w:val="both"/>
      </w:pPr>
      <w:r>
        <w:rPr>
          <w:rFonts w:ascii="Times New Roman" w:hAnsi="Times New Roman"/>
          <w:kern w:val="0"/>
          <w:sz w:val="21"/>
          <w:szCs w:val="21"/>
        </w:rPr>
        <w:t xml:space="preserve">填表人：       </w:t>
      </w:r>
      <w:r>
        <w:rPr>
          <w:rFonts w:hint="eastAsia" w:ascii="Times New Roman" w:hAnsi="Times New Roman"/>
          <w:kern w:val="0"/>
          <w:sz w:val="21"/>
          <w:szCs w:val="21"/>
        </w:rPr>
        <w:t xml:space="preserve">  </w:t>
      </w:r>
      <w:r>
        <w:rPr>
          <w:rFonts w:ascii="Times New Roman" w:hAnsi="Times New Roman"/>
          <w:kern w:val="0"/>
          <w:sz w:val="21"/>
          <w:szCs w:val="21"/>
        </w:rPr>
        <w:t xml:space="preserve"> 填报日期：      </w:t>
      </w:r>
      <w:r>
        <w:rPr>
          <w:rFonts w:hint="eastAsia" w:ascii="Times New Roman" w:hAnsi="Times New Roman"/>
          <w:kern w:val="0"/>
          <w:sz w:val="21"/>
          <w:szCs w:val="21"/>
        </w:rPr>
        <w:t xml:space="preserve">  </w:t>
      </w:r>
      <w:r>
        <w:rPr>
          <w:rFonts w:ascii="Times New Roman" w:hAnsi="Times New Roman"/>
          <w:kern w:val="0"/>
          <w:sz w:val="21"/>
          <w:szCs w:val="21"/>
        </w:rPr>
        <w:t xml:space="preserve">    联系电话：         </w:t>
      </w:r>
      <w:r>
        <w:rPr>
          <w:rFonts w:hint="eastAsia" w:ascii="Times New Roman" w:hAnsi="Times New Roman"/>
          <w:kern w:val="0"/>
          <w:sz w:val="21"/>
          <w:szCs w:val="21"/>
        </w:rPr>
        <w:t xml:space="preserve">  </w:t>
      </w:r>
      <w:r>
        <w:rPr>
          <w:rFonts w:ascii="Times New Roman" w:hAnsi="Times New Roman"/>
          <w:kern w:val="0"/>
          <w:sz w:val="21"/>
          <w:szCs w:val="21"/>
        </w:rPr>
        <w:t xml:space="preserve">   单位负责人签字：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ABA41"/>
    <w:multiLevelType w:val="singleLevel"/>
    <w:tmpl w:val="3E7ABA4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D7E"/>
    <w:rsid w:val="00037F52"/>
    <w:rsid w:val="00053A70"/>
    <w:rsid w:val="00085F0E"/>
    <w:rsid w:val="00094003"/>
    <w:rsid w:val="000A06E4"/>
    <w:rsid w:val="000A23BD"/>
    <w:rsid w:val="000A3A5F"/>
    <w:rsid w:val="00115974"/>
    <w:rsid w:val="00116D7E"/>
    <w:rsid w:val="00152CED"/>
    <w:rsid w:val="0015486D"/>
    <w:rsid w:val="00156682"/>
    <w:rsid w:val="00183CBD"/>
    <w:rsid w:val="0019656C"/>
    <w:rsid w:val="001A42AF"/>
    <w:rsid w:val="001A6974"/>
    <w:rsid w:val="001A6C0A"/>
    <w:rsid w:val="001C28B2"/>
    <w:rsid w:val="00205EC0"/>
    <w:rsid w:val="002063C6"/>
    <w:rsid w:val="00216572"/>
    <w:rsid w:val="00225208"/>
    <w:rsid w:val="002739F5"/>
    <w:rsid w:val="00275867"/>
    <w:rsid w:val="00295EA5"/>
    <w:rsid w:val="0030701E"/>
    <w:rsid w:val="003505C9"/>
    <w:rsid w:val="003C11EE"/>
    <w:rsid w:val="003D0D8D"/>
    <w:rsid w:val="003D6B67"/>
    <w:rsid w:val="003F3E8C"/>
    <w:rsid w:val="004002BA"/>
    <w:rsid w:val="0043644D"/>
    <w:rsid w:val="004810FF"/>
    <w:rsid w:val="004859EA"/>
    <w:rsid w:val="00491EEB"/>
    <w:rsid w:val="004A5D9C"/>
    <w:rsid w:val="004B65B5"/>
    <w:rsid w:val="004C13E2"/>
    <w:rsid w:val="004D6A6E"/>
    <w:rsid w:val="004F5DD9"/>
    <w:rsid w:val="005162D6"/>
    <w:rsid w:val="0054215E"/>
    <w:rsid w:val="00562FC9"/>
    <w:rsid w:val="00592274"/>
    <w:rsid w:val="005A71D3"/>
    <w:rsid w:val="005D1737"/>
    <w:rsid w:val="00634C7B"/>
    <w:rsid w:val="006622E2"/>
    <w:rsid w:val="0066612D"/>
    <w:rsid w:val="0067775B"/>
    <w:rsid w:val="006E23E5"/>
    <w:rsid w:val="00727925"/>
    <w:rsid w:val="00762431"/>
    <w:rsid w:val="00765FA7"/>
    <w:rsid w:val="007701B6"/>
    <w:rsid w:val="007767A0"/>
    <w:rsid w:val="00794956"/>
    <w:rsid w:val="007A26AD"/>
    <w:rsid w:val="007D15BF"/>
    <w:rsid w:val="007D4D9D"/>
    <w:rsid w:val="00804C86"/>
    <w:rsid w:val="008137CD"/>
    <w:rsid w:val="008214F7"/>
    <w:rsid w:val="00841483"/>
    <w:rsid w:val="00844F1C"/>
    <w:rsid w:val="008657F5"/>
    <w:rsid w:val="00884B71"/>
    <w:rsid w:val="008855F1"/>
    <w:rsid w:val="008A726A"/>
    <w:rsid w:val="008B170D"/>
    <w:rsid w:val="008E2323"/>
    <w:rsid w:val="008F16D1"/>
    <w:rsid w:val="00905332"/>
    <w:rsid w:val="009179E8"/>
    <w:rsid w:val="00923D97"/>
    <w:rsid w:val="009461C8"/>
    <w:rsid w:val="0097304B"/>
    <w:rsid w:val="00997756"/>
    <w:rsid w:val="009A2453"/>
    <w:rsid w:val="009B476A"/>
    <w:rsid w:val="009C10F1"/>
    <w:rsid w:val="009F7525"/>
    <w:rsid w:val="009F7FC4"/>
    <w:rsid w:val="00A02036"/>
    <w:rsid w:val="00A12B7A"/>
    <w:rsid w:val="00A40C71"/>
    <w:rsid w:val="00A65E7E"/>
    <w:rsid w:val="00AA54DD"/>
    <w:rsid w:val="00B235D6"/>
    <w:rsid w:val="00B53C1A"/>
    <w:rsid w:val="00B73BFD"/>
    <w:rsid w:val="00B74AA3"/>
    <w:rsid w:val="00B76ABA"/>
    <w:rsid w:val="00B91E43"/>
    <w:rsid w:val="00BE3D59"/>
    <w:rsid w:val="00C547C4"/>
    <w:rsid w:val="00C70F28"/>
    <w:rsid w:val="00C7374A"/>
    <w:rsid w:val="00C91D74"/>
    <w:rsid w:val="00C9479B"/>
    <w:rsid w:val="00CA3ED2"/>
    <w:rsid w:val="00CB0CEF"/>
    <w:rsid w:val="00CB5807"/>
    <w:rsid w:val="00CF058C"/>
    <w:rsid w:val="00D2419F"/>
    <w:rsid w:val="00D32511"/>
    <w:rsid w:val="00D43031"/>
    <w:rsid w:val="00D56778"/>
    <w:rsid w:val="00D60F4F"/>
    <w:rsid w:val="00DB6110"/>
    <w:rsid w:val="00DD1A9D"/>
    <w:rsid w:val="00DD2323"/>
    <w:rsid w:val="00DF05B9"/>
    <w:rsid w:val="00DF373C"/>
    <w:rsid w:val="00E026FB"/>
    <w:rsid w:val="00E11635"/>
    <w:rsid w:val="00E24E4C"/>
    <w:rsid w:val="00E96ABB"/>
    <w:rsid w:val="00EA2464"/>
    <w:rsid w:val="00EB3C4D"/>
    <w:rsid w:val="00EC7BD1"/>
    <w:rsid w:val="00EE0985"/>
    <w:rsid w:val="00F00BA0"/>
    <w:rsid w:val="00F052DC"/>
    <w:rsid w:val="00F1143D"/>
    <w:rsid w:val="00F12D6E"/>
    <w:rsid w:val="00F20673"/>
    <w:rsid w:val="00F4458E"/>
    <w:rsid w:val="00FC0149"/>
    <w:rsid w:val="00FD1776"/>
    <w:rsid w:val="02AB6483"/>
    <w:rsid w:val="0559183C"/>
    <w:rsid w:val="087D3229"/>
    <w:rsid w:val="1A8C1A30"/>
    <w:rsid w:val="31846B5B"/>
    <w:rsid w:val="3D6F3577"/>
    <w:rsid w:val="3DD73367"/>
    <w:rsid w:val="40965BEE"/>
    <w:rsid w:val="43275947"/>
    <w:rsid w:val="498D3EE6"/>
    <w:rsid w:val="4AE92D7A"/>
    <w:rsid w:val="6759378D"/>
    <w:rsid w:val="6ACF0E5C"/>
    <w:rsid w:val="6D1F14DE"/>
    <w:rsid w:val="6D2548C6"/>
    <w:rsid w:val="791F4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0"/>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sz w:val="21"/>
      <w:szCs w:val="24"/>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10"/>
    <w:link w:val="7"/>
    <w:qFormat/>
    <w:uiPriority w:val="0"/>
    <w:rPr>
      <w:rFonts w:ascii="Calibri" w:hAnsi="Calibri" w:eastAsia="仿宋_GB2312" w:cs="Times New Roman"/>
      <w:sz w:val="18"/>
      <w:szCs w:val="18"/>
    </w:rPr>
  </w:style>
  <w:style w:type="character" w:customStyle="1" w:styleId="12">
    <w:name w:val="页脚 Char"/>
    <w:basedOn w:val="10"/>
    <w:link w:val="6"/>
    <w:semiHidden/>
    <w:qFormat/>
    <w:uiPriority w:val="99"/>
    <w:rPr>
      <w:rFonts w:ascii="Calibri" w:hAnsi="Calibri" w:eastAsia="仿宋_GB2312" w:cs="Times New Roman"/>
      <w:sz w:val="18"/>
      <w:szCs w:val="18"/>
    </w:rPr>
  </w:style>
  <w:style w:type="paragraph" w:styleId="13">
    <w:name w:val="List Paragraph"/>
    <w:basedOn w:val="1"/>
    <w:qFormat/>
    <w:uiPriority w:val="34"/>
    <w:pPr>
      <w:ind w:firstLine="420" w:firstLineChars="200"/>
    </w:pPr>
  </w:style>
  <w:style w:type="paragraph" w:customStyle="1" w:styleId="14">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
    <w:name w:val="_Style 1"/>
    <w:basedOn w:val="1"/>
    <w:qFormat/>
    <w:uiPriority w:val="34"/>
    <w:pPr>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C55BA3-F213-41FF-A585-93BEF2A5DC6A}">
  <ds:schemaRefs/>
</ds:datastoreItem>
</file>

<file path=docProps/app.xml><?xml version="1.0" encoding="utf-8"?>
<Properties xmlns="http://schemas.openxmlformats.org/officeDocument/2006/extended-properties" xmlns:vt="http://schemas.openxmlformats.org/officeDocument/2006/docPropsVTypes">
  <Template>Normal</Template>
  <Pages>16</Pages>
  <Words>7764</Words>
  <Characters>8506</Characters>
  <Lines>69</Lines>
  <Paragraphs>19</Paragraphs>
  <TotalTime>28</TotalTime>
  <ScaleCrop>false</ScaleCrop>
  <LinksUpToDate>false</LinksUpToDate>
  <CharactersWithSpaces>8675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2021-03-18T02:56:00Z</dcterms:created>
  <dc:creator>Administrator</dc:creator>
  <cp:lastModifiedBy>Administrator</cp:lastModifiedBy>
  <cp:lastPrinted>2021-04-27T03:16:00Z</cp:lastPrinted>
  <dcterms:modified xsi:type="dcterms:W3CDTF">2021-09-28T01:14:08Z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A18029A0BCAE4CC6A6AFB8209B569E58</vt:lpwstr>
  </property>
</Properties>
</file>