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C720">
      <w:pPr>
        <w:spacing w:line="700" w:lineRule="exact"/>
        <w:jc w:val="center"/>
        <w:rPr>
          <w:rFonts w:hint="default" w:ascii="Nimbus Roman" w:hAnsi="Nimbus Roman" w:eastAsia="方正小标宋简体" w:cs="Nimbus Roman"/>
          <w:sz w:val="44"/>
          <w:szCs w:val="44"/>
        </w:rPr>
      </w:pPr>
      <w:bookmarkStart w:id="0" w:name="_GoBack"/>
      <w:bookmarkEnd w:id="0"/>
    </w:p>
    <w:p w14:paraId="0E55A249">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年度益阳市供销合作社整体支出</w:t>
      </w:r>
    </w:p>
    <w:p w14:paraId="69083DAE">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0CA4CBE">
      <w:pPr>
        <w:spacing w:line="560" w:lineRule="exact"/>
        <w:ind w:firstLine="632" w:firstLineChars="200"/>
        <w:jc w:val="left"/>
        <w:rPr>
          <w:rFonts w:hint="default" w:ascii="Nimbus Roman" w:hAnsi="Nimbus Roman" w:cs="Nimbus Roman"/>
          <w:szCs w:val="32"/>
        </w:rPr>
      </w:pPr>
    </w:p>
    <w:p w14:paraId="47FA5D6E">
      <w:pPr>
        <w:spacing w:line="560"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为加强财政资金绩效管理，强化预算绩效，根据《益阳市财政局关于开展202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年度部门绩效自评工作的通知》，我社认真组织开展了202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年度部门整体支出绩效自评工作。现将有关情况报告如下：</w:t>
      </w:r>
    </w:p>
    <w:p w14:paraId="7DCDCE14">
      <w:pPr>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一、单位基本情况</w:t>
      </w:r>
    </w:p>
    <w:p w14:paraId="7B2C889C">
      <w:pPr>
        <w:spacing w:after="1" w:line="560" w:lineRule="exact"/>
        <w:ind w:firstLine="630"/>
        <w:rPr>
          <w:rFonts w:hint="eastAsia" w:ascii="仿宋_GB2312" w:hAnsi="仿宋_GB2312" w:eastAsia="仿宋_GB2312" w:cs="仿宋_GB2312"/>
          <w:color w:val="000000"/>
          <w:szCs w:val="32"/>
        </w:rPr>
      </w:pPr>
      <w:r>
        <w:rPr>
          <w:rFonts w:hint="default" w:ascii="Nimbus Roman" w:hAnsi="Nimbus Roman" w:cs="Nimbus Roman"/>
          <w:bCs/>
          <w:szCs w:val="32"/>
        </w:rPr>
        <w:t>益阳市供销合作社是我市供销合作社的联合组织，是市人民政府直属的正处级事业单位。根据市人民政府授权，对全市供销合作社负有指导﹑协调﹑监督和服务的职责。单位主要职责包括：</w:t>
      </w:r>
      <w:r>
        <w:rPr>
          <w:rFonts w:hint="default" w:ascii="Nimbus Roman" w:hAnsi="Nimbus Roman" w:cs="Nimbus Roman"/>
          <w:color w:val="000000"/>
          <w:szCs w:val="32"/>
        </w:rPr>
        <w:t>贯彻执行党中央</w:t>
      </w:r>
      <w:r>
        <w:rPr>
          <w:rFonts w:hint="default" w:ascii="Nimbus Roman" w:hAnsi="Nimbus Roman" w:eastAsia="宋体" w:cs="Nimbus Roman"/>
          <w:color w:val="000000"/>
          <w:szCs w:val="32"/>
        </w:rPr>
        <w:t>﹑</w:t>
      </w:r>
      <w:r>
        <w:rPr>
          <w:rFonts w:hint="default" w:ascii="Nimbus Roman" w:hAnsi="Nimbus Roman" w:cs="Nimbus Roman"/>
          <w:color w:val="000000"/>
          <w:szCs w:val="32"/>
        </w:rPr>
        <w:t>国务院和省委</w:t>
      </w:r>
      <w:r>
        <w:rPr>
          <w:rFonts w:hint="default" w:ascii="Nimbus Roman" w:hAnsi="Nimbus Roman" w:eastAsia="宋体" w:cs="Nimbus Roman"/>
          <w:color w:val="000000"/>
          <w:szCs w:val="32"/>
        </w:rPr>
        <w:t>﹑</w:t>
      </w:r>
      <w:r>
        <w:rPr>
          <w:rFonts w:hint="default" w:ascii="Nimbus Roman" w:hAnsi="Nimbus Roman" w:cs="Nimbus Roman"/>
          <w:color w:val="000000"/>
          <w:szCs w:val="32"/>
        </w:rPr>
        <w:t>省人民政府有关农村经济工作的法律</w:t>
      </w:r>
      <w:r>
        <w:rPr>
          <w:rFonts w:hint="default" w:ascii="Nimbus Roman" w:hAnsi="Nimbus Roman" w:eastAsia="宋体" w:cs="Nimbus Roman"/>
          <w:color w:val="000000"/>
          <w:szCs w:val="32"/>
        </w:rPr>
        <w:t>﹑</w:t>
      </w:r>
      <w:r>
        <w:rPr>
          <w:rFonts w:hint="default" w:ascii="Nimbus Roman" w:hAnsi="Nimbus Roman" w:cs="Nimbus Roman"/>
          <w:color w:val="000000"/>
          <w:szCs w:val="32"/>
        </w:rPr>
        <w:t>法规和方针</w:t>
      </w:r>
      <w:r>
        <w:rPr>
          <w:rFonts w:hint="default" w:ascii="Nimbus Roman" w:hAnsi="Nimbus Roman" w:eastAsia="宋体" w:cs="Nimbus Roman"/>
          <w:color w:val="000000"/>
          <w:szCs w:val="32"/>
        </w:rPr>
        <w:t>﹑</w:t>
      </w:r>
      <w:r>
        <w:rPr>
          <w:rFonts w:hint="default" w:ascii="Nimbus Roman" w:hAnsi="Nimbus Roman" w:cs="Nimbus Roman"/>
          <w:color w:val="000000"/>
          <w:szCs w:val="32"/>
        </w:rPr>
        <w:t>政策，研究提出有关发展供销合作事业的意见和建议；研究制定全市供销合作社的发展规划和体制改革方案，指导全市供销社系统的改革和发展； 指导全市供销社系统的业务活动，完善经营机制。监督区县（市）供销社和市供销社直属企业执行代表大会（职代会）和理事会（管委会）的决议，大力开拓农村市场，促进城乡一体化和农业产业化进程，完善社会服务体系； 根据市人民政府授权，指导全市供销社系统有关农业生产资料和农副产品政策性业务经营工作； 组织和推动全市供销社系统进行企业体制改革</w:t>
      </w:r>
      <w:r>
        <w:rPr>
          <w:rFonts w:hint="default" w:ascii="Nimbus Roman" w:hAnsi="Nimbus Roman" w:eastAsia="宋体" w:cs="Nimbus Roman"/>
          <w:color w:val="000000"/>
          <w:szCs w:val="32"/>
        </w:rPr>
        <w:t>﹑</w:t>
      </w:r>
      <w:r>
        <w:rPr>
          <w:rFonts w:hint="default" w:ascii="Nimbus Roman" w:hAnsi="Nimbus Roman" w:cs="Nimbus Roman"/>
          <w:color w:val="000000"/>
          <w:szCs w:val="32"/>
        </w:rPr>
        <w:t>科技开发和推广工作，指导和组织生</w:t>
      </w:r>
      <w:r>
        <w:rPr>
          <w:rFonts w:hint="eastAsia" w:ascii="仿宋_GB2312" w:hAnsi="仿宋_GB2312" w:eastAsia="仿宋_GB2312" w:cs="仿宋_GB2312"/>
          <w:color w:val="000000"/>
          <w:szCs w:val="32"/>
        </w:rPr>
        <w:t xml:space="preserve">产培植﹑社办工业﹑安全储运等工作； 指导全市供销社系统扭亏增盈，监督管理全市社有资产，协调与政府有关部门及其他社会组织的关系，依法维护供销社系统的合法权益；负责市直供销社系统的思想政治教育、党纪党风、法制教育、廉政建设、队伍建设和社有资产的经营管理，研究制定市直供销社系统人事、财务、资产的管理制度并组织实施，确保社有资产的保值增值；承办市委、市人民政府交办的其他事项。 </w:t>
      </w:r>
    </w:p>
    <w:p w14:paraId="7891CEEF">
      <w:pPr>
        <w:spacing w:after="1" w:line="560" w:lineRule="exact"/>
        <w:ind w:firstLine="630"/>
        <w:rPr>
          <w:rFonts w:hint="eastAsia" w:ascii="仿宋_GB2312" w:hAnsi="仿宋_GB2312" w:eastAsia="仿宋_GB2312" w:cs="仿宋_GB2312"/>
          <w:color w:val="000000"/>
          <w:szCs w:val="32"/>
        </w:rPr>
      </w:pPr>
      <w:r>
        <w:rPr>
          <w:rFonts w:hint="eastAsia" w:ascii="仿宋_GB2312" w:hAnsi="仿宋_GB2312" w:eastAsia="仿宋_GB2312" w:cs="仿宋_GB2312"/>
          <w:bCs/>
          <w:szCs w:val="32"/>
        </w:rPr>
        <w:t>本单位内设7个科室（均为正科级）分别为：</w:t>
      </w:r>
      <w:r>
        <w:rPr>
          <w:rFonts w:hint="eastAsia" w:ascii="仿宋_GB2312" w:hAnsi="仿宋_GB2312" w:eastAsia="仿宋_GB2312" w:cs="仿宋_GB2312"/>
          <w:color w:val="000000"/>
          <w:szCs w:val="32"/>
        </w:rPr>
        <w:t>办公室、合作指导科、经贸发展科、人事科、财会计统科、机关党委、监事会办公室。单位</w:t>
      </w:r>
      <w:r>
        <w:rPr>
          <w:rFonts w:hint="eastAsia" w:ascii="仿宋_GB2312" w:hAnsi="仿宋_GB2312" w:eastAsia="仿宋_GB2312" w:cs="仿宋_GB2312"/>
          <w:bCs/>
          <w:szCs w:val="32"/>
        </w:rPr>
        <w:t>编制数22人，年末实有人数</w:t>
      </w:r>
      <w:r>
        <w:rPr>
          <w:rFonts w:hint="eastAsia" w:ascii="仿宋_GB2312" w:hAnsi="仿宋_GB2312" w:cs="仿宋_GB2312"/>
          <w:bCs/>
          <w:szCs w:val="32"/>
          <w:lang w:val="en-US" w:eastAsia="zh-CN"/>
        </w:rPr>
        <w:t>18</w:t>
      </w:r>
      <w:r>
        <w:rPr>
          <w:rFonts w:hint="eastAsia" w:ascii="仿宋_GB2312" w:hAnsi="仿宋_GB2312" w:eastAsia="仿宋_GB2312" w:cs="仿宋_GB2312"/>
          <w:bCs/>
          <w:szCs w:val="32"/>
        </w:rPr>
        <w:t>人。本单位无二级机构。</w:t>
      </w:r>
    </w:p>
    <w:p w14:paraId="47292D4A">
      <w:pPr>
        <w:widowControl/>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二、一般公共预算支出情况</w:t>
      </w:r>
    </w:p>
    <w:p w14:paraId="37F1B0D5">
      <w:pPr>
        <w:snapToGrid w:val="0"/>
        <w:spacing w:line="520" w:lineRule="exact"/>
        <w:ind w:firstLine="632"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年度一般公共预算支出为</w:t>
      </w:r>
      <w:r>
        <w:rPr>
          <w:rFonts w:hint="eastAsia" w:ascii="仿宋_GB2312" w:hAnsi="仿宋_GB2312" w:cs="仿宋_GB2312"/>
          <w:bCs/>
          <w:szCs w:val="32"/>
          <w:lang w:val="en-US" w:eastAsia="zh-CN"/>
        </w:rPr>
        <w:t>782.12</w:t>
      </w:r>
      <w:r>
        <w:rPr>
          <w:rFonts w:hint="eastAsia" w:ascii="仿宋_GB2312" w:hAnsi="仿宋_GB2312" w:eastAsia="仿宋_GB2312" w:cs="仿宋_GB2312"/>
          <w:bCs/>
          <w:szCs w:val="32"/>
        </w:rPr>
        <w:t>万元，其中：社会保障和就业支出</w:t>
      </w:r>
      <w:r>
        <w:rPr>
          <w:rFonts w:hint="eastAsia" w:ascii="仿宋_GB2312" w:hAnsi="仿宋_GB2312" w:cs="仿宋_GB2312"/>
          <w:bCs/>
          <w:szCs w:val="32"/>
          <w:lang w:val="en-US" w:eastAsia="zh-CN"/>
        </w:rPr>
        <w:t>165.11</w:t>
      </w:r>
      <w:r>
        <w:rPr>
          <w:rFonts w:hint="eastAsia" w:ascii="仿宋_GB2312" w:hAnsi="仿宋_GB2312" w:eastAsia="仿宋_GB2312" w:cs="仿宋_GB2312"/>
          <w:bCs/>
          <w:szCs w:val="32"/>
        </w:rPr>
        <w:t>万元、卫生健康支出</w:t>
      </w:r>
      <w:r>
        <w:rPr>
          <w:rFonts w:hint="eastAsia" w:ascii="仿宋_GB2312" w:hAnsi="仿宋_GB2312" w:cs="仿宋_GB2312"/>
          <w:bCs/>
          <w:szCs w:val="32"/>
          <w:lang w:val="en-US" w:eastAsia="zh-CN"/>
        </w:rPr>
        <w:t>34</w:t>
      </w:r>
      <w:r>
        <w:rPr>
          <w:rFonts w:hint="eastAsia" w:ascii="仿宋_GB2312" w:hAnsi="仿宋_GB2312" w:eastAsia="仿宋_GB2312" w:cs="仿宋_GB2312"/>
          <w:bCs/>
          <w:szCs w:val="32"/>
          <w:lang w:val="en-US" w:eastAsia="zh-CN"/>
        </w:rPr>
        <w:t>.84</w:t>
      </w:r>
      <w:r>
        <w:rPr>
          <w:rFonts w:hint="eastAsia" w:ascii="仿宋_GB2312" w:hAnsi="仿宋_GB2312" w:eastAsia="仿宋_GB2312" w:cs="仿宋_GB2312"/>
          <w:bCs/>
          <w:szCs w:val="32"/>
        </w:rPr>
        <w:t>万元、农林水支出</w:t>
      </w:r>
      <w:r>
        <w:rPr>
          <w:rFonts w:hint="eastAsia" w:ascii="仿宋_GB2312" w:hAnsi="仿宋_GB2312" w:eastAsia="仿宋_GB2312" w:cs="仿宋_GB2312"/>
          <w:bCs/>
          <w:szCs w:val="32"/>
          <w:lang w:val="en-US" w:eastAsia="zh-CN"/>
        </w:rPr>
        <w:t>25</w:t>
      </w:r>
      <w:r>
        <w:rPr>
          <w:rFonts w:hint="eastAsia" w:ascii="仿宋_GB2312" w:hAnsi="仿宋_GB2312" w:eastAsia="仿宋_GB2312" w:cs="仿宋_GB2312"/>
          <w:bCs/>
          <w:szCs w:val="32"/>
        </w:rPr>
        <w:t>万元、商业服务业等支出</w:t>
      </w:r>
      <w:r>
        <w:rPr>
          <w:rFonts w:hint="eastAsia" w:ascii="仿宋_GB2312" w:hAnsi="仿宋_GB2312" w:cs="仿宋_GB2312"/>
          <w:bCs/>
          <w:szCs w:val="32"/>
          <w:lang w:val="en-US" w:eastAsia="zh-CN"/>
        </w:rPr>
        <w:t>519.24</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val="en-US" w:eastAsia="zh-CN"/>
        </w:rPr>
        <w:t>资源勘探工业信息等支出10.5万元、</w:t>
      </w:r>
      <w:r>
        <w:rPr>
          <w:rFonts w:hint="eastAsia" w:ascii="仿宋_GB2312" w:hAnsi="仿宋_GB2312" w:eastAsia="仿宋_GB2312" w:cs="仿宋_GB2312"/>
          <w:bCs/>
          <w:szCs w:val="32"/>
        </w:rPr>
        <w:t>住房保障支出</w:t>
      </w:r>
      <w:r>
        <w:rPr>
          <w:rFonts w:hint="eastAsia" w:ascii="仿宋_GB2312" w:hAnsi="仿宋_GB2312" w:eastAsia="仿宋_GB2312" w:cs="仿宋_GB2312"/>
          <w:bCs/>
          <w:szCs w:val="32"/>
          <w:lang w:val="en-US" w:eastAsia="zh-CN"/>
        </w:rPr>
        <w:t>27.43</w:t>
      </w:r>
      <w:r>
        <w:rPr>
          <w:rFonts w:hint="eastAsia" w:ascii="仿宋_GB2312" w:hAnsi="仿宋_GB2312" w:eastAsia="仿宋_GB2312" w:cs="仿宋_GB2312"/>
          <w:bCs/>
          <w:szCs w:val="32"/>
        </w:rPr>
        <w:t>万元。</w:t>
      </w:r>
    </w:p>
    <w:p w14:paraId="71871440">
      <w:pPr>
        <w:pStyle w:val="8"/>
        <w:shd w:val="clear" w:color="auto" w:fill="FFFFFF"/>
        <w:spacing w:before="0" w:beforeAutospacing="0" w:after="0" w:afterAutospacing="0" w:line="560" w:lineRule="exact"/>
        <w:ind w:firstLine="632" w:firstLineChars="200"/>
        <w:rPr>
          <w:rFonts w:hint="default" w:ascii="Nimbus Roman" w:hAnsi="Nimbus Roman" w:cs="Nimbus Roman"/>
          <w:b/>
          <w:bCs/>
          <w:color w:val="333333"/>
          <w:sz w:val="21"/>
          <w:szCs w:val="21"/>
        </w:rPr>
      </w:pPr>
      <w:r>
        <w:rPr>
          <w:rFonts w:hint="default" w:ascii="Nimbus Roman" w:hAnsi="Nimbus Roman" w:eastAsia="楷体" w:cs="Nimbus Roman"/>
          <w:b/>
          <w:bCs/>
          <w:color w:val="333333"/>
          <w:sz w:val="32"/>
          <w:szCs w:val="32"/>
        </w:rPr>
        <w:t>（一）基本支出情况</w:t>
      </w:r>
    </w:p>
    <w:p w14:paraId="0B2A28FC">
      <w:pPr>
        <w:spacing w:after="1" w:line="560" w:lineRule="exact"/>
        <w:ind w:firstLine="630"/>
        <w:rPr>
          <w:rFonts w:hint="eastAsia" w:ascii="仿宋_GB2312" w:hAnsi="仿宋_GB2312" w:eastAsia="仿宋_GB2312" w:cs="仿宋_GB2312"/>
          <w:bCs/>
          <w:szCs w:val="32"/>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年度一般公共预算支出中基本支出</w:t>
      </w:r>
      <w:r>
        <w:rPr>
          <w:rFonts w:hint="eastAsia" w:ascii="仿宋_GB2312" w:hAnsi="仿宋_GB2312" w:eastAsia="仿宋_GB2312" w:cs="仿宋_GB2312"/>
          <w:bCs/>
          <w:color w:val="auto"/>
          <w:szCs w:val="32"/>
        </w:rPr>
        <w:t>为</w:t>
      </w:r>
      <w:r>
        <w:rPr>
          <w:rFonts w:hint="eastAsia" w:ascii="仿宋" w:hAnsi="仿宋" w:eastAsia="仿宋" w:cs="仿宋"/>
          <w:b w:val="0"/>
          <w:bCs w:val="0"/>
          <w:color w:val="auto"/>
          <w:sz w:val="32"/>
          <w:szCs w:val="32"/>
          <w:lang w:val="en-US" w:eastAsia="zh-CN"/>
        </w:rPr>
        <w:t>739.62</w:t>
      </w:r>
      <w:r>
        <w:rPr>
          <w:rFonts w:hint="eastAsia" w:ascii="仿宋_GB2312" w:hAnsi="仿宋_GB2312" w:eastAsia="仿宋_GB2312" w:cs="仿宋_GB2312"/>
          <w:bCs/>
          <w:color w:val="auto"/>
          <w:szCs w:val="32"/>
        </w:rPr>
        <w:t>万</w:t>
      </w:r>
      <w:r>
        <w:rPr>
          <w:rFonts w:hint="eastAsia" w:ascii="仿宋_GB2312" w:hAnsi="仿宋_GB2312" w:eastAsia="仿宋_GB2312" w:cs="仿宋_GB2312"/>
          <w:bCs/>
          <w:szCs w:val="32"/>
        </w:rPr>
        <w:t>元，其中：工资福利支出:</w:t>
      </w:r>
      <w:r>
        <w:rPr>
          <w:rFonts w:hint="eastAsia" w:ascii="仿宋_GB2312" w:hAnsi="仿宋_GB2312" w:cs="仿宋_GB2312"/>
          <w:bCs/>
          <w:szCs w:val="32"/>
          <w:lang w:val="en-US" w:eastAsia="zh-CN"/>
        </w:rPr>
        <w:t>438.97</w:t>
      </w:r>
      <w:r>
        <w:rPr>
          <w:rFonts w:hint="eastAsia" w:ascii="仿宋_GB2312" w:hAnsi="仿宋_GB2312" w:eastAsia="仿宋_GB2312" w:cs="仿宋_GB2312"/>
          <w:bCs/>
          <w:szCs w:val="32"/>
        </w:rPr>
        <w:t>万元、一般商品和服务支出</w:t>
      </w:r>
      <w:r>
        <w:rPr>
          <w:rFonts w:hint="eastAsia" w:ascii="仿宋_GB2312" w:hAnsi="仿宋_GB2312" w:cs="仿宋_GB2312"/>
          <w:bCs/>
          <w:szCs w:val="32"/>
          <w:lang w:val="en-US" w:eastAsia="zh-CN"/>
        </w:rPr>
        <w:t>108.55</w:t>
      </w:r>
      <w:r>
        <w:rPr>
          <w:rFonts w:hint="eastAsia" w:ascii="仿宋_GB2312" w:hAnsi="仿宋_GB2312" w:eastAsia="仿宋_GB2312" w:cs="仿宋_GB2312"/>
          <w:bCs/>
          <w:szCs w:val="32"/>
        </w:rPr>
        <w:t>万元、对个人和家庭的补助支出</w:t>
      </w:r>
      <w:r>
        <w:rPr>
          <w:rFonts w:hint="eastAsia" w:ascii="仿宋_GB2312" w:hAnsi="仿宋_GB2312" w:cs="仿宋_GB2312"/>
          <w:bCs/>
          <w:szCs w:val="32"/>
          <w:lang w:val="en-US" w:eastAsia="zh-CN"/>
        </w:rPr>
        <w:t>177.25</w:t>
      </w:r>
      <w:r>
        <w:rPr>
          <w:rFonts w:hint="eastAsia" w:ascii="仿宋_GB2312" w:hAnsi="仿宋_GB2312" w:eastAsia="仿宋_GB2312" w:cs="仿宋_GB2312"/>
          <w:bCs/>
          <w:szCs w:val="32"/>
        </w:rPr>
        <w:t>万元、资本性支出</w:t>
      </w:r>
      <w:r>
        <w:rPr>
          <w:rFonts w:hint="eastAsia" w:ascii="仿宋_GB2312" w:hAnsi="仿宋_GB2312" w:cs="仿宋_GB2312"/>
          <w:bCs/>
          <w:szCs w:val="32"/>
          <w:lang w:val="en-US" w:eastAsia="zh-CN"/>
        </w:rPr>
        <w:t>14.85</w:t>
      </w:r>
      <w:r>
        <w:rPr>
          <w:rFonts w:hint="eastAsia" w:ascii="仿宋_GB2312" w:hAnsi="仿宋_GB2312" w:eastAsia="仿宋_GB2312" w:cs="仿宋_GB2312"/>
          <w:bCs/>
          <w:szCs w:val="32"/>
        </w:rPr>
        <w:t>万元。</w:t>
      </w:r>
    </w:p>
    <w:p w14:paraId="629F47C2">
      <w:pPr>
        <w:spacing w:after="1" w:line="560" w:lineRule="exact"/>
        <w:ind w:firstLine="630"/>
        <w:rPr>
          <w:rFonts w:hint="eastAsia" w:ascii="仿宋_GB2312" w:hAnsi="仿宋_GB2312" w:eastAsia="仿宋_GB2312" w:cs="仿宋_GB2312"/>
          <w:bCs/>
          <w:szCs w:val="32"/>
        </w:rPr>
      </w:pPr>
      <w:r>
        <w:rPr>
          <w:rFonts w:hint="eastAsia" w:ascii="仿宋_GB2312" w:hAnsi="仿宋_GB2312" w:eastAsia="仿宋_GB2312" w:cs="仿宋_GB2312"/>
          <w:bCs/>
          <w:szCs w:val="32"/>
        </w:rPr>
        <w:t>基本支出主要是保障我社正常运转、完成日常性工作而产生的各项支出，包括基本工资、绩效工资、津贴补贴、社会保障缴费等人员经费，办公费、邮电费、物业管理费、差旅费、劳务费、培训费、公务接待费、维修（护）费等日常公用经费，以及离退休费用等其他对个人和家庭的补助支出。</w:t>
      </w:r>
    </w:p>
    <w:p w14:paraId="10E1D965">
      <w:pPr>
        <w:pStyle w:val="8"/>
        <w:shd w:val="clear" w:color="auto" w:fill="FFFFFF"/>
        <w:spacing w:before="0" w:beforeAutospacing="0" w:after="0" w:afterAutospacing="0" w:line="560" w:lineRule="exact"/>
        <w:ind w:firstLine="395" w:firstLineChars="125"/>
        <w:rPr>
          <w:rFonts w:hint="default" w:ascii="Nimbus Roman" w:hAnsi="Nimbus Roman" w:cs="Nimbus Roman"/>
          <w:color w:val="333333"/>
          <w:sz w:val="21"/>
          <w:szCs w:val="21"/>
        </w:rPr>
      </w:pPr>
      <w:r>
        <w:rPr>
          <w:rFonts w:hint="default" w:ascii="Nimbus Roman" w:hAnsi="Nimbus Roman" w:eastAsia="楷体" w:cs="Nimbus Roman"/>
          <w:b/>
          <w:bCs/>
          <w:color w:val="333333"/>
          <w:sz w:val="32"/>
          <w:szCs w:val="32"/>
        </w:rPr>
        <w:t>（二）项目支出情况</w:t>
      </w:r>
      <w:r>
        <w:rPr>
          <w:rFonts w:hint="default" w:ascii="Nimbus Roman" w:hAnsi="Nimbus Roman" w:eastAsia="MS Mincho" w:cs="Nimbus Roman"/>
          <w:b/>
          <w:bCs/>
          <w:color w:val="333333"/>
          <w:sz w:val="32"/>
          <w:szCs w:val="32"/>
        </w:rPr>
        <w:t>   </w:t>
      </w:r>
      <w:r>
        <w:rPr>
          <w:rFonts w:hint="default" w:ascii="Nimbus Roman" w:hAnsi="Nimbus Roman" w:eastAsia="MS Mincho" w:cs="Nimbus Roman"/>
          <w:color w:val="333333"/>
          <w:sz w:val="32"/>
          <w:szCs w:val="32"/>
        </w:rPr>
        <w:t> </w:t>
      </w:r>
    </w:p>
    <w:p w14:paraId="3EDECFBC">
      <w:pPr>
        <w:spacing w:after="1" w:line="560" w:lineRule="exact"/>
        <w:ind w:firstLine="630"/>
        <w:rPr>
          <w:rFonts w:hint="default" w:ascii="仿宋_GB2312" w:hAnsi="仿宋_GB2312" w:eastAsia="仿宋" w:cs="仿宋_GB2312"/>
          <w:bCs/>
          <w:szCs w:val="32"/>
          <w:lang w:val="en-US" w:eastAsia="zh-CN"/>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年度一般公共预算支出中项目支出为</w:t>
      </w:r>
      <w:r>
        <w:rPr>
          <w:rFonts w:hint="eastAsia" w:ascii="仿宋_GB2312" w:hAnsi="仿宋_GB2312" w:cs="仿宋_GB2312"/>
          <w:bCs/>
          <w:color w:val="auto"/>
          <w:szCs w:val="32"/>
          <w:lang w:val="en-US" w:eastAsia="zh-CN"/>
        </w:rPr>
        <w:t>42.5</w:t>
      </w:r>
      <w:r>
        <w:rPr>
          <w:rFonts w:hint="eastAsia" w:ascii="仿宋_GB2312" w:hAnsi="仿宋_GB2312" w:eastAsia="仿宋_GB2312" w:cs="仿宋_GB2312"/>
          <w:bCs/>
          <w:szCs w:val="32"/>
        </w:rPr>
        <w:t>万元，其中：</w:t>
      </w:r>
      <w:r>
        <w:rPr>
          <w:rFonts w:hint="eastAsia" w:ascii="仿宋_GB2312" w:hAnsi="仿宋_GB2312" w:cs="仿宋_GB2312"/>
          <w:bCs/>
          <w:szCs w:val="32"/>
          <w:lang w:eastAsia="zh-CN"/>
        </w:rPr>
        <w:t>引进人才费用</w:t>
      </w:r>
      <w:r>
        <w:rPr>
          <w:rFonts w:hint="eastAsia" w:ascii="仿宋_GB2312" w:hAnsi="仿宋_GB2312" w:cs="仿宋_GB2312"/>
          <w:bCs/>
          <w:szCs w:val="32"/>
          <w:lang w:val="en-US" w:eastAsia="zh-CN"/>
        </w:rPr>
        <w:t>7万元，用于举办评茶员竞赛工作支出；</w:t>
      </w:r>
      <w:r>
        <w:rPr>
          <w:rFonts w:hint="eastAsia" w:ascii="仿宋_GB2312" w:hAnsi="仿宋_GB2312" w:eastAsia="仿宋_GB2312" w:cs="仿宋_GB2312"/>
          <w:bCs/>
          <w:szCs w:val="32"/>
        </w:rPr>
        <w:t>现代农业生产发展奖补资金2</w:t>
      </w:r>
      <w:r>
        <w:rPr>
          <w:rFonts w:hint="eastAsia" w:ascii="仿宋_GB2312" w:hAnsi="仿宋_GB2312" w:cs="仿宋_GB2312"/>
          <w:bCs/>
          <w:szCs w:val="32"/>
          <w:lang w:val="en-US" w:eastAsia="zh-CN"/>
        </w:rPr>
        <w:t>5</w:t>
      </w:r>
      <w:r>
        <w:rPr>
          <w:rFonts w:hint="eastAsia" w:ascii="仿宋_GB2312" w:hAnsi="仿宋_GB2312" w:eastAsia="仿宋_GB2312" w:cs="仿宋_GB2312"/>
          <w:bCs/>
          <w:szCs w:val="32"/>
        </w:rPr>
        <w:t>万元</w:t>
      </w:r>
      <w:r>
        <w:rPr>
          <w:rFonts w:hint="eastAsia" w:ascii="仿宋_GB2312" w:hAnsi="仿宋_GB2312" w:cs="仿宋_GB2312"/>
          <w:bCs/>
          <w:szCs w:val="32"/>
          <w:lang w:eastAsia="zh-CN"/>
        </w:rPr>
        <w:t>，主要用于供销</w:t>
      </w:r>
      <w:r>
        <w:rPr>
          <w:rStyle w:val="16"/>
          <w:rFonts w:ascii="仿宋" w:hAnsi="仿宋" w:eastAsia="仿宋" w:cs="Times New Roman"/>
          <w:color w:val="000000"/>
          <w:sz w:val="32"/>
          <w:szCs w:val="32"/>
        </w:rPr>
        <w:t>综合改革工作经费</w:t>
      </w:r>
      <w:r>
        <w:rPr>
          <w:rStyle w:val="16"/>
          <w:rFonts w:hint="eastAsia" w:ascii="仿宋" w:hAnsi="仿宋" w:eastAsia="仿宋" w:cs="Times New Roman"/>
          <w:color w:val="000000"/>
          <w:sz w:val="32"/>
          <w:szCs w:val="32"/>
          <w:lang w:eastAsia="zh-CN"/>
        </w:rPr>
        <w:t>；其他国有资本经营预算</w:t>
      </w:r>
      <w:r>
        <w:rPr>
          <w:rStyle w:val="16"/>
          <w:rFonts w:hint="eastAsia" w:ascii="仿宋" w:hAnsi="仿宋" w:eastAsia="仿宋" w:cs="Times New Roman"/>
          <w:color w:val="000000"/>
          <w:sz w:val="32"/>
          <w:szCs w:val="32"/>
          <w:lang w:val="en-US" w:eastAsia="zh-CN"/>
        </w:rPr>
        <w:t>10.5万元，主要用于下属企业补助支出。</w:t>
      </w:r>
    </w:p>
    <w:p w14:paraId="72A2A8D8">
      <w:pPr>
        <w:widowControl/>
        <w:numPr>
          <w:ilvl w:val="0"/>
          <w:numId w:val="0"/>
        </w:numPr>
        <w:spacing w:line="560" w:lineRule="exact"/>
        <w:ind w:firstLine="645" w:firstLineChars="0"/>
        <w:jc w:val="left"/>
        <w:rPr>
          <w:rFonts w:hint="default"/>
        </w:rPr>
      </w:pPr>
      <w:r>
        <w:rPr>
          <w:rFonts w:hint="eastAsia" w:ascii="Nimbus Roman" w:hAnsi="Nimbus Roman" w:eastAsia="黑体" w:cs="Nimbus Roman"/>
          <w:szCs w:val="32"/>
          <w:lang w:val="en-US" w:eastAsia="zh-CN"/>
        </w:rPr>
        <w:t>三、</w:t>
      </w:r>
      <w:r>
        <w:rPr>
          <w:rFonts w:hint="default" w:ascii="Nimbus Roman" w:hAnsi="Nimbus Roman" w:eastAsia="黑体" w:cs="Nimbus Roman"/>
          <w:szCs w:val="32"/>
        </w:rPr>
        <w:t>政府性基金预算支出情况</w:t>
      </w:r>
    </w:p>
    <w:p w14:paraId="12C30EAE">
      <w:pPr>
        <w:spacing w:line="560" w:lineRule="exact"/>
        <w:ind w:firstLine="632" w:firstLineChars="200"/>
        <w:rPr>
          <w:rFonts w:hint="default" w:ascii="仿宋_GB2312" w:hAnsi="仿宋_GB2312" w:eastAsia="仿宋_GB2312" w:cs="仿宋_GB2312"/>
          <w:bCs/>
          <w:szCs w:val="32"/>
        </w:rPr>
      </w:pPr>
      <w:r>
        <w:rPr>
          <w:rFonts w:hint="default" w:ascii="仿宋_GB2312" w:hAnsi="仿宋_GB2312" w:eastAsia="仿宋_GB2312" w:cs="仿宋_GB2312"/>
          <w:bCs/>
          <w:szCs w:val="32"/>
        </w:rPr>
        <w:t>我社</w:t>
      </w:r>
      <w:r>
        <w:rPr>
          <w:rFonts w:hint="eastAsia" w:ascii="仿宋_GB2312" w:hAnsi="仿宋_GB2312" w:eastAsia="仿宋_GB2312" w:cs="仿宋_GB2312"/>
          <w:bCs/>
          <w:szCs w:val="32"/>
          <w:lang w:val="en-US" w:eastAsia="zh-CN"/>
        </w:rPr>
        <w:t>2023年度</w:t>
      </w:r>
      <w:r>
        <w:rPr>
          <w:rFonts w:hint="default" w:ascii="仿宋_GB2312" w:hAnsi="仿宋_GB2312" w:eastAsia="仿宋_GB2312" w:cs="仿宋_GB2312"/>
          <w:bCs/>
          <w:szCs w:val="32"/>
        </w:rPr>
        <w:t>无此项支出。</w:t>
      </w:r>
    </w:p>
    <w:p w14:paraId="048D470D">
      <w:pPr>
        <w:widowControl/>
        <w:spacing w:line="560" w:lineRule="exact"/>
        <w:ind w:firstLine="632" w:firstLineChars="200"/>
        <w:jc w:val="left"/>
        <w:rPr>
          <w:rFonts w:hint="default" w:ascii="Nimbus Roman" w:hAnsi="Nimbus Roman" w:eastAsia="黑体" w:cs="Nimbus Roman"/>
          <w:szCs w:val="32"/>
        </w:rPr>
      </w:pPr>
      <w:r>
        <w:rPr>
          <w:rFonts w:hint="default" w:ascii="Nimbus Roman" w:hAnsi="Nimbus Roman" w:eastAsia="黑体" w:cs="Nimbus Roman"/>
          <w:szCs w:val="32"/>
        </w:rPr>
        <w:t>四、国有资本经营预算支出情况</w:t>
      </w:r>
    </w:p>
    <w:p w14:paraId="55A249C6">
      <w:pPr>
        <w:spacing w:line="560" w:lineRule="exact"/>
        <w:ind w:firstLine="632" w:firstLineChars="200"/>
        <w:rPr>
          <w:rFonts w:hint="eastAsia" w:ascii="Nimbus Roman" w:hAnsi="Nimbus Roman" w:eastAsia="宋体" w:cs="Nimbus Roman"/>
          <w:bCs/>
          <w:lang w:val="en-US" w:eastAsia="zh-CN"/>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w:t>
      </w:r>
      <w:r>
        <w:rPr>
          <w:rFonts w:hint="eastAsia" w:ascii="Times New Roman" w:hAnsi="Times New Roman" w:eastAsia="宋体" w:cs="Times New Roman"/>
          <w:lang w:val="en-US" w:eastAsia="zh-CN"/>
        </w:rPr>
        <w:t>国有资本经营预算财政拨款24.5万元，主要用于下属企业维稳支出、创文巩卫支出。</w:t>
      </w:r>
    </w:p>
    <w:p w14:paraId="3224D397">
      <w:pPr>
        <w:widowControl/>
        <w:spacing w:line="560" w:lineRule="exact"/>
        <w:ind w:firstLine="645"/>
        <w:jc w:val="left"/>
        <w:rPr>
          <w:rFonts w:hint="default" w:ascii="Nimbus Roman" w:hAnsi="Nimbus Roman" w:eastAsia="黑体" w:cs="Nimbus Roman"/>
          <w:szCs w:val="32"/>
        </w:rPr>
      </w:pPr>
      <w:r>
        <w:rPr>
          <w:rFonts w:hint="default" w:ascii="Nimbus Roman" w:hAnsi="Nimbus Roman" w:eastAsia="黑体" w:cs="Nimbus Roman"/>
          <w:szCs w:val="32"/>
        </w:rPr>
        <w:t>五、社会保险基金预算支出情况</w:t>
      </w:r>
    </w:p>
    <w:p w14:paraId="6AF2DC88">
      <w:pPr>
        <w:spacing w:line="560" w:lineRule="exact"/>
        <w:ind w:firstLine="632" w:firstLineChars="200"/>
        <w:rPr>
          <w:rFonts w:hint="default" w:ascii="仿宋_GB2312" w:hAnsi="仿宋_GB2312" w:eastAsia="仿宋_GB2312" w:cs="仿宋_GB2312"/>
          <w:bCs/>
          <w:szCs w:val="32"/>
        </w:rPr>
      </w:pPr>
      <w:r>
        <w:rPr>
          <w:rFonts w:hint="default" w:ascii="仿宋_GB2312" w:hAnsi="仿宋_GB2312" w:eastAsia="仿宋_GB2312" w:cs="仿宋_GB2312"/>
          <w:bCs/>
          <w:szCs w:val="32"/>
        </w:rPr>
        <w:t>我社</w:t>
      </w:r>
      <w:r>
        <w:rPr>
          <w:rFonts w:hint="eastAsia" w:ascii="仿宋_GB2312" w:hAnsi="仿宋_GB2312" w:eastAsia="仿宋_GB2312" w:cs="仿宋_GB2312"/>
          <w:bCs/>
          <w:szCs w:val="32"/>
          <w:lang w:val="en-US" w:eastAsia="zh-CN"/>
        </w:rPr>
        <w:t>2023年度</w:t>
      </w:r>
      <w:r>
        <w:rPr>
          <w:rFonts w:hint="default" w:ascii="仿宋_GB2312" w:hAnsi="仿宋_GB2312" w:eastAsia="仿宋_GB2312" w:cs="仿宋_GB2312"/>
          <w:bCs/>
          <w:szCs w:val="32"/>
        </w:rPr>
        <w:t>无此项支出。</w:t>
      </w:r>
    </w:p>
    <w:p w14:paraId="251C8466">
      <w:pPr>
        <w:widowControl/>
        <w:spacing w:line="560" w:lineRule="exact"/>
        <w:ind w:firstLine="645"/>
        <w:jc w:val="left"/>
        <w:rPr>
          <w:rFonts w:hint="default" w:ascii="Nimbus Roman" w:hAnsi="Nimbus Roman" w:eastAsia="黑体" w:cs="Nimbus Roman"/>
          <w:szCs w:val="32"/>
        </w:rPr>
      </w:pPr>
      <w:r>
        <w:rPr>
          <w:rFonts w:hint="default" w:ascii="Nimbus Roman" w:hAnsi="Nimbus Roman" w:eastAsia="黑体" w:cs="Nimbus Roman"/>
          <w:szCs w:val="32"/>
        </w:rPr>
        <w:t>六、部门整体支出绩效情况</w:t>
      </w:r>
    </w:p>
    <w:p w14:paraId="0EE30036">
      <w:pPr>
        <w:spacing w:line="560" w:lineRule="exact"/>
        <w:ind w:firstLine="632" w:firstLineChars="200"/>
        <w:rPr>
          <w:rFonts w:hint="default" w:ascii="Nimbus Roman" w:hAnsi="Nimbus Roman" w:eastAsia="华文楷体" w:cs="Nimbus Roman"/>
          <w:b/>
          <w:bCs/>
        </w:rPr>
      </w:pPr>
      <w:r>
        <w:rPr>
          <w:rFonts w:hint="default" w:ascii="Nimbus Roman" w:hAnsi="Nimbus Roman" w:eastAsia="华文楷体" w:cs="Nimbus Roman"/>
          <w:b/>
          <w:bCs/>
        </w:rPr>
        <w:t>（一）绩效评价结果</w:t>
      </w:r>
    </w:p>
    <w:p w14:paraId="20B86B2B">
      <w:pPr>
        <w:spacing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年我社严格预算管理，科学安排支出，实时把握支出进度，不断提高资金使用效益。将过“紧日子”的思想贯穿于预算执行始终。本次部门整体支出绩效自评得分100分，部门整体支出绩效自评为“优”。</w:t>
      </w:r>
    </w:p>
    <w:p w14:paraId="1FAB9318">
      <w:pPr>
        <w:spacing w:line="560" w:lineRule="exact"/>
        <w:ind w:firstLine="632" w:firstLineChars="200"/>
        <w:rPr>
          <w:rFonts w:hint="default" w:ascii="Nimbus Roman" w:hAnsi="Nimbus Roman" w:eastAsia="华文楷体" w:cs="Nimbus Roman"/>
          <w:b/>
          <w:bCs/>
        </w:rPr>
      </w:pPr>
      <w:r>
        <w:rPr>
          <w:rFonts w:hint="default" w:ascii="Nimbus Roman" w:hAnsi="Nimbus Roman" w:eastAsia="华文楷体" w:cs="Nimbus Roman"/>
          <w:b/>
          <w:bCs/>
        </w:rPr>
        <w:t>（二）主要绩效</w:t>
      </w:r>
    </w:p>
    <w:p w14:paraId="487D74BB">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加快高质量发展基层社建设。</w:t>
      </w:r>
      <w:r>
        <w:rPr>
          <w:rFonts w:hint="eastAsia" w:ascii="仿宋_GB2312" w:hAnsi="仿宋_GB2312" w:eastAsia="仿宋_GB2312" w:cs="仿宋_GB2312"/>
          <w:color w:val="auto"/>
          <w:kern w:val="2"/>
          <w:sz w:val="32"/>
          <w:szCs w:val="32"/>
          <w:vertAlign w:val="baseline"/>
          <w:lang w:val="en-US" w:eastAsia="zh-CN" w:bidi="ar-SA"/>
        </w:rPr>
        <w:t>2023年，全市供销系统</w:t>
      </w:r>
      <w:r>
        <w:rPr>
          <w:rFonts w:hint="eastAsia" w:ascii="仿宋_GB2312" w:hAnsi="仿宋_GB2312" w:eastAsia="仿宋_GB2312" w:cs="仿宋_GB2312"/>
          <w:color w:val="auto"/>
          <w:sz w:val="32"/>
          <w:szCs w:val="32"/>
          <w:vertAlign w:val="baseline"/>
          <w:lang w:val="en-US" w:eastAsia="zh-CN"/>
        </w:rPr>
        <w:t>按照“五有三好五统一”的基层社建设标准，建成高质量发展基层社12个，</w:t>
      </w:r>
      <w:r>
        <w:rPr>
          <w:rFonts w:hint="eastAsia" w:ascii="仿宋_GB2312" w:hAnsi="仿宋_GB2312" w:eastAsia="仿宋_GB2312" w:cs="仿宋_GB2312"/>
          <w:color w:val="auto"/>
          <w:sz w:val="32"/>
          <w:szCs w:val="32"/>
          <w:u w:val="none"/>
          <w:vertAlign w:val="baseline"/>
          <w:lang w:val="en-US" w:eastAsia="zh-CN"/>
        </w:rPr>
        <w:t>规范社10个，提质改造薄弱基层社25个，对69个乡镇、村级基层社完成编码认证和数字化管理。组织编撰了《益阳市高质量发展基层供销合作社典型案例汇编》</w:t>
      </w:r>
      <w:r>
        <w:rPr>
          <w:rFonts w:hint="eastAsia" w:ascii="仿宋_GB2312" w:hAnsi="仿宋_GB2312" w:eastAsia="仿宋_GB2312" w:cs="仿宋_GB2312"/>
          <w:color w:val="auto"/>
          <w:kern w:val="2"/>
          <w:sz w:val="32"/>
          <w:szCs w:val="32"/>
          <w:vertAlign w:val="baseline"/>
          <w:lang w:val="en-US" w:eastAsia="zh-CN" w:bidi="ar-SA"/>
        </w:rPr>
        <w:t>，向省社和市统筹办推介典型案例9个，</w:t>
      </w:r>
      <w:r>
        <w:rPr>
          <w:rFonts w:hint="eastAsia" w:ascii="仿宋_GB2312" w:hAnsi="仿宋_GB2312" w:eastAsia="仿宋_GB2312" w:cs="仿宋_GB2312"/>
          <w:i w:val="0"/>
          <w:iCs w:val="0"/>
          <w:color w:val="000000"/>
          <w:sz w:val="32"/>
          <w:szCs w:val="32"/>
          <w:u w:val="none"/>
        </w:rPr>
        <w:t>工作经验《益阳：推动基层供销合作社高质量发展》在新华社《高管信息·湖南》刊发</w:t>
      </w:r>
      <w:r>
        <w:rPr>
          <w:rFonts w:hint="eastAsia" w:ascii="仿宋_GB2312" w:hAnsi="仿宋_GB2312" w:eastAsia="仿宋_GB2312" w:cs="仿宋_GB2312"/>
          <w:b w:val="0"/>
          <w:bCs/>
          <w:sz w:val="32"/>
          <w:szCs w:val="32"/>
          <w:lang w:val="en-US" w:eastAsia="zh-CN"/>
        </w:rPr>
        <w:t>。</w:t>
      </w:r>
    </w:p>
    <w:p w14:paraId="48CF1427">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sz w:val="32"/>
          <w:szCs w:val="32"/>
          <w:lang w:val="en-US" w:eastAsia="zh-CN"/>
        </w:rPr>
        <w:t>二是大力开展农业社会化服务。</w:t>
      </w:r>
      <w:r>
        <w:rPr>
          <w:rFonts w:hint="eastAsia" w:ascii="仿宋_GB2312" w:hAnsi="仿宋_GB2312" w:eastAsia="仿宋_GB2312" w:cs="仿宋_GB2312"/>
          <w:b w:val="0"/>
          <w:bCs w:val="0"/>
          <w:color w:val="auto"/>
          <w:sz w:val="32"/>
          <w:szCs w:val="32"/>
          <w:u w:val="none"/>
          <w:lang w:val="en-US" w:eastAsia="zh-CN"/>
        </w:rPr>
        <w:t>市县两级按要求组建供销合作社农业社会化服务大联盟，吸纳461家涉农服务主体入盟，上架产品和服务554款，注册微信小程序1084人。全市系统社有企业和基层社为广大农民和各类新型农业经营主体提供配方施肥、统防统治、农机作业等，2023年</w:t>
      </w:r>
      <w:r>
        <w:rPr>
          <w:rFonts w:hint="eastAsia" w:ascii="仿宋_GB2312" w:hAnsi="仿宋_GB2312" w:eastAsia="仿宋_GB2312" w:cs="仿宋_GB2312"/>
          <w:b w:val="0"/>
          <w:i w:val="0"/>
          <w:caps w:val="0"/>
          <w:color w:val="000000"/>
          <w:spacing w:val="0"/>
          <w:sz w:val="32"/>
          <w:szCs w:val="32"/>
          <w:shd w:val="clear" w:color="auto" w:fill="FFFFFF"/>
        </w:rPr>
        <w:t>完成土地托管面积130万亩</w:t>
      </w:r>
      <w:r>
        <w:rPr>
          <w:rFonts w:hint="eastAsia" w:ascii="仿宋_GB2312" w:hAnsi="仿宋_GB2312" w:eastAsia="仿宋_GB2312" w:cs="仿宋_GB2312"/>
          <w:b w:val="0"/>
          <w:i w:val="0"/>
          <w:caps w:val="0"/>
          <w:color w:val="000000"/>
          <w:spacing w:val="0"/>
          <w:sz w:val="32"/>
          <w:szCs w:val="32"/>
          <w:shd w:val="clear" w:color="auto" w:fill="FFFFFF"/>
          <w:lang w:eastAsia="zh-CN"/>
        </w:rPr>
        <w:t>，开展</w:t>
      </w:r>
      <w:r>
        <w:rPr>
          <w:rFonts w:hint="eastAsia" w:ascii="仿宋_GB2312" w:hAnsi="仿宋_GB2312" w:eastAsia="仿宋_GB2312" w:cs="仿宋_GB2312"/>
          <w:b w:val="0"/>
          <w:bCs w:val="0"/>
          <w:color w:val="auto"/>
          <w:sz w:val="32"/>
          <w:szCs w:val="32"/>
          <w:u w:val="none"/>
          <w:lang w:val="en-US" w:eastAsia="zh-CN"/>
        </w:rPr>
        <w:t>农业社会化服务</w:t>
      </w:r>
      <w:r>
        <w:rPr>
          <w:rFonts w:hint="eastAsia" w:ascii="仿宋_GB2312" w:hAnsi="仿宋_GB2312" w:eastAsia="仿宋_GB2312" w:cs="仿宋_GB2312"/>
          <w:b w:val="0"/>
          <w:bCs w:val="0"/>
          <w:color w:val="auto"/>
          <w:sz w:val="32"/>
          <w:szCs w:val="32"/>
          <w:u w:val="none"/>
          <w:lang w:val="en" w:eastAsia="zh-CN"/>
        </w:rPr>
        <w:t>3</w:t>
      </w:r>
      <w:r>
        <w:rPr>
          <w:rFonts w:hint="eastAsia" w:ascii="仿宋_GB2312" w:hAnsi="仿宋_GB2312" w:eastAsia="仿宋_GB2312" w:cs="仿宋_GB2312"/>
          <w:b w:val="0"/>
          <w:bCs w:val="0"/>
          <w:color w:val="auto"/>
          <w:sz w:val="32"/>
          <w:szCs w:val="32"/>
          <w:u w:val="none"/>
          <w:lang w:val="en-US" w:eastAsia="zh-CN"/>
        </w:rPr>
        <w:t>12万亩次</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bCs w:val="0"/>
          <w:color w:val="auto"/>
          <w:sz w:val="32"/>
          <w:szCs w:val="32"/>
          <w:u w:val="none"/>
          <w:lang w:val="en-US" w:eastAsia="zh-CN"/>
        </w:rPr>
        <w:t>赫山、资阳、桃江、沅江、南县纳入农业社会化服务试点县，系统内16个农业社会化服务主体承担试点工作任务7.953万亩，实际完成8.52万亩，现已全部通过验收，获中央财政补贴资金707万元。</w:t>
      </w:r>
    </w:p>
    <w:p w14:paraId="52FDEC45">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lang w:val="en-US" w:eastAsia="zh-CN"/>
        </w:rPr>
        <w:t>高质量完成</w:t>
      </w:r>
      <w:r>
        <w:rPr>
          <w:rFonts w:hint="eastAsia" w:ascii="仿宋_GB2312" w:hAnsi="仿宋_GB2312" w:eastAsia="仿宋_GB2312" w:cs="仿宋_GB2312"/>
          <w:color w:val="000000"/>
          <w:sz w:val="32"/>
          <w:szCs w:val="32"/>
          <w:lang w:eastAsia="zh-CN"/>
        </w:rPr>
        <w:t>化肥淡储补贴任务。截至202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年3月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lang w:eastAsia="zh-CN"/>
        </w:rPr>
        <w:t>日，全市1</w:t>
      </w:r>
      <w:r>
        <w:rPr>
          <w:rFonts w:hint="eastAsia" w:ascii="仿宋_GB2312" w:hAnsi="仿宋_GB2312" w:eastAsia="仿宋_GB2312" w:cs="仿宋_GB2312"/>
          <w:color w:val="000000"/>
          <w:sz w:val="32"/>
          <w:szCs w:val="32"/>
          <w:lang w:val="en" w:eastAsia="zh-CN"/>
        </w:rPr>
        <w:t>6</w:t>
      </w:r>
      <w:r>
        <w:rPr>
          <w:rFonts w:hint="eastAsia" w:ascii="仿宋_GB2312" w:hAnsi="仿宋_GB2312" w:eastAsia="仿宋_GB2312" w:cs="仿宋_GB2312"/>
          <w:color w:val="000000"/>
          <w:sz w:val="32"/>
          <w:szCs w:val="32"/>
          <w:lang w:eastAsia="zh-CN"/>
        </w:rPr>
        <w:t>家承储企业实际储备高浓度复合肥、尿素、钾肥</w:t>
      </w:r>
      <w:r>
        <w:rPr>
          <w:rFonts w:hint="eastAsia" w:ascii="仿宋_GB2312" w:hAnsi="仿宋_GB2312" w:eastAsia="仿宋_GB2312" w:cs="仿宋_GB2312"/>
          <w:b w:val="0"/>
          <w:bCs w:val="0"/>
          <w:sz w:val="32"/>
          <w:szCs w:val="32"/>
          <w:lang w:val="en-US" w:eastAsia="zh-CN"/>
        </w:rPr>
        <w:t>46793</w:t>
      </w:r>
      <w:r>
        <w:rPr>
          <w:rFonts w:hint="eastAsia" w:ascii="仿宋_GB2312" w:hAnsi="仿宋_GB2312" w:eastAsia="仿宋_GB2312" w:cs="仿宋_GB2312"/>
          <w:color w:val="000000"/>
          <w:sz w:val="32"/>
          <w:szCs w:val="32"/>
          <w:lang w:eastAsia="zh-CN"/>
        </w:rPr>
        <w:t>吨，完成淡储补贴任务量的1</w:t>
      </w:r>
      <w:r>
        <w:rPr>
          <w:rFonts w:hint="eastAsia" w:ascii="仿宋_GB2312" w:hAnsi="仿宋_GB2312" w:eastAsia="仿宋_GB2312" w:cs="仿宋_GB2312"/>
          <w:color w:val="000000"/>
          <w:sz w:val="32"/>
          <w:szCs w:val="32"/>
          <w:lang w:val="en" w:eastAsia="zh-CN"/>
        </w:rPr>
        <w:t>56</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b w:val="0"/>
          <w:bCs w:val="0"/>
          <w:sz w:val="32"/>
          <w:szCs w:val="32"/>
          <w:lang w:val="en-US" w:eastAsia="zh-CN"/>
        </w:rPr>
        <w:t>供销合作社系统农资企业共落实38411吨，占总量的82.1%</w:t>
      </w:r>
      <w:r>
        <w:rPr>
          <w:rFonts w:hint="eastAsia" w:ascii="仿宋_GB2312" w:hAnsi="仿宋_GB2312" w:eastAsia="仿宋_GB2312" w:cs="仿宋_GB2312"/>
          <w:color w:val="000000"/>
          <w:sz w:val="32"/>
          <w:szCs w:val="32"/>
          <w:lang w:eastAsia="zh-CN"/>
        </w:rPr>
        <w:t>。市、县两级财政化肥淡储补贴资金</w:t>
      </w:r>
      <w:r>
        <w:rPr>
          <w:rFonts w:hint="eastAsia" w:ascii="仿宋_GB2312" w:hAnsi="仿宋_GB2312" w:eastAsia="仿宋_GB2312" w:cs="仿宋_GB2312"/>
          <w:color w:val="000000"/>
          <w:sz w:val="32"/>
          <w:szCs w:val="32"/>
          <w:lang w:val="en-US" w:eastAsia="zh-CN"/>
        </w:rPr>
        <w:t>150</w:t>
      </w:r>
      <w:r>
        <w:rPr>
          <w:rFonts w:hint="eastAsia" w:ascii="仿宋_GB2312" w:hAnsi="仿宋_GB2312" w:eastAsia="仿宋_GB2312" w:cs="仿宋_GB2312"/>
          <w:color w:val="000000"/>
          <w:sz w:val="32"/>
          <w:szCs w:val="32"/>
          <w:lang w:eastAsia="zh-CN"/>
        </w:rPr>
        <w:t>万元全部拨付到位。</w:t>
      </w:r>
    </w:p>
    <w:p w14:paraId="05443014">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auto"/>
          <w:sz w:val="32"/>
          <w:szCs w:val="32"/>
          <w:u w:val="none"/>
          <w:lang w:val="en-US" w:eastAsia="zh-CN"/>
        </w:rPr>
        <w:t>四是积极抓好项目建设。</w:t>
      </w:r>
      <w:r>
        <w:rPr>
          <w:rFonts w:hint="eastAsia" w:ascii="仿宋_GB2312" w:hAnsi="仿宋_GB2312" w:eastAsia="仿宋_GB2312" w:cs="仿宋_GB2312"/>
          <w:color w:val="auto"/>
          <w:sz w:val="32"/>
          <w:szCs w:val="32"/>
          <w:lang w:val="en-US" w:eastAsia="zh-CN"/>
        </w:rPr>
        <w:t>根据《益阳市深化供销合作社综合改革专项资金管理办法 》规定和年度工作实际，制定并下发了《2023年益阳市深化供销合作社综合改革专项资金申报指南》，确定2023年度</w:t>
      </w:r>
      <w:r>
        <w:rPr>
          <w:rFonts w:hint="eastAsia" w:ascii="仿宋_GB2312" w:hAnsi="仿宋_GB2312" w:eastAsia="仿宋_GB2312" w:cs="仿宋_GB2312"/>
          <w:color w:val="auto"/>
          <w:spacing w:val="0"/>
          <w:w w:val="100"/>
          <w:kern w:val="2"/>
          <w:position w:val="0"/>
          <w:sz w:val="32"/>
          <w:szCs w:val="32"/>
        </w:rPr>
        <w:t>供销综合改革</w:t>
      </w:r>
      <w:r>
        <w:rPr>
          <w:rFonts w:hint="eastAsia" w:ascii="仿宋_GB2312" w:hAnsi="仿宋_GB2312" w:eastAsia="仿宋_GB2312" w:cs="仿宋_GB2312"/>
          <w:color w:val="auto"/>
          <w:spacing w:val="0"/>
          <w:w w:val="100"/>
          <w:kern w:val="2"/>
          <w:position w:val="0"/>
          <w:sz w:val="32"/>
          <w:szCs w:val="32"/>
          <w:lang w:eastAsia="zh-CN"/>
        </w:rPr>
        <w:t>专项资金主要用于支持全市</w:t>
      </w:r>
      <w:r>
        <w:rPr>
          <w:rFonts w:hint="eastAsia" w:ascii="仿宋_GB2312" w:hAnsi="仿宋_GB2312" w:eastAsia="仿宋_GB2312" w:cs="仿宋_GB2312"/>
          <w:color w:val="auto"/>
          <w:sz w:val="32"/>
          <w:szCs w:val="32"/>
          <w:lang w:val="en-US" w:eastAsia="zh-CN"/>
        </w:rPr>
        <w:t>化肥淡季储备补贴、供销合作社基层组织体系和经营服务体系建设、全面推进“两个到户”、县域流通服务网络建设、“数字供销”建设、教育培训等6大类项目。经县市区申报、专家评审、市社党组审核、网上公示，有29个项目获市级财政资金支持，并</w:t>
      </w:r>
      <w:r>
        <w:rPr>
          <w:rFonts w:hint="eastAsia" w:ascii="仿宋_GB2312" w:hAnsi="仿宋_GB2312" w:eastAsia="仿宋_GB2312" w:cs="仿宋_GB2312"/>
          <w:b w:val="0"/>
          <w:bCs/>
          <w:color w:val="auto"/>
          <w:sz w:val="32"/>
          <w:szCs w:val="32"/>
          <w:lang w:val="en-US" w:eastAsia="zh-CN"/>
        </w:rPr>
        <w:t>顺利完成建设任务，177万元</w:t>
      </w:r>
      <w:r>
        <w:rPr>
          <w:rFonts w:hint="eastAsia" w:ascii="仿宋_GB2312" w:hAnsi="仿宋_GB2312" w:eastAsia="仿宋_GB2312" w:cs="仿宋_GB2312"/>
          <w:color w:val="auto"/>
          <w:spacing w:val="0"/>
          <w:w w:val="100"/>
          <w:kern w:val="2"/>
          <w:position w:val="0"/>
          <w:sz w:val="32"/>
          <w:szCs w:val="32"/>
        </w:rPr>
        <w:t>供销综合改革</w:t>
      </w:r>
      <w:r>
        <w:rPr>
          <w:rFonts w:hint="eastAsia" w:ascii="仿宋_GB2312" w:hAnsi="仿宋_GB2312" w:eastAsia="仿宋_GB2312" w:cs="仿宋_GB2312"/>
          <w:color w:val="auto"/>
          <w:spacing w:val="0"/>
          <w:w w:val="100"/>
          <w:kern w:val="2"/>
          <w:position w:val="0"/>
          <w:sz w:val="32"/>
          <w:szCs w:val="32"/>
          <w:lang w:eastAsia="zh-CN"/>
        </w:rPr>
        <w:t>专项资金</w:t>
      </w:r>
      <w:r>
        <w:rPr>
          <w:rFonts w:hint="eastAsia" w:ascii="仿宋_GB2312" w:hAnsi="仿宋_GB2312" w:eastAsia="仿宋_GB2312" w:cs="仿宋_GB2312"/>
          <w:b w:val="0"/>
          <w:bCs/>
          <w:color w:val="auto"/>
          <w:sz w:val="32"/>
          <w:szCs w:val="32"/>
          <w:lang w:val="en-US" w:eastAsia="zh-CN"/>
        </w:rPr>
        <w:t>已全部拨付至实施主体。</w:t>
      </w:r>
    </w:p>
    <w:p w14:paraId="66C19F44">
      <w:pPr>
        <w:widowControl/>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七、存在的问题</w:t>
      </w:r>
    </w:p>
    <w:p w14:paraId="521F11D6">
      <w:pPr>
        <w:pStyle w:val="8"/>
        <w:shd w:val="clear" w:color="auto" w:fill="FFFFFF"/>
        <w:spacing w:before="0" w:beforeAutospacing="0" w:after="0" w:afterAutospacing="0" w:line="560" w:lineRule="exact"/>
        <w:ind w:firstLine="711" w:firstLineChars="225"/>
        <w:rPr>
          <w:rFonts w:hint="default" w:ascii="Nimbus Roman" w:hAnsi="Nimbus Roman" w:eastAsia="仿宋_GB2312" w:cs="Nimbus Roman"/>
          <w:kern w:val="2"/>
          <w:sz w:val="32"/>
          <w:szCs w:val="32"/>
        </w:rPr>
      </w:pPr>
      <w:r>
        <w:rPr>
          <w:rFonts w:hint="default" w:ascii="Nimbus Roman" w:hAnsi="Nimbus Roman" w:eastAsia="华文楷体" w:cs="Nimbus Roman"/>
          <w:b/>
          <w:bCs/>
          <w:kern w:val="2"/>
          <w:sz w:val="32"/>
          <w:szCs w:val="20"/>
        </w:rPr>
        <w:t>(一) 绩效管理体系需要逐渐健全。</w:t>
      </w:r>
      <w:r>
        <w:rPr>
          <w:rFonts w:hint="default" w:ascii="Nimbus Roman" w:hAnsi="Nimbus Roman" w:eastAsia="仿宋_GB2312" w:cs="Nimbus Roman"/>
          <w:kern w:val="2"/>
          <w:sz w:val="32"/>
          <w:szCs w:val="32"/>
        </w:rPr>
        <w:t>绩效管理是一个完整系统，由绩效计划、绩效实施、绩效考核、绩效反馈四部分组成，四者紧密相连，缺一不可，但从目前管理现状看，在绩效管理的整体性上还有差距，管理体系需要进一步健全。</w:t>
      </w:r>
    </w:p>
    <w:p w14:paraId="7369EC38">
      <w:pPr>
        <w:widowControl/>
        <w:spacing w:line="560" w:lineRule="exact"/>
        <w:ind w:firstLine="632" w:firstLineChars="200"/>
        <w:jc w:val="left"/>
        <w:rPr>
          <w:rFonts w:hint="default" w:ascii="Nimbus Roman" w:hAnsi="Nimbus Roman" w:cs="Nimbus Roman"/>
          <w:szCs w:val="32"/>
        </w:rPr>
      </w:pPr>
      <w:r>
        <w:rPr>
          <w:rFonts w:hint="default" w:ascii="Nimbus Roman" w:hAnsi="Nimbus Roman" w:eastAsia="华文楷体" w:cs="Nimbus Roman"/>
          <w:b/>
          <w:bCs/>
        </w:rPr>
        <w:t>（二）预算编制需更加科学及细化。</w:t>
      </w:r>
      <w:r>
        <w:rPr>
          <w:rFonts w:hint="default" w:ascii="Nimbus Roman" w:hAnsi="Nimbus Roman" w:cs="Nimbus Roman"/>
          <w:color w:val="000000"/>
          <w:szCs w:val="32"/>
        </w:rPr>
        <w:t>通</w:t>
      </w:r>
      <w:r>
        <w:rPr>
          <w:rFonts w:hint="default" w:ascii="Nimbus Roman" w:hAnsi="Nimbus Roman" w:cs="Nimbus Roman"/>
          <w:szCs w:val="32"/>
        </w:rPr>
        <w:t>过绩效自评结果对比倒查，发现年初绩效目标设定还是不够科学合理，目标不够适宜、不易于评价。</w:t>
      </w:r>
    </w:p>
    <w:p w14:paraId="57927125">
      <w:pPr>
        <w:pStyle w:val="8"/>
        <w:shd w:val="clear" w:color="auto" w:fill="FFFFFF"/>
        <w:spacing w:before="0" w:beforeAutospacing="0" w:after="0" w:afterAutospacing="0" w:line="560" w:lineRule="exact"/>
        <w:rPr>
          <w:rFonts w:hint="default" w:ascii="Nimbus Roman" w:hAnsi="Nimbus Roman" w:eastAsia="黑体" w:cs="Nimbus Roman"/>
          <w:color w:val="333333"/>
          <w:kern w:val="2"/>
          <w:sz w:val="32"/>
          <w:szCs w:val="32"/>
        </w:rPr>
      </w:pPr>
      <w:r>
        <w:rPr>
          <w:rFonts w:hint="default" w:ascii="Nimbus Roman" w:hAnsi="Nimbus Roman" w:eastAsia="仿宋_GB2312" w:cs="Nimbus Roman"/>
          <w:bCs/>
          <w:color w:val="333333"/>
          <w:sz w:val="32"/>
          <w:szCs w:val="32"/>
        </w:rPr>
        <w:t xml:space="preserve">    </w:t>
      </w:r>
      <w:r>
        <w:rPr>
          <w:rFonts w:hint="default" w:ascii="Nimbus Roman" w:hAnsi="Nimbus Roman" w:eastAsia="黑体" w:cs="Nimbus Roman"/>
          <w:color w:val="333333"/>
          <w:kern w:val="2"/>
          <w:sz w:val="32"/>
          <w:szCs w:val="32"/>
        </w:rPr>
        <w:t>八、下一步改进措施</w:t>
      </w:r>
    </w:p>
    <w:p w14:paraId="1040D7B3">
      <w:pPr>
        <w:pStyle w:val="8"/>
        <w:shd w:val="clear" w:color="auto" w:fill="FFFFFF"/>
        <w:spacing w:before="0" w:beforeAutospacing="0" w:after="0" w:afterAutospacing="0" w:line="560" w:lineRule="exact"/>
        <w:rPr>
          <w:rFonts w:hint="default" w:ascii="Nimbus Roman" w:hAnsi="Nimbus Roman" w:eastAsia="仿宋_GB2312" w:cs="Nimbus Roman"/>
          <w:bCs/>
          <w:color w:val="333333"/>
          <w:sz w:val="32"/>
          <w:szCs w:val="32"/>
        </w:rPr>
      </w:pPr>
      <w:r>
        <w:rPr>
          <w:rFonts w:hint="default" w:ascii="Nimbus Roman" w:hAnsi="Nimbus Roman" w:eastAsia="宋体" w:cs="Nimbus Roman"/>
          <w:color w:val="333333"/>
          <w:sz w:val="32"/>
          <w:szCs w:val="32"/>
        </w:rPr>
        <w:t xml:space="preserve">   </w:t>
      </w:r>
      <w:r>
        <w:rPr>
          <w:rFonts w:hint="default" w:ascii="Nimbus Roman" w:hAnsi="Nimbus Roman" w:eastAsia="华文楷体" w:cs="Nimbus Roman"/>
          <w:b/>
          <w:bCs/>
          <w:kern w:val="2"/>
          <w:sz w:val="32"/>
          <w:szCs w:val="20"/>
        </w:rPr>
        <w:t>（一）科学编制预算，强化预算约束力。</w:t>
      </w:r>
      <w:r>
        <w:rPr>
          <w:rFonts w:hint="default" w:ascii="Nimbus Roman" w:hAnsi="Nimbus Roman" w:eastAsia="仿宋_GB2312" w:cs="Nimbus Roman"/>
          <w:bCs/>
          <w:color w:val="333333"/>
          <w:sz w:val="32"/>
          <w:szCs w:val="32"/>
        </w:rPr>
        <w:t>我社在编制预算时，将进一步践行科学性、完整性、准确性的原则，进一步做全、做细、做实支出预算，从源头上加以管控；认真贯彻落实预算法，从严控制年中追加预算规模，对于年度无法预计、临时追加任务所需费用，严格按照预算调整程序，逐级申报报批，有效降低预算执行偏离度。</w:t>
      </w:r>
    </w:p>
    <w:p w14:paraId="20EDF445">
      <w:pPr>
        <w:spacing w:line="560" w:lineRule="exact"/>
        <w:ind w:firstLine="632" w:firstLineChars="200"/>
        <w:rPr>
          <w:rFonts w:hint="default" w:ascii="Nimbus Roman" w:hAnsi="Nimbus Roman" w:cs="Nimbus Roman"/>
          <w:bCs/>
          <w:color w:val="333333"/>
          <w:szCs w:val="32"/>
        </w:rPr>
      </w:pPr>
      <w:r>
        <w:rPr>
          <w:rFonts w:hint="default" w:ascii="Nimbus Roman" w:hAnsi="Nimbus Roman" w:eastAsia="华文楷体" w:cs="Nimbus Roman"/>
          <w:b/>
          <w:bCs/>
        </w:rPr>
        <w:t>（二）把握预算执行进度，提升预算管理水平。</w:t>
      </w:r>
      <w:r>
        <w:rPr>
          <w:rFonts w:hint="default" w:ascii="Nimbus Roman" w:hAnsi="Nimbus Roman" w:cs="Nimbus Roman"/>
          <w:bCs/>
          <w:color w:val="333333"/>
          <w:szCs w:val="32"/>
        </w:rPr>
        <w:t xml:space="preserve">在预算执行中严格支出管理，实时监督支出进度，强化预算约束，严守财经纪律。进一步健全绩效管理体系，提高对预算资金使用效益的管理，把预算资金是否发挥使用效益与履职尽职相结合，将预算资金使用效率和效益作为考核评价的重要依据。      </w:t>
      </w:r>
    </w:p>
    <w:p w14:paraId="2BCBA4D1">
      <w:pPr>
        <w:spacing w:line="560" w:lineRule="exact"/>
        <w:ind w:firstLine="632" w:firstLineChars="200"/>
        <w:rPr>
          <w:rFonts w:hint="default" w:ascii="Nimbus Roman" w:hAnsi="Nimbus Roman" w:eastAsia="黑体" w:cs="Nimbus Roman"/>
          <w:szCs w:val="32"/>
        </w:rPr>
      </w:pPr>
      <w:r>
        <w:rPr>
          <w:rFonts w:hint="default" w:ascii="Nimbus Roman" w:hAnsi="Nimbus Roman" w:cs="Nimbus Roman"/>
          <w:bCs/>
          <w:color w:val="333333"/>
          <w:szCs w:val="32"/>
        </w:rPr>
        <w:t xml:space="preserve"> </w:t>
      </w:r>
      <w:r>
        <w:rPr>
          <w:rFonts w:hint="default" w:ascii="Nimbus Roman" w:hAnsi="Nimbus Roman" w:eastAsia="黑体" w:cs="Nimbus Roman"/>
          <w:color w:val="333333"/>
          <w:szCs w:val="32"/>
        </w:rPr>
        <w:t>九、</w:t>
      </w:r>
      <w:r>
        <w:rPr>
          <w:rFonts w:hint="default" w:ascii="Nimbus Roman" w:hAnsi="Nimbus Roman" w:eastAsia="黑体" w:cs="Nimbus Roman"/>
          <w:szCs w:val="32"/>
        </w:rPr>
        <w:t>部门整体支出绩效自评结果拟应用和公开情况</w:t>
      </w:r>
    </w:p>
    <w:p w14:paraId="64C208A3">
      <w:pPr>
        <w:pStyle w:val="8"/>
        <w:shd w:val="clear" w:color="auto" w:fill="FFFFFF"/>
        <w:spacing w:before="0" w:beforeAutospacing="0" w:after="0" w:afterAutospacing="0" w:line="560" w:lineRule="exact"/>
        <w:ind w:firstLine="632" w:firstLineChars="200"/>
        <w:rPr>
          <w:rFonts w:hint="eastAsia" w:ascii="仿宋_GB2312" w:hAnsi="仿宋_GB2312" w:eastAsia="仿宋_GB2312" w:cs="仿宋_GB2312"/>
          <w:kern w:val="2"/>
          <w:sz w:val="32"/>
          <w:szCs w:val="32"/>
        </w:rPr>
      </w:pPr>
      <w:r>
        <w:rPr>
          <w:rFonts w:hint="default" w:ascii="Nimbus Roman" w:hAnsi="Nimbus Roman" w:eastAsia="仿宋_GB2312" w:cs="Nimbus Roman"/>
          <w:kern w:val="2"/>
          <w:sz w:val="32"/>
          <w:szCs w:val="32"/>
        </w:rPr>
        <w:t>此次部门整体绩效自评综合评价情况：管理制度健全，有效控制运行成本，有效履行部门职能，高效完成各项工作任务，资金使用效益产出明显。</w:t>
      </w:r>
      <w:r>
        <w:rPr>
          <w:rFonts w:hint="eastAsia" w:ascii="仿宋_GB2312" w:hAnsi="仿宋_GB2312" w:eastAsia="仿宋_GB2312" w:cs="仿宋_GB2312"/>
          <w:kern w:val="2"/>
          <w:sz w:val="32"/>
          <w:szCs w:val="32"/>
        </w:rPr>
        <w:t>自评得分100分，绩效自评结果为“优秀”。</w:t>
      </w:r>
    </w:p>
    <w:p w14:paraId="34AC5FDE">
      <w:pPr>
        <w:pStyle w:val="8"/>
        <w:shd w:val="clear" w:color="auto" w:fill="FFFFFF"/>
        <w:spacing w:before="0" w:beforeAutospacing="0" w:after="0" w:afterAutospacing="0"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我社将按要求将绩效自评结果在部门网站及时予以公开，并将预算执行质量及进度纳入单位绩效考核的范围，推动全面预算管理工作取得进展。</w:t>
      </w:r>
    </w:p>
    <w:p w14:paraId="4A546D64">
      <w:pPr>
        <w:pStyle w:val="8"/>
        <w:shd w:val="clear" w:color="auto" w:fill="FFFFFF"/>
        <w:spacing w:before="0" w:beforeAutospacing="0" w:after="0" w:afterAutospacing="0"/>
        <w:rPr>
          <w:rFonts w:hint="eastAsia" w:ascii="仿宋_GB2312" w:hAnsi="仿宋_GB2312" w:eastAsia="仿宋_GB2312" w:cs="仿宋_GB2312"/>
          <w:kern w:val="2"/>
          <w:sz w:val="32"/>
          <w:szCs w:val="32"/>
        </w:rPr>
      </w:pPr>
    </w:p>
    <w:p w14:paraId="52365881">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14:paraId="42EC3B23">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14:paraId="02357638">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14:paraId="0915E244">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14:paraId="5F3D0B55">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r>
        <w:rPr>
          <w:rFonts w:hint="default" w:ascii="Nimbus Roman" w:hAnsi="Nimbus Roman" w:eastAsia="仿宋_GB2312" w:cs="Nimbus Roman"/>
          <w:kern w:val="2"/>
          <w:sz w:val="32"/>
          <w:szCs w:val="32"/>
        </w:rPr>
        <w:t xml:space="preserve"> 益阳市供销合作社</w:t>
      </w:r>
    </w:p>
    <w:p w14:paraId="6B98AEF8">
      <w:pPr>
        <w:pStyle w:val="8"/>
        <w:shd w:val="clear" w:color="auto" w:fill="FFFFFF"/>
        <w:spacing w:before="0" w:beforeAutospacing="0" w:after="0" w:afterAutospacing="0"/>
        <w:ind w:firstLine="5372" w:firstLineChars="1700"/>
        <w:rPr>
          <w:rFonts w:hint="eastAsia" w:ascii="仿宋_GB2312" w:hAnsi="仿宋_GB2312" w:eastAsia="仿宋_GB2312" w:cs="仿宋_GB2312"/>
          <w:szCs w:val="32"/>
        </w:rPr>
      </w:pPr>
      <w:r>
        <w:rPr>
          <w:rFonts w:hint="eastAsia" w:ascii="仿宋_GB2312" w:hAnsi="仿宋_GB2312" w:eastAsia="仿宋_GB2312" w:cs="仿宋_GB2312"/>
          <w:kern w:val="2"/>
          <w:sz w:val="32"/>
          <w:szCs w:val="32"/>
        </w:rPr>
        <w:t>2023年</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30</w:t>
      </w:r>
      <w:r>
        <w:rPr>
          <w:rFonts w:hint="eastAsia" w:ascii="仿宋_GB2312" w:hAnsi="仿宋_GB2312" w:eastAsia="仿宋_GB2312" w:cs="仿宋_GB2312"/>
          <w:kern w:val="2"/>
          <w:sz w:val="32"/>
          <w:szCs w:val="32"/>
        </w:rPr>
        <w:t>日</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DB6D">
    <w:pPr>
      <w:pStyle w:val="5"/>
      <w:framePr w:wrap="around" w:vAnchor="text" w:hAnchor="margin" w:xAlign="outside" w:y="1"/>
      <w:ind w:right="335"/>
      <w:rPr>
        <w:rStyle w:val="11"/>
        <w:rFonts w:ascii="宋体" w:hAnsi="宋体" w:eastAsia="宋体"/>
        <w:sz w:val="28"/>
      </w:rPr>
    </w:pPr>
    <w:r>
      <w:rPr>
        <w:rStyle w:val="11"/>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5</w:t>
    </w:r>
    <w:r>
      <w:rPr>
        <w:rFonts w:ascii="宋体" w:hAnsi="宋体" w:eastAsia="宋体"/>
        <w:sz w:val="28"/>
      </w:rPr>
      <w:fldChar w:fldCharType="end"/>
    </w:r>
    <w:r>
      <w:rPr>
        <w:rStyle w:val="11"/>
        <w:rFonts w:hint="eastAsia" w:ascii="宋体" w:hAnsi="宋体" w:eastAsia="宋体"/>
        <w:sz w:val="28"/>
      </w:rPr>
      <w:t>—</w:t>
    </w:r>
  </w:p>
  <w:p w14:paraId="746195D5">
    <w:pPr>
      <w:pStyle w:val="5"/>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8EB6">
    <w:pPr>
      <w:pStyle w:val="5"/>
      <w:framePr w:wrap="around" w:vAnchor="text" w:hAnchor="margin" w:xAlign="outside" w:y="1"/>
      <w:ind w:left="335"/>
      <w:rPr>
        <w:rStyle w:val="11"/>
        <w:rFonts w:ascii="宋体" w:hAnsi="宋体" w:eastAsia="宋体"/>
        <w:sz w:val="28"/>
      </w:rPr>
    </w:pPr>
    <w:r>
      <w:rPr>
        <w:rStyle w:val="11"/>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6</w:t>
    </w:r>
    <w:r>
      <w:rPr>
        <w:rFonts w:ascii="宋体" w:hAnsi="宋体" w:eastAsia="宋体"/>
        <w:sz w:val="28"/>
      </w:rPr>
      <w:fldChar w:fldCharType="end"/>
    </w:r>
    <w:r>
      <w:rPr>
        <w:rStyle w:val="11"/>
        <w:rFonts w:hint="eastAsia" w:ascii="宋体" w:hAnsi="宋体" w:eastAsia="宋体"/>
        <w:sz w:val="28"/>
      </w:rPr>
      <w:t>—</w:t>
    </w:r>
  </w:p>
  <w:p w14:paraId="0C7EAB7D">
    <w:pPr>
      <w:pStyle w:val="5"/>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hyphenationZone w:val="360"/>
  <w:evenAndOddHeaders w:val="1"/>
  <w:drawingGridHorizontalSpacing w:val="158"/>
  <w:drawingGridVerticalSpacing w:val="587"/>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OTY1MmYyN2EyN2QzZjQ1MTdmMTRjNTczYmQ0NTQifQ=="/>
  </w:docVars>
  <w:rsids>
    <w:rsidRoot w:val="00F44EA5"/>
    <w:rsid w:val="00002A74"/>
    <w:rsid w:val="00005CD9"/>
    <w:rsid w:val="00016127"/>
    <w:rsid w:val="000271EC"/>
    <w:rsid w:val="00033818"/>
    <w:rsid w:val="00047133"/>
    <w:rsid w:val="000546DC"/>
    <w:rsid w:val="00056FB7"/>
    <w:rsid w:val="00061B34"/>
    <w:rsid w:val="000A3272"/>
    <w:rsid w:val="000A5004"/>
    <w:rsid w:val="000C5C61"/>
    <w:rsid w:val="000D0079"/>
    <w:rsid w:val="000D4051"/>
    <w:rsid w:val="000D4792"/>
    <w:rsid w:val="000F0DDC"/>
    <w:rsid w:val="000F1EF7"/>
    <w:rsid w:val="000F5245"/>
    <w:rsid w:val="000F5E43"/>
    <w:rsid w:val="000F645B"/>
    <w:rsid w:val="00102AF6"/>
    <w:rsid w:val="001030FA"/>
    <w:rsid w:val="00105681"/>
    <w:rsid w:val="00107355"/>
    <w:rsid w:val="001117DB"/>
    <w:rsid w:val="00113CD3"/>
    <w:rsid w:val="001212D6"/>
    <w:rsid w:val="00133EE8"/>
    <w:rsid w:val="0013625A"/>
    <w:rsid w:val="00137367"/>
    <w:rsid w:val="0013742A"/>
    <w:rsid w:val="001552C6"/>
    <w:rsid w:val="00167969"/>
    <w:rsid w:val="00175CB2"/>
    <w:rsid w:val="00183DFF"/>
    <w:rsid w:val="00185A5A"/>
    <w:rsid w:val="001910BC"/>
    <w:rsid w:val="001A25BA"/>
    <w:rsid w:val="001A4F31"/>
    <w:rsid w:val="001A612D"/>
    <w:rsid w:val="001C2237"/>
    <w:rsid w:val="001D2295"/>
    <w:rsid w:val="001D5F23"/>
    <w:rsid w:val="001D6D4D"/>
    <w:rsid w:val="001D7B78"/>
    <w:rsid w:val="001D7D03"/>
    <w:rsid w:val="001E0F81"/>
    <w:rsid w:val="001E1C6A"/>
    <w:rsid w:val="001E3A50"/>
    <w:rsid w:val="001F5FF3"/>
    <w:rsid w:val="001F6504"/>
    <w:rsid w:val="002021EA"/>
    <w:rsid w:val="00203210"/>
    <w:rsid w:val="00204858"/>
    <w:rsid w:val="002146A8"/>
    <w:rsid w:val="00220D4F"/>
    <w:rsid w:val="00221332"/>
    <w:rsid w:val="002407FB"/>
    <w:rsid w:val="002442C8"/>
    <w:rsid w:val="002541ED"/>
    <w:rsid w:val="00261E12"/>
    <w:rsid w:val="002775B2"/>
    <w:rsid w:val="0029640F"/>
    <w:rsid w:val="002B3B93"/>
    <w:rsid w:val="002B7B58"/>
    <w:rsid w:val="002E3B0E"/>
    <w:rsid w:val="002E67DC"/>
    <w:rsid w:val="002F1A6C"/>
    <w:rsid w:val="00301902"/>
    <w:rsid w:val="0030507A"/>
    <w:rsid w:val="00341D15"/>
    <w:rsid w:val="00342656"/>
    <w:rsid w:val="00345C9B"/>
    <w:rsid w:val="0035184B"/>
    <w:rsid w:val="00351A19"/>
    <w:rsid w:val="00372D3C"/>
    <w:rsid w:val="00373A63"/>
    <w:rsid w:val="0037581D"/>
    <w:rsid w:val="00384C50"/>
    <w:rsid w:val="003929A5"/>
    <w:rsid w:val="00393949"/>
    <w:rsid w:val="00394081"/>
    <w:rsid w:val="003A292E"/>
    <w:rsid w:val="003B1550"/>
    <w:rsid w:val="003B455F"/>
    <w:rsid w:val="003B609C"/>
    <w:rsid w:val="003B7AA0"/>
    <w:rsid w:val="003C738B"/>
    <w:rsid w:val="003E5898"/>
    <w:rsid w:val="003F15F1"/>
    <w:rsid w:val="003F39CD"/>
    <w:rsid w:val="003F7768"/>
    <w:rsid w:val="00400E56"/>
    <w:rsid w:val="00407BD6"/>
    <w:rsid w:val="004162DB"/>
    <w:rsid w:val="004173AD"/>
    <w:rsid w:val="00424EC9"/>
    <w:rsid w:val="00424F78"/>
    <w:rsid w:val="00447EB7"/>
    <w:rsid w:val="00452080"/>
    <w:rsid w:val="0045322B"/>
    <w:rsid w:val="00463CBD"/>
    <w:rsid w:val="00477676"/>
    <w:rsid w:val="0047779B"/>
    <w:rsid w:val="00494C50"/>
    <w:rsid w:val="004A1199"/>
    <w:rsid w:val="004A5B55"/>
    <w:rsid w:val="004E1BB3"/>
    <w:rsid w:val="004E6315"/>
    <w:rsid w:val="004F1188"/>
    <w:rsid w:val="004F3814"/>
    <w:rsid w:val="0050663B"/>
    <w:rsid w:val="00506C37"/>
    <w:rsid w:val="00506CD2"/>
    <w:rsid w:val="005131E9"/>
    <w:rsid w:val="00532B60"/>
    <w:rsid w:val="00532C84"/>
    <w:rsid w:val="005456D8"/>
    <w:rsid w:val="00551163"/>
    <w:rsid w:val="005566A8"/>
    <w:rsid w:val="00580D04"/>
    <w:rsid w:val="0058659B"/>
    <w:rsid w:val="00592287"/>
    <w:rsid w:val="00596EAF"/>
    <w:rsid w:val="005A3E99"/>
    <w:rsid w:val="005C1E91"/>
    <w:rsid w:val="005C641A"/>
    <w:rsid w:val="005D1F7C"/>
    <w:rsid w:val="005F2263"/>
    <w:rsid w:val="00611E18"/>
    <w:rsid w:val="00624616"/>
    <w:rsid w:val="006468BC"/>
    <w:rsid w:val="00652329"/>
    <w:rsid w:val="0065262B"/>
    <w:rsid w:val="00663B26"/>
    <w:rsid w:val="0067583F"/>
    <w:rsid w:val="00684F23"/>
    <w:rsid w:val="00687B90"/>
    <w:rsid w:val="00693A08"/>
    <w:rsid w:val="006A61A6"/>
    <w:rsid w:val="006A6EB6"/>
    <w:rsid w:val="006B11BB"/>
    <w:rsid w:val="006B11E9"/>
    <w:rsid w:val="006D025B"/>
    <w:rsid w:val="006D323A"/>
    <w:rsid w:val="006E5A95"/>
    <w:rsid w:val="006F4C0F"/>
    <w:rsid w:val="0070055E"/>
    <w:rsid w:val="0070331B"/>
    <w:rsid w:val="0070449A"/>
    <w:rsid w:val="00710852"/>
    <w:rsid w:val="007347E8"/>
    <w:rsid w:val="0075314A"/>
    <w:rsid w:val="00761AFD"/>
    <w:rsid w:val="00767A70"/>
    <w:rsid w:val="00770B7B"/>
    <w:rsid w:val="00784C58"/>
    <w:rsid w:val="00791487"/>
    <w:rsid w:val="00792407"/>
    <w:rsid w:val="007B30D1"/>
    <w:rsid w:val="007C5283"/>
    <w:rsid w:val="007C666C"/>
    <w:rsid w:val="007D044C"/>
    <w:rsid w:val="007E7BDB"/>
    <w:rsid w:val="007F231D"/>
    <w:rsid w:val="00810E64"/>
    <w:rsid w:val="008143ED"/>
    <w:rsid w:val="00814A57"/>
    <w:rsid w:val="00834827"/>
    <w:rsid w:val="00842480"/>
    <w:rsid w:val="008452A9"/>
    <w:rsid w:val="008721DE"/>
    <w:rsid w:val="008738E6"/>
    <w:rsid w:val="00882267"/>
    <w:rsid w:val="00884A52"/>
    <w:rsid w:val="00891A5F"/>
    <w:rsid w:val="00891D4E"/>
    <w:rsid w:val="00892B57"/>
    <w:rsid w:val="008963E9"/>
    <w:rsid w:val="008B079E"/>
    <w:rsid w:val="008B2297"/>
    <w:rsid w:val="008C4D61"/>
    <w:rsid w:val="008D1BD1"/>
    <w:rsid w:val="008D4DFD"/>
    <w:rsid w:val="008D4E38"/>
    <w:rsid w:val="0090112D"/>
    <w:rsid w:val="009072A2"/>
    <w:rsid w:val="00915168"/>
    <w:rsid w:val="009156B6"/>
    <w:rsid w:val="009307B5"/>
    <w:rsid w:val="00940BFA"/>
    <w:rsid w:val="009578CA"/>
    <w:rsid w:val="00964D2C"/>
    <w:rsid w:val="00967F11"/>
    <w:rsid w:val="009718BF"/>
    <w:rsid w:val="00994181"/>
    <w:rsid w:val="00997C0A"/>
    <w:rsid w:val="00997F62"/>
    <w:rsid w:val="009A5AAD"/>
    <w:rsid w:val="009C2E24"/>
    <w:rsid w:val="009C78C2"/>
    <w:rsid w:val="009D21D0"/>
    <w:rsid w:val="009D6645"/>
    <w:rsid w:val="009E1328"/>
    <w:rsid w:val="009E40E3"/>
    <w:rsid w:val="009E7B2B"/>
    <w:rsid w:val="009F4A3E"/>
    <w:rsid w:val="00A041E9"/>
    <w:rsid w:val="00A16B4A"/>
    <w:rsid w:val="00A20757"/>
    <w:rsid w:val="00A402CE"/>
    <w:rsid w:val="00A43319"/>
    <w:rsid w:val="00A449C0"/>
    <w:rsid w:val="00A5141F"/>
    <w:rsid w:val="00A574C3"/>
    <w:rsid w:val="00A65659"/>
    <w:rsid w:val="00A7327E"/>
    <w:rsid w:val="00A85A74"/>
    <w:rsid w:val="00A876EA"/>
    <w:rsid w:val="00A910AD"/>
    <w:rsid w:val="00A92028"/>
    <w:rsid w:val="00A953D1"/>
    <w:rsid w:val="00AA73F5"/>
    <w:rsid w:val="00AB373E"/>
    <w:rsid w:val="00AB6099"/>
    <w:rsid w:val="00AE670E"/>
    <w:rsid w:val="00B1509E"/>
    <w:rsid w:val="00B1591B"/>
    <w:rsid w:val="00B21DAA"/>
    <w:rsid w:val="00B24FF8"/>
    <w:rsid w:val="00B30086"/>
    <w:rsid w:val="00B33EE3"/>
    <w:rsid w:val="00B41F9C"/>
    <w:rsid w:val="00B52FF6"/>
    <w:rsid w:val="00B70394"/>
    <w:rsid w:val="00B71FF9"/>
    <w:rsid w:val="00B76664"/>
    <w:rsid w:val="00B77247"/>
    <w:rsid w:val="00B81B8F"/>
    <w:rsid w:val="00B87361"/>
    <w:rsid w:val="00BA1A64"/>
    <w:rsid w:val="00BA3264"/>
    <w:rsid w:val="00BA538A"/>
    <w:rsid w:val="00BC16E3"/>
    <w:rsid w:val="00BC54BF"/>
    <w:rsid w:val="00BD1B59"/>
    <w:rsid w:val="00BD47BE"/>
    <w:rsid w:val="00BF6D58"/>
    <w:rsid w:val="00BF7471"/>
    <w:rsid w:val="00C26561"/>
    <w:rsid w:val="00C528C8"/>
    <w:rsid w:val="00C53004"/>
    <w:rsid w:val="00C77979"/>
    <w:rsid w:val="00C85F9B"/>
    <w:rsid w:val="00C86CCC"/>
    <w:rsid w:val="00CA1328"/>
    <w:rsid w:val="00CA4411"/>
    <w:rsid w:val="00CA50B2"/>
    <w:rsid w:val="00CB075E"/>
    <w:rsid w:val="00CB1C87"/>
    <w:rsid w:val="00CB7EA3"/>
    <w:rsid w:val="00CD62D0"/>
    <w:rsid w:val="00CD630F"/>
    <w:rsid w:val="00CF4021"/>
    <w:rsid w:val="00D02E22"/>
    <w:rsid w:val="00D20768"/>
    <w:rsid w:val="00D2428B"/>
    <w:rsid w:val="00D2441F"/>
    <w:rsid w:val="00D34CA0"/>
    <w:rsid w:val="00D420AE"/>
    <w:rsid w:val="00D424A5"/>
    <w:rsid w:val="00D42E56"/>
    <w:rsid w:val="00D4728C"/>
    <w:rsid w:val="00D535B3"/>
    <w:rsid w:val="00D54319"/>
    <w:rsid w:val="00D600A7"/>
    <w:rsid w:val="00D708B0"/>
    <w:rsid w:val="00D70A18"/>
    <w:rsid w:val="00D77134"/>
    <w:rsid w:val="00D80C85"/>
    <w:rsid w:val="00D80DC4"/>
    <w:rsid w:val="00D81ECA"/>
    <w:rsid w:val="00D973F5"/>
    <w:rsid w:val="00DA03C4"/>
    <w:rsid w:val="00DB19A7"/>
    <w:rsid w:val="00DB656B"/>
    <w:rsid w:val="00DB726D"/>
    <w:rsid w:val="00DC0F6D"/>
    <w:rsid w:val="00DD2D2E"/>
    <w:rsid w:val="00DE0361"/>
    <w:rsid w:val="00DE5C4A"/>
    <w:rsid w:val="00DE676C"/>
    <w:rsid w:val="00DE7AA6"/>
    <w:rsid w:val="00DF0DF3"/>
    <w:rsid w:val="00DF470E"/>
    <w:rsid w:val="00E11E29"/>
    <w:rsid w:val="00E13A1B"/>
    <w:rsid w:val="00E219E0"/>
    <w:rsid w:val="00E4362B"/>
    <w:rsid w:val="00E44E53"/>
    <w:rsid w:val="00E60A47"/>
    <w:rsid w:val="00E627D0"/>
    <w:rsid w:val="00E67E03"/>
    <w:rsid w:val="00E7517B"/>
    <w:rsid w:val="00E75F2E"/>
    <w:rsid w:val="00E947D4"/>
    <w:rsid w:val="00EA64CC"/>
    <w:rsid w:val="00EA7956"/>
    <w:rsid w:val="00EB1222"/>
    <w:rsid w:val="00EB3D0A"/>
    <w:rsid w:val="00EB5E95"/>
    <w:rsid w:val="00EC3571"/>
    <w:rsid w:val="00EC7E77"/>
    <w:rsid w:val="00ED306A"/>
    <w:rsid w:val="00EE3E28"/>
    <w:rsid w:val="00EE6090"/>
    <w:rsid w:val="00EF01ED"/>
    <w:rsid w:val="00EF77F4"/>
    <w:rsid w:val="00F015E1"/>
    <w:rsid w:val="00F024AB"/>
    <w:rsid w:val="00F120E2"/>
    <w:rsid w:val="00F1432C"/>
    <w:rsid w:val="00F233D7"/>
    <w:rsid w:val="00F3510B"/>
    <w:rsid w:val="00F40020"/>
    <w:rsid w:val="00F44EA5"/>
    <w:rsid w:val="00F45D1C"/>
    <w:rsid w:val="00F56D8C"/>
    <w:rsid w:val="00F57B48"/>
    <w:rsid w:val="00F613AB"/>
    <w:rsid w:val="00F768CF"/>
    <w:rsid w:val="00F807CD"/>
    <w:rsid w:val="00F8179E"/>
    <w:rsid w:val="00F86122"/>
    <w:rsid w:val="00F92FB8"/>
    <w:rsid w:val="00F94372"/>
    <w:rsid w:val="00FA1AF0"/>
    <w:rsid w:val="00FA2E9D"/>
    <w:rsid w:val="00FA4FB3"/>
    <w:rsid w:val="00FA6586"/>
    <w:rsid w:val="00FA6B7F"/>
    <w:rsid w:val="00FD0754"/>
    <w:rsid w:val="00FF505B"/>
    <w:rsid w:val="02991B40"/>
    <w:rsid w:val="03822B2D"/>
    <w:rsid w:val="03F579ED"/>
    <w:rsid w:val="04CD5CFB"/>
    <w:rsid w:val="0603226F"/>
    <w:rsid w:val="06E465F0"/>
    <w:rsid w:val="07303348"/>
    <w:rsid w:val="09272B27"/>
    <w:rsid w:val="0A0B10F1"/>
    <w:rsid w:val="0A1D6B75"/>
    <w:rsid w:val="0ABD0107"/>
    <w:rsid w:val="0C491A79"/>
    <w:rsid w:val="0CF90CAC"/>
    <w:rsid w:val="0D2252DC"/>
    <w:rsid w:val="0E223794"/>
    <w:rsid w:val="0EE16F7A"/>
    <w:rsid w:val="0F4C76C5"/>
    <w:rsid w:val="10B204DB"/>
    <w:rsid w:val="11A7501C"/>
    <w:rsid w:val="128D3528"/>
    <w:rsid w:val="12DA32EF"/>
    <w:rsid w:val="12F814A0"/>
    <w:rsid w:val="14A25A62"/>
    <w:rsid w:val="1555736B"/>
    <w:rsid w:val="15952692"/>
    <w:rsid w:val="15B742DC"/>
    <w:rsid w:val="16FC4959"/>
    <w:rsid w:val="16FD7908"/>
    <w:rsid w:val="171674A5"/>
    <w:rsid w:val="171B334C"/>
    <w:rsid w:val="172250F8"/>
    <w:rsid w:val="174468C9"/>
    <w:rsid w:val="17AD415D"/>
    <w:rsid w:val="17B462C0"/>
    <w:rsid w:val="18461FE0"/>
    <w:rsid w:val="18A513ED"/>
    <w:rsid w:val="18D11348"/>
    <w:rsid w:val="1BD94FE5"/>
    <w:rsid w:val="1C4D53CD"/>
    <w:rsid w:val="1D814604"/>
    <w:rsid w:val="1EF553F4"/>
    <w:rsid w:val="1F6241D8"/>
    <w:rsid w:val="20345D19"/>
    <w:rsid w:val="20FA66F6"/>
    <w:rsid w:val="216A37B2"/>
    <w:rsid w:val="21A74854"/>
    <w:rsid w:val="21EF33E2"/>
    <w:rsid w:val="22196141"/>
    <w:rsid w:val="22360981"/>
    <w:rsid w:val="23D65E2E"/>
    <w:rsid w:val="24536AB9"/>
    <w:rsid w:val="26AF3CBE"/>
    <w:rsid w:val="26DE5141"/>
    <w:rsid w:val="27F93D65"/>
    <w:rsid w:val="287B4584"/>
    <w:rsid w:val="29FE7D4C"/>
    <w:rsid w:val="2B135733"/>
    <w:rsid w:val="2D2E6BA3"/>
    <w:rsid w:val="2F9759D3"/>
    <w:rsid w:val="30C21F00"/>
    <w:rsid w:val="30E169F4"/>
    <w:rsid w:val="31614F93"/>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E8667F4"/>
    <w:rsid w:val="3F2E2E7E"/>
    <w:rsid w:val="3F340E0E"/>
    <w:rsid w:val="40304BF3"/>
    <w:rsid w:val="403A28B2"/>
    <w:rsid w:val="41552E31"/>
    <w:rsid w:val="425D3215"/>
    <w:rsid w:val="42AC56CD"/>
    <w:rsid w:val="42EA279E"/>
    <w:rsid w:val="43E469A5"/>
    <w:rsid w:val="43F51285"/>
    <w:rsid w:val="440E5CC1"/>
    <w:rsid w:val="4486410D"/>
    <w:rsid w:val="456470F8"/>
    <w:rsid w:val="464038DB"/>
    <w:rsid w:val="46D35A5D"/>
    <w:rsid w:val="48374D1C"/>
    <w:rsid w:val="4848143D"/>
    <w:rsid w:val="4B267E68"/>
    <w:rsid w:val="4D2604A0"/>
    <w:rsid w:val="4DCE677A"/>
    <w:rsid w:val="4ECE6DC3"/>
    <w:rsid w:val="4EFC1FAA"/>
    <w:rsid w:val="4F865E52"/>
    <w:rsid w:val="4F901795"/>
    <w:rsid w:val="500C24FA"/>
    <w:rsid w:val="508C05C5"/>
    <w:rsid w:val="51207F04"/>
    <w:rsid w:val="51671414"/>
    <w:rsid w:val="5218471B"/>
    <w:rsid w:val="530057B4"/>
    <w:rsid w:val="532D6659"/>
    <w:rsid w:val="53B413A5"/>
    <w:rsid w:val="56AB45DA"/>
    <w:rsid w:val="56FB54C7"/>
    <w:rsid w:val="57017173"/>
    <w:rsid w:val="5721676A"/>
    <w:rsid w:val="57257AC8"/>
    <w:rsid w:val="586301E7"/>
    <w:rsid w:val="58D0627E"/>
    <w:rsid w:val="59701D26"/>
    <w:rsid w:val="5A446F3E"/>
    <w:rsid w:val="5A78384D"/>
    <w:rsid w:val="5A863DA4"/>
    <w:rsid w:val="5A8E30F4"/>
    <w:rsid w:val="5AF66BC4"/>
    <w:rsid w:val="5AF76A9C"/>
    <w:rsid w:val="5B344458"/>
    <w:rsid w:val="5B813AC6"/>
    <w:rsid w:val="5B816D58"/>
    <w:rsid w:val="5E3B3A4F"/>
    <w:rsid w:val="5E8C52E5"/>
    <w:rsid w:val="60237F24"/>
    <w:rsid w:val="61A6003A"/>
    <w:rsid w:val="625019FE"/>
    <w:rsid w:val="62B10D29"/>
    <w:rsid w:val="6328712F"/>
    <w:rsid w:val="6414331E"/>
    <w:rsid w:val="64720968"/>
    <w:rsid w:val="6662218C"/>
    <w:rsid w:val="666F7CC3"/>
    <w:rsid w:val="66F77C59"/>
    <w:rsid w:val="67747999"/>
    <w:rsid w:val="683A4E8F"/>
    <w:rsid w:val="6AE50511"/>
    <w:rsid w:val="6AF47C9C"/>
    <w:rsid w:val="6B4A6508"/>
    <w:rsid w:val="6DD42A72"/>
    <w:rsid w:val="6E986467"/>
    <w:rsid w:val="700F461E"/>
    <w:rsid w:val="70750610"/>
    <w:rsid w:val="711C3CA3"/>
    <w:rsid w:val="712D2DE9"/>
    <w:rsid w:val="717F33A0"/>
    <w:rsid w:val="718D01A9"/>
    <w:rsid w:val="728F46B1"/>
    <w:rsid w:val="729A7761"/>
    <w:rsid w:val="72DB1F12"/>
    <w:rsid w:val="73A80A10"/>
    <w:rsid w:val="747D2BA4"/>
    <w:rsid w:val="76BB4A15"/>
    <w:rsid w:val="775345C1"/>
    <w:rsid w:val="777313C3"/>
    <w:rsid w:val="778B73A3"/>
    <w:rsid w:val="77990326"/>
    <w:rsid w:val="77F90F93"/>
    <w:rsid w:val="78106A27"/>
    <w:rsid w:val="782B556E"/>
    <w:rsid w:val="788743CA"/>
    <w:rsid w:val="788F32BA"/>
    <w:rsid w:val="78F90738"/>
    <w:rsid w:val="79B564ED"/>
    <w:rsid w:val="7AA61D7D"/>
    <w:rsid w:val="7D8731CA"/>
    <w:rsid w:val="7E5805CC"/>
    <w:rsid w:val="7FBC3022"/>
    <w:rsid w:val="7FC12CA3"/>
    <w:rsid w:val="E7FFF00E"/>
    <w:rsid w:val="EDF98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2">
    <w:name w:val="heading 2"/>
    <w:basedOn w:val="1"/>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Indent"/>
    <w:basedOn w:val="1"/>
    <w:qFormat/>
    <w:uiPriority w:val="0"/>
    <w:pPr>
      <w:ind w:firstLine="632" w:firstLineChars="20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pPr>
      <w:spacing w:line="600" w:lineRule="exact"/>
      <w:ind w:firstLine="641"/>
    </w:pPr>
    <w:rPr>
      <w:rFonts w:eastAsia="方正仿宋简体" w:cs="Calibri"/>
      <w:kern w:val="44"/>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szCs w:val="22"/>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szCs w:val="32"/>
    </w:rPr>
  </w:style>
  <w:style w:type="character" w:customStyle="1" w:styleId="16">
    <w:name w:val="s1"/>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家用电脑</Company>
  <Pages>6</Pages>
  <Words>2811</Words>
  <Characters>2978</Characters>
  <Lines>20</Lines>
  <Paragraphs>5</Paragraphs>
  <TotalTime>27</TotalTime>
  <ScaleCrop>false</ScaleCrop>
  <LinksUpToDate>false</LinksUpToDate>
  <CharactersWithSpaces>3000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2023-03-17T09:24:00Z</dcterms:created>
  <dc:creator>xbany</dc:creator>
  <cp:lastModifiedBy>Administrator</cp:lastModifiedBy>
  <cp:lastPrinted>2024-06-14T06:49:31Z</cp:lastPrinted>
  <dcterms:modified xsi:type="dcterms:W3CDTF">2024-10-12T02:03:57Z</dcterms:modified>
  <dc:title>益财会〔2002〕4号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675F2A8E07E74984B7C4FC60456FEAE1_13</vt:lpwstr>
  </property>
</Properties>
</file>