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250" w:type="dxa"/>
        <w:jc w:val="center"/>
        <w:tblLayout w:type="fixed"/>
        <w:tblCellMar>
          <w:top w:w="15" w:type="dxa"/>
          <w:left w:w="15" w:type="dxa"/>
          <w:bottom w:w="15" w:type="dxa"/>
          <w:right w:w="15" w:type="dxa"/>
        </w:tblCellMar>
      </w:tblPr>
      <w:tblGrid>
        <w:gridCol w:w="1008"/>
        <w:gridCol w:w="252"/>
        <w:gridCol w:w="2724"/>
        <w:gridCol w:w="1890"/>
        <w:gridCol w:w="4050"/>
        <w:gridCol w:w="3132"/>
        <w:gridCol w:w="1194"/>
      </w:tblGrid>
      <w:tr>
        <w:tblPrEx>
          <w:tblCellMar>
            <w:top w:w="15" w:type="dxa"/>
            <w:left w:w="15" w:type="dxa"/>
            <w:bottom w:w="15" w:type="dxa"/>
            <w:right w:w="15" w:type="dxa"/>
          </w:tblCellMar>
        </w:tblPrEx>
        <w:trPr>
          <w:trHeight w:val="674" w:hRule="atLeast"/>
          <w:jc w:val="center"/>
        </w:trPr>
        <w:tc>
          <w:tcPr>
            <w:tcW w:w="1260"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黑体" w:hAnsi="宋体" w:eastAsia="黑体" w:cs="Times New Roman"/>
                <w:color w:val="000000"/>
                <w:sz w:val="32"/>
                <w:szCs w:val="32"/>
                <w:lang w:eastAsia="zh-CN"/>
              </w:rPr>
            </w:pPr>
            <w:bookmarkStart w:id="0" w:name="_GoBack"/>
            <w:bookmarkEnd w:id="0"/>
            <w:r>
              <w:rPr>
                <w:rFonts w:hint="eastAsia" w:ascii="黑体" w:hAnsi="宋体" w:eastAsia="黑体" w:cs="Times New Roman"/>
                <w:color w:val="000000"/>
                <w:sz w:val="32"/>
                <w:szCs w:val="32"/>
                <w:lang w:eastAsia="zh-CN"/>
              </w:rPr>
              <w:t>附件</w:t>
            </w:r>
          </w:p>
        </w:tc>
        <w:tc>
          <w:tcPr>
            <w:tcW w:w="12990"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000000"/>
                <w:kern w:val="0"/>
                <w:sz w:val="44"/>
                <w:szCs w:val="44"/>
                <w:lang w:eastAsia="zh-CN"/>
              </w:rPr>
            </w:pPr>
          </w:p>
        </w:tc>
      </w:tr>
      <w:tr>
        <w:tblPrEx>
          <w:tblCellMar>
            <w:top w:w="15" w:type="dxa"/>
            <w:left w:w="15" w:type="dxa"/>
            <w:bottom w:w="15" w:type="dxa"/>
            <w:right w:w="15" w:type="dxa"/>
          </w:tblCellMar>
        </w:tblPrEx>
        <w:trPr>
          <w:trHeight w:val="90" w:hRule="atLeast"/>
          <w:jc w:val="center"/>
        </w:trPr>
        <w:tc>
          <w:tcPr>
            <w:tcW w:w="1260"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黑体" w:hAnsi="宋体" w:eastAsia="黑体" w:cs="Times New Roman"/>
                <w:color w:val="000000"/>
                <w:kern w:val="0"/>
                <w:sz w:val="32"/>
                <w:szCs w:val="32"/>
              </w:rPr>
            </w:pPr>
          </w:p>
        </w:tc>
        <w:tc>
          <w:tcPr>
            <w:tcW w:w="12990"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益阳市发展和改革委员会（市国防动员办公室）</w:t>
            </w:r>
          </w:p>
          <w:p>
            <w:pPr>
              <w:keepNext w:val="0"/>
              <w:keepLines w:val="0"/>
              <w:pageBreakBefore w:val="0"/>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eastAsia="zh-CN"/>
              </w:rPr>
              <w:t>涉企柔性执法事项清单（</w:t>
            </w:r>
            <w:r>
              <w:rPr>
                <w:rFonts w:hint="eastAsia" w:ascii="方正小标宋简体" w:hAnsi="方正小标宋简体" w:eastAsia="方正小标宋简体" w:cs="方正小标宋简体"/>
                <w:color w:val="000000"/>
                <w:kern w:val="0"/>
                <w:sz w:val="44"/>
                <w:szCs w:val="44"/>
                <w:lang w:val="en-US" w:eastAsia="zh-CN"/>
              </w:rPr>
              <w:t>2024年版</w:t>
            </w:r>
            <w:r>
              <w:rPr>
                <w:rFonts w:hint="eastAsia" w:ascii="方正小标宋简体" w:hAnsi="方正小标宋简体" w:eastAsia="方正小标宋简体" w:cs="方正小标宋简体"/>
                <w:color w:val="000000"/>
                <w:kern w:val="0"/>
                <w:sz w:val="44"/>
                <w:szCs w:val="44"/>
                <w:lang w:eastAsia="zh-CN"/>
              </w:rPr>
              <w:t>）</w:t>
            </w:r>
          </w:p>
        </w:tc>
      </w:tr>
      <w:tr>
        <w:tblPrEx>
          <w:tblCellMar>
            <w:top w:w="15" w:type="dxa"/>
            <w:left w:w="15" w:type="dxa"/>
            <w:bottom w:w="15" w:type="dxa"/>
            <w:right w:w="15" w:type="dxa"/>
          </w:tblCellMar>
        </w:tblPrEx>
        <w:trPr>
          <w:trHeight w:val="736" w:hRule="atLeast"/>
          <w:jc w:val="center"/>
        </w:trPr>
        <w:tc>
          <w:tcPr>
            <w:tcW w:w="14250" w:type="dxa"/>
            <w:gridSpan w:val="7"/>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32"/>
                <w:szCs w:val="32"/>
              </w:rPr>
              <w:t>不予处罚事项清单</w:t>
            </w:r>
          </w:p>
        </w:tc>
      </w:tr>
      <w:tr>
        <w:tblPrEx>
          <w:tblCellMar>
            <w:top w:w="15" w:type="dxa"/>
            <w:left w:w="15" w:type="dxa"/>
            <w:bottom w:w="15" w:type="dxa"/>
            <w:right w:w="15" w:type="dxa"/>
          </w:tblCellMar>
        </w:tblPrEx>
        <w:trPr>
          <w:trHeight w:val="660"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eastAsia="仿宋_GB2312" w:cs="宋体"/>
                <w:color w:val="000000"/>
                <w:sz w:val="24"/>
              </w:rPr>
            </w:pPr>
            <w:r>
              <w:rPr>
                <w:rFonts w:hint="eastAsia" w:ascii="黑体" w:hAnsi="宋体" w:eastAsia="黑体" w:cs="Times New Roman"/>
                <w:color w:val="000000"/>
                <w:kern w:val="0"/>
                <w:sz w:val="28"/>
                <w:szCs w:val="28"/>
              </w:rPr>
              <w:t>序号</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eastAsia="仿宋_GB2312" w:cs="宋体"/>
                <w:color w:val="000000"/>
                <w:sz w:val="24"/>
              </w:rPr>
            </w:pPr>
            <w:r>
              <w:rPr>
                <w:rFonts w:hint="eastAsia" w:ascii="黑体" w:hAnsi="宋体" w:eastAsia="黑体" w:cs="Times New Roman"/>
                <w:color w:val="000000"/>
                <w:kern w:val="0"/>
                <w:sz w:val="28"/>
                <w:szCs w:val="28"/>
              </w:rPr>
              <w:t>行政处罚事项</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eastAsia="仿宋_GB2312" w:cs="宋体"/>
                <w:color w:val="000000"/>
                <w:sz w:val="24"/>
              </w:rPr>
            </w:pPr>
            <w:r>
              <w:rPr>
                <w:rFonts w:hint="eastAsia" w:ascii="黑体" w:hAnsi="宋体" w:eastAsia="黑体" w:cs="Times New Roman"/>
                <w:color w:val="000000"/>
                <w:sz w:val="28"/>
                <w:szCs w:val="28"/>
              </w:rPr>
              <w:t>实施机关</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rPr>
                <w:rFonts w:ascii="宋体" w:hAnsi="宋体" w:eastAsia="仿宋_GB2312" w:cs="宋体"/>
                <w:color w:val="000000"/>
                <w:sz w:val="24"/>
              </w:rPr>
            </w:pPr>
            <w:r>
              <w:rPr>
                <w:rFonts w:hint="eastAsia" w:ascii="黑体" w:hAnsi="宋体" w:eastAsia="黑体" w:cs="Times New Roman"/>
                <w:color w:val="000000"/>
                <w:kern w:val="0"/>
                <w:sz w:val="28"/>
                <w:szCs w:val="28"/>
              </w:rPr>
              <w:t>不予处罚适用条件</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eastAsia="仿宋_GB2312" w:cs="宋体"/>
                <w:color w:val="000000"/>
                <w:sz w:val="24"/>
              </w:rPr>
            </w:pPr>
            <w:r>
              <w:rPr>
                <w:rFonts w:hint="eastAsia" w:ascii="黑体" w:hAnsi="宋体" w:eastAsia="黑体" w:cs="Times New Roman"/>
                <w:color w:val="000000"/>
                <w:kern w:val="0"/>
                <w:sz w:val="28"/>
                <w:szCs w:val="28"/>
              </w:rPr>
              <w:t>法律依据</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eastAsia="仿宋_GB2312" w:cs="宋体"/>
                <w:color w:val="000000"/>
                <w:sz w:val="24"/>
              </w:rPr>
            </w:pPr>
            <w:r>
              <w:rPr>
                <w:rFonts w:hint="eastAsia" w:ascii="黑体" w:hAnsi="宋体" w:eastAsia="黑体" w:cs="Times New Roman"/>
                <w:color w:val="000000"/>
                <w:kern w:val="0"/>
                <w:sz w:val="28"/>
                <w:szCs w:val="28"/>
              </w:rPr>
              <w:t>备注</w:t>
            </w:r>
          </w:p>
        </w:tc>
      </w:tr>
      <w:tr>
        <w:tblPrEx>
          <w:tblCellMar>
            <w:top w:w="15" w:type="dxa"/>
            <w:left w:w="15" w:type="dxa"/>
            <w:bottom w:w="15" w:type="dxa"/>
            <w:right w:w="15" w:type="dxa"/>
          </w:tblCellMar>
        </w:tblPrEx>
        <w:trPr>
          <w:trHeight w:val="649"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1</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仿宋_GB2312" w:cs="宋体"/>
                <w:color w:val="000000"/>
                <w:sz w:val="24"/>
                <w:lang w:eastAsia="zh-CN"/>
              </w:rPr>
            </w:pPr>
            <w:r>
              <w:rPr>
                <w:rFonts w:hint="eastAsia" w:ascii="宋体" w:hAnsi="宋体" w:eastAsia="仿宋_GB2312" w:cs="宋体"/>
                <w:color w:val="000000"/>
                <w:sz w:val="24"/>
              </w:rPr>
              <w:t>违法收取投标保证金、履约保证金或者不按规定退还投标保证金</w:t>
            </w:r>
            <w:r>
              <w:rPr>
                <w:rFonts w:hint="eastAsia" w:ascii="宋体" w:hAnsi="宋体" w:eastAsia="仿宋_GB2312" w:cs="宋体"/>
                <w:color w:val="000000"/>
                <w:sz w:val="24"/>
                <w:lang w:eastAsia="zh-CN"/>
              </w:rPr>
              <w:t>。</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仿宋_GB2312" w:cs="宋体"/>
                <w:color w:val="000000"/>
                <w:sz w:val="24"/>
              </w:rPr>
            </w:pPr>
            <w:r>
              <w:rPr>
                <w:rFonts w:hint="eastAsia" w:ascii="宋体" w:hAnsi="宋体" w:eastAsia="仿宋_GB2312" w:cs="宋体"/>
                <w:color w:val="000000"/>
                <w:sz w:val="24"/>
              </w:rPr>
              <w:t>未对投标人利益造成损失，能与投标人达成一致，对收取的投标保证金、履约保证金及时予以退还，违法行为轻微并及时改正，没有造成危害后果的。</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仿宋_GB2312" w:cs="宋体"/>
                <w:color w:val="000000"/>
                <w:sz w:val="24"/>
              </w:rPr>
            </w:pPr>
            <w:r>
              <w:rPr>
                <w:rFonts w:hint="eastAsia" w:ascii="宋体" w:hAnsi="宋体" w:eastAsia="仿宋_GB2312" w:cs="宋体"/>
                <w:color w:val="000000"/>
                <w:sz w:val="24"/>
              </w:rPr>
              <w:t>【行政法规】《中华人民共和国招标投标法实施条例》（2011年12月20日国务院令第613号发布，2019年3月2日第三次修订）第六十六条</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rPr>
                <w:rFonts w:ascii="宋体" w:hAnsi="宋体" w:eastAsia="仿宋_GB2312" w:cs="宋体"/>
                <w:color w:val="000000"/>
                <w:sz w:val="24"/>
              </w:rPr>
            </w:pPr>
          </w:p>
        </w:tc>
      </w:tr>
      <w:tr>
        <w:tblPrEx>
          <w:tblCellMar>
            <w:top w:w="15" w:type="dxa"/>
            <w:left w:w="15" w:type="dxa"/>
            <w:bottom w:w="15" w:type="dxa"/>
            <w:right w:w="15" w:type="dxa"/>
          </w:tblCellMar>
        </w:tblPrEx>
        <w:trPr>
          <w:trHeight w:val="649"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2</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宋体" w:hAnsi="宋体" w:eastAsia="仿宋_GB2312" w:cs="宋体"/>
                <w:color w:val="000000"/>
                <w:sz w:val="24"/>
                <w:lang w:eastAsia="zh-CN"/>
              </w:rPr>
            </w:pPr>
            <w:r>
              <w:rPr>
                <w:rFonts w:hint="eastAsia" w:ascii="宋体" w:hAnsi="宋体" w:eastAsia="仿宋_GB2312" w:cs="宋体"/>
                <w:color w:val="000000"/>
                <w:sz w:val="24"/>
              </w:rPr>
              <w:t>中标人无正当理由不与招标人订立合同，在签订合同时提出附加条件或不按招标文件要求提交履约保证金</w:t>
            </w:r>
            <w:r>
              <w:rPr>
                <w:rFonts w:hint="eastAsia" w:ascii="宋体" w:hAnsi="宋体" w:eastAsia="仿宋_GB2312" w:cs="宋体"/>
                <w:color w:val="000000"/>
                <w:sz w:val="24"/>
                <w:lang w:eastAsia="zh-CN"/>
              </w:rPr>
              <w:t>。</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宋体" w:hAnsi="宋体" w:eastAsia="仿宋_GB2312" w:cs="宋体"/>
                <w:color w:val="000000"/>
                <w:sz w:val="24"/>
              </w:rPr>
              <w:t>中标人依法与招标人订立合同，取消非法附加条件并按招标文件要求提交履约保证金，违法行为轻微并及时改正，没有造成危害后果的。</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宋体" w:hAnsi="宋体" w:eastAsia="仿宋_GB2312" w:cs="宋体"/>
                <w:color w:val="000000"/>
                <w:sz w:val="24"/>
              </w:rPr>
              <w:t xml:space="preserve">【行政法规】《中华人民共和国招标投标法实施条例》（2011年12月20日国务院令第613号发布，2019年3月2日第三次修订）第七十四条 </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仿宋_GB2312" w:cs="宋体"/>
                <w:color w:val="000000"/>
                <w:sz w:val="24"/>
              </w:rPr>
            </w:pPr>
          </w:p>
        </w:tc>
      </w:tr>
      <w:tr>
        <w:tblPrEx>
          <w:tblCellMar>
            <w:top w:w="15" w:type="dxa"/>
            <w:left w:w="15" w:type="dxa"/>
            <w:bottom w:w="15" w:type="dxa"/>
            <w:right w:w="15" w:type="dxa"/>
          </w:tblCellMar>
        </w:tblPrEx>
        <w:trPr>
          <w:trHeight w:val="649"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3</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仿宋_GB2312" w:cs="宋体"/>
                <w:color w:val="000000"/>
                <w:sz w:val="24"/>
                <w:lang w:eastAsia="zh-CN"/>
              </w:rPr>
            </w:pPr>
            <w:r>
              <w:rPr>
                <w:rFonts w:hint="eastAsia" w:ascii="宋体" w:hAnsi="宋体" w:eastAsia="仿宋_GB2312" w:cs="宋体"/>
                <w:color w:val="000000"/>
                <w:sz w:val="24"/>
              </w:rPr>
              <w:t>依法必须进行招标的工业项目招标人违法与投标人进行实质性内容谈判；与中标人不按招投标文件订立合同或订立背离合同实质性内容的协议</w:t>
            </w:r>
            <w:r>
              <w:rPr>
                <w:rFonts w:hint="eastAsia" w:ascii="宋体" w:hAnsi="宋体" w:eastAsia="仿宋_GB2312" w:cs="宋体"/>
                <w:color w:val="000000"/>
                <w:sz w:val="24"/>
                <w:lang w:eastAsia="zh-CN"/>
              </w:rPr>
              <w:t>。</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ascii="宋体" w:hAnsi="宋体" w:eastAsia="仿宋_GB2312" w:cs="宋体"/>
                <w:color w:val="000000"/>
                <w:sz w:val="24"/>
              </w:rPr>
            </w:pPr>
            <w:r>
              <w:rPr>
                <w:rFonts w:hint="eastAsia" w:ascii="宋体" w:hAnsi="宋体" w:eastAsia="仿宋_GB2312" w:cs="宋体"/>
                <w:color w:val="000000"/>
                <w:sz w:val="24"/>
              </w:rPr>
              <w:t>招标人主动与投标人按招标文件的相关条款重新依法签订合同，订立了背离合同实质内容协议的予以撤销，违法行为轻微并及时改正，没有造成危害后果的。</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仿宋_GB2312" w:cs="宋体"/>
                <w:color w:val="000000"/>
                <w:sz w:val="24"/>
              </w:rPr>
            </w:pPr>
            <w:r>
              <w:rPr>
                <w:rFonts w:hint="eastAsia" w:ascii="宋体" w:hAnsi="宋体" w:eastAsia="仿宋_GB2312" w:cs="宋体"/>
                <w:color w:val="000000"/>
                <w:sz w:val="24"/>
              </w:rPr>
              <w:t xml:space="preserve">【法律】《中华人民共和国招标投标法》（1999年8月30日第九届全国人民代表大会常务委员会第十一次会议通过，2017年12月27日修正）第五十九条 </w:t>
            </w:r>
          </w:p>
          <w:p>
            <w:pPr>
              <w:keepNext w:val="0"/>
              <w:keepLines w:val="0"/>
              <w:pageBreakBefore w:val="0"/>
              <w:kinsoku/>
              <w:wordWrap/>
              <w:overflowPunct/>
              <w:topLinePunct w:val="0"/>
              <w:autoSpaceDE/>
              <w:autoSpaceDN/>
              <w:bidi w:val="0"/>
              <w:adjustRightInd/>
              <w:snapToGrid/>
              <w:spacing w:line="360" w:lineRule="exact"/>
              <w:jc w:val="both"/>
              <w:rPr>
                <w:rFonts w:ascii="宋体" w:hAnsi="宋体" w:eastAsia="仿宋_GB2312" w:cs="宋体"/>
                <w:color w:val="000000"/>
                <w:sz w:val="24"/>
              </w:rPr>
            </w:pPr>
            <w:r>
              <w:rPr>
                <w:rFonts w:hint="eastAsia" w:ascii="宋体" w:hAnsi="宋体" w:eastAsia="仿宋_GB2312" w:cs="宋体"/>
                <w:color w:val="000000"/>
                <w:sz w:val="24"/>
              </w:rPr>
              <w:t xml:space="preserve">【行政法规】《中华人民共和国招标投标法实施条例》（2011年12月20日国务院令第613号发布，2019年3月2日第三次修订）第七十五条 </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ascii="宋体" w:hAnsi="宋体" w:eastAsia="仿宋_GB2312" w:cs="宋体"/>
                <w:color w:val="000000"/>
                <w:sz w:val="24"/>
              </w:rPr>
            </w:pPr>
          </w:p>
        </w:tc>
      </w:tr>
      <w:tr>
        <w:tblPrEx>
          <w:tblCellMar>
            <w:top w:w="15" w:type="dxa"/>
            <w:left w:w="15" w:type="dxa"/>
            <w:bottom w:w="15" w:type="dxa"/>
            <w:right w:w="15" w:type="dxa"/>
          </w:tblCellMar>
        </w:tblPrEx>
        <w:trPr>
          <w:trHeight w:val="649"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4</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仿宋_GB2312" w:cs="宋体"/>
                <w:color w:val="000000"/>
                <w:sz w:val="24"/>
                <w:lang w:eastAsia="zh-CN"/>
              </w:rPr>
            </w:pPr>
            <w:r>
              <w:rPr>
                <w:rFonts w:hint="eastAsia" w:ascii="宋体" w:hAnsi="宋体" w:eastAsia="仿宋_GB2312" w:cs="宋体"/>
                <w:color w:val="000000"/>
                <w:sz w:val="24"/>
              </w:rPr>
              <w:t>违规无偿向本单位职工提供能源或者对能源消费实行包费制</w:t>
            </w:r>
            <w:r>
              <w:rPr>
                <w:rFonts w:hint="eastAsia" w:ascii="宋体" w:hAnsi="宋体" w:eastAsia="仿宋_GB2312" w:cs="宋体"/>
                <w:color w:val="000000"/>
                <w:sz w:val="24"/>
                <w:lang w:eastAsia="zh-CN"/>
              </w:rPr>
              <w:t>。</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ascii="宋体" w:hAnsi="宋体" w:eastAsia="仿宋_GB2312" w:cs="宋体"/>
                <w:color w:val="000000"/>
                <w:sz w:val="24"/>
              </w:rPr>
            </w:pPr>
            <w:r>
              <w:rPr>
                <w:rFonts w:hint="eastAsia" w:ascii="宋体" w:hAnsi="宋体" w:eastAsia="仿宋_GB2312" w:cs="宋体"/>
                <w:color w:val="000000"/>
                <w:sz w:val="24"/>
              </w:rPr>
              <w:t>无偿向本单位职工提供能源或者对能源消费实行包费制但未造成严重能源流失，并在节能管理部门作出责令期限改正后，及时改正且违法行为轻微，没有造成危害后果的。</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ascii="宋体" w:hAnsi="宋体" w:eastAsia="仿宋_GB2312" w:cs="宋体"/>
                <w:color w:val="000000"/>
                <w:sz w:val="24"/>
              </w:rPr>
            </w:pPr>
            <w:r>
              <w:rPr>
                <w:rFonts w:hint="eastAsia" w:ascii="宋体" w:hAnsi="宋体" w:eastAsia="仿宋_GB2312" w:cs="宋体"/>
                <w:color w:val="000000"/>
                <w:sz w:val="24"/>
              </w:rPr>
              <w:t>【法律】《中华人民共和国节约能源法》（1997年11月1日第八届全国人民代表大会常务委员会第二十八次会议通过，2018年10月26日第二次修正）第七十七条</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ascii="宋体" w:hAnsi="宋体" w:eastAsia="仿宋_GB2312" w:cs="宋体"/>
                <w:color w:val="000000"/>
                <w:sz w:val="24"/>
              </w:rPr>
            </w:pPr>
          </w:p>
        </w:tc>
      </w:tr>
      <w:tr>
        <w:tblPrEx>
          <w:tblCellMar>
            <w:top w:w="15" w:type="dxa"/>
            <w:left w:w="15" w:type="dxa"/>
            <w:bottom w:w="15" w:type="dxa"/>
            <w:right w:w="15" w:type="dxa"/>
          </w:tblCellMar>
        </w:tblPrEx>
        <w:trPr>
          <w:trHeight w:val="444"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5</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宋体" w:hAnsi="宋体" w:eastAsia="仿宋_GB2312" w:cs="宋体"/>
                <w:color w:val="000000"/>
                <w:sz w:val="24"/>
                <w:lang w:eastAsia="zh-CN"/>
              </w:rPr>
            </w:pPr>
            <w:r>
              <w:rPr>
                <w:rFonts w:hint="eastAsia" w:ascii="宋体" w:hAnsi="宋体" w:eastAsia="仿宋_GB2312" w:cs="宋体"/>
                <w:color w:val="000000"/>
                <w:sz w:val="24"/>
              </w:rPr>
              <w:t>重点用能单位未履行节能管理义务</w:t>
            </w:r>
            <w:r>
              <w:rPr>
                <w:rFonts w:hint="eastAsia" w:ascii="宋体" w:hAnsi="宋体" w:eastAsia="仿宋_GB2312" w:cs="宋体"/>
                <w:color w:val="000000"/>
                <w:sz w:val="24"/>
                <w:lang w:eastAsia="zh-CN"/>
              </w:rPr>
              <w:t>。</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center"/>
              <w:rPr>
                <w:rFonts w:hint="eastAsia" w:ascii="宋体" w:hAnsi="宋体" w:eastAsia="仿宋_GB2312" w:cs="宋体"/>
                <w:color w:val="000000"/>
                <w:sz w:val="24"/>
              </w:rPr>
            </w:pPr>
            <w:r>
              <w:rPr>
                <w:rFonts w:hint="eastAsia" w:ascii="宋体" w:hAnsi="宋体" w:eastAsia="仿宋_GB2312" w:cs="宋体"/>
                <w:color w:val="000000"/>
                <w:sz w:val="24"/>
              </w:rPr>
              <w:t>重点用能单位未按照规定报送能源利用状况报告或者报告内容不实的，但在节能管理部门作出责令限期改正后，及时改正且违法行为轻微，没有造成危害后果的。</w:t>
            </w:r>
          </w:p>
          <w:p>
            <w:pPr>
              <w:keepNext w:val="0"/>
              <w:keepLines w:val="0"/>
              <w:pageBreakBefore w:val="0"/>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宋体" w:hAnsi="宋体" w:eastAsia="仿宋_GB2312" w:cs="宋体"/>
                <w:color w:val="000000"/>
                <w:sz w:val="24"/>
              </w:rPr>
              <w:t>重点用能单位未按照规定设立能源管理岗位、聘任能源管理负责人并报备案的，但在节能管理部门作出责令限期改正后，及时改正且违法行为轻微，没有造成危害后果的。</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宋体" w:hAnsi="宋体" w:eastAsia="仿宋_GB2312" w:cs="宋体"/>
                <w:color w:val="000000"/>
                <w:sz w:val="24"/>
              </w:rPr>
              <w:t>【法律】《中华人民共和国节约能源法》（1997年11月1日第八届全国人民代表大会常务委员会第二十八次会议通过，2018年10月26日第二次修正）第八十二条、第八十四条</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仿宋_GB2312" w:cs="宋体"/>
                <w:color w:val="000000"/>
                <w:sz w:val="24"/>
              </w:rPr>
            </w:pPr>
          </w:p>
        </w:tc>
      </w:tr>
      <w:tr>
        <w:tblPrEx>
          <w:tblCellMar>
            <w:top w:w="15" w:type="dxa"/>
            <w:left w:w="15" w:type="dxa"/>
            <w:bottom w:w="15" w:type="dxa"/>
            <w:right w:w="15" w:type="dxa"/>
          </w:tblCellMar>
        </w:tblPrEx>
        <w:trPr>
          <w:trHeight w:val="649"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6</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vertAlign w:val="baseline"/>
                <w:lang w:eastAsia="zh-CN"/>
              </w:rPr>
              <w:t>擅自损坏人民防空工程。</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center"/>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1.违法行为轻微并及时改正，没有造成危害后果；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jc w:val="both"/>
              <w:textAlignment w:val="center"/>
              <w:rPr>
                <w:rFonts w:hint="default"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2.初次违法且危害后果轻微并及时改正；</w:t>
            </w:r>
          </w:p>
          <w:p>
            <w:pPr>
              <w:keepNext w:val="0"/>
              <w:keepLines w:val="0"/>
              <w:pageBreakBefore w:val="0"/>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宋体" w:hAnsi="宋体" w:eastAsia="仿宋_GB2312" w:cs="宋体"/>
                <w:color w:val="000000"/>
                <w:sz w:val="24"/>
                <w:lang w:val="en-US" w:eastAsia="zh-CN"/>
              </w:rPr>
              <w:t>3.当事人有证据足以证明没有主观过错。</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宋体" w:hAnsi="宋体" w:eastAsia="仿宋_GB2312" w:cs="宋体"/>
                <w:color w:val="000000"/>
                <w:sz w:val="24"/>
              </w:rPr>
            </w:pPr>
            <w:r>
              <w:rPr>
                <w:rFonts w:hint="eastAsia" w:ascii="宋体" w:hAnsi="宋体" w:eastAsia="仿宋_GB2312" w:cs="宋体"/>
                <w:color w:val="000000"/>
                <w:sz w:val="24"/>
              </w:rPr>
              <w:t xml:space="preserve">【法律】《中华人民共和国行政处罚法》（2021年1月22日第十三届全国人民代表大会常务委员会第二十五次会议修订，自2021年7月15日起施行）第三十三条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宋体" w:hAnsi="宋体" w:eastAsia="仿宋_GB2312" w:cs="宋体"/>
                <w:color w:val="000000"/>
                <w:sz w:val="24"/>
              </w:rPr>
              <w:t>【地方性法规】《湖南省实施&lt;中华人民共和国人民防空法&gt;办法》（2011年5月27日湖南省第十一届人民代表大会常务委员会第二十二次会议通过，自2011年7月1日起施行）第三十九条</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仿宋_GB2312" w:cs="宋体"/>
                <w:color w:val="000000"/>
                <w:sz w:val="24"/>
              </w:rPr>
            </w:pPr>
          </w:p>
        </w:tc>
      </w:tr>
      <w:tr>
        <w:tblPrEx>
          <w:tblCellMar>
            <w:top w:w="15" w:type="dxa"/>
            <w:left w:w="15" w:type="dxa"/>
            <w:bottom w:w="15" w:type="dxa"/>
            <w:right w:w="15" w:type="dxa"/>
          </w:tblCellMar>
        </w:tblPrEx>
        <w:trPr>
          <w:trHeight w:val="649"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7</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占用人民防空通信专用频率、使用与防空警报相同的音响信号、延误传递防空警报信号或者擅自拆除人民防空通信、警报设备设施。</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center"/>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1.违法行为轻微并及时改正，没有造成危害后果；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jc w:val="both"/>
              <w:textAlignment w:val="center"/>
              <w:rPr>
                <w:rFonts w:hint="default"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2.初次违法且危害后果轻微并及时改正；</w:t>
            </w:r>
          </w:p>
          <w:p>
            <w:pPr>
              <w:keepNext w:val="0"/>
              <w:keepLines w:val="0"/>
              <w:pageBreakBefore w:val="0"/>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宋体" w:hAnsi="宋体" w:eastAsia="仿宋_GB2312" w:cs="宋体"/>
                <w:color w:val="000000"/>
                <w:sz w:val="24"/>
                <w:lang w:val="en-US" w:eastAsia="zh-CN"/>
              </w:rPr>
              <w:t>3.当事人有证据足以证明没有主观过错。</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宋体" w:hAnsi="宋体" w:eastAsia="仿宋_GB2312" w:cs="宋体"/>
                <w:color w:val="000000"/>
                <w:sz w:val="24"/>
              </w:rPr>
              <w:t>【法律】《中华人民共和国行政处罚法》（2021年1月22日第十三届全国人民代表大会常务委员会第二十五次会议修订，自2021年7月15日起施行）</w:t>
            </w:r>
            <w:r>
              <w:rPr>
                <w:rFonts w:ascii="宋体" w:hAnsi="宋体" w:eastAsia="仿宋_GB2312" w:cs="宋体"/>
                <w:color w:val="000000"/>
                <w:sz w:val="24"/>
              </w:rPr>
              <w:t>第三十三条</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仿宋_GB2312" w:cs="宋体"/>
                <w:color w:val="000000"/>
                <w:sz w:val="24"/>
              </w:rPr>
            </w:pPr>
            <w:r>
              <w:rPr>
                <w:rFonts w:hint="eastAsia" w:ascii="仿宋_GB2312" w:hAnsi="仿宋_GB2312" w:eastAsia="仿宋_GB2312" w:cs="仿宋_GB2312"/>
                <w:color w:val="000000"/>
                <w:sz w:val="24"/>
                <w:szCs w:val="24"/>
                <w:vertAlign w:val="baseline"/>
                <w:lang w:val="en-US" w:eastAsia="zh-CN"/>
              </w:rPr>
              <w:t>【法律】《中华人民共和国人民防空法》（1996年10月29日第八届全国人民代表大会常务委员会第二十二次会议通过，2009年8月27日修正）</w:t>
            </w:r>
            <w:r>
              <w:rPr>
                <w:rFonts w:hint="eastAsia" w:ascii="宋体" w:hAnsi="宋体" w:eastAsia="仿宋_GB2312" w:cs="宋体"/>
                <w:color w:val="000000"/>
                <w:sz w:val="24"/>
              </w:rPr>
              <w:t>第四十九条</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仿宋_GB2312" w:cs="宋体"/>
                <w:color w:val="000000"/>
                <w:sz w:val="24"/>
              </w:rPr>
            </w:pPr>
          </w:p>
        </w:tc>
      </w:tr>
      <w:tr>
        <w:tblPrEx>
          <w:tblCellMar>
            <w:top w:w="15" w:type="dxa"/>
            <w:left w:w="15" w:type="dxa"/>
            <w:bottom w:w="15" w:type="dxa"/>
            <w:right w:w="15" w:type="dxa"/>
          </w:tblCellMar>
        </w:tblPrEx>
        <w:trPr>
          <w:trHeight w:val="649"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8</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向人民防空工程内排入废水、废气或者倾倒废弃物。</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1.违法行为轻微并及时改正，没有造成危害后果；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jc w:val="both"/>
              <w:rPr>
                <w:rFonts w:hint="default"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2.初次违法且危害后果轻微并及时改正；</w:t>
            </w:r>
          </w:p>
          <w:p>
            <w:pPr>
              <w:keepNext w:val="0"/>
              <w:keepLines w:val="0"/>
              <w:pageBreakBefore w:val="0"/>
              <w:kinsoku/>
              <w:wordWrap/>
              <w:overflowPunct/>
              <w:topLinePunct w:val="0"/>
              <w:autoSpaceDE/>
              <w:autoSpaceDN/>
              <w:bidi w:val="0"/>
              <w:adjustRightInd/>
              <w:snapToGrid/>
              <w:spacing w:line="360" w:lineRule="exact"/>
              <w:jc w:val="both"/>
              <w:rPr>
                <w:rFonts w:ascii="宋体" w:hAnsi="宋体" w:eastAsia="仿宋_GB2312" w:cs="宋体"/>
                <w:color w:val="000000"/>
                <w:sz w:val="24"/>
              </w:rPr>
            </w:pPr>
            <w:r>
              <w:rPr>
                <w:rFonts w:hint="eastAsia" w:ascii="宋体" w:hAnsi="宋体" w:eastAsia="仿宋_GB2312" w:cs="宋体"/>
                <w:color w:val="000000"/>
                <w:sz w:val="24"/>
                <w:lang w:val="en-US" w:eastAsia="zh-CN"/>
              </w:rPr>
              <w:t>3.当事人有证据足以证明没有主观过错。</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ascii="宋体" w:hAnsi="宋体" w:eastAsia="仿宋_GB2312" w:cs="宋体"/>
                <w:color w:val="000000"/>
                <w:sz w:val="24"/>
              </w:rPr>
            </w:pPr>
            <w:r>
              <w:rPr>
                <w:rFonts w:hint="eastAsia" w:ascii="宋体" w:hAnsi="宋体" w:eastAsia="仿宋_GB2312" w:cs="宋体"/>
                <w:color w:val="000000"/>
                <w:sz w:val="24"/>
              </w:rPr>
              <w:t>【法律】《中华人民共和国行政处罚法》（2021年1月22日第十三届全国人民代表大会常务委员会第二十五次会议修订，自2021年7月15日起施行）</w:t>
            </w:r>
            <w:r>
              <w:rPr>
                <w:rFonts w:ascii="宋体" w:hAnsi="宋体" w:eastAsia="仿宋_GB2312" w:cs="宋体"/>
                <w:color w:val="000000"/>
                <w:sz w:val="24"/>
              </w:rPr>
              <w:t>第三十三条</w:t>
            </w:r>
          </w:p>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仿宋_GB2312" w:cs="宋体"/>
                <w:color w:val="000000"/>
                <w:sz w:val="24"/>
              </w:rPr>
            </w:pPr>
            <w:r>
              <w:rPr>
                <w:rFonts w:hint="eastAsia" w:ascii="仿宋_GB2312" w:hAnsi="仿宋_GB2312" w:eastAsia="仿宋_GB2312" w:cs="仿宋_GB2312"/>
                <w:color w:val="000000"/>
                <w:sz w:val="24"/>
                <w:szCs w:val="24"/>
                <w:vertAlign w:val="baseline"/>
                <w:lang w:val="en-US" w:eastAsia="zh-CN"/>
              </w:rPr>
              <w:t>【法律】《中华人民共和国人民防空法》（1996年10月29日第八届全国人民代表大会常务委员会第二十二次会议通过，2009年8月27日修正）</w:t>
            </w:r>
            <w:r>
              <w:rPr>
                <w:rFonts w:hint="eastAsia" w:ascii="宋体" w:hAnsi="宋体" w:eastAsia="仿宋_GB2312" w:cs="宋体"/>
                <w:color w:val="000000"/>
                <w:sz w:val="24"/>
              </w:rPr>
              <w:t>第四十九条</w:t>
            </w:r>
          </w:p>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仿宋_GB2312" w:cs="宋体"/>
                <w:color w:val="000000"/>
                <w:sz w:val="24"/>
              </w:rPr>
            </w:pPr>
            <w:r>
              <w:rPr>
                <w:rFonts w:hint="eastAsia" w:ascii="宋体" w:hAnsi="宋体" w:eastAsia="仿宋_GB2312" w:cs="宋体"/>
                <w:color w:val="000000"/>
                <w:sz w:val="24"/>
              </w:rPr>
              <w:t>【</w:t>
            </w:r>
            <w:r>
              <w:rPr>
                <w:rFonts w:hint="eastAsia" w:ascii="宋体" w:hAnsi="宋体" w:eastAsia="仿宋_GB2312" w:cs="宋体"/>
                <w:color w:val="000000"/>
                <w:sz w:val="24"/>
                <w:lang w:eastAsia="zh-CN"/>
              </w:rPr>
              <w:t>地方性法规</w:t>
            </w:r>
            <w:r>
              <w:rPr>
                <w:rFonts w:hint="eastAsia" w:ascii="宋体" w:hAnsi="宋体" w:eastAsia="仿宋_GB2312" w:cs="宋体"/>
                <w:color w:val="000000"/>
                <w:sz w:val="24"/>
              </w:rPr>
              <w:t>】《湖南省实施&lt;中华人民共和国人民防空法&gt;办法》（2011年5月27日湖南省第十一届人民代表大会常务委员会第二十二次会议通过，自2011年7月1日起施行）第三十九条</w:t>
            </w:r>
          </w:p>
          <w:p>
            <w:pPr>
              <w:keepNext w:val="0"/>
              <w:keepLines w:val="0"/>
              <w:pageBreakBefore w:val="0"/>
              <w:kinsoku/>
              <w:wordWrap/>
              <w:overflowPunct/>
              <w:topLinePunct w:val="0"/>
              <w:autoSpaceDE/>
              <w:autoSpaceDN/>
              <w:bidi w:val="0"/>
              <w:adjustRightInd/>
              <w:snapToGrid/>
              <w:spacing w:line="360" w:lineRule="exact"/>
              <w:jc w:val="both"/>
              <w:rPr>
                <w:rFonts w:ascii="宋体" w:hAnsi="宋体" w:eastAsia="仿宋_GB2312" w:cs="宋体"/>
                <w:color w:val="000000"/>
                <w:sz w:val="24"/>
              </w:rPr>
            </w:pPr>
            <w:r>
              <w:rPr>
                <w:rFonts w:hint="eastAsia" w:ascii="宋体" w:hAnsi="宋体" w:eastAsia="仿宋_GB2312" w:cs="宋体"/>
                <w:color w:val="000000"/>
                <w:sz w:val="24"/>
                <w:lang w:eastAsia="zh-CN"/>
              </w:rPr>
              <w:t>【地方性规章】《湖南省人民防空工程建设与维护管理规定》（2019年11月18日省人民政府第52次常务会议通过，自2020年1月1日起施行）</w:t>
            </w:r>
            <w:r>
              <w:rPr>
                <w:rFonts w:hint="eastAsia" w:ascii="宋体" w:hAnsi="宋体" w:eastAsia="仿宋_GB2312" w:cs="宋体"/>
                <w:color w:val="000000"/>
                <w:sz w:val="24"/>
                <w:lang w:val="en-US" w:eastAsia="zh-CN"/>
              </w:rPr>
              <w:t>第二十四条</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ascii="宋体" w:hAnsi="宋体" w:eastAsia="仿宋_GB2312" w:cs="宋体"/>
                <w:color w:val="000000"/>
                <w:sz w:val="24"/>
              </w:rPr>
            </w:pPr>
          </w:p>
        </w:tc>
      </w:tr>
      <w:tr>
        <w:tblPrEx>
          <w:tblCellMar>
            <w:top w:w="15" w:type="dxa"/>
            <w:left w:w="15" w:type="dxa"/>
            <w:bottom w:w="15" w:type="dxa"/>
            <w:right w:w="15" w:type="dxa"/>
          </w:tblCellMar>
        </w:tblPrEx>
        <w:trPr>
          <w:trHeight w:val="1080" w:hRule="atLeast"/>
          <w:jc w:val="center"/>
        </w:trPr>
        <w:tc>
          <w:tcPr>
            <w:tcW w:w="14250" w:type="dxa"/>
            <w:gridSpan w:val="7"/>
            <w:noWrap w:val="0"/>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32"/>
                <w:szCs w:val="32"/>
              </w:rPr>
              <w:t>从轻处罚事项清单</w:t>
            </w:r>
          </w:p>
        </w:tc>
      </w:tr>
      <w:tr>
        <w:tblPrEx>
          <w:tblCellMar>
            <w:top w:w="15" w:type="dxa"/>
            <w:left w:w="15" w:type="dxa"/>
            <w:bottom w:w="15" w:type="dxa"/>
            <w:right w:w="15" w:type="dxa"/>
          </w:tblCellMar>
        </w:tblPrEx>
        <w:trPr>
          <w:trHeight w:val="900" w:hRule="atLeast"/>
          <w:jc w:val="center"/>
        </w:trPr>
        <w:tc>
          <w:tcPr>
            <w:tcW w:w="1008" w:type="dxa"/>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序号</w:t>
            </w:r>
          </w:p>
        </w:tc>
        <w:tc>
          <w:tcPr>
            <w:tcW w:w="2976" w:type="dxa"/>
            <w:gridSpan w:val="2"/>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行政处罚事项</w:t>
            </w:r>
          </w:p>
        </w:tc>
        <w:tc>
          <w:tcPr>
            <w:tcW w:w="1890" w:type="dxa"/>
            <w:tcBorders>
              <w:top w:val="single" w:color="000000" w:sz="12"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sz w:val="28"/>
                <w:szCs w:val="28"/>
              </w:rPr>
              <w:t>实施机关</w:t>
            </w:r>
          </w:p>
        </w:tc>
        <w:tc>
          <w:tcPr>
            <w:tcW w:w="4050" w:type="dxa"/>
            <w:tcBorders>
              <w:top w:val="single" w:color="000000" w:sz="12"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从轻处罚适用条件</w:t>
            </w:r>
          </w:p>
        </w:tc>
        <w:tc>
          <w:tcPr>
            <w:tcW w:w="3132" w:type="dxa"/>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黑体" w:hAnsi="宋体" w:eastAsia="黑体" w:cs="Times New Roman"/>
                <w:color w:val="000000"/>
                <w:sz w:val="28"/>
                <w:szCs w:val="28"/>
              </w:rPr>
            </w:pPr>
            <w:r>
              <w:rPr>
                <w:rFonts w:hint="eastAsia" w:ascii="黑体" w:hAnsi="宋体" w:eastAsia="黑体" w:cs="Times New Roman"/>
                <w:color w:val="000000"/>
                <w:kern w:val="0"/>
                <w:sz w:val="28"/>
                <w:szCs w:val="28"/>
              </w:rPr>
              <w:t>法律依据</w:t>
            </w:r>
          </w:p>
        </w:tc>
        <w:tc>
          <w:tcPr>
            <w:tcW w:w="1194" w:type="dxa"/>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备注</w:t>
            </w:r>
          </w:p>
        </w:tc>
      </w:tr>
      <w:tr>
        <w:tblPrEx>
          <w:tblCellMar>
            <w:top w:w="15" w:type="dxa"/>
            <w:left w:w="15" w:type="dxa"/>
            <w:bottom w:w="15" w:type="dxa"/>
            <w:right w:w="15" w:type="dxa"/>
          </w:tblCellMar>
        </w:tblPrEx>
        <w:trPr>
          <w:trHeight w:val="859"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1</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仿宋_GB2312" w:cs="宋体"/>
                <w:color w:val="000000"/>
                <w:sz w:val="24"/>
                <w:lang w:eastAsia="zh-CN"/>
              </w:rPr>
            </w:pPr>
            <w:r>
              <w:rPr>
                <w:rFonts w:hint="eastAsia" w:ascii="宋体" w:hAnsi="宋体" w:eastAsia="仿宋_GB2312" w:cs="宋体"/>
                <w:color w:val="000000"/>
                <w:sz w:val="24"/>
              </w:rPr>
              <w:t>从事节能咨询、设计、评估、检测、审计、认证等服务的机构提供虚假信息</w:t>
            </w:r>
            <w:r>
              <w:rPr>
                <w:rFonts w:hint="eastAsia" w:ascii="宋体" w:hAnsi="宋体" w:eastAsia="仿宋_GB2312" w:cs="宋体"/>
                <w:color w:val="000000"/>
                <w:sz w:val="24"/>
                <w:lang w:eastAsia="zh-CN"/>
              </w:rPr>
              <w:t>。</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r>
              <w:rPr>
                <w:rFonts w:hint="eastAsia" w:ascii="宋体" w:hAnsi="宋体" w:eastAsia="仿宋_GB2312" w:cs="宋体"/>
                <w:color w:val="000000"/>
                <w:sz w:val="24"/>
              </w:rPr>
              <w:t>从事节能咨询、设计、评估、检测、审计、认证等服务的机构提供虚假信息，经责令限期改正逾期未改正，且违法所得在10万元以下，主动消除或减轻违法行为危害后果的。</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r>
              <w:rPr>
                <w:rFonts w:hint="eastAsia" w:ascii="宋体" w:hAnsi="宋体" w:eastAsia="仿宋_GB2312" w:cs="宋体"/>
                <w:color w:val="000000"/>
                <w:sz w:val="24"/>
              </w:rPr>
              <w:t xml:space="preserve">【法律】《中华人民共和国节约能源法》（1997年11月1日第八届全国人民代表大会常务委员会第二十八次会议通过，2018年10月26日第二次修正）第七十六条 </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859"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2</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仿宋_GB2312" w:cs="宋体"/>
                <w:color w:val="000000"/>
                <w:sz w:val="24"/>
                <w:lang w:eastAsia="zh-CN"/>
              </w:rPr>
            </w:pPr>
            <w:r>
              <w:rPr>
                <w:rFonts w:hint="eastAsia" w:ascii="宋体" w:hAnsi="宋体" w:eastAsia="仿宋_GB2312" w:cs="宋体"/>
                <w:color w:val="000000"/>
                <w:sz w:val="24"/>
              </w:rPr>
              <w:t>违规无偿向本单位职工提供能源或者对能源消费实行包费制</w:t>
            </w:r>
            <w:r>
              <w:rPr>
                <w:rFonts w:hint="eastAsia" w:ascii="宋体" w:hAnsi="宋体" w:eastAsia="仿宋_GB2312" w:cs="宋体"/>
                <w:color w:val="000000"/>
                <w:sz w:val="24"/>
                <w:lang w:eastAsia="zh-CN"/>
              </w:rPr>
              <w:t>。</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r>
              <w:rPr>
                <w:rFonts w:hint="eastAsia" w:ascii="宋体" w:hAnsi="宋体" w:eastAsia="仿宋_GB2312" w:cs="宋体"/>
                <w:color w:val="000000"/>
                <w:sz w:val="24"/>
              </w:rPr>
              <w:t>经节能管理部门责令限期改正，逾期未完成改正，且总能源包费在20万元以下，主动消除或减轻违法行为危害后果的。</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r>
              <w:rPr>
                <w:rFonts w:hint="eastAsia" w:ascii="宋体" w:hAnsi="宋体" w:eastAsia="仿宋_GB2312" w:cs="宋体"/>
                <w:color w:val="000000"/>
                <w:sz w:val="24"/>
              </w:rPr>
              <w:t xml:space="preserve">【法律】《中华人民共和国节约能源法》（1997年11月1日第八届全国人民代表大会常务委员会第二十八次会议通过，2018年10月26日第二次修正）第七十七条 </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859"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3</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2169"/>
              </w:tabs>
              <w:kinsoku/>
              <w:wordWrap/>
              <w:overflowPunct/>
              <w:topLinePunct w:val="0"/>
              <w:autoSpaceDE/>
              <w:autoSpaceDN/>
              <w:bidi w:val="0"/>
              <w:adjustRightInd/>
              <w:snapToGrid/>
              <w:spacing w:line="360" w:lineRule="exact"/>
              <w:textAlignment w:val="auto"/>
              <w:rPr>
                <w:rFonts w:hint="eastAsia" w:ascii="宋体" w:hAnsi="宋体" w:eastAsia="仿宋_GB2312" w:cs="宋体"/>
                <w:color w:val="000000"/>
                <w:sz w:val="24"/>
                <w:lang w:eastAsia="zh-CN"/>
              </w:rPr>
            </w:pPr>
            <w:r>
              <w:rPr>
                <w:rFonts w:hint="eastAsia" w:ascii="宋体" w:hAnsi="宋体" w:eastAsia="仿宋_GB2312" w:cs="宋体"/>
                <w:color w:val="000000"/>
                <w:sz w:val="24"/>
                <w:lang w:eastAsia="zh-CN"/>
              </w:rPr>
              <w:t>粮食收购者未及时向售粮者支付售粮款。</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r>
              <w:rPr>
                <w:rFonts w:hint="eastAsia" w:ascii="宋体" w:hAnsi="宋体" w:eastAsia="仿宋_GB2312" w:cs="宋体"/>
                <w:color w:val="000000"/>
                <w:sz w:val="24"/>
              </w:rPr>
              <w:t>初次违反且涉案金额小、受害人员少，案发后及时付清售粮款，主动消除或减轻违法行为危害后果的。</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仿宋_GB2312" w:cs="宋体"/>
                <w:color w:val="000000"/>
                <w:sz w:val="24"/>
              </w:rPr>
            </w:pPr>
            <w:r>
              <w:rPr>
                <w:rFonts w:hint="eastAsia" w:ascii="宋体" w:hAnsi="宋体" w:eastAsia="仿宋_GB2312" w:cs="宋体"/>
                <w:color w:val="000000"/>
                <w:sz w:val="24"/>
              </w:rPr>
              <w:t>【行政法规】《粮食流通管理条例》（2004年5月26日国务院令第407号公布，2021年1月4日国务院修订，自2021年4月15日起施行）第四十五条</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1095" w:hRule="atLeast"/>
          <w:jc w:val="center"/>
        </w:trPr>
        <w:tc>
          <w:tcPr>
            <w:tcW w:w="14250" w:type="dxa"/>
            <w:gridSpan w:val="7"/>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32"/>
                <w:szCs w:val="32"/>
              </w:rPr>
              <w:t>减轻处罚事项清单</w:t>
            </w:r>
          </w:p>
        </w:tc>
      </w:tr>
      <w:tr>
        <w:tblPrEx>
          <w:tblCellMar>
            <w:top w:w="15" w:type="dxa"/>
            <w:left w:w="15" w:type="dxa"/>
            <w:bottom w:w="15" w:type="dxa"/>
            <w:right w:w="15" w:type="dxa"/>
          </w:tblCellMar>
        </w:tblPrEx>
        <w:trPr>
          <w:trHeight w:val="900" w:hRule="atLeast"/>
          <w:jc w:val="center"/>
        </w:trPr>
        <w:tc>
          <w:tcPr>
            <w:tcW w:w="1008" w:type="dxa"/>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序号</w:t>
            </w:r>
          </w:p>
        </w:tc>
        <w:tc>
          <w:tcPr>
            <w:tcW w:w="2976" w:type="dxa"/>
            <w:gridSpan w:val="2"/>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行政处罚事项</w:t>
            </w:r>
          </w:p>
        </w:tc>
        <w:tc>
          <w:tcPr>
            <w:tcW w:w="1890" w:type="dxa"/>
            <w:tcBorders>
              <w:top w:val="single" w:color="000000" w:sz="12"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sz w:val="28"/>
                <w:szCs w:val="28"/>
              </w:rPr>
              <w:t>实施机关</w:t>
            </w:r>
          </w:p>
        </w:tc>
        <w:tc>
          <w:tcPr>
            <w:tcW w:w="4050" w:type="dxa"/>
            <w:tcBorders>
              <w:top w:val="single" w:color="000000" w:sz="12"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减轻处罚适用条件</w:t>
            </w:r>
          </w:p>
        </w:tc>
        <w:tc>
          <w:tcPr>
            <w:tcW w:w="3132" w:type="dxa"/>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黑体" w:hAnsi="宋体" w:eastAsia="黑体" w:cs="Times New Roman"/>
                <w:color w:val="000000"/>
                <w:sz w:val="28"/>
                <w:szCs w:val="28"/>
              </w:rPr>
            </w:pPr>
            <w:r>
              <w:rPr>
                <w:rFonts w:hint="eastAsia" w:ascii="黑体" w:hAnsi="宋体" w:eastAsia="黑体" w:cs="Times New Roman"/>
                <w:color w:val="000000"/>
                <w:kern w:val="0"/>
                <w:sz w:val="28"/>
                <w:szCs w:val="28"/>
              </w:rPr>
              <w:t>法律依据</w:t>
            </w:r>
          </w:p>
        </w:tc>
        <w:tc>
          <w:tcPr>
            <w:tcW w:w="1194" w:type="dxa"/>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备注</w:t>
            </w:r>
          </w:p>
        </w:tc>
      </w:tr>
      <w:tr>
        <w:tblPrEx>
          <w:tblCellMar>
            <w:top w:w="15" w:type="dxa"/>
            <w:left w:w="15" w:type="dxa"/>
            <w:bottom w:w="15" w:type="dxa"/>
            <w:right w:w="15" w:type="dxa"/>
          </w:tblCellMar>
        </w:tblPrEx>
        <w:trPr>
          <w:trHeight w:val="852"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_GB2312" w:cs="宋体"/>
                <w:color w:val="000000"/>
                <w:sz w:val="24"/>
                <w:lang w:val="en-US" w:eastAsia="zh-CN"/>
              </w:rPr>
            </w:pPr>
            <w:r>
              <w:rPr>
                <w:rFonts w:hint="eastAsia" w:ascii="宋体" w:hAnsi="宋体" w:eastAsia="仿宋_GB2312" w:cs="宋体"/>
                <w:color w:val="000000"/>
                <w:sz w:val="24"/>
                <w:lang w:val="en-US" w:eastAsia="zh-CN"/>
              </w:rPr>
              <w:t>1</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仿宋_GB2312" w:cs="宋体"/>
                <w:color w:val="000000"/>
                <w:sz w:val="24"/>
                <w:lang w:eastAsia="zh-CN"/>
              </w:rPr>
            </w:pPr>
            <w:r>
              <w:rPr>
                <w:rFonts w:hint="eastAsia" w:ascii="宋体" w:hAnsi="宋体" w:eastAsia="仿宋_GB2312" w:cs="宋体"/>
                <w:color w:val="000000"/>
                <w:sz w:val="24"/>
              </w:rPr>
              <w:t>粮食收购者未及时向售粮者支付售粮款</w:t>
            </w:r>
            <w:r>
              <w:rPr>
                <w:rFonts w:hint="eastAsia" w:ascii="宋体" w:hAnsi="宋体" w:eastAsia="仿宋_GB2312" w:cs="宋体"/>
                <w:color w:val="000000"/>
                <w:sz w:val="24"/>
                <w:lang w:eastAsia="zh-CN"/>
              </w:rPr>
              <w:t>。</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r>
              <w:rPr>
                <w:rFonts w:hint="eastAsia" w:ascii="宋体" w:hAnsi="宋体" w:eastAsia="仿宋_GB2312" w:cs="宋体"/>
                <w:color w:val="000000"/>
                <w:sz w:val="24"/>
              </w:rPr>
              <w:t>益阳市发展和改革委员会（市国防动员办公室）</w:t>
            </w: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仿宋_GB2312" w:cs="宋体"/>
                <w:color w:val="000000"/>
                <w:sz w:val="24"/>
                <w:lang w:eastAsia="zh-CN"/>
              </w:rPr>
            </w:pPr>
            <w:r>
              <w:rPr>
                <w:rFonts w:hint="eastAsia" w:ascii="宋体" w:hAnsi="宋体" w:eastAsia="仿宋_GB2312" w:cs="宋体"/>
                <w:color w:val="000000"/>
                <w:sz w:val="24"/>
              </w:rPr>
              <w:t>配合行政机关查处违法行为有立功表现的</w:t>
            </w:r>
            <w:r>
              <w:rPr>
                <w:rFonts w:hint="eastAsia" w:ascii="宋体" w:hAnsi="宋体" w:eastAsia="仿宋_GB2312" w:cs="宋体"/>
                <w:color w:val="000000"/>
                <w:sz w:val="24"/>
                <w:lang w:eastAsia="zh-CN"/>
              </w:rPr>
              <w:t>。</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r>
              <w:rPr>
                <w:rFonts w:hint="eastAsia" w:ascii="宋体" w:hAnsi="宋体" w:eastAsia="仿宋_GB2312" w:cs="宋体"/>
                <w:color w:val="000000"/>
                <w:sz w:val="24"/>
              </w:rPr>
              <w:t>【行政法规】《粮食流通管理条例》（2004年5月26日国务院令第407号公布，2021年1月4日国务院修订，自2021年4月15日起施行）第四十五条</w:t>
            </w: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852"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852"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852"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852"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884" w:hRule="atLeast"/>
          <w:jc w:val="center"/>
        </w:trPr>
        <w:tc>
          <w:tcPr>
            <w:tcW w:w="14250" w:type="dxa"/>
            <w:gridSpan w:val="7"/>
            <w:noWrap w:val="0"/>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color w:val="000000"/>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color w:val="000000"/>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32"/>
                <w:szCs w:val="32"/>
                <w:lang w:eastAsia="zh-CN"/>
              </w:rPr>
              <w:t>不予实施</w:t>
            </w:r>
            <w:r>
              <w:rPr>
                <w:rFonts w:hint="eastAsia" w:ascii="方正小标宋简体" w:hAnsi="方正小标宋简体" w:eastAsia="方正小标宋简体" w:cs="方正小标宋简体"/>
                <w:color w:val="000000"/>
                <w:kern w:val="0"/>
                <w:sz w:val="32"/>
                <w:szCs w:val="32"/>
              </w:rPr>
              <w:t>行政强制</w:t>
            </w:r>
            <w:r>
              <w:rPr>
                <w:rFonts w:hint="eastAsia" w:ascii="方正小标宋简体" w:hAnsi="方正小标宋简体" w:eastAsia="方正小标宋简体" w:cs="方正小标宋简体"/>
                <w:color w:val="000000"/>
                <w:kern w:val="0"/>
                <w:sz w:val="32"/>
                <w:szCs w:val="32"/>
                <w:lang w:eastAsia="zh-CN"/>
              </w:rPr>
              <w:t>措施</w:t>
            </w:r>
            <w:r>
              <w:rPr>
                <w:rFonts w:hint="eastAsia" w:ascii="方正小标宋简体" w:hAnsi="方正小标宋简体" w:eastAsia="方正小标宋简体" w:cs="方正小标宋简体"/>
                <w:color w:val="000000"/>
                <w:kern w:val="0"/>
                <w:sz w:val="32"/>
                <w:szCs w:val="32"/>
              </w:rPr>
              <w:t>事项清单</w:t>
            </w:r>
          </w:p>
        </w:tc>
      </w:tr>
      <w:tr>
        <w:tblPrEx>
          <w:tblCellMar>
            <w:top w:w="15" w:type="dxa"/>
            <w:left w:w="15" w:type="dxa"/>
            <w:bottom w:w="15" w:type="dxa"/>
            <w:right w:w="15" w:type="dxa"/>
          </w:tblCellMar>
        </w:tblPrEx>
        <w:trPr>
          <w:trHeight w:val="840" w:hRule="atLeast"/>
          <w:jc w:val="center"/>
        </w:trPr>
        <w:tc>
          <w:tcPr>
            <w:tcW w:w="1008" w:type="dxa"/>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序号</w:t>
            </w:r>
          </w:p>
        </w:tc>
        <w:tc>
          <w:tcPr>
            <w:tcW w:w="2976" w:type="dxa"/>
            <w:gridSpan w:val="2"/>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行政强制事项</w:t>
            </w:r>
          </w:p>
        </w:tc>
        <w:tc>
          <w:tcPr>
            <w:tcW w:w="1890" w:type="dxa"/>
            <w:tcBorders>
              <w:top w:val="single" w:color="000000" w:sz="12"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sz w:val="28"/>
                <w:szCs w:val="28"/>
              </w:rPr>
              <w:t>实施机关</w:t>
            </w:r>
          </w:p>
        </w:tc>
        <w:tc>
          <w:tcPr>
            <w:tcW w:w="4050" w:type="dxa"/>
            <w:tcBorders>
              <w:top w:val="single" w:color="000000" w:sz="12"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lang w:eastAsia="zh-CN"/>
              </w:rPr>
              <w:t>不予实施</w:t>
            </w:r>
            <w:r>
              <w:rPr>
                <w:rFonts w:hint="eastAsia" w:ascii="黑体" w:hAnsi="宋体" w:eastAsia="黑体" w:cs="Times New Roman"/>
                <w:color w:val="000000"/>
                <w:kern w:val="0"/>
                <w:sz w:val="28"/>
                <w:szCs w:val="28"/>
              </w:rPr>
              <w:t>行政强制</w:t>
            </w:r>
            <w:r>
              <w:rPr>
                <w:rFonts w:hint="eastAsia" w:ascii="黑体" w:hAnsi="宋体" w:eastAsia="黑体" w:cs="Times New Roman"/>
                <w:color w:val="000000"/>
                <w:kern w:val="0"/>
                <w:sz w:val="28"/>
                <w:szCs w:val="28"/>
                <w:lang w:eastAsia="zh-CN"/>
              </w:rPr>
              <w:t>措施</w:t>
            </w:r>
            <w:r>
              <w:rPr>
                <w:rFonts w:hint="eastAsia" w:ascii="黑体" w:hAnsi="宋体" w:eastAsia="黑体" w:cs="Times New Roman"/>
                <w:color w:val="000000"/>
                <w:kern w:val="0"/>
                <w:sz w:val="28"/>
                <w:szCs w:val="28"/>
              </w:rPr>
              <w:t>适用条件</w:t>
            </w:r>
          </w:p>
        </w:tc>
        <w:tc>
          <w:tcPr>
            <w:tcW w:w="3132" w:type="dxa"/>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黑体" w:hAnsi="宋体" w:eastAsia="黑体" w:cs="Times New Roman"/>
                <w:color w:val="000000"/>
                <w:sz w:val="28"/>
                <w:szCs w:val="28"/>
              </w:rPr>
            </w:pPr>
            <w:r>
              <w:rPr>
                <w:rFonts w:hint="eastAsia" w:ascii="黑体" w:hAnsi="宋体" w:eastAsia="黑体" w:cs="Times New Roman"/>
                <w:color w:val="000000"/>
                <w:kern w:val="0"/>
                <w:sz w:val="28"/>
                <w:szCs w:val="28"/>
              </w:rPr>
              <w:t>法律依据</w:t>
            </w:r>
          </w:p>
        </w:tc>
        <w:tc>
          <w:tcPr>
            <w:tcW w:w="1194" w:type="dxa"/>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备注</w:t>
            </w:r>
          </w:p>
        </w:tc>
      </w:tr>
      <w:tr>
        <w:tblPrEx>
          <w:tblCellMar>
            <w:top w:w="15" w:type="dxa"/>
            <w:left w:w="15" w:type="dxa"/>
            <w:bottom w:w="15" w:type="dxa"/>
            <w:right w:w="15" w:type="dxa"/>
          </w:tblCellMar>
        </w:tblPrEx>
        <w:trPr>
          <w:trHeight w:val="741"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_GB2312" w:cs="宋体"/>
                <w:color w:val="000000"/>
                <w:sz w:val="24"/>
                <w:lang w:eastAsia="zh-CN"/>
              </w:rPr>
            </w:pPr>
            <w:r>
              <w:rPr>
                <w:rFonts w:hint="eastAsia" w:ascii="宋体" w:hAnsi="宋体" w:eastAsia="仿宋_GB2312" w:cs="宋体"/>
                <w:color w:val="000000"/>
                <w:sz w:val="24"/>
                <w:lang w:eastAsia="zh-CN"/>
              </w:rPr>
              <w:t>无</w:t>
            </w: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仿宋_GB2312" w:cs="宋体"/>
                <w:color w:val="000000"/>
                <w:sz w:val="24"/>
              </w:rPr>
            </w:pP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仿宋_GB2312" w:cs="宋体"/>
                <w:color w:val="000000"/>
                <w:sz w:val="24"/>
              </w:rPr>
            </w:pP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741"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741"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741"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741"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r>
        <w:tblPrEx>
          <w:tblCellMar>
            <w:top w:w="15" w:type="dxa"/>
            <w:left w:w="15" w:type="dxa"/>
            <w:bottom w:w="15" w:type="dxa"/>
            <w:right w:w="15" w:type="dxa"/>
          </w:tblCellMar>
        </w:tblPrEx>
        <w:trPr>
          <w:trHeight w:val="741" w:hRule="atLeast"/>
          <w:jc w:val="center"/>
        </w:trPr>
        <w:tc>
          <w:tcPr>
            <w:tcW w:w="100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8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40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仿宋_GB2312" w:cs="宋体"/>
                <w:color w:val="000000"/>
                <w:sz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sectPr>
      <w:footerReference r:id="rId3" w:type="default"/>
      <w:footerReference r:id="rId4" w:type="even"/>
      <w:pgSz w:w="16838" w:h="11906" w:orient="landscape"/>
      <w:pgMar w:top="1587" w:right="2098" w:bottom="1474" w:left="1984" w:header="851" w:footer="1417" w:gutter="0"/>
      <w:pgBorders>
        <w:top w:val="none" w:sz="0" w:space="0"/>
        <w:left w:val="none" w:sz="0" w:space="0"/>
        <w:bottom w:val="none" w:sz="0" w:space="0"/>
        <w:right w:val="none" w:sz="0" w:space="0"/>
      </w:pgBorders>
      <w:pgNumType w:fmt="numberInDash" w:start="1"/>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703020204020201"/>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仿宋_GB2312"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仿宋_GB2312" w:cs="Times New Roman"/>
        <w:kern w:val="2"/>
        <w:sz w:val="18"/>
        <w:szCs w:val="24"/>
        <w:lang w:val="en-US" w:eastAsia="zh-CN" w:bidi="ar-SA"/>
      </w:rPr>
    </w:pPr>
    <w:r>
      <w:rPr>
        <w:rFonts w:ascii="Calibri" w:hAnsi="Calibri" w:eastAsia="仿宋_GB2312"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YLShLJAQAAewMAAA4AAABkcnMv&#10;ZTJvRG9jLnhtbK1Ty24TMRTdI/EPlvdkJlGF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NgtKEskBAAB7AwAADgAAAAAA&#10;AAABACAAAAA0AQAAZHJzL2Uyb0RvYy54bWxQSwUGAAAAAAYABgBZAQAAbw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dit="readOnly" w:enforcement="1" w:cryptProviderType="rsaFull" w:cryptAlgorithmClass="hash" w:cryptAlgorithmType="typeAny" w:cryptAlgorithmSid="4" w:cryptSpinCount="0" w:hash="EH9PoWmzcpNxI41gbXQ5RRHTqRc=" w:salt="mYr92QMmnCTYMMAA/rZ/Ig=="/>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DF1A57"/>
    <w:rsid w:val="1EFDE533"/>
    <w:rsid w:val="1F55821B"/>
    <w:rsid w:val="1FFE1819"/>
    <w:rsid w:val="27FD1109"/>
    <w:rsid w:val="2FFD039A"/>
    <w:rsid w:val="31FBFF9B"/>
    <w:rsid w:val="386372A9"/>
    <w:rsid w:val="39BF6D5E"/>
    <w:rsid w:val="3AECA6C9"/>
    <w:rsid w:val="3BFBEE6F"/>
    <w:rsid w:val="3E57856E"/>
    <w:rsid w:val="3E5DFF3D"/>
    <w:rsid w:val="457E4847"/>
    <w:rsid w:val="49FAB761"/>
    <w:rsid w:val="4E7378AD"/>
    <w:rsid w:val="4FFBEE48"/>
    <w:rsid w:val="56F7BCAC"/>
    <w:rsid w:val="5B7682C3"/>
    <w:rsid w:val="5EDF47C0"/>
    <w:rsid w:val="5FDFB6DA"/>
    <w:rsid w:val="5FFFC214"/>
    <w:rsid w:val="6A370DA4"/>
    <w:rsid w:val="6DBDCB29"/>
    <w:rsid w:val="6FF6FFF0"/>
    <w:rsid w:val="6FF7E0FB"/>
    <w:rsid w:val="6FFF52CE"/>
    <w:rsid w:val="71DFD348"/>
    <w:rsid w:val="7387D8B2"/>
    <w:rsid w:val="74BB3CBC"/>
    <w:rsid w:val="77AFB15E"/>
    <w:rsid w:val="77B98A36"/>
    <w:rsid w:val="77FD0873"/>
    <w:rsid w:val="783FBA33"/>
    <w:rsid w:val="7BEF67B2"/>
    <w:rsid w:val="7BF8E0E4"/>
    <w:rsid w:val="7BFFBAC3"/>
    <w:rsid w:val="7EBD8076"/>
    <w:rsid w:val="7EF9FCAB"/>
    <w:rsid w:val="7F95001B"/>
    <w:rsid w:val="7FDA0998"/>
    <w:rsid w:val="7FEE7BF6"/>
    <w:rsid w:val="7FF7FA1C"/>
    <w:rsid w:val="89F76E6A"/>
    <w:rsid w:val="9F7F6E7F"/>
    <w:rsid w:val="9FFA8C79"/>
    <w:rsid w:val="A3AF2C5B"/>
    <w:rsid w:val="AAFF3604"/>
    <w:rsid w:val="B63C896C"/>
    <w:rsid w:val="B63F1E0C"/>
    <w:rsid w:val="BB3CDF51"/>
    <w:rsid w:val="C5DB401E"/>
    <w:rsid w:val="C79D4316"/>
    <w:rsid w:val="C7AFB5B3"/>
    <w:rsid w:val="CA578C0B"/>
    <w:rsid w:val="CA6D3C78"/>
    <w:rsid w:val="D7DF1A57"/>
    <w:rsid w:val="DBB912B2"/>
    <w:rsid w:val="DBFBBF96"/>
    <w:rsid w:val="DD6F2567"/>
    <w:rsid w:val="DDFF6592"/>
    <w:rsid w:val="E97D648F"/>
    <w:rsid w:val="EF7F43D0"/>
    <w:rsid w:val="EFFD917E"/>
    <w:rsid w:val="EFFFAEDA"/>
    <w:rsid w:val="F1ABB699"/>
    <w:rsid w:val="F3596F49"/>
    <w:rsid w:val="F7CE074B"/>
    <w:rsid w:val="F7DFD8A7"/>
    <w:rsid w:val="F7FA07E6"/>
    <w:rsid w:val="F7FD340E"/>
    <w:rsid w:val="FBD9C2E7"/>
    <w:rsid w:val="FBF73373"/>
    <w:rsid w:val="FD74D061"/>
    <w:rsid w:val="FEEFAE16"/>
    <w:rsid w:val="FFAAA314"/>
    <w:rsid w:val="FFF7ED13"/>
    <w:rsid w:val="FFF9C661"/>
    <w:rsid w:val="FFFF1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2808</Words>
  <Characters>2988</Characters>
  <Lines>0</Lines>
  <Paragraphs>0</Paragraphs>
  <TotalTime>51</TotalTime>
  <ScaleCrop>false</ScaleCrop>
  <LinksUpToDate>false</LinksUpToDate>
  <CharactersWithSpaces>2994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2024-08-29T22:47:00Z</dcterms:created>
  <dc:creator>kylin</dc:creator>
  <cp:lastModifiedBy>kylin</cp:lastModifiedBy>
  <cp:lastPrinted>2024-08-30T00:17:00Z</cp:lastPrinted>
  <dcterms:modified xsi:type="dcterms:W3CDTF">2024-10-18T09:12:39Z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