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default" w:ascii="Times New Roman" w:hAnsi="Times New Roman" w:eastAsia="仿宋" w:cs="Times New Roman"/>
          <w:sz w:val="32"/>
          <w:szCs w:val="32"/>
        </w:rPr>
      </w:pPr>
    </w:p>
    <w:p>
      <w:pPr>
        <w:pStyle w:val="2"/>
        <w:rPr>
          <w:rFonts w:hint="default" w:ascii="Times New Roman" w:hAnsi="Times New Roman" w:cs="Times New Roman"/>
        </w:rPr>
      </w:pPr>
    </w:p>
    <w:p>
      <w:pPr>
        <w:pStyle w:val="2"/>
        <w:rPr>
          <w:rFonts w:hint="default" w:ascii="Times New Roman" w:hAnsi="Times New Roman" w:cs="Times New Roman"/>
        </w:rPr>
      </w:pP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益发改价备</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highlight w:val="none"/>
        </w:rPr>
        <w:t>20</w:t>
      </w:r>
      <w:r>
        <w:rPr>
          <w:rFonts w:hint="default" w:ascii="Times New Roman" w:hAnsi="Times New Roman" w:eastAsia="仿宋" w:cs="Times New Roman"/>
          <w:color w:val="000000"/>
          <w:sz w:val="32"/>
          <w:szCs w:val="32"/>
          <w:highlight w:val="none"/>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 w:cs="Times New Roman"/>
          <w:sz w:val="32"/>
          <w:szCs w:val="32"/>
        </w:rPr>
        <w:t>号</w:t>
      </w:r>
    </w:p>
    <w:p>
      <w:pPr>
        <w:spacing w:line="560" w:lineRule="exact"/>
        <w:rPr>
          <w:rFonts w:hint="default" w:ascii="Times New Roman" w:hAnsi="Times New Roman" w:eastAsia="方正小标宋_GBK" w:cs="Times New Roman"/>
          <w:sz w:val="44"/>
          <w:szCs w:val="44"/>
        </w:rPr>
      </w:pPr>
    </w:p>
    <w:p>
      <w:pPr>
        <w:spacing w:line="56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关于调减中铁·银城江月</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#栋商品住房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sz w:val="44"/>
          <w:szCs w:val="44"/>
        </w:rPr>
      </w:pPr>
      <w:r>
        <w:rPr>
          <w:rFonts w:hint="default" w:ascii="Times New Roman" w:hAnsi="Times New Roman" w:eastAsia="方正小标宋简体" w:cs="Times New Roman"/>
          <w:sz w:val="44"/>
          <w:szCs w:val="44"/>
        </w:rPr>
        <w:t>预售价格备案的通知</w:t>
      </w:r>
    </w:p>
    <w:p>
      <w:pPr>
        <w:jc w:val="left"/>
        <w:textAlignment w:val="baseline"/>
        <w:rPr>
          <w:rFonts w:hint="default" w:ascii="Times New Roman" w:hAnsi="Times New Roman" w:eastAsia="方正黑体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湖南中铁益和房地产开发有限公司</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你公司《关于中铁·银城江月申请</w:t>
      </w:r>
      <w:r>
        <w:rPr>
          <w:rFonts w:hint="default" w:ascii="Times New Roman" w:hAnsi="Times New Roman" w:eastAsia="仿宋" w:cs="Times New Roman"/>
          <w:sz w:val="32"/>
          <w:szCs w:val="32"/>
        </w:rPr>
        <w:t>调减</w:t>
      </w:r>
      <w:r>
        <w:rPr>
          <w:rFonts w:hint="default" w:ascii="Times New Roman" w:hAnsi="Times New Roman" w:eastAsia="仿宋" w:cs="Times New Roman"/>
          <w:sz w:val="32"/>
          <w:szCs w:val="32"/>
          <w:lang w:val="en-US" w:eastAsia="zh-CN"/>
        </w:rPr>
        <w:t>5#</w:t>
      </w:r>
      <w:r>
        <w:rPr>
          <w:rFonts w:hint="default" w:ascii="Times New Roman" w:hAnsi="Times New Roman" w:eastAsia="汉仪细圆B5" w:cs="Times New Roman"/>
          <w:sz w:val="32"/>
          <w:szCs w:val="32"/>
          <w:lang w:val="en-US" w:eastAsia="zh-CN"/>
        </w:rPr>
        <w:t>栋</w:t>
      </w:r>
      <w:r>
        <w:rPr>
          <w:rFonts w:hint="default" w:ascii="Times New Roman" w:hAnsi="Times New Roman" w:eastAsia="仿宋" w:cs="Times New Roman"/>
          <w:sz w:val="32"/>
          <w:szCs w:val="32"/>
          <w:lang w:val="en-US" w:eastAsia="zh-CN"/>
        </w:rPr>
        <w:t>商品住房预售价格备案的报告》</w:t>
      </w:r>
      <w:r>
        <w:rPr>
          <w:rFonts w:hint="default" w:ascii="Times New Roman" w:hAnsi="Times New Roman" w:eastAsia="仿宋" w:cs="Times New Roman"/>
          <w:sz w:val="32"/>
          <w:szCs w:val="32"/>
          <w:lang w:eastAsia="zh-CN"/>
        </w:rPr>
        <w:t>及相关资料</w:t>
      </w:r>
      <w:r>
        <w:rPr>
          <w:rFonts w:hint="default" w:ascii="Times New Roman" w:hAnsi="Times New Roman" w:eastAsia="仿宋" w:cs="Times New Roman"/>
          <w:sz w:val="32"/>
          <w:szCs w:val="32"/>
        </w:rPr>
        <w:t>收悉，依据</w:t>
      </w:r>
      <w:r>
        <w:rPr>
          <w:rFonts w:hint="default" w:ascii="Times New Roman" w:hAnsi="Times New Roman" w:eastAsia="仿宋" w:cs="Times New Roman"/>
          <w:sz w:val="32"/>
          <w:szCs w:val="32"/>
          <w:lang w:val="en-US"/>
        </w:rPr>
        <w:t>《商品房销售明码标价规定》（发改价格</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highlight w:val="none"/>
        </w:rPr>
        <w:t>20</w:t>
      </w:r>
      <w:r>
        <w:rPr>
          <w:rFonts w:hint="default" w:ascii="Times New Roman" w:hAnsi="Times New Roman" w:eastAsia="仿宋" w:cs="Times New Roman"/>
          <w:color w:val="000000"/>
          <w:sz w:val="32"/>
          <w:szCs w:val="32"/>
          <w:highlight w:val="none"/>
          <w:lang w:val="en-US" w:eastAsia="zh-CN"/>
        </w:rPr>
        <w:t>11</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lang w:val="en-US"/>
        </w:rPr>
        <w:t>548号）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bCs/>
          <w:sz w:val="32"/>
          <w:szCs w:val="32"/>
          <w:lang w:val="en-US" w:eastAsia="zh-CN"/>
        </w:rPr>
        <w:t>《关于促进市中心城区房地产市场平稳健康发展的若干政策措施》</w:t>
      </w:r>
      <w:r>
        <w:rPr>
          <w:rFonts w:hint="default" w:ascii="Times New Roman" w:hAnsi="Times New Roman" w:eastAsia="仿宋" w:cs="Times New Roman"/>
          <w:bCs/>
          <w:color w:val="000000"/>
          <w:sz w:val="32"/>
          <w:szCs w:val="32"/>
        </w:rPr>
        <w:t>的通知（</w:t>
      </w:r>
      <w:r>
        <w:rPr>
          <w:rFonts w:hint="default" w:ascii="Times New Roman" w:hAnsi="Times New Roman" w:eastAsia="仿宋" w:cs="Times New Roman"/>
          <w:bCs/>
          <w:color w:val="000000"/>
          <w:sz w:val="32"/>
          <w:szCs w:val="32"/>
          <w:lang w:val="en-US" w:eastAsia="zh-CN"/>
        </w:rPr>
        <w:t>益政办发</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highlight w:val="none"/>
        </w:rPr>
        <w:t>20</w:t>
      </w:r>
      <w:r>
        <w:rPr>
          <w:rFonts w:hint="default" w:ascii="Times New Roman" w:hAnsi="Times New Roman" w:eastAsia="仿宋" w:cs="Times New Roman"/>
          <w:color w:val="000000"/>
          <w:sz w:val="32"/>
          <w:szCs w:val="32"/>
          <w:highlight w:val="none"/>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 w:cs="Times New Roman"/>
          <w:bCs/>
          <w:color w:val="000000"/>
          <w:sz w:val="32"/>
          <w:szCs w:val="32"/>
          <w:lang w:val="en-US" w:eastAsia="zh-CN"/>
        </w:rPr>
        <w:t>2号</w:t>
      </w:r>
      <w:r>
        <w:rPr>
          <w:rFonts w:hint="default" w:ascii="Times New Roman" w:hAnsi="Times New Roman" w:eastAsia="仿宋" w:cs="Times New Roman"/>
          <w:bCs/>
          <w:color w:val="000000"/>
          <w:sz w:val="32"/>
          <w:szCs w:val="32"/>
        </w:rPr>
        <w:t>）</w:t>
      </w:r>
      <w:r>
        <w:rPr>
          <w:rFonts w:hint="default" w:ascii="Times New Roman" w:hAnsi="Times New Roman" w:eastAsia="仿宋" w:cs="Times New Roman"/>
          <w:bCs/>
          <w:color w:val="000000"/>
          <w:sz w:val="32"/>
          <w:szCs w:val="32"/>
          <w:lang w:eastAsia="zh-CN"/>
        </w:rPr>
        <w:t>、</w:t>
      </w:r>
      <w:r>
        <w:rPr>
          <w:rFonts w:hint="default" w:ascii="Times New Roman" w:hAnsi="Times New Roman" w:eastAsia="仿宋" w:cs="Times New Roman"/>
          <w:sz w:val="32"/>
          <w:szCs w:val="32"/>
        </w:rPr>
        <w:t>《关于规范我市新建商品住房销售价格行为的通知（试行）》（益发改价费</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highlight w:val="none"/>
        </w:rPr>
        <w:t>20</w:t>
      </w:r>
      <w:r>
        <w:rPr>
          <w:rFonts w:hint="default" w:ascii="Times New Roman" w:hAnsi="Times New Roman" w:eastAsia="仿宋" w:cs="Times New Roman"/>
          <w:color w:val="000000"/>
          <w:sz w:val="32"/>
          <w:szCs w:val="32"/>
          <w:highlight w:val="none"/>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220号）精神，经研究，</w:t>
      </w:r>
      <w:r>
        <w:rPr>
          <w:rFonts w:hint="default" w:ascii="Times New Roman" w:hAnsi="Times New Roman" w:eastAsia="仿宋" w:cs="Times New Roman"/>
          <w:sz w:val="32"/>
          <w:szCs w:val="32"/>
          <w:lang w:val="en-US" w:eastAsia="zh-CN"/>
        </w:rPr>
        <w:t>现就你公司5#</w:t>
      </w:r>
      <w:r>
        <w:rPr>
          <w:rFonts w:hint="default" w:ascii="Times New Roman" w:hAnsi="Times New Roman" w:eastAsia="汉仪细圆B5" w:cs="Times New Roman"/>
          <w:sz w:val="32"/>
          <w:szCs w:val="32"/>
          <w:lang w:val="en-US" w:eastAsia="zh-CN"/>
        </w:rPr>
        <w:t>栋</w:t>
      </w:r>
      <w:r>
        <w:rPr>
          <w:rFonts w:hint="default" w:ascii="Times New Roman" w:hAnsi="Times New Roman" w:eastAsia="仿宋" w:cs="Times New Roman"/>
          <w:sz w:val="32"/>
          <w:szCs w:val="32"/>
          <w:lang w:val="en-US" w:eastAsia="zh-CN"/>
        </w:rPr>
        <w:t>商品住房预售价格</w:t>
      </w:r>
      <w:r>
        <w:rPr>
          <w:rFonts w:hint="default" w:ascii="Times New Roman" w:hAnsi="Times New Roman" w:eastAsia="仿宋" w:cs="Times New Roman"/>
          <w:sz w:val="32"/>
          <w:szCs w:val="32"/>
        </w:rPr>
        <w:t>调减</w:t>
      </w:r>
      <w:r>
        <w:rPr>
          <w:rFonts w:hint="default" w:ascii="Times New Roman" w:hAnsi="Times New Roman" w:eastAsia="仿宋" w:cs="Times New Roman"/>
          <w:sz w:val="32"/>
          <w:szCs w:val="32"/>
          <w:lang w:val="en-US" w:eastAsia="zh-CN"/>
        </w:rPr>
        <w:t>备案及相关事项通知如下：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#栋（住宅</w:t>
      </w:r>
      <w:r>
        <w:rPr>
          <w:rFonts w:hint="default" w:ascii="Times New Roman" w:hAnsi="Times New Roman" w:eastAsia="仿宋" w:cs="Times New Roman"/>
          <w:sz w:val="32"/>
          <w:szCs w:val="32"/>
          <w:lang w:val="en-US" w:eastAsia="zh-CN"/>
        </w:rPr>
        <w:t>120</w:t>
      </w:r>
      <w:r>
        <w:rPr>
          <w:rFonts w:hint="default" w:ascii="Times New Roman" w:hAnsi="Times New Roman" w:eastAsia="仿宋" w:cs="Times New Roman"/>
          <w:sz w:val="32"/>
          <w:szCs w:val="32"/>
        </w:rPr>
        <w:t>套，</w:t>
      </w:r>
      <w:r>
        <w:rPr>
          <w:rFonts w:hint="default" w:ascii="Times New Roman" w:hAnsi="Times New Roman" w:eastAsia="仿宋" w:cs="Times New Roman"/>
          <w:sz w:val="32"/>
          <w:szCs w:val="32"/>
          <w:lang w:eastAsia="zh-CN"/>
        </w:rPr>
        <w:t>预测</w:t>
      </w:r>
      <w:r>
        <w:rPr>
          <w:rFonts w:hint="default" w:ascii="Times New Roman" w:hAnsi="Times New Roman" w:eastAsia="仿宋" w:cs="Times New Roman"/>
          <w:sz w:val="32"/>
          <w:szCs w:val="32"/>
        </w:rPr>
        <w:t>总面积16284.6㎡）预售备案价最高价为</w:t>
      </w:r>
      <w:r>
        <w:rPr>
          <w:rFonts w:hint="default" w:ascii="Times New Roman" w:hAnsi="Times New Roman" w:eastAsia="仿宋" w:cs="Times New Roman"/>
          <w:sz w:val="32"/>
          <w:szCs w:val="32"/>
          <w:lang w:val="en-US" w:eastAsia="zh-CN"/>
        </w:rPr>
        <w:t>6934</w:t>
      </w:r>
      <w:r>
        <w:rPr>
          <w:rFonts w:hint="default" w:ascii="Times New Roman" w:hAnsi="Times New Roman" w:eastAsia="仿宋" w:cs="Times New Roman"/>
          <w:sz w:val="32"/>
          <w:szCs w:val="32"/>
        </w:rPr>
        <w:t>元/㎡，最低预售价格为5</w:t>
      </w:r>
      <w:r>
        <w:rPr>
          <w:rFonts w:hint="default" w:ascii="Times New Roman" w:hAnsi="Times New Roman" w:eastAsia="仿宋" w:cs="Times New Roman"/>
          <w:sz w:val="32"/>
          <w:szCs w:val="32"/>
          <w:lang w:val="en-US" w:eastAsia="zh-CN"/>
        </w:rPr>
        <w:t>233</w:t>
      </w:r>
      <w:r>
        <w:rPr>
          <w:rFonts w:hint="default" w:ascii="Times New Roman" w:hAnsi="Times New Roman" w:eastAsia="仿宋" w:cs="Times New Roman"/>
          <w:sz w:val="32"/>
          <w:szCs w:val="32"/>
        </w:rPr>
        <w:t>元/㎡，预售均价为</w:t>
      </w:r>
      <w:r>
        <w:rPr>
          <w:rFonts w:hint="default" w:ascii="Times New Roman" w:hAnsi="Times New Roman" w:eastAsia="仿宋" w:cs="Times New Roman"/>
          <w:sz w:val="32"/>
          <w:szCs w:val="32"/>
          <w:lang w:val="en-US" w:eastAsia="zh-CN"/>
        </w:rPr>
        <w:t>6347</w:t>
      </w:r>
      <w:r>
        <w:rPr>
          <w:rFonts w:hint="default" w:ascii="Times New Roman" w:hAnsi="Times New Roman" w:eastAsia="仿宋" w:cs="Times New Roman"/>
          <w:sz w:val="32"/>
          <w:szCs w:val="32"/>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sectPr>
          <w:footerReference r:id="rId3" w:type="default"/>
          <w:pgSz w:w="11906" w:h="16838"/>
          <w:pgMar w:top="2098" w:right="1474" w:bottom="1814" w:left="1587" w:header="851" w:footer="992" w:gutter="0"/>
          <w:pgNumType w:fmt="decimal" w:start="2"/>
          <w:cols w:space="720" w:num="1"/>
          <w:docGrid w:type="lines" w:linePitch="312" w:charSpace="0"/>
        </w:sectPr>
      </w:pPr>
      <w:r>
        <w:rPr>
          <w:rFonts w:hint="default" w:ascii="Times New Roman" w:hAnsi="Times New Roman" w:eastAsia="仿宋" w:cs="Times New Roman"/>
          <w:sz w:val="32"/>
          <w:szCs w:val="32"/>
        </w:rPr>
        <w:t>二、本商品房报备价格为市场调节价，定价原则为成本、税</w:t>
      </w:r>
    </w:p>
    <w:p>
      <w:pPr>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金加合理利润，在取得《商品房预售许可证》后销售，备案事项风险由你公司承担。</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三、申报商品住房预售备案的建筑面积以住建局测绘队预测面积为依据，商品住房最终建筑面积以竣工后住建局测绘队实测面积为准。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四、你公司要严格做好“一房一价”公示，标明预售最高价、最低价、均价，做到公示价格与预售备案价格相一致；并公示监督电话12315。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五、实际销售价格不得高于备案的预售价格。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六、普通商品住宅前期物业服务收费属于政府指导价；</w:t>
      </w:r>
      <w:r>
        <w:rPr>
          <w:rFonts w:hint="default" w:ascii="Times New Roman" w:hAnsi="Times New Roman" w:eastAsia="仿宋" w:cs="Times New Roman"/>
          <w:sz w:val="32"/>
          <w:szCs w:val="32"/>
          <w:lang w:val="en-US" w:eastAsia="zh-CN"/>
        </w:rPr>
        <w:t>由建设单位依据《湖南省物业服务收费管理办法》（湘发改价费规</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sz w:val="32"/>
          <w:szCs w:val="32"/>
          <w:lang w:val="en-US" w:eastAsia="zh-CN"/>
        </w:rPr>
        <w:t>2022</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sz w:val="32"/>
          <w:szCs w:val="32"/>
          <w:lang w:val="en-US" w:eastAsia="zh-CN"/>
        </w:rPr>
        <w:t>271号）和《关于重新公布益阳市中心城区物业服务收费指导价格及收费服务等级标准的通知》（益价服</w:t>
      </w:r>
      <w:r>
        <w:rPr>
          <w:rFonts w:hint="default" w:ascii="Times New Roman" w:hAnsi="Times New Roman" w:eastAsia="仿宋_GB2312" w:cs="Times New Roman"/>
          <w:sz w:val="32"/>
          <w:szCs w:val="32"/>
        </w:rPr>
        <w:t>〔</w:t>
      </w:r>
      <w:r>
        <w:rPr>
          <w:rFonts w:hint="default" w:ascii="Times New Roman" w:hAnsi="Times New Roman" w:eastAsia="仿宋" w:cs="Times New Roman"/>
          <w:color w:val="000000"/>
          <w:sz w:val="32"/>
          <w:szCs w:val="32"/>
          <w:highlight w:val="none"/>
        </w:rPr>
        <w:t>20</w:t>
      </w:r>
      <w:r>
        <w:rPr>
          <w:rFonts w:hint="default" w:ascii="Times New Roman" w:hAnsi="Times New Roman" w:eastAsia="仿宋" w:cs="Times New Roman"/>
          <w:color w:val="000000"/>
          <w:sz w:val="32"/>
          <w:szCs w:val="32"/>
          <w:highlight w:val="none"/>
          <w:lang w:val="en-US"/>
        </w:rPr>
        <w:t>12</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lang w:val="en-US" w:eastAsia="zh-CN"/>
        </w:rPr>
        <w:t>124号）文件通过前期物业服务合同约定，建设单位与买受人签订的商品房买卖合同中应载明前期物业服务收费等级、服务内容、收费标准、收费依据、投诉电话12315等内容，在商品房预售时一并公示。具备召开首次业主大会条件的，应成立业主委员会，普通商品房物业服务费由业主委员会与物业服务企业协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八、在商品房销售过程中，要遵守国家、省、市相关法律法规和规定，发现有违反明码标价、价费公示规定和利用其他手段进行价格欺诈等行为，由市场监管部门查处。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十、本文件自发文之日起生效。原备案文件与本文件相抵触的内容同时废止。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 w:cs="Times New Roman"/>
          <w:spacing w:val="-23"/>
          <w:sz w:val="32"/>
          <w:szCs w:val="32"/>
        </w:rPr>
      </w:pP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pacing w:val="-23"/>
          <w:sz w:val="32"/>
          <w:szCs w:val="32"/>
        </w:rPr>
        <w:t>1.</w:t>
      </w:r>
      <w:r>
        <w:rPr>
          <w:rFonts w:hint="default" w:ascii="Times New Roman" w:hAnsi="Times New Roman" w:eastAsia="仿宋" w:cs="Times New Roman"/>
          <w:sz w:val="32"/>
          <w:szCs w:val="32"/>
          <w:lang w:eastAsia="zh-CN"/>
        </w:rPr>
        <w:t>商品住房</w:t>
      </w:r>
      <w:r>
        <w:rPr>
          <w:rFonts w:hint="default" w:ascii="Times New Roman" w:hAnsi="Times New Roman" w:eastAsia="仿宋" w:cs="Times New Roman"/>
          <w:spacing w:val="-23"/>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商品住房销售价格综合信息表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商品住房销售价格分幢标示牌</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4.商品住房销售价格承诺书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rPr>
          <w:rFonts w:hint="default" w:ascii="Times New Roman" w:hAnsi="Times New Roman" w:cs="Times New Roman"/>
        </w:rPr>
      </w:pPr>
      <w:r>
        <w:rPr>
          <w:rFonts w:hint="default" w:ascii="Times New Roman" w:hAnsi="Times New Roman" w:eastAsia="仿宋" w:cs="Times New Roman"/>
          <w:sz w:val="32"/>
          <w:szCs w:val="32"/>
        </w:rPr>
        <w:t>2024年</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日</w:t>
      </w:r>
    </w:p>
    <w:p>
      <w:pPr>
        <w:pStyle w:val="2"/>
        <w:rPr>
          <w:rFonts w:hint="default" w:ascii="Times New Roman" w:hAnsi="Times New Roman" w:cs="Times New Roman"/>
        </w:rPr>
      </w:pPr>
    </w:p>
    <w:p>
      <w:pPr>
        <w:spacing w:line="600" w:lineRule="exact"/>
        <w:jc w:val="center"/>
        <w:rPr>
          <w:rFonts w:hint="default" w:ascii="Times New Roman" w:hAnsi="Times New Roman" w:eastAsia="仿宋" w:cs="Times New Roman"/>
          <w:sz w:val="32"/>
          <w:szCs w:val="32"/>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抄送：市市场监督管理局、市住房和城乡建设局</w:t>
      </w: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商品住房一房一价明细表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申报日期 ：2024年</w:t>
      </w:r>
      <w:r>
        <w:rPr>
          <w:rFonts w:hint="default" w:ascii="Times New Roman" w:hAnsi="Times New Roman" w:eastAsia="仿宋" w:cs="Times New Roman"/>
          <w:sz w:val="30"/>
          <w:szCs w:val="30"/>
          <w:lang w:val="en-US" w:eastAsia="zh-CN"/>
        </w:rPr>
        <w:t>8</w:t>
      </w:r>
      <w:r>
        <w:rPr>
          <w:rFonts w:hint="default" w:ascii="Times New Roman" w:hAnsi="Times New Roman" w:eastAsia="仿宋" w:cs="Times New Roman"/>
          <w:sz w:val="30"/>
          <w:szCs w:val="30"/>
        </w:rPr>
        <w:t>月</w:t>
      </w:r>
      <w:r>
        <w:rPr>
          <w:rFonts w:hint="eastAsia" w:ascii="Times New Roman" w:hAnsi="Times New Roman" w:eastAsia="仿宋" w:cs="Times New Roman"/>
          <w:sz w:val="30"/>
          <w:szCs w:val="30"/>
          <w:lang w:val="en-US" w:eastAsia="zh-CN"/>
        </w:rPr>
        <w:t>8</w:t>
      </w:r>
      <w:r>
        <w:rPr>
          <w:rFonts w:hint="default" w:ascii="Times New Roman" w:hAnsi="Times New Roman" w:eastAsia="仿宋" w:cs="Times New Roman"/>
          <w:sz w:val="30"/>
          <w:szCs w:val="30"/>
        </w:rPr>
        <w:t>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0"/>
          <w:szCs w:val="30"/>
        </w:rPr>
        <w:t>开发企业：湖南中铁益和房地产开发有限公司</w:t>
      </w:r>
    </w:p>
    <w:tbl>
      <w:tblPr>
        <w:tblStyle w:val="5"/>
        <w:tblW w:w="9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8"/>
        <w:gridCol w:w="434"/>
        <w:gridCol w:w="721"/>
        <w:gridCol w:w="904"/>
        <w:gridCol w:w="881"/>
        <w:gridCol w:w="875"/>
        <w:gridCol w:w="895"/>
        <w:gridCol w:w="899"/>
        <w:gridCol w:w="991"/>
        <w:gridCol w:w="952"/>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序号</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栋号</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房号</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户型</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预测建筑面积㎡</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公摊面积㎡</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套内建筑面积㎡</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调整前销售单价（元/㎡）</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调整前房屋总价（元）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调整后销售单价（元/㎡）</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调整后房屋总价（元）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939900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738679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6123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738679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758826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758826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981814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981814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943368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6257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741453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761480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761480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985131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946685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744108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744108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764134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764134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988599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6557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988599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950002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746762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746762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766908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6357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766908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991916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991916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953319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6323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953319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749416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749416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769563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769563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995233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995233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956786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956786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752070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772217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998550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6623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998550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960103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960103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754844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6257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754844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774871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6423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774871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1002017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6106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920602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6106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920602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757499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5233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631309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777645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777645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1005334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1005334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6127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923768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6127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923768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760153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760153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780300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1008651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5575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840543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6148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926934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6148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926934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762807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5269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635652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782954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5408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652421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1011968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5593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843257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6170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930251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6170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6064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731561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6064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731561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785608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785608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6435</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970205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6435</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970205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6191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933417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6191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768236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5307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640236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788262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788262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1018753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5631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848986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980156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770890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770890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791036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6557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1022070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1022070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939749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939749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6127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739161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6127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739161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793691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793691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1025387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1025387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1601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6255</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943066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6255</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1602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6148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741695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6148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741695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1603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796345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796345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1604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1028704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6823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1028704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1701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6276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946233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6276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946233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1702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6170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744349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6170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744349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1703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798999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5519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665812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1704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1032171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5705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860143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993574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993574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781627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781627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801773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801773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1804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1035488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1035488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1901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6318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952565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6318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1902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784281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784281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1903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804428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5557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670396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1904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1038805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5742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865721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6339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955731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6339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955731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786935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6523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786935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807082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5575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672568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1042122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5760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868435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2101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1003676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6657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2102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789709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5455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658091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2103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809736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809736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2104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1045439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5778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871149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2201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1006993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1006993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2202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792364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792364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2203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812390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812390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2204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1048907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5798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874164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2301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1003676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6657</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2302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789709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789709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2303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809736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809736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2304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1045439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1045439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1000208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6523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786935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6523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786935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807082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1042122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996891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996891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6501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784281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6501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784281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804428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1038805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1038805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2601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993574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993574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2602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781627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781627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2603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801773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801773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2604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1035488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6392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963722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2701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1006993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1006993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2702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792364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792364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2703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812390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5612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677032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2704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1048907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6532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984830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2801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6657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1003676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5548 </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 xml:space="preserve">836472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2802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789709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789709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2803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809736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6712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809736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2804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1045439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6934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1045439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2901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6339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955731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6339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955731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2902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751949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6233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751949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111</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2903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807082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112</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2904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6605</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995836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6605</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995836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113</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6318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952565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6318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114</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749416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6212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749416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115</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804428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116</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1038805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1038805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117</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3101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6590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993574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6590</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993574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118</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3102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6479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781627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6479</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781627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3103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三房两厅两卫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24.94</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95.7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801773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6646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801773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120</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3104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四房两厅两卫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150.77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31.16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119.61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6868</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1035488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6868</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1035488</w:t>
            </w:r>
          </w:p>
        </w:tc>
      </w:tr>
    </w:tbl>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益阳市发展和改革委员会监制     价格举报电话：12315</w:t>
      </w:r>
    </w:p>
    <w:p>
      <w:pPr>
        <w:pStyle w:val="2"/>
        <w:rPr>
          <w:rFonts w:hint="default" w:ascii="Times New Roman" w:hAnsi="Times New Roman" w:eastAsia="仿宋" w:cs="Times New Roman"/>
          <w:sz w:val="32"/>
          <w:szCs w:val="40"/>
        </w:rPr>
      </w:pPr>
    </w:p>
    <w:p>
      <w:pPr>
        <w:rPr>
          <w:rFonts w:hint="default" w:ascii="Times New Roman" w:hAnsi="Times New Roman" w:eastAsia="仿宋" w:cs="Times New Roman"/>
          <w:sz w:val="32"/>
          <w:szCs w:val="40"/>
        </w:rPr>
      </w:pPr>
    </w:p>
    <w:p>
      <w:pPr>
        <w:pStyle w:val="2"/>
        <w:rPr>
          <w:rFonts w:hint="default" w:ascii="Times New Roman" w:hAnsi="Times New Roman" w:eastAsia="仿宋" w:cs="Times New Roman"/>
          <w:sz w:val="32"/>
          <w:szCs w:val="40"/>
        </w:rPr>
      </w:pPr>
    </w:p>
    <w:p>
      <w:pPr>
        <w:rPr>
          <w:rFonts w:hint="default" w:ascii="Times New Roman" w:hAnsi="Times New Roman" w:eastAsia="仿宋" w:cs="Times New Roman"/>
          <w:sz w:val="32"/>
          <w:szCs w:val="40"/>
        </w:rPr>
      </w:pPr>
    </w:p>
    <w:p>
      <w:pPr>
        <w:pStyle w:val="2"/>
        <w:rPr>
          <w:rFonts w:hint="default" w:ascii="Times New Roman" w:hAnsi="Times New Roman" w:eastAsia="仿宋" w:cs="Times New Roman"/>
          <w:sz w:val="32"/>
          <w:szCs w:val="40"/>
        </w:rPr>
      </w:pPr>
    </w:p>
    <w:p>
      <w:pPr>
        <w:rPr>
          <w:rFonts w:hint="default" w:ascii="Times New Roman" w:hAnsi="Times New Roman" w:eastAsia="仿宋" w:cs="Times New Roman"/>
          <w:sz w:val="32"/>
          <w:szCs w:val="40"/>
        </w:rPr>
      </w:pPr>
    </w:p>
    <w:p>
      <w:pPr>
        <w:pStyle w:val="2"/>
        <w:rPr>
          <w:rFonts w:hint="default" w:ascii="Times New Roman" w:hAnsi="Times New Roman" w:eastAsia="仿宋" w:cs="Times New Roman"/>
          <w:sz w:val="32"/>
          <w:szCs w:val="40"/>
        </w:rPr>
      </w:pPr>
    </w:p>
    <w:p>
      <w:pPr>
        <w:rPr>
          <w:rFonts w:hint="default" w:ascii="Times New Roman" w:hAnsi="Times New Roman" w:eastAsia="仿宋" w:cs="Times New Roman"/>
          <w:sz w:val="32"/>
          <w:szCs w:val="40"/>
        </w:rPr>
      </w:pPr>
    </w:p>
    <w:p>
      <w:pPr>
        <w:pStyle w:val="2"/>
        <w:rPr>
          <w:rFonts w:hint="default" w:ascii="Times New Roman" w:hAnsi="Times New Roman" w:eastAsia="仿宋" w:cs="Times New Roman"/>
          <w:sz w:val="32"/>
          <w:szCs w:val="40"/>
        </w:rPr>
      </w:pPr>
    </w:p>
    <w:p>
      <w:pPr>
        <w:rPr>
          <w:rFonts w:hint="default" w:ascii="Times New Roman" w:hAnsi="Times New Roman" w:eastAsia="仿宋" w:cs="Times New Roman"/>
          <w:sz w:val="32"/>
          <w:szCs w:val="40"/>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32"/>
          <w:szCs w:val="40"/>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32"/>
          <w:szCs w:val="40"/>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32"/>
          <w:szCs w:val="40"/>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附件2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商品住房销售价格综合信息表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申报日期：2024年</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spacing w:before="6" w:line="440" w:lineRule="exact"/>
        <w:ind w:left="7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企业名称（盖章）：</w:t>
      </w:r>
      <w:r>
        <w:rPr>
          <w:rFonts w:hint="default" w:ascii="Times New Roman" w:hAnsi="Times New Roman" w:eastAsia="仿宋" w:cs="Times New Roman"/>
          <w:spacing w:val="1"/>
          <w:sz w:val="32"/>
          <w:szCs w:val="32"/>
        </w:rPr>
        <w:t>湖南中铁益和房地产开发有限公司</w:t>
      </w:r>
      <w:r>
        <w:rPr>
          <w:rFonts w:hint="default" w:ascii="Times New Roman" w:hAnsi="Times New Roman" w:eastAsia="仿宋" w:cs="Times New Roman"/>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楼盘名称</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中铁·银城江月</w:t>
            </w:r>
            <w:r>
              <w:rPr>
                <w:rFonts w:hint="default" w:ascii="Times New Roman" w:hAnsi="Times New Roman" w:eastAsia="仿宋" w:cs="Times New Roman"/>
                <w:color w:val="000000"/>
                <w:kern w:val="0"/>
                <w:sz w:val="32"/>
                <w:szCs w:val="32"/>
                <w:lang w:val="en-US" w:eastAsia="zh-CN"/>
              </w:rPr>
              <w:t>5</w:t>
            </w:r>
            <w:r>
              <w:rPr>
                <w:rFonts w:hint="default" w:ascii="Times New Roman" w:hAnsi="Times New Roman" w:eastAsia="仿宋" w:cs="Times New Roman"/>
                <w:color w:val="000000"/>
                <w:kern w:val="0"/>
                <w:sz w:val="32"/>
                <w:szCs w:val="32"/>
              </w:rPr>
              <w:t>#栋</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坐落位置</w:t>
            </w:r>
          </w:p>
        </w:tc>
        <w:tc>
          <w:tcPr>
            <w:tcW w:w="30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滨江路北侧、五一路南侧、永丰南路西侧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01" w:type="dxa"/>
            <w:noWrap w:val="0"/>
            <w:vAlign w:val="center"/>
          </w:tcPr>
          <w:p>
            <w:pPr>
              <w:spacing w:line="34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土地性质</w:t>
            </w:r>
          </w:p>
        </w:tc>
        <w:tc>
          <w:tcPr>
            <w:tcW w:w="2790" w:type="dxa"/>
            <w:gridSpan w:val="2"/>
            <w:noWrap w:val="0"/>
            <w:vAlign w:val="center"/>
          </w:tcPr>
          <w:p>
            <w:pPr>
              <w:spacing w:line="34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商服住宅用地</w:t>
            </w:r>
          </w:p>
        </w:tc>
        <w:tc>
          <w:tcPr>
            <w:tcW w:w="1530" w:type="dxa"/>
            <w:noWrap w:val="0"/>
            <w:vAlign w:val="center"/>
          </w:tcPr>
          <w:p>
            <w:pPr>
              <w:spacing w:line="340" w:lineRule="exact"/>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土地使用年限</w:t>
            </w:r>
          </w:p>
        </w:tc>
        <w:tc>
          <w:tcPr>
            <w:tcW w:w="3076" w:type="dxa"/>
            <w:gridSpan w:val="2"/>
            <w:noWrap w:val="0"/>
            <w:vAlign w:val="center"/>
          </w:tcPr>
          <w:p>
            <w:pPr>
              <w:spacing w:line="34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住宅70年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房源数量（可供销售房源）</w:t>
            </w:r>
          </w:p>
        </w:tc>
        <w:tc>
          <w:tcPr>
            <w:tcW w:w="27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120</w:t>
            </w:r>
            <w:r>
              <w:rPr>
                <w:rFonts w:hint="default" w:ascii="Times New Roman" w:hAnsi="Times New Roman" w:eastAsia="仿宋" w:cs="Times New Roman"/>
                <w:kern w:val="0"/>
                <w:sz w:val="32"/>
                <w:szCs w:val="32"/>
              </w:rPr>
              <w:t>套</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房屋交付使用时间</w:t>
            </w:r>
          </w:p>
        </w:tc>
        <w:tc>
          <w:tcPr>
            <w:tcW w:w="30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2025年12月28日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容积率</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2.59</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绿化率</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30%</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车位配比率</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kern w:val="0"/>
                <w:sz w:val="32"/>
                <w:szCs w:val="32"/>
              </w:rPr>
              <w:t>.0个/100㎡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代收代办收费项目及标准（房产交易契税、房屋维修基金、交易手续费、产权登记费）</w:t>
            </w:r>
          </w:p>
        </w:tc>
        <w:tc>
          <w:tcPr>
            <w:tcW w:w="60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房屋交易契税：首套房1.5%，二套2%，三套4%。维修基金：90元/㎡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28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前期物业服务</w:t>
            </w:r>
          </w:p>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拟收费标准</w:t>
            </w:r>
          </w:p>
        </w:tc>
        <w:tc>
          <w:tcPr>
            <w:tcW w:w="60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ascii="Times New Roman" w:hAnsi="Times New Roman" w:eastAsia="仿宋" w:cs="Times New Roman"/>
                <w:kern w:val="0"/>
                <w:sz w:val="28"/>
                <w:szCs w:val="28"/>
              </w:rPr>
            </w:pPr>
            <w:r>
              <w:rPr>
                <w:rFonts w:hint="default" w:ascii="Times New Roman" w:hAnsi="Times New Roman" w:eastAsia="仿宋" w:cs="Times New Roman"/>
                <w:sz w:val="30"/>
                <w:szCs w:val="30"/>
              </w:rPr>
              <w:t>普通商品住宅前期物业服务收费属于政府指导价；</w:t>
            </w:r>
            <w:r>
              <w:rPr>
                <w:rFonts w:hint="default" w:ascii="Times New Roman" w:hAnsi="Times New Roman" w:eastAsia="仿宋" w:cs="Times New Roman"/>
                <w:sz w:val="30"/>
                <w:szCs w:val="30"/>
                <w:lang w:val="en-US" w:eastAsia="zh-CN"/>
              </w:rPr>
              <w:t>由建设单位依据《湖南省物业服务收费管理办法》（湘发改价费规</w:t>
            </w:r>
            <w:r>
              <w:rPr>
                <w:rFonts w:hint="default" w:ascii="Times New Roman" w:hAnsi="Times New Roman" w:eastAsia="仿宋_GB2312" w:cs="Times New Roman"/>
                <w:sz w:val="30"/>
                <w:szCs w:val="30"/>
                <w:lang w:val="en-US" w:eastAsia="zh-CN"/>
              </w:rPr>
              <w:t>〔</w:t>
            </w:r>
            <w:r>
              <w:rPr>
                <w:rFonts w:hint="default" w:ascii="Times New Roman" w:hAnsi="Times New Roman" w:eastAsia="仿宋" w:cs="Times New Roman"/>
                <w:sz w:val="30"/>
                <w:szCs w:val="30"/>
                <w:lang w:val="en-US" w:eastAsia="zh-CN"/>
              </w:rPr>
              <w:t>2022</w:t>
            </w:r>
            <w:r>
              <w:rPr>
                <w:rFonts w:hint="default" w:ascii="Times New Roman" w:hAnsi="Times New Roman" w:eastAsia="仿宋_GB2312" w:cs="Times New Roman"/>
                <w:sz w:val="30"/>
                <w:szCs w:val="30"/>
                <w:lang w:val="en-US" w:eastAsia="zh-CN"/>
              </w:rPr>
              <w:t>〕</w:t>
            </w:r>
            <w:r>
              <w:rPr>
                <w:rFonts w:hint="default" w:ascii="Times New Roman" w:hAnsi="Times New Roman" w:eastAsia="仿宋" w:cs="Times New Roman"/>
                <w:sz w:val="30"/>
                <w:szCs w:val="30"/>
                <w:lang w:val="en-US" w:eastAsia="zh-CN"/>
              </w:rPr>
              <w:t>271号）和《关于重新公布益阳市中心城区物业服务收费指导价格及收费服务等级标准的通知》（益价服</w:t>
            </w:r>
            <w:r>
              <w:rPr>
                <w:rFonts w:hint="default" w:ascii="Times New Roman" w:hAnsi="Times New Roman" w:eastAsia="仿宋_GB2312" w:cs="Times New Roman"/>
                <w:sz w:val="30"/>
                <w:szCs w:val="30"/>
              </w:rPr>
              <w:t>〔</w:t>
            </w:r>
            <w:r>
              <w:rPr>
                <w:rFonts w:hint="default" w:ascii="Times New Roman" w:hAnsi="Times New Roman" w:eastAsia="仿宋" w:cs="Times New Roman"/>
                <w:color w:val="000000"/>
                <w:sz w:val="30"/>
                <w:szCs w:val="30"/>
                <w:highlight w:val="none"/>
              </w:rPr>
              <w:t>20</w:t>
            </w:r>
            <w:r>
              <w:rPr>
                <w:rFonts w:hint="default" w:ascii="Times New Roman" w:hAnsi="Times New Roman" w:eastAsia="仿宋" w:cs="Times New Roman"/>
                <w:color w:val="000000"/>
                <w:sz w:val="30"/>
                <w:szCs w:val="30"/>
                <w:highlight w:val="none"/>
                <w:lang w:val="en-US"/>
              </w:rPr>
              <w:t>12</w:t>
            </w:r>
            <w:r>
              <w:rPr>
                <w:rFonts w:hint="default" w:ascii="Times New Roman" w:hAnsi="Times New Roman" w:eastAsia="仿宋_GB2312" w:cs="Times New Roman"/>
                <w:sz w:val="30"/>
                <w:szCs w:val="30"/>
              </w:rPr>
              <w:t>〕</w:t>
            </w:r>
            <w:r>
              <w:rPr>
                <w:rFonts w:hint="default" w:ascii="Times New Roman" w:hAnsi="Times New Roman" w:eastAsia="仿宋" w:cs="Times New Roman"/>
                <w:sz w:val="30"/>
                <w:szCs w:val="30"/>
                <w:lang w:val="en-US" w:eastAsia="zh-CN"/>
              </w:rPr>
              <w:t>124号）文件通过前期物业服务合同约定，建设单位与买受人签订的商品房买卖合同中应载明前期物业服务收费等级、服务内容、收费标准、收费依据、投诉电话12315等内容，在商品房预售时一并公示。具备召开首次业主大会条件的，应成立业主委员会，普通商品房物业服务费由业主委员会与物业服务企业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896" w:type="dxa"/>
            <w:gridSpan w:val="2"/>
            <w:noWrap w:val="0"/>
            <w:vAlign w:val="center"/>
          </w:tcPr>
          <w:p>
            <w:pPr>
              <w:spacing w:line="34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优惠折扣及</w:t>
            </w:r>
          </w:p>
          <w:p>
            <w:pPr>
              <w:spacing w:line="34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销售条件</w:t>
            </w:r>
          </w:p>
        </w:tc>
        <w:tc>
          <w:tcPr>
            <w:tcW w:w="6001" w:type="dxa"/>
            <w:gridSpan w:val="4"/>
            <w:noWrap w:val="0"/>
            <w:vAlign w:val="center"/>
          </w:tcPr>
          <w:p>
            <w:pPr>
              <w:spacing w:line="34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优惠折扣：房屋销售最低折扣为9折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96" w:type="dxa"/>
            <w:gridSpan w:val="2"/>
            <w:noWrap w:val="0"/>
            <w:vAlign w:val="center"/>
          </w:tcPr>
          <w:p>
            <w:pPr>
              <w:spacing w:line="34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备注</w:t>
            </w:r>
          </w:p>
        </w:tc>
        <w:tc>
          <w:tcPr>
            <w:tcW w:w="6001" w:type="dxa"/>
            <w:gridSpan w:val="4"/>
            <w:noWrap w:val="0"/>
            <w:vAlign w:val="center"/>
          </w:tcPr>
          <w:p>
            <w:pPr>
              <w:spacing w:line="340" w:lineRule="exact"/>
              <w:jc w:val="center"/>
              <w:rPr>
                <w:rFonts w:hint="default" w:ascii="Times New Roman" w:hAnsi="Times New Roman" w:eastAsia="仿宋" w:cs="Times New Roman"/>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益阳市发展和改革委员会监制      价格举报电话：12315</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商品住房销售价格分幢标示牌</w:t>
      </w:r>
    </w:p>
    <w:p>
      <w:pPr>
        <w:keepNext w:val="0"/>
        <w:keepLines w:val="0"/>
        <w:pageBreakBefore w:val="0"/>
        <w:widowControl w:val="0"/>
        <w:kinsoku/>
        <w:wordWrap/>
        <w:overflowPunct/>
        <w:topLinePunct w:val="0"/>
        <w:autoSpaceDE/>
        <w:autoSpaceDN/>
        <w:bidi w:val="0"/>
        <w:adjustRightInd/>
        <w:snapToGrid/>
        <w:spacing w:before="6" w:line="440" w:lineRule="exact"/>
        <w:ind w:left="75"/>
        <w:textAlignment w:val="auto"/>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 xml:space="preserve">企业名称：湖南中铁益和房地产开发有限公司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一、楼盘信息</w:t>
      </w:r>
      <w:r>
        <w:rPr>
          <w:rFonts w:hint="default" w:ascii="Times New Roman" w:hAnsi="Times New Roman" w:eastAsia="仿宋" w:cs="Times New Roman"/>
          <w:sz w:val="32"/>
          <w:szCs w:val="32"/>
          <w:lang w:eastAsia="zh-CN"/>
        </w:rPr>
        <w:t>附件</w:t>
      </w:r>
    </w:p>
    <w:tbl>
      <w:tblPr>
        <w:tblStyle w:val="5"/>
        <w:tblW w:w="9441" w:type="dxa"/>
        <w:jc w:val="center"/>
        <w:tblLayout w:type="fixed"/>
        <w:tblCellMar>
          <w:top w:w="0" w:type="dxa"/>
          <w:left w:w="108" w:type="dxa"/>
          <w:bottom w:w="0" w:type="dxa"/>
          <w:right w:w="108" w:type="dxa"/>
        </w:tblCellMar>
      </w:tblPr>
      <w:tblGrid>
        <w:gridCol w:w="2016"/>
        <w:gridCol w:w="2343"/>
        <w:gridCol w:w="1777"/>
        <w:gridCol w:w="3305"/>
      </w:tblGrid>
      <w:tr>
        <w:tblPrEx>
          <w:tblCellMar>
            <w:top w:w="0" w:type="dxa"/>
            <w:left w:w="108" w:type="dxa"/>
            <w:bottom w:w="0" w:type="dxa"/>
            <w:right w:w="108" w:type="dxa"/>
          </w:tblCellMar>
        </w:tblPrEx>
        <w:trPr>
          <w:trHeight w:val="751" w:hRule="atLeast"/>
          <w:jc w:val="center"/>
        </w:trPr>
        <w:tc>
          <w:tcPr>
            <w:tcW w:w="2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32"/>
                <w:szCs w:val="32"/>
              </w:rPr>
              <w:t>楼盘名称</w:t>
            </w:r>
          </w:p>
        </w:tc>
        <w:tc>
          <w:tcPr>
            <w:tcW w:w="234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中铁·银城江月</w:t>
            </w:r>
            <w:r>
              <w:rPr>
                <w:rFonts w:hint="default" w:ascii="Times New Roman" w:hAnsi="Times New Roman" w:eastAsia="仿宋" w:cs="Times New Roman"/>
                <w:color w:val="000000"/>
                <w:kern w:val="0"/>
                <w:sz w:val="32"/>
                <w:szCs w:val="32"/>
                <w:lang w:val="en-US" w:eastAsia="zh-CN"/>
              </w:rPr>
              <w:t>5</w:t>
            </w:r>
            <w:r>
              <w:rPr>
                <w:rFonts w:hint="default" w:ascii="Times New Roman" w:hAnsi="Times New Roman" w:eastAsia="仿宋" w:cs="Times New Roman"/>
                <w:color w:val="000000"/>
                <w:kern w:val="0"/>
                <w:sz w:val="32"/>
                <w:szCs w:val="32"/>
              </w:rPr>
              <w:t>#栋</w:t>
            </w:r>
          </w:p>
        </w:tc>
        <w:tc>
          <w:tcPr>
            <w:tcW w:w="17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地    址</w:t>
            </w:r>
          </w:p>
        </w:tc>
        <w:tc>
          <w:tcPr>
            <w:tcW w:w="33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滨江路北侧、五一路南侧、永丰南路西侧</w:t>
            </w:r>
          </w:p>
        </w:tc>
      </w:tr>
      <w:tr>
        <w:tblPrEx>
          <w:tblCellMar>
            <w:top w:w="0" w:type="dxa"/>
            <w:left w:w="108" w:type="dxa"/>
            <w:bottom w:w="0" w:type="dxa"/>
            <w:right w:w="108" w:type="dxa"/>
          </w:tblCellMar>
        </w:tblPrEx>
        <w:trPr>
          <w:trHeight w:val="242" w:hRule="atLeast"/>
          <w:jc w:val="center"/>
        </w:trPr>
        <w:tc>
          <w:tcPr>
            <w:tcW w:w="2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both"/>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预售许可证号</w:t>
            </w:r>
          </w:p>
        </w:tc>
        <w:tc>
          <w:tcPr>
            <w:tcW w:w="23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440" w:lineRule="exact"/>
              <w:jc w:val="center"/>
              <w:rPr>
                <w:rFonts w:hint="default" w:ascii="Times New Roman" w:hAnsi="Times New Roman" w:eastAsia="仿宋" w:cs="Times New Roman"/>
                <w:color w:val="000000"/>
                <w:kern w:val="0"/>
                <w:sz w:val="32"/>
                <w:szCs w:val="32"/>
              </w:rPr>
            </w:pPr>
          </w:p>
        </w:tc>
        <w:tc>
          <w:tcPr>
            <w:tcW w:w="17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房源数量</w:t>
            </w:r>
          </w:p>
        </w:tc>
        <w:tc>
          <w:tcPr>
            <w:tcW w:w="33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val="en-US" w:eastAsia="zh-CN"/>
              </w:rPr>
              <w:t>120</w:t>
            </w:r>
            <w:r>
              <w:rPr>
                <w:rFonts w:hint="default" w:ascii="Times New Roman" w:hAnsi="Times New Roman" w:eastAsia="仿宋" w:cs="Times New Roman"/>
                <w:color w:val="000000"/>
                <w:kern w:val="0"/>
                <w:sz w:val="32"/>
                <w:szCs w:val="32"/>
              </w:rPr>
              <w:t>套</w:t>
            </w:r>
          </w:p>
        </w:tc>
      </w:tr>
      <w:tr>
        <w:tblPrEx>
          <w:tblCellMar>
            <w:top w:w="0" w:type="dxa"/>
            <w:left w:w="108" w:type="dxa"/>
            <w:bottom w:w="0" w:type="dxa"/>
            <w:right w:w="108" w:type="dxa"/>
          </w:tblCellMar>
        </w:tblPrEx>
        <w:trPr>
          <w:trHeight w:val="405" w:hRule="atLeast"/>
          <w:jc w:val="center"/>
        </w:trPr>
        <w:tc>
          <w:tcPr>
            <w:tcW w:w="2016"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土地性质</w:t>
            </w:r>
          </w:p>
        </w:tc>
        <w:tc>
          <w:tcPr>
            <w:tcW w:w="2343"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商服住宅用地</w:t>
            </w:r>
          </w:p>
        </w:tc>
        <w:tc>
          <w:tcPr>
            <w:tcW w:w="177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土地使用起止年限</w:t>
            </w:r>
          </w:p>
        </w:tc>
        <w:tc>
          <w:tcPr>
            <w:tcW w:w="330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2020年12月22日2090年12月21日</w:t>
            </w:r>
          </w:p>
        </w:tc>
      </w:tr>
      <w:tr>
        <w:tblPrEx>
          <w:tblCellMar>
            <w:top w:w="0" w:type="dxa"/>
            <w:left w:w="108" w:type="dxa"/>
            <w:bottom w:w="0" w:type="dxa"/>
            <w:right w:w="108" w:type="dxa"/>
          </w:tblCellMar>
        </w:tblPrEx>
        <w:trPr>
          <w:trHeight w:val="455" w:hRule="atLeast"/>
          <w:jc w:val="center"/>
        </w:trPr>
        <w:tc>
          <w:tcPr>
            <w:tcW w:w="201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容 积 率</w:t>
            </w:r>
          </w:p>
        </w:tc>
        <w:tc>
          <w:tcPr>
            <w:tcW w:w="234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2.59</w:t>
            </w:r>
          </w:p>
        </w:tc>
        <w:tc>
          <w:tcPr>
            <w:tcW w:w="1777"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车位配比率</w:t>
            </w:r>
          </w:p>
        </w:tc>
        <w:tc>
          <w:tcPr>
            <w:tcW w:w="330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1.0个/100㎡</w:t>
            </w:r>
          </w:p>
        </w:tc>
      </w:tr>
      <w:tr>
        <w:tblPrEx>
          <w:tblCellMar>
            <w:top w:w="0" w:type="dxa"/>
            <w:left w:w="108" w:type="dxa"/>
            <w:bottom w:w="0" w:type="dxa"/>
            <w:right w:w="108" w:type="dxa"/>
          </w:tblCellMar>
        </w:tblPrEx>
        <w:trPr>
          <w:trHeight w:val="312" w:hRule="atLeast"/>
          <w:jc w:val="center"/>
        </w:trPr>
        <w:tc>
          <w:tcPr>
            <w:tcW w:w="2016"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绿 化 率</w:t>
            </w:r>
          </w:p>
        </w:tc>
        <w:tc>
          <w:tcPr>
            <w:tcW w:w="234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288" w:lineRule="auto"/>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30%</w:t>
            </w:r>
          </w:p>
        </w:tc>
        <w:tc>
          <w:tcPr>
            <w:tcW w:w="1777"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288" w:lineRule="auto"/>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建筑结构</w:t>
            </w:r>
          </w:p>
        </w:tc>
        <w:tc>
          <w:tcPr>
            <w:tcW w:w="3305"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288" w:lineRule="auto"/>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框剪结构</w:t>
            </w:r>
          </w:p>
        </w:tc>
      </w:tr>
      <w:tr>
        <w:tblPrEx>
          <w:tblCellMar>
            <w:top w:w="0" w:type="dxa"/>
            <w:left w:w="108" w:type="dxa"/>
            <w:bottom w:w="0" w:type="dxa"/>
            <w:right w:w="108" w:type="dxa"/>
          </w:tblCellMar>
        </w:tblPrEx>
        <w:trPr>
          <w:trHeight w:val="323" w:hRule="atLeast"/>
          <w:jc w:val="center"/>
        </w:trPr>
        <w:tc>
          <w:tcPr>
            <w:tcW w:w="2016"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层    高</w:t>
            </w:r>
          </w:p>
        </w:tc>
        <w:tc>
          <w:tcPr>
            <w:tcW w:w="2343"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88" w:lineRule="auto"/>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3米</w:t>
            </w:r>
          </w:p>
        </w:tc>
        <w:tc>
          <w:tcPr>
            <w:tcW w:w="1777"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88" w:lineRule="auto"/>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装修状况</w:t>
            </w:r>
          </w:p>
        </w:tc>
        <w:tc>
          <w:tcPr>
            <w:tcW w:w="3305"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88" w:lineRule="auto"/>
              <w:ind w:firstLine="640" w:firstLineChars="200"/>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毛坯</w:t>
            </w:r>
          </w:p>
        </w:tc>
      </w:tr>
    </w:tbl>
    <w:p>
      <w:pPr>
        <w:spacing w:line="4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二、代收代缴项目及标准</w:t>
      </w:r>
      <w:r>
        <w:rPr>
          <w:rFonts w:hint="default" w:ascii="Times New Roman" w:hAnsi="Times New Roman" w:eastAsia="仿宋" w:cs="Times New Roman"/>
          <w:sz w:val="32"/>
          <w:szCs w:val="32"/>
        </w:rPr>
        <w:tab/>
      </w:r>
    </w:p>
    <w:tbl>
      <w:tblPr>
        <w:tblStyle w:val="5"/>
        <w:tblpPr w:leftFromText="180" w:rightFromText="180" w:vertAnchor="text" w:tblpXSpec="center" w:tblpY="1"/>
        <w:tblOverlap w:val="never"/>
        <w:tblW w:w="9468" w:type="dxa"/>
        <w:tblInd w:w="0" w:type="dxa"/>
        <w:tblLayout w:type="fixed"/>
        <w:tblCellMar>
          <w:top w:w="0" w:type="dxa"/>
          <w:left w:w="108" w:type="dxa"/>
          <w:bottom w:w="0" w:type="dxa"/>
          <w:right w:w="108" w:type="dxa"/>
        </w:tblCellMar>
      </w:tblPr>
      <w:tblGrid>
        <w:gridCol w:w="1931"/>
        <w:gridCol w:w="2493"/>
        <w:gridCol w:w="1697"/>
        <w:gridCol w:w="3347"/>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收费项目</w:t>
            </w:r>
          </w:p>
        </w:tc>
        <w:tc>
          <w:tcPr>
            <w:tcW w:w="24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收费标准</w:t>
            </w:r>
          </w:p>
        </w:tc>
        <w:tc>
          <w:tcPr>
            <w:tcW w:w="16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收费单位</w:t>
            </w:r>
          </w:p>
        </w:tc>
        <w:tc>
          <w:tcPr>
            <w:tcW w:w="334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4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房产交易契税</w:t>
            </w:r>
          </w:p>
        </w:tc>
        <w:tc>
          <w:tcPr>
            <w:tcW w:w="24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adjustRightInd w:val="0"/>
              <w:snapToGrid w:val="0"/>
              <w:spacing w:line="340" w:lineRule="exact"/>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首套房1.5%，二套房2%，三套房及以上4%</w:t>
            </w:r>
          </w:p>
        </w:tc>
        <w:tc>
          <w:tcPr>
            <w:tcW w:w="169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40" w:lineRule="exact"/>
              <w:jc w:val="center"/>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市税务局</w:t>
            </w:r>
          </w:p>
        </w:tc>
        <w:tc>
          <w:tcPr>
            <w:tcW w:w="3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40" w:lineRule="exact"/>
              <w:jc w:val="center"/>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eastAsia="zh-CN"/>
              </w:rPr>
              <w:t>中华</w:t>
            </w:r>
            <w:bookmarkStart w:id="0" w:name="_GoBack"/>
            <w:bookmarkEnd w:id="0"/>
            <w:r>
              <w:rPr>
                <w:rFonts w:hint="default" w:ascii="Times New Roman" w:hAnsi="Times New Roman" w:eastAsia="仿宋" w:cs="Times New Roman"/>
                <w:color w:val="000000"/>
                <w:kern w:val="0"/>
                <w:sz w:val="32"/>
                <w:szCs w:val="32"/>
                <w:lang w:val="en-US" w:eastAsia="zh-CN"/>
              </w:rPr>
              <w:t>人民共和国契税暂行条例》</w:t>
            </w:r>
          </w:p>
        </w:tc>
      </w:tr>
      <w:tr>
        <w:tblPrEx>
          <w:tblCellMar>
            <w:top w:w="0" w:type="dxa"/>
            <w:left w:w="108" w:type="dxa"/>
            <w:bottom w:w="0" w:type="dxa"/>
            <w:right w:w="108" w:type="dxa"/>
          </w:tblCellMar>
        </w:tblPrEx>
        <w:trPr>
          <w:trHeight w:val="885" w:hRule="atLeast"/>
        </w:trPr>
        <w:tc>
          <w:tcPr>
            <w:tcW w:w="1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房屋维修基金</w:t>
            </w:r>
          </w:p>
        </w:tc>
        <w:tc>
          <w:tcPr>
            <w:tcW w:w="24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32"/>
                <w:szCs w:val="32"/>
              </w:rPr>
              <w:t>90元/㎡</w:t>
            </w:r>
          </w:p>
        </w:tc>
        <w:tc>
          <w:tcPr>
            <w:tcW w:w="16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市财政服务中心</w:t>
            </w:r>
          </w:p>
        </w:tc>
        <w:tc>
          <w:tcPr>
            <w:tcW w:w="33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both"/>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湘发改价费（2017）264号</w:t>
            </w:r>
          </w:p>
        </w:tc>
      </w:tr>
      <w:tr>
        <w:tblPrEx>
          <w:tblCellMar>
            <w:top w:w="0" w:type="dxa"/>
            <w:left w:w="108" w:type="dxa"/>
            <w:bottom w:w="0" w:type="dxa"/>
            <w:right w:w="108" w:type="dxa"/>
          </w:tblCellMar>
        </w:tblPrEx>
        <w:trPr>
          <w:trHeight w:val="833" w:hRule="atLeast"/>
        </w:trPr>
        <w:tc>
          <w:tcPr>
            <w:tcW w:w="1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产权登记费</w:t>
            </w:r>
          </w:p>
        </w:tc>
        <w:tc>
          <w:tcPr>
            <w:tcW w:w="24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80元/户</w:t>
            </w:r>
          </w:p>
        </w:tc>
        <w:tc>
          <w:tcPr>
            <w:tcW w:w="16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00" w:lineRule="exact"/>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市财政服务中心</w:t>
            </w:r>
          </w:p>
        </w:tc>
        <w:tc>
          <w:tcPr>
            <w:tcW w:w="33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40" w:lineRule="exact"/>
              <w:jc w:val="both"/>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湘发改价费（2017）264号</w:t>
            </w:r>
          </w:p>
        </w:tc>
      </w:tr>
    </w:tbl>
    <w:p>
      <w:pPr>
        <w:spacing w:line="4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三、优惠折扣及享受优惠折扣的条件：依据相关政策，按付款方式不同享受折扣，开盘折扣另计。</w:t>
      </w:r>
    </w:p>
    <w:p>
      <w:pPr>
        <w:spacing w:line="4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四、房价内已包含进户水电表及开户费；燃气开户及管道费；电子监控、</w:t>
      </w:r>
      <w:r>
        <w:rPr>
          <w:rFonts w:hint="default" w:ascii="Times New Roman" w:hAnsi="Times New Roman" w:eastAsia="仿宋" w:cs="Times New Roman"/>
          <w:sz w:val="32"/>
          <w:szCs w:val="32"/>
        </w:rPr>
        <w:t>通信线路等公共配套设施建设费用。（商品房经营者可根据小区具体情况增加公示内容）</w:t>
      </w:r>
    </w:p>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益阳市发展和改革委员会监制     价格举报电话：12315</w:t>
      </w: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销售价格承诺书</w:t>
      </w:r>
    </w:p>
    <w:p>
      <w:pPr>
        <w:spacing w:line="5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本公司就中铁·银城江月</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#栋商品住房价格事项作如下郑重承诺：</w:t>
      </w:r>
    </w:p>
    <w:p>
      <w:pPr>
        <w:adjustRightInd w:val="0"/>
        <w:snapToGrid w:val="0"/>
        <w:spacing w:line="5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00" w:lineRule="exact"/>
        <w:ind w:firstLine="640" w:firstLineChars="20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sz w:val="32"/>
          <w:szCs w:val="32"/>
        </w:rPr>
        <w:t>2. 遵守价格法律法规和政策，积极承担社会责任，维护房地产市场价格秩序。及时化解因价格问题引发的矛盾，配合做好价格投诉的调查、处理。</w:t>
      </w:r>
    </w:p>
    <w:p>
      <w:pPr>
        <w:widowControl/>
        <w:spacing w:line="5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3. 执行商品住房销售明码标价有关规定，实行“一房一价”，在销售场所公示全部可售房源及备案价格。每套住房标示</w:t>
      </w:r>
      <w:r>
        <w:rPr>
          <w:rFonts w:hint="default" w:ascii="Times New Roman" w:hAnsi="Times New Roman" w:eastAsia="仿宋" w:cs="Times New Roman"/>
          <w:kern w:val="0"/>
          <w:sz w:val="32"/>
          <w:szCs w:val="32"/>
        </w:rPr>
        <w:t>价格不高于备案价格。</w:t>
      </w:r>
      <w:r>
        <w:rPr>
          <w:rFonts w:hint="default" w:ascii="Times New Roman" w:hAnsi="Times New Roman" w:eastAsia="仿宋" w:cs="Times New Roman"/>
          <w:sz w:val="32"/>
          <w:szCs w:val="32"/>
        </w:rPr>
        <w:t>不在</w:t>
      </w:r>
      <w:r>
        <w:rPr>
          <w:rFonts w:hint="default" w:ascii="Times New Roman" w:hAnsi="Times New Roman" w:eastAsia="仿宋" w:cs="Times New Roman"/>
          <w:kern w:val="0"/>
          <w:sz w:val="32"/>
          <w:szCs w:val="32"/>
        </w:rPr>
        <w:t>标价之外加价销售商品房或者收取任何未予标明的费用。</w:t>
      </w:r>
    </w:p>
    <w:p>
      <w:pPr>
        <w:widowControl/>
        <w:spacing w:line="5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 不捏造散布涨价信息，不囤积居奇、哄抬价格，不使用虚假或者使人误解的标价方式和标价手段误导购房者。</w:t>
      </w:r>
    </w:p>
    <w:p>
      <w:pPr>
        <w:adjustRightInd w:val="0"/>
        <w:snapToGrid w:val="0"/>
        <w:spacing w:line="5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若违反上述承诺，本公司依法承担相应责任，同意将单位和个人违诺失信信息录入同级公共信用信息系统。</w:t>
      </w:r>
    </w:p>
    <w:p>
      <w:pPr>
        <w:adjustRightInd w:val="0"/>
        <w:snapToGrid w:val="0"/>
        <w:spacing w:line="500" w:lineRule="exact"/>
        <w:ind w:firstLine="3200" w:firstLineChars="1000"/>
        <w:rPr>
          <w:rFonts w:hint="default" w:ascii="Times New Roman" w:hAnsi="Times New Roman" w:eastAsia="仿宋" w:cs="Times New Roman"/>
          <w:sz w:val="32"/>
          <w:szCs w:val="32"/>
        </w:rPr>
      </w:pPr>
    </w:p>
    <w:p>
      <w:pPr>
        <w:adjustRightInd w:val="0"/>
        <w:snapToGrid w:val="0"/>
        <w:spacing w:line="500" w:lineRule="exact"/>
        <w:ind w:firstLine="3200" w:firstLineChars="10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承诺单位（公章）：</w:t>
      </w:r>
    </w:p>
    <w:p>
      <w:pPr>
        <w:adjustRightInd w:val="0"/>
        <w:snapToGrid w:val="0"/>
        <w:spacing w:line="500" w:lineRule="exact"/>
        <w:ind w:firstLine="3200" w:firstLineChars="10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法人或负责人（签名）：</w:t>
      </w:r>
    </w:p>
    <w:p>
      <w:pPr>
        <w:spacing w:line="5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承诺日期：2024年</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日</w:t>
      </w:r>
    </w:p>
    <w:p>
      <w:pPr>
        <w:adjustRightInd w:val="0"/>
        <w:snapToGrid w:val="0"/>
        <w:spacing w:line="500" w:lineRule="exact"/>
        <w:ind w:firstLine="2880" w:firstLineChars="9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经办人：丁鹏 电话：13874833981</w:t>
      </w:r>
    </w:p>
    <w:p>
      <w:pPr>
        <w:adjustRightInd w:val="0"/>
        <w:snapToGrid w:val="0"/>
        <w:spacing w:line="500" w:lineRule="exact"/>
        <w:ind w:firstLine="3200" w:firstLineChars="10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价格举报电话12315</w:t>
      </w:r>
    </w:p>
    <w:p>
      <w:pPr>
        <w:rPr>
          <w:rFonts w:hint="default" w:ascii="Times New Roman" w:hAnsi="Times New Roman" w:cs="Times New Roman"/>
        </w:rPr>
      </w:pPr>
    </w:p>
    <w:sectPr>
      <w:footerReference r:id="rId4" w:type="default"/>
      <w:pgSz w:w="11906" w:h="16838"/>
      <w:pgMar w:top="2098" w:right="1474" w:bottom="181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细圆B5">
    <w:altName w:val="仿宋"/>
    <w:panose1 w:val="00000000000000000000"/>
    <w:charset w:val="00"/>
    <w:family w:val="auto"/>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05"/>
      <w:rPr>
        <w:rFonts w:ascii="宋体" w:hAnsi="宋体" w:cs="宋体"/>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05"/>
      <w:rPr>
        <w:rFonts w:ascii="宋体" w:hAnsi="宋体" w:cs="宋体"/>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NWE4Y2MyOTY0ZjM5N2Y0ZGVlMzE0ODc4NDNkODkifQ=="/>
  </w:docVars>
  <w:rsids>
    <w:rsidRoot w:val="00000000"/>
    <w:rsid w:val="09D81CED"/>
    <w:rsid w:val="0A157CFC"/>
    <w:rsid w:val="0A432ABB"/>
    <w:rsid w:val="0DDE72AA"/>
    <w:rsid w:val="22F97D63"/>
    <w:rsid w:val="261C6242"/>
    <w:rsid w:val="298365D8"/>
    <w:rsid w:val="2BBC72A9"/>
    <w:rsid w:val="38DFC63F"/>
    <w:rsid w:val="3E8E35FE"/>
    <w:rsid w:val="4698326B"/>
    <w:rsid w:val="48482A6F"/>
    <w:rsid w:val="4A4F5C7F"/>
    <w:rsid w:val="4FBF890F"/>
    <w:rsid w:val="4FFA5724"/>
    <w:rsid w:val="5ECFED83"/>
    <w:rsid w:val="761A5782"/>
    <w:rsid w:val="7BCF2C04"/>
    <w:rsid w:val="7BFA2982"/>
    <w:rsid w:val="7D7B61DB"/>
    <w:rsid w:val="7DEF4C97"/>
    <w:rsid w:val="7EC3BDD3"/>
    <w:rsid w:val="AB9F948F"/>
    <w:rsid w:val="ABF7E2F7"/>
    <w:rsid w:val="B3ACF8A6"/>
    <w:rsid w:val="BFF64FF7"/>
    <w:rsid w:val="D4DBB9B2"/>
    <w:rsid w:val="E4BFFE49"/>
    <w:rsid w:val="ED5FACF7"/>
    <w:rsid w:val="FE1F8B67"/>
    <w:rsid w:val="FEEA6C1D"/>
    <w:rsid w:val="FF37F6E3"/>
    <w:rsid w:val="FF73A75C"/>
    <w:rsid w:val="FFDD15BA"/>
    <w:rsid w:val="FFF7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4293</Words>
  <Characters>8457</Characters>
  <Lines>0</Lines>
  <Paragraphs>0</Paragraphs>
  <TotalTime>4</TotalTime>
  <ScaleCrop>false</ScaleCrop>
  <LinksUpToDate>false</LinksUpToDate>
  <CharactersWithSpaces>8578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2024-07-30T10:53:00Z</dcterms:created>
  <dc:creator>Administrator</dc:creator>
  <cp:lastModifiedBy>jxj305</cp:lastModifiedBy>
  <cp:lastPrinted>2024-07-31T10:38:00Z</cp:lastPrinted>
  <dcterms:modified xsi:type="dcterms:W3CDTF">2024-08-15T10:27:07Z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BF63866E720944C2932BE12D303C4519_12</vt:lpwstr>
  </property>
</Properties>
</file>