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exact"/>
        <w:ind w:right="153"/>
        <w:jc w:val="left"/>
        <w:rPr>
          <w:rFonts w:hint="eastAsia" w:eastAsia="仿宋_GB2312"/>
          <w:w w:val="98"/>
          <w:sz w:val="32"/>
        </w:rPr>
      </w:pPr>
      <w:r>
        <w:rPr>
          <w:rFonts w:hint="eastAsia" w:eastAsia="仿宋_GB2312"/>
          <w:w w:val="98"/>
          <w:sz w:val="32"/>
        </w:rPr>
        <w:t>附</w:t>
      </w:r>
      <w:r>
        <w:rPr>
          <w:rFonts w:hint="eastAsia" w:eastAsia="仿宋_GB2312"/>
          <w:w w:val="98"/>
          <w:sz w:val="32"/>
          <w:lang w:eastAsia="zh-CN"/>
        </w:rPr>
        <w:t>表</w:t>
      </w:r>
    </w:p>
    <w:p>
      <w:pPr>
        <w:autoSpaceDE w:val="0"/>
        <w:autoSpaceDN w:val="0"/>
        <w:adjustRightInd w:val="0"/>
        <w:spacing w:before="313" w:beforeLines="100" w:after="313" w:afterLines="100" w:line="500" w:lineRule="exact"/>
        <w:ind w:right="153"/>
        <w:jc w:val="center"/>
        <w:rPr>
          <w:rFonts w:hint="default" w:ascii="Times New Roman" w:hAnsi="Times New Roman" w:eastAsia="方正小标宋_GBK" w:cs="Times New Roman"/>
          <w:bCs/>
          <w:kern w:val="0"/>
          <w:sz w:val="42"/>
          <w:szCs w:val="42"/>
        </w:rPr>
      </w:pPr>
      <w:r>
        <w:rPr>
          <w:rFonts w:hint="default" w:ascii="Times New Roman" w:hAnsi="Times New Roman" w:eastAsia="方正小标宋_GBK" w:cs="Times New Roman"/>
          <w:bCs/>
          <w:kern w:val="0"/>
          <w:sz w:val="42"/>
          <w:szCs w:val="42"/>
        </w:rPr>
        <w:t>湖南省卫生</w:t>
      </w:r>
      <w:r>
        <w:rPr>
          <w:rFonts w:hint="default" w:ascii="Times New Roman" w:hAnsi="Times New Roman" w:eastAsia="方正小标宋_GBK" w:cs="Times New Roman"/>
          <w:bCs/>
          <w:kern w:val="0"/>
          <w:sz w:val="42"/>
          <w:szCs w:val="42"/>
          <w:lang w:eastAsia="zh-CN"/>
        </w:rPr>
        <w:t>健康系统</w:t>
      </w:r>
      <w:r>
        <w:rPr>
          <w:rFonts w:hint="default" w:ascii="Times New Roman" w:hAnsi="Times New Roman" w:eastAsia="方正小标宋_GBK" w:cs="Times New Roman"/>
          <w:bCs/>
          <w:kern w:val="0"/>
          <w:sz w:val="42"/>
          <w:szCs w:val="42"/>
        </w:rPr>
        <w:t>行政事业性收费标准表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693"/>
        <w:gridCol w:w="1080"/>
        <w:gridCol w:w="1853"/>
        <w:gridCol w:w="1277"/>
        <w:gridCol w:w="1213"/>
        <w:gridCol w:w="69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Cs w:val="21"/>
              </w:rPr>
              <w:t>序号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Cs w:val="21"/>
              </w:rPr>
              <w:t>收费项目名称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Cs w:val="21"/>
              </w:rPr>
              <w:t>计费单位</w:t>
            </w:r>
          </w:p>
        </w:tc>
        <w:tc>
          <w:tcPr>
            <w:tcW w:w="1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Cs w:val="21"/>
              </w:rPr>
              <w:t>执收单位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Cs w:val="21"/>
              </w:rPr>
              <w:t>收费标准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Cs w:val="21"/>
              </w:rPr>
              <w:t>（元）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Cs w:val="21"/>
              </w:rPr>
              <w:t>收费对象及范围</w:t>
            </w:r>
          </w:p>
        </w:tc>
        <w:tc>
          <w:tcPr>
            <w:tcW w:w="6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Cs w:val="21"/>
              </w:rPr>
              <w:t>备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4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  <w:lang w:eastAsia="zh-CN"/>
              </w:rPr>
              <w:t>一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医疗事故鉴定费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1、鉴定费实行预先交纳的方法。医患双方共同申请医疗事故技术鉴定的，双方协商预交鉴定费。医患一方申请医疗事故技术鉴定的，由申请方预交。 2、医疗事故技术鉴定程序为：先由市州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级医疗事故技术鉴定机构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鉴定，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申请人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对鉴定结果不服可向省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级医疗事故技术鉴定机构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提出再次鉴定申请，鉴定费分别按市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州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级或省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级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鉴定费标准执行。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3、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经鉴定属于医疗事故的，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由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医疗机构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支付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；不属于医疗事故的，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由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提出鉴定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申请方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承担。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、因卫生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健康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行政主管部门或卫生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健康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部门所属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医疗事故技术鉴定机构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原因需重新鉴定的，重新鉴定时不再收取鉴定费。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医疗事故技术鉴定机构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受理医疗事故技术鉴定申请后，申请人提出停止医疗事故技术鉴定的，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医疗事故技术鉴定机构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尚未召开专家鉴定会的，按70%退还鉴定费；已召开专家鉴定会的，鉴定费不予退还。医患双方共同申请医疗事故技术鉴定的，由医患双方协商分担被扣的鉴定费预交款。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省级鉴定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每例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省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级医疗事故技术鉴定机构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1900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有关单位或个人</w:t>
            </w:r>
          </w:p>
        </w:tc>
        <w:tc>
          <w:tcPr>
            <w:tcW w:w="6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市州级鉴定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每例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设区的市级卫生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健康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部门所属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医疗事故技术鉴定机构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1300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有关单位或个人</w:t>
            </w:r>
          </w:p>
        </w:tc>
        <w:tc>
          <w:tcPr>
            <w:tcW w:w="6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  <w:lang w:eastAsia="zh-CN"/>
              </w:rPr>
              <w:t>二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预防接种服务费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每剂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县级以上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卫生健康部门所属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疾病预防控制机构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及非免疫规划疫苗接种单位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受种者或监护人</w:t>
            </w:r>
          </w:p>
        </w:tc>
        <w:tc>
          <w:tcPr>
            <w:tcW w:w="6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在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  <w:t>接种非免疫规划疫苗时收取。预防接种服务成本包括健康状况询问、知情告知、注射、留观、接种记录、耗材（含一次性注射器或自毁注射器、各种消毒剂、棉球、棉签、纱布等）等费用。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  <w:lang w:eastAsia="zh-CN"/>
              </w:rPr>
              <w:t>三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疫苗储存运输费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每剂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县级卫生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健康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部门所属疾病预防控制机构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9.5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2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接种单位</w:t>
            </w:r>
          </w:p>
        </w:tc>
        <w:tc>
          <w:tcPr>
            <w:tcW w:w="6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cs="Times New Roman"/>
                <w:kern w:val="0"/>
                <w:szCs w:val="21"/>
                <w:lang w:eastAsia="zh-CN"/>
              </w:rPr>
              <w:t>对非免疫规划疫苗收取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  <w:lang w:eastAsia="zh-CN"/>
              </w:rPr>
              <w:t>四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预防接种异常反应鉴定费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每例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省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级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和设区的市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级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卫生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健康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部门所属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技术鉴定机构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3500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有关单位或个人</w:t>
            </w:r>
          </w:p>
        </w:tc>
        <w:tc>
          <w:tcPr>
            <w:tcW w:w="6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经鉴定，属于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免疫规划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疫苗引起的预防接种异常反应的，鉴定费用由同级财政部门按规定统筹安排，申请方凭鉴定费非税收入票据到当地卫生疾病控制部门报销；由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非免疫规划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疫苗引起的预防接种异常反应的，鉴定费用由相关的疫苗生产企业承担；不属于异常反应的，鉴定费用由申请方承担。经省市二级鉴定的，以省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级技术鉴定机构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鉴定结论为依据收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取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鉴定费。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  <w:lang w:eastAsia="zh-CN"/>
              </w:rPr>
              <w:t>五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职业病诊断鉴定费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省级和设区的市级卫生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健康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部门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申请鉴定当事人所在单位</w:t>
            </w:r>
          </w:p>
        </w:tc>
        <w:tc>
          <w:tcPr>
            <w:tcW w:w="6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在对职业病诊断争议（当事人对职业病诊断过程、结论等存在争议）进行技术鉴定时收取。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（一）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职业病诊断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6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尘肺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每例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500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6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职业中毒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每例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700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6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（二）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尘肺病会诊阅片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每张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6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  <w:lang w:eastAsia="zh-CN"/>
              </w:rPr>
              <w:t>六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新型冠状病毒核酸检测费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每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人次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具有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新型冠状病毒核酸检测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资质的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疾病预防控制机构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根据国家和省有关规定制定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自愿检测者</w:t>
            </w:r>
          </w:p>
        </w:tc>
        <w:tc>
          <w:tcPr>
            <w:tcW w:w="6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  <w:lang w:eastAsia="zh-CN"/>
              </w:rPr>
              <w:t>七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Cs w:val="21"/>
              </w:rPr>
              <w:t>考试考务费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由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省级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卫生考试机构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按照（湘改价费〔2018〕613号）的有关规定制定</w:t>
            </w: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（一）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卫生专业技术资格考试费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每人每科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省级卫生专考试机构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考生</w:t>
            </w:r>
          </w:p>
        </w:tc>
        <w:tc>
          <w:tcPr>
            <w:tcW w:w="6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（二）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医师（含中医类）资格考试费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每人每科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省级卫生考试机构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考生</w:t>
            </w:r>
          </w:p>
        </w:tc>
        <w:tc>
          <w:tcPr>
            <w:tcW w:w="6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（三）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护士执业资格考试费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每人每科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省级卫生考试机构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考生</w:t>
            </w:r>
          </w:p>
        </w:tc>
        <w:tc>
          <w:tcPr>
            <w:tcW w:w="6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）</w:t>
            </w:r>
          </w:p>
        </w:tc>
        <w:tc>
          <w:tcPr>
            <w:tcW w:w="1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传统医学师承和确有专长人员申请医师资格考核考试费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每人每科</w:t>
            </w:r>
          </w:p>
        </w:tc>
        <w:tc>
          <w:tcPr>
            <w:tcW w:w="1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省级卫生考试机构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考生</w:t>
            </w:r>
          </w:p>
        </w:tc>
        <w:tc>
          <w:tcPr>
            <w:tcW w:w="6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hZWJhNjE5ZTFlZWQ3NzJjM2JhYjY2MDc0MTk4NWYifQ=="/>
  </w:docVars>
  <w:rsids>
    <w:rsidRoot w:val="78EC78E3"/>
    <w:rsid w:val="78EC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2022-12-01T07:53:00Z</dcterms:created>
  <dc:creator>朱佳妮</dc:creator>
  <cp:lastModifiedBy>朱佳妮</cp:lastModifiedBy>
  <dcterms:modified xsi:type="dcterms:W3CDTF">2022-12-01T07:54:18Z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48B42F5257524F1CA04B57D0C5075C9E</vt:lpwstr>
  </property>
</Properties>
</file>