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both"/>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53</w:t>
      </w:r>
      <w:bookmarkStart w:id="0" w:name="_GoBack"/>
      <w:bookmarkEnd w:id="0"/>
      <w:r>
        <w:rPr>
          <w:rFonts w:hint="eastAsia" w:ascii="仿宋" w:hAnsi="仿宋" w:eastAsia="仿宋" w:cs="仿宋"/>
          <w:sz w:val="32"/>
          <w:szCs w:val="32"/>
        </w:rPr>
        <w:t xml:space="preserve"> 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青春里·鑫悦府12</w:t>
      </w:r>
      <w:r>
        <w:rPr>
          <w:rFonts w:hint="eastAsia" w:ascii="方正小标宋简体" w:hAnsi="方正小标宋简体" w:eastAsia="方正小标宋简体" w:cs="方正小标宋简体"/>
          <w:sz w:val="44"/>
          <w:szCs w:val="44"/>
          <w:lang w:val="en-US" w:eastAsia="zh"/>
        </w:rPr>
        <w:t>#</w:t>
      </w:r>
      <w:r>
        <w:rPr>
          <w:rFonts w:hint="eastAsia" w:ascii="方正小标宋简体" w:hAnsi="方正小标宋简体" w:eastAsia="方正小标宋简体" w:cs="方正小标宋简体"/>
          <w:sz w:val="44"/>
          <w:szCs w:val="44"/>
          <w:lang w:val="en-US" w:eastAsia="zh-CN"/>
        </w:rPr>
        <w:t>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益阳市鑫悦置业有限</w:t>
      </w:r>
      <w:r>
        <w:rPr>
          <w:rFonts w:hint="eastAsia" w:ascii="仿宋" w:hAnsi="仿宋" w:eastAsia="仿宋" w:cs="仿宋"/>
          <w:sz w:val="32"/>
          <w:szCs w:val="32"/>
        </w:rPr>
        <w:t>公司:　　</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val="en-US" w:eastAsia="zh-CN"/>
        </w:rPr>
        <w:t>青春里·鑫悦府</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12#栋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收悉，依据</w:t>
      </w:r>
      <w:r>
        <w:rPr>
          <w:rFonts w:hint="eastAsia" w:ascii="仿宋" w:hAnsi="仿宋" w:eastAsia="仿宋" w:cs="仿宋"/>
          <w:sz w:val="32"/>
          <w:szCs w:val="32"/>
          <w:lang w:eastAsia="zh-CN"/>
        </w:rPr>
        <w:t>《</w:t>
      </w:r>
      <w:r>
        <w:rPr>
          <w:rFonts w:hint="eastAsia" w:ascii="仿宋" w:hAnsi="仿宋" w:eastAsia="仿宋" w:cs="仿宋"/>
          <w:sz w:val="32"/>
          <w:szCs w:val="32"/>
        </w:rPr>
        <w:t>关于促进市中心城区房地产市场平稳健康发展的</w:t>
      </w:r>
      <w:r>
        <w:rPr>
          <w:rFonts w:hint="eastAsia" w:ascii="仿宋" w:hAnsi="仿宋" w:eastAsia="仿宋" w:cs="仿宋"/>
          <w:sz w:val="32"/>
          <w:szCs w:val="32"/>
          <w:lang w:eastAsia="zh-CN"/>
        </w:rPr>
        <w:t>若干</w:t>
      </w:r>
      <w:r>
        <w:rPr>
          <w:rFonts w:hint="eastAsia" w:ascii="仿宋" w:hAnsi="仿宋" w:eastAsia="仿宋" w:cs="仿宋"/>
          <w:sz w:val="32"/>
          <w:szCs w:val="32"/>
        </w:rPr>
        <w:t>政策措施》</w:t>
      </w:r>
      <w:r>
        <w:rPr>
          <w:rFonts w:hint="eastAsia" w:ascii="仿宋" w:hAnsi="仿宋" w:eastAsia="仿宋" w:cs="仿宋"/>
          <w:sz w:val="32"/>
          <w:szCs w:val="32"/>
          <w:lang w:eastAsia="zh-CN"/>
        </w:rPr>
        <w:t>（</w:t>
      </w:r>
      <w:r>
        <w:rPr>
          <w:rFonts w:hint="eastAsia" w:ascii="仿宋" w:hAnsi="仿宋" w:eastAsia="仿宋" w:cs="仿宋"/>
          <w:sz w:val="32"/>
          <w:szCs w:val="32"/>
        </w:rPr>
        <w:t>益政办发〔202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关于规范我市新建商品住房销售价格行为的通知（试行）</w:t>
      </w:r>
      <w:r>
        <w:rPr>
          <w:rFonts w:hint="eastAsia" w:ascii="仿宋" w:hAnsi="仿宋" w:eastAsia="仿宋" w:cs="仿宋"/>
          <w:sz w:val="32"/>
          <w:szCs w:val="32"/>
          <w:lang w:eastAsia="zh-CN"/>
        </w:rPr>
        <w:t>》（</w:t>
      </w:r>
      <w:r>
        <w:rPr>
          <w:rFonts w:hint="eastAsia" w:ascii="仿宋" w:hAnsi="仿宋" w:eastAsia="仿宋" w:cs="仿宋"/>
          <w:sz w:val="32"/>
          <w:szCs w:val="32"/>
        </w:rPr>
        <w:t>益发改价费〔2020〕220号</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仿宋" w:hAnsi="仿宋" w:eastAsia="仿宋" w:cs="仿宋"/>
          <w:sz w:val="32"/>
          <w:szCs w:val="32"/>
          <w:lang w:val="en-US" w:eastAsia="zh-CN"/>
        </w:rPr>
        <w:t>益阳龙洲路与环园路交汇处</w:t>
      </w:r>
      <w:r>
        <w:rPr>
          <w:rFonts w:hint="eastAsia" w:ascii="仿宋" w:hAnsi="仿宋" w:eastAsia="仿宋" w:cs="仿宋"/>
          <w:sz w:val="32"/>
          <w:szCs w:val="32"/>
        </w:rPr>
        <w:t>开发建设的“</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春里·鑫悦府</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12</w:t>
      </w:r>
      <w:r>
        <w:rPr>
          <w:rFonts w:hint="eastAsia" w:ascii="仿宋" w:hAnsi="仿宋" w:eastAsia="仿宋" w:cs="仿宋"/>
          <w:sz w:val="32"/>
          <w:szCs w:val="32"/>
        </w:rPr>
        <w:t xml:space="preserve"> #栋商品住房预售价格备案及相关事项通知如下：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一、12</w:t>
      </w:r>
      <w:r>
        <w:rPr>
          <w:rFonts w:hint="eastAsia" w:ascii="仿宋" w:hAnsi="仿宋" w:eastAsia="仿宋" w:cs="仿宋"/>
          <w:sz w:val="32"/>
          <w:szCs w:val="32"/>
        </w:rPr>
        <w:t xml:space="preserve"> #栋（住宅 </w:t>
      </w:r>
      <w:r>
        <w:rPr>
          <w:rFonts w:hint="eastAsia" w:ascii="仿宋" w:hAnsi="仿宋" w:eastAsia="仿宋" w:cs="仿宋"/>
          <w:sz w:val="32"/>
          <w:szCs w:val="32"/>
          <w:lang w:val="en-US" w:eastAsia="zh-CN"/>
        </w:rPr>
        <w:t>2</w:t>
      </w:r>
      <w:r>
        <w:rPr>
          <w:rFonts w:hint="eastAsia" w:ascii="仿宋" w:hAnsi="仿宋" w:eastAsia="仿宋" w:cs="仿宋"/>
          <w:sz w:val="32"/>
          <w:szCs w:val="32"/>
        </w:rPr>
        <w:t>套，总面积</w:t>
      </w:r>
      <w:r>
        <w:rPr>
          <w:rFonts w:hint="eastAsia" w:ascii="仿宋" w:hAnsi="仿宋" w:eastAsia="仿宋" w:cs="仿宋"/>
          <w:sz w:val="32"/>
          <w:szCs w:val="32"/>
          <w:lang w:val="en-US" w:eastAsia="zh-CN"/>
        </w:rPr>
        <w:t>225.96</w:t>
      </w:r>
      <w:r>
        <w:rPr>
          <w:rFonts w:hint="eastAsia" w:ascii="仿宋" w:hAnsi="仿宋" w:eastAsia="仿宋" w:cs="仿宋"/>
          <w:sz w:val="32"/>
          <w:szCs w:val="32"/>
        </w:rPr>
        <w:t xml:space="preserve">㎡）预售备案价格最高价为 </w:t>
      </w:r>
      <w:r>
        <w:rPr>
          <w:rFonts w:hint="eastAsia" w:ascii="仿宋" w:hAnsi="仿宋" w:eastAsia="仿宋" w:cs="仿宋"/>
          <w:sz w:val="32"/>
          <w:szCs w:val="32"/>
          <w:lang w:val="en-US" w:eastAsia="zh-CN"/>
        </w:rPr>
        <w:t>11500</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9600</w:t>
      </w:r>
      <w:r>
        <w:rPr>
          <w:rFonts w:hint="eastAsia" w:ascii="仿宋" w:hAnsi="仿宋" w:eastAsia="仿宋" w:cs="仿宋"/>
          <w:sz w:val="32"/>
          <w:szCs w:val="32"/>
        </w:rPr>
        <w:t xml:space="preserve"> 元/㎡；预售均价为 </w:t>
      </w:r>
      <w:r>
        <w:rPr>
          <w:rFonts w:hint="eastAsia" w:ascii="仿宋" w:hAnsi="仿宋" w:eastAsia="仿宋" w:cs="仿宋"/>
          <w:sz w:val="32"/>
          <w:szCs w:val="32"/>
          <w:lang w:val="en-US" w:eastAsia="zh-CN"/>
        </w:rPr>
        <w:t>10550</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四、实际销售价格不得高于备案的预售价格；实行优惠折扣销售时，须载明优惠价折扣及享受优惠折扣的条件。</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五、普通商品住宅前期物业服务</w:t>
      </w:r>
      <w:r>
        <w:rPr>
          <w:rFonts w:hint="eastAsia" w:ascii="仿宋" w:hAnsi="仿宋" w:eastAsia="仿宋" w:cs="仿宋"/>
          <w:sz w:val="32"/>
          <w:szCs w:val="32"/>
          <w:lang w:eastAsia="zh-CN"/>
        </w:rPr>
        <w:t>收</w:t>
      </w:r>
      <w:r>
        <w:rPr>
          <w:rFonts w:hint="eastAsia" w:ascii="仿宋" w:hAnsi="仿宋" w:eastAsia="仿宋" w:cs="仿宋"/>
          <w:sz w:val="32"/>
          <w:szCs w:val="32"/>
        </w:rPr>
        <w:t>费</w:t>
      </w:r>
      <w:r>
        <w:rPr>
          <w:rFonts w:hint="eastAsia" w:ascii="仿宋" w:hAnsi="仿宋" w:eastAsia="仿宋" w:cs="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六、备案价格自备案之日起原则上三个月内不予调整，确需调整的需提前10个工作日到我委重新报备。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七、在销售过程中，要遵守国家、省、市相关法律法规和规定，发现有违反明码标价、价费公示规定和利用其他手段进行价格欺诈等行为，</w:t>
      </w:r>
      <w:r>
        <w:rPr>
          <w:rFonts w:hint="eastAsia" w:ascii="仿宋" w:hAnsi="仿宋" w:eastAsia="仿宋" w:cs="仿宋"/>
          <w:sz w:val="32"/>
          <w:szCs w:val="32"/>
          <w:lang w:eastAsia="zh-CN"/>
        </w:rPr>
        <w:t>将由</w:t>
      </w:r>
      <w:r>
        <w:rPr>
          <w:rFonts w:hint="eastAsia" w:ascii="仿宋" w:hAnsi="仿宋" w:eastAsia="仿宋" w:cs="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val="en-US" w:eastAsia="zh-CN"/>
        </w:rPr>
        <w:t>青春里·鑫悦府</w:t>
      </w:r>
      <w:r>
        <w:rPr>
          <w:rFonts w:hint="eastAsia" w:ascii="仿宋" w:hAnsi="仿宋" w:eastAsia="仿宋" w:cs="仿宋"/>
          <w:sz w:val="32"/>
          <w:szCs w:val="32"/>
          <w:lang w:val="en-US" w:eastAsia="zh"/>
        </w:rPr>
        <w:t>12#</w:t>
      </w:r>
      <w:r>
        <w:rPr>
          <w:rFonts w:hint="eastAsia" w:ascii="仿宋" w:hAnsi="仿宋" w:eastAsia="仿宋" w:cs="仿宋"/>
          <w:sz w:val="32"/>
          <w:szCs w:val="32"/>
          <w:lang w:val="en-US" w:eastAsia="zh-CN"/>
        </w:rPr>
        <w:t>栋</w:t>
      </w:r>
      <w:r>
        <w:rPr>
          <w:rFonts w:hint="eastAsia" w:ascii="仿宋" w:hAnsi="仿宋" w:eastAsia="仿宋" w:cs="仿宋"/>
          <w:sz w:val="32"/>
          <w:szCs w:val="32"/>
        </w:rPr>
        <w:t>“一房一价”明细表</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青春里·鑫悦府</w:t>
      </w:r>
      <w:r>
        <w:rPr>
          <w:rFonts w:hint="eastAsia" w:ascii="仿宋" w:hAnsi="仿宋" w:eastAsia="仿宋" w:cs="仿宋"/>
          <w:sz w:val="32"/>
          <w:szCs w:val="32"/>
          <w:lang w:val="en-US" w:eastAsia="zh"/>
        </w:rPr>
        <w:t>12#</w:t>
      </w:r>
      <w:r>
        <w:rPr>
          <w:rFonts w:hint="eastAsia" w:ascii="仿宋" w:hAnsi="仿宋" w:eastAsia="仿宋" w:cs="仿宋"/>
          <w:sz w:val="32"/>
          <w:szCs w:val="32"/>
          <w:lang w:val="en-US" w:eastAsia="zh-CN"/>
        </w:rPr>
        <w:t>栋</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青春里·鑫悦府</w:t>
      </w:r>
      <w:r>
        <w:rPr>
          <w:rFonts w:hint="eastAsia" w:ascii="仿宋" w:hAnsi="仿宋" w:eastAsia="仿宋" w:cs="仿宋"/>
          <w:sz w:val="32"/>
          <w:szCs w:val="32"/>
          <w:lang w:val="en-US" w:eastAsia="zh"/>
        </w:rPr>
        <w:t>12#</w:t>
      </w:r>
      <w:r>
        <w:rPr>
          <w:rFonts w:hint="eastAsia" w:ascii="仿宋" w:hAnsi="仿宋" w:eastAsia="仿宋" w:cs="仿宋"/>
          <w:sz w:val="32"/>
          <w:szCs w:val="32"/>
          <w:lang w:val="en-US" w:eastAsia="zh-CN"/>
        </w:rPr>
        <w:t>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青春里·鑫悦府</w:t>
      </w:r>
      <w:r>
        <w:rPr>
          <w:rFonts w:hint="eastAsia" w:ascii="仿宋" w:hAnsi="仿宋" w:eastAsia="仿宋" w:cs="仿宋"/>
          <w:sz w:val="32"/>
          <w:szCs w:val="32"/>
          <w:lang w:val="en-US" w:eastAsia="zh"/>
        </w:rPr>
        <w:t>12#</w:t>
      </w:r>
      <w:r>
        <w:rPr>
          <w:rFonts w:hint="eastAsia" w:ascii="仿宋" w:hAnsi="仿宋" w:eastAsia="仿宋" w:cs="仿宋"/>
          <w:sz w:val="32"/>
          <w:szCs w:val="32"/>
          <w:lang w:val="en-US" w:eastAsia="zh-CN"/>
        </w:rPr>
        <w:t>栋</w:t>
      </w:r>
      <w:r>
        <w:rPr>
          <w:rFonts w:hint="eastAsia" w:ascii="仿宋" w:hAnsi="仿宋" w:eastAsia="仿宋" w:cs="仿宋"/>
          <w:sz w:val="32"/>
          <w:szCs w:val="32"/>
        </w:rPr>
        <w:t>销售价格承诺书</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益阳市发展和改革委员会</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08</w:t>
      </w:r>
      <w:r>
        <w:rPr>
          <w:rFonts w:hint="eastAsia" w:ascii="仿宋" w:hAnsi="仿宋" w:eastAsia="仿宋" w:cs="仿宋"/>
          <w:sz w:val="32"/>
          <w:szCs w:val="32"/>
        </w:rPr>
        <w:t>月</w:t>
      </w:r>
      <w:r>
        <w:rPr>
          <w:rFonts w:hint="eastAsia" w:ascii="仿宋" w:hAnsi="仿宋" w:eastAsia="仿宋" w:cs="仿宋"/>
          <w:sz w:val="32"/>
          <w:szCs w:val="32"/>
          <w:lang w:val="en-US" w:eastAsia="zh"/>
        </w:rPr>
        <w:t xml:space="preserve"> </w:t>
      </w:r>
      <w:r>
        <w:rPr>
          <w:rFonts w:hint="eastAsia" w:ascii="仿宋" w:hAnsi="仿宋" w:eastAsia="仿宋" w:cs="仿宋"/>
          <w:sz w:val="32"/>
          <w:szCs w:val="32"/>
          <w:lang w:val="en-US" w:eastAsia="zh-CN"/>
        </w:rPr>
        <w:t>9</w:t>
      </w:r>
      <w:r>
        <w:rPr>
          <w:rFonts w:hint="eastAsia" w:ascii="仿宋" w:hAnsi="仿宋" w:eastAsia="仿宋" w:cs="仿宋"/>
          <w:sz w:val="32"/>
          <w:szCs w:val="32"/>
          <w:lang w:val="en-US" w:eastAsia="zh"/>
        </w:rPr>
        <w:t xml:space="preserve"> </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抄送：市住房和城乡建设局、市市场监督管理局。</w:t>
      </w:r>
    </w:p>
    <w:p>
      <w:pPr>
        <w:rPr>
          <w:rFonts w:ascii="仿宋" w:hAnsi="仿宋" w:eastAsia="仿宋" w:cs="仿宋"/>
          <w:sz w:val="32"/>
          <w:szCs w:val="40"/>
        </w:rPr>
      </w:pPr>
      <w:r>
        <w:rPr>
          <w:rFonts w:hint="eastAsia" w:ascii="仿宋" w:hAnsi="仿宋" w:eastAsia="仿宋" w:cs="仿宋"/>
          <w:sz w:val="32"/>
          <w:szCs w:val="40"/>
        </w:rPr>
        <w:br w:type="page"/>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申报日期 ：2022年08月04日</w:t>
      </w:r>
    </w:p>
    <w:p>
      <w:pPr>
        <w:keepNext w:val="0"/>
        <w:keepLines w:val="0"/>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开发企业：益阳市鑫悦置业有限公司 </w:t>
      </w:r>
    </w:p>
    <w:p>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楼盘名称：青春里·鑫悦府   地址：龙洲路与环园路交汇处</w:t>
      </w:r>
    </w:p>
    <w:tbl>
      <w:tblPr>
        <w:tblStyle w:val="6"/>
        <w:tblW w:w="916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520"/>
        <w:gridCol w:w="945"/>
        <w:gridCol w:w="1433"/>
        <w:gridCol w:w="1075"/>
        <w:gridCol w:w="981"/>
        <w:gridCol w:w="981"/>
        <w:gridCol w:w="981"/>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vMerge w:val="restart"/>
            <w:noWrap/>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房号</w:t>
            </w:r>
          </w:p>
        </w:tc>
        <w:tc>
          <w:tcPr>
            <w:tcW w:w="520" w:type="dxa"/>
            <w:vMerge w:val="restart"/>
            <w:noWrap/>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栋</w:t>
            </w:r>
          </w:p>
          <w:p>
            <w:pPr>
              <w:jc w:val="center"/>
              <w:rPr>
                <w:rFonts w:hint="eastAsia" w:ascii="仿宋" w:hAnsi="仿宋" w:eastAsia="仿宋" w:cs="仿宋"/>
                <w:bCs/>
                <w:sz w:val="21"/>
                <w:szCs w:val="21"/>
              </w:rPr>
            </w:pPr>
            <w:r>
              <w:rPr>
                <w:rFonts w:hint="eastAsia" w:ascii="仿宋" w:hAnsi="仿宋" w:eastAsia="仿宋" w:cs="仿宋"/>
                <w:bCs/>
                <w:sz w:val="21"/>
                <w:szCs w:val="21"/>
              </w:rPr>
              <w:t>号</w:t>
            </w:r>
          </w:p>
        </w:tc>
        <w:tc>
          <w:tcPr>
            <w:tcW w:w="945" w:type="dxa"/>
            <w:vMerge w:val="restart"/>
            <w:noWrap/>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单元房号</w:t>
            </w:r>
          </w:p>
        </w:tc>
        <w:tc>
          <w:tcPr>
            <w:tcW w:w="1433" w:type="dxa"/>
            <w:vMerge w:val="restart"/>
            <w:noWrap/>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户</w:t>
            </w:r>
          </w:p>
          <w:p>
            <w:pPr>
              <w:jc w:val="center"/>
              <w:rPr>
                <w:rFonts w:hint="eastAsia" w:ascii="仿宋" w:hAnsi="仿宋" w:eastAsia="仿宋" w:cs="仿宋"/>
                <w:bCs/>
                <w:sz w:val="21"/>
                <w:szCs w:val="21"/>
              </w:rPr>
            </w:pPr>
            <w:r>
              <w:rPr>
                <w:rFonts w:hint="eastAsia" w:ascii="仿宋" w:hAnsi="仿宋" w:eastAsia="仿宋" w:cs="仿宋"/>
                <w:bCs/>
                <w:sz w:val="21"/>
                <w:szCs w:val="21"/>
              </w:rPr>
              <w:t>型</w:t>
            </w:r>
          </w:p>
        </w:tc>
        <w:tc>
          <w:tcPr>
            <w:tcW w:w="1075" w:type="dxa"/>
            <w:vMerge w:val="restart"/>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建筑面积㎡</w:t>
            </w:r>
          </w:p>
        </w:tc>
        <w:tc>
          <w:tcPr>
            <w:tcW w:w="981" w:type="dxa"/>
            <w:vMerge w:val="restart"/>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套内建筑面积㎡</w:t>
            </w:r>
          </w:p>
        </w:tc>
        <w:tc>
          <w:tcPr>
            <w:tcW w:w="981" w:type="dxa"/>
            <w:vMerge w:val="restart"/>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公摊面积㎡</w:t>
            </w:r>
          </w:p>
        </w:tc>
        <w:tc>
          <w:tcPr>
            <w:tcW w:w="981" w:type="dxa"/>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销售单价</w:t>
            </w:r>
          </w:p>
        </w:tc>
        <w:tc>
          <w:tcPr>
            <w:tcW w:w="1349" w:type="dxa"/>
            <w:vMerge w:val="restart"/>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vMerge w:val="continue"/>
          </w:tcPr>
          <w:p>
            <w:pPr>
              <w:jc w:val="center"/>
              <w:rPr>
                <w:rFonts w:hint="eastAsia" w:ascii="仿宋" w:hAnsi="仿宋" w:eastAsia="仿宋" w:cs="仿宋"/>
                <w:bCs/>
                <w:sz w:val="21"/>
                <w:szCs w:val="21"/>
              </w:rPr>
            </w:pPr>
          </w:p>
        </w:tc>
        <w:tc>
          <w:tcPr>
            <w:tcW w:w="520" w:type="dxa"/>
            <w:vMerge w:val="continue"/>
          </w:tcPr>
          <w:p>
            <w:pPr>
              <w:jc w:val="center"/>
              <w:rPr>
                <w:rFonts w:hint="eastAsia" w:ascii="仿宋" w:hAnsi="仿宋" w:eastAsia="仿宋" w:cs="仿宋"/>
                <w:bCs/>
                <w:sz w:val="21"/>
                <w:szCs w:val="21"/>
              </w:rPr>
            </w:pPr>
          </w:p>
        </w:tc>
        <w:tc>
          <w:tcPr>
            <w:tcW w:w="945" w:type="dxa"/>
            <w:vMerge w:val="continue"/>
          </w:tcPr>
          <w:p>
            <w:pPr>
              <w:jc w:val="center"/>
              <w:rPr>
                <w:rFonts w:hint="eastAsia" w:ascii="仿宋" w:hAnsi="仿宋" w:eastAsia="仿宋" w:cs="仿宋"/>
                <w:bCs/>
                <w:sz w:val="21"/>
                <w:szCs w:val="21"/>
              </w:rPr>
            </w:pPr>
          </w:p>
        </w:tc>
        <w:tc>
          <w:tcPr>
            <w:tcW w:w="1433" w:type="dxa"/>
            <w:vMerge w:val="continue"/>
          </w:tcPr>
          <w:p>
            <w:pPr>
              <w:jc w:val="center"/>
              <w:rPr>
                <w:rFonts w:hint="eastAsia" w:ascii="仿宋" w:hAnsi="仿宋" w:eastAsia="仿宋" w:cs="仿宋"/>
                <w:bCs/>
                <w:sz w:val="21"/>
                <w:szCs w:val="21"/>
              </w:rPr>
            </w:pPr>
          </w:p>
        </w:tc>
        <w:tc>
          <w:tcPr>
            <w:tcW w:w="1075" w:type="dxa"/>
            <w:vMerge w:val="continue"/>
          </w:tcPr>
          <w:p>
            <w:pPr>
              <w:jc w:val="center"/>
              <w:rPr>
                <w:rFonts w:hint="eastAsia" w:ascii="仿宋" w:hAnsi="仿宋" w:eastAsia="仿宋" w:cs="仿宋"/>
                <w:bCs/>
                <w:sz w:val="21"/>
                <w:szCs w:val="21"/>
              </w:rPr>
            </w:pPr>
          </w:p>
        </w:tc>
        <w:tc>
          <w:tcPr>
            <w:tcW w:w="981" w:type="dxa"/>
            <w:vMerge w:val="continue"/>
          </w:tcPr>
          <w:p>
            <w:pPr>
              <w:jc w:val="center"/>
              <w:rPr>
                <w:rFonts w:hint="eastAsia" w:ascii="仿宋" w:hAnsi="仿宋" w:eastAsia="仿宋" w:cs="仿宋"/>
                <w:bCs/>
                <w:sz w:val="21"/>
                <w:szCs w:val="21"/>
              </w:rPr>
            </w:pPr>
          </w:p>
        </w:tc>
        <w:tc>
          <w:tcPr>
            <w:tcW w:w="981" w:type="dxa"/>
            <w:vMerge w:val="continue"/>
          </w:tcPr>
          <w:p>
            <w:pPr>
              <w:jc w:val="center"/>
              <w:rPr>
                <w:rFonts w:hint="eastAsia" w:ascii="仿宋" w:hAnsi="仿宋" w:eastAsia="仿宋" w:cs="仿宋"/>
                <w:bCs/>
                <w:sz w:val="21"/>
                <w:szCs w:val="21"/>
              </w:rPr>
            </w:pPr>
          </w:p>
        </w:tc>
        <w:tc>
          <w:tcPr>
            <w:tcW w:w="981" w:type="dxa"/>
          </w:tcPr>
          <w:p>
            <w:pPr>
              <w:jc w:val="center"/>
              <w:rPr>
                <w:rFonts w:hint="eastAsia" w:ascii="仿宋" w:hAnsi="仿宋" w:eastAsia="仿宋" w:cs="仿宋"/>
                <w:bCs/>
                <w:sz w:val="21"/>
                <w:szCs w:val="21"/>
              </w:rPr>
            </w:pPr>
            <w:r>
              <w:rPr>
                <w:rFonts w:hint="eastAsia" w:ascii="仿宋" w:hAnsi="仿宋" w:eastAsia="仿宋" w:cs="仿宋"/>
                <w:bCs/>
                <w:sz w:val="21"/>
                <w:szCs w:val="21"/>
              </w:rPr>
              <w:t>（元/㎡）</w:t>
            </w:r>
          </w:p>
        </w:tc>
        <w:tc>
          <w:tcPr>
            <w:tcW w:w="1349" w:type="dxa"/>
            <w:vMerge w:val="continue"/>
          </w:tcPr>
          <w:p>
            <w:pPr>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101</w:t>
            </w:r>
          </w:p>
        </w:tc>
        <w:tc>
          <w:tcPr>
            <w:tcW w:w="520"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945" w:type="dxa"/>
            <w:noWrap/>
          </w:tcPr>
          <w:p>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1433" w:type="dxa"/>
            <w:noWrap/>
          </w:tcPr>
          <w:p>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四室两厅</w:t>
            </w:r>
          </w:p>
        </w:tc>
        <w:tc>
          <w:tcPr>
            <w:tcW w:w="1075"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122.29</w:t>
            </w:r>
          </w:p>
        </w:tc>
        <w:tc>
          <w:tcPr>
            <w:tcW w:w="981"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118.78</w:t>
            </w:r>
          </w:p>
        </w:tc>
        <w:tc>
          <w:tcPr>
            <w:tcW w:w="981"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3.51</w:t>
            </w:r>
          </w:p>
        </w:tc>
        <w:tc>
          <w:tcPr>
            <w:tcW w:w="981"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11500</w:t>
            </w:r>
          </w:p>
        </w:tc>
        <w:tc>
          <w:tcPr>
            <w:tcW w:w="1349"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1406335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102</w:t>
            </w:r>
          </w:p>
        </w:tc>
        <w:tc>
          <w:tcPr>
            <w:tcW w:w="520"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12</w:t>
            </w:r>
          </w:p>
        </w:tc>
        <w:tc>
          <w:tcPr>
            <w:tcW w:w="945" w:type="dxa"/>
            <w:noWrap/>
          </w:tcPr>
          <w:p>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1433" w:type="dxa"/>
            <w:noWrap/>
          </w:tcPr>
          <w:p>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三室两厅</w:t>
            </w:r>
          </w:p>
        </w:tc>
        <w:tc>
          <w:tcPr>
            <w:tcW w:w="1075"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103.67</w:t>
            </w:r>
          </w:p>
        </w:tc>
        <w:tc>
          <w:tcPr>
            <w:tcW w:w="981"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100.69</w:t>
            </w:r>
          </w:p>
        </w:tc>
        <w:tc>
          <w:tcPr>
            <w:tcW w:w="981"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2.98</w:t>
            </w:r>
          </w:p>
        </w:tc>
        <w:tc>
          <w:tcPr>
            <w:tcW w:w="981"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9</w:t>
            </w:r>
            <w:r>
              <w:rPr>
                <w:rFonts w:hint="eastAsia" w:ascii="仿宋" w:hAnsi="仿宋" w:eastAsia="仿宋" w:cs="仿宋"/>
                <w:bCs/>
                <w:sz w:val="21"/>
                <w:szCs w:val="21"/>
                <w:lang w:val="en-US" w:eastAsia="zh"/>
              </w:rPr>
              <w:t>6</w:t>
            </w:r>
            <w:r>
              <w:rPr>
                <w:rFonts w:hint="eastAsia" w:ascii="仿宋" w:hAnsi="仿宋" w:eastAsia="仿宋" w:cs="仿宋"/>
                <w:bCs/>
                <w:sz w:val="21"/>
                <w:szCs w:val="21"/>
                <w:lang w:val="en-US" w:eastAsia="zh-CN"/>
              </w:rPr>
              <w:t>00</w:t>
            </w:r>
          </w:p>
        </w:tc>
        <w:tc>
          <w:tcPr>
            <w:tcW w:w="1349" w:type="dxa"/>
            <w:noWrap/>
          </w:tcPr>
          <w:p>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995232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pPr>
              <w:jc w:val="center"/>
              <w:rPr>
                <w:rFonts w:hint="eastAsia" w:ascii="仿宋" w:hAnsi="仿宋" w:eastAsia="仿宋" w:cs="仿宋"/>
                <w:bCs/>
                <w:sz w:val="21"/>
                <w:szCs w:val="21"/>
              </w:rPr>
            </w:pPr>
          </w:p>
        </w:tc>
        <w:tc>
          <w:tcPr>
            <w:tcW w:w="520" w:type="dxa"/>
            <w:noWrap/>
          </w:tcPr>
          <w:p>
            <w:pPr>
              <w:jc w:val="center"/>
              <w:rPr>
                <w:rFonts w:hint="eastAsia" w:ascii="仿宋" w:hAnsi="仿宋" w:eastAsia="仿宋" w:cs="仿宋"/>
                <w:bCs/>
                <w:sz w:val="21"/>
                <w:szCs w:val="21"/>
              </w:rPr>
            </w:pPr>
          </w:p>
        </w:tc>
        <w:tc>
          <w:tcPr>
            <w:tcW w:w="945" w:type="dxa"/>
            <w:noWrap/>
          </w:tcPr>
          <w:p>
            <w:pPr>
              <w:jc w:val="center"/>
              <w:rPr>
                <w:rFonts w:hint="eastAsia" w:ascii="仿宋" w:hAnsi="仿宋" w:eastAsia="仿宋" w:cs="仿宋"/>
                <w:bCs/>
                <w:sz w:val="21"/>
                <w:szCs w:val="21"/>
              </w:rPr>
            </w:pPr>
          </w:p>
        </w:tc>
        <w:tc>
          <w:tcPr>
            <w:tcW w:w="1433" w:type="dxa"/>
            <w:noWrap/>
          </w:tcPr>
          <w:p>
            <w:pPr>
              <w:jc w:val="center"/>
              <w:rPr>
                <w:rFonts w:hint="eastAsia" w:ascii="仿宋" w:hAnsi="仿宋" w:eastAsia="仿宋" w:cs="仿宋"/>
                <w:bCs/>
                <w:sz w:val="21"/>
                <w:szCs w:val="21"/>
              </w:rPr>
            </w:pPr>
          </w:p>
        </w:tc>
        <w:tc>
          <w:tcPr>
            <w:tcW w:w="1075" w:type="dxa"/>
            <w:noWrap/>
          </w:tcPr>
          <w:p>
            <w:pPr>
              <w:jc w:val="center"/>
              <w:rPr>
                <w:rFonts w:hint="eastAsia" w:ascii="仿宋" w:hAnsi="仿宋" w:eastAsia="仿宋" w:cs="仿宋"/>
                <w:bCs/>
                <w:sz w:val="21"/>
                <w:szCs w:val="21"/>
              </w:rPr>
            </w:pPr>
          </w:p>
        </w:tc>
        <w:tc>
          <w:tcPr>
            <w:tcW w:w="981" w:type="dxa"/>
            <w:noWrap/>
          </w:tcPr>
          <w:p>
            <w:pPr>
              <w:jc w:val="center"/>
              <w:rPr>
                <w:rFonts w:hint="eastAsia" w:ascii="仿宋" w:hAnsi="仿宋" w:eastAsia="仿宋" w:cs="仿宋"/>
                <w:bCs/>
                <w:sz w:val="21"/>
                <w:szCs w:val="21"/>
              </w:rPr>
            </w:pPr>
          </w:p>
        </w:tc>
        <w:tc>
          <w:tcPr>
            <w:tcW w:w="981" w:type="dxa"/>
            <w:noWrap/>
          </w:tcPr>
          <w:p>
            <w:pPr>
              <w:jc w:val="center"/>
              <w:rPr>
                <w:rFonts w:hint="eastAsia" w:ascii="仿宋" w:hAnsi="仿宋" w:eastAsia="仿宋" w:cs="仿宋"/>
                <w:bCs/>
                <w:sz w:val="21"/>
                <w:szCs w:val="21"/>
              </w:rPr>
            </w:pPr>
          </w:p>
        </w:tc>
        <w:tc>
          <w:tcPr>
            <w:tcW w:w="981" w:type="dxa"/>
            <w:noWrap/>
          </w:tcPr>
          <w:p>
            <w:pPr>
              <w:jc w:val="center"/>
              <w:rPr>
                <w:rFonts w:hint="eastAsia" w:ascii="仿宋" w:hAnsi="仿宋" w:eastAsia="仿宋" w:cs="仿宋"/>
                <w:bCs/>
                <w:sz w:val="21"/>
                <w:szCs w:val="21"/>
              </w:rPr>
            </w:pPr>
          </w:p>
        </w:tc>
        <w:tc>
          <w:tcPr>
            <w:tcW w:w="1349" w:type="dxa"/>
            <w:noWrap/>
          </w:tcPr>
          <w:p>
            <w:pPr>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 w:type="dxa"/>
            <w:noWrap/>
          </w:tcPr>
          <w:p/>
        </w:tc>
        <w:tc>
          <w:tcPr>
            <w:tcW w:w="520" w:type="dxa"/>
            <w:noWrap/>
          </w:tcPr>
          <w:p/>
        </w:tc>
        <w:tc>
          <w:tcPr>
            <w:tcW w:w="945" w:type="dxa"/>
            <w:noWrap/>
          </w:tcPr>
          <w:p/>
        </w:tc>
        <w:tc>
          <w:tcPr>
            <w:tcW w:w="1433" w:type="dxa"/>
            <w:noWrap/>
          </w:tcPr>
          <w:p/>
        </w:tc>
        <w:tc>
          <w:tcPr>
            <w:tcW w:w="1075" w:type="dxa"/>
            <w:noWrap/>
          </w:tcPr>
          <w:p/>
        </w:tc>
        <w:tc>
          <w:tcPr>
            <w:tcW w:w="981" w:type="dxa"/>
            <w:noWrap/>
          </w:tcPr>
          <w:p/>
        </w:tc>
        <w:tc>
          <w:tcPr>
            <w:tcW w:w="981" w:type="dxa"/>
            <w:noWrap/>
          </w:tcPr>
          <w:p/>
        </w:tc>
        <w:tc>
          <w:tcPr>
            <w:tcW w:w="981" w:type="dxa"/>
            <w:noWrap/>
          </w:tcPr>
          <w:p/>
        </w:tc>
        <w:tc>
          <w:tcPr>
            <w:tcW w:w="1349" w:type="dxa"/>
            <w:noWrap/>
          </w:tcPr>
          <w:p/>
        </w:tc>
      </w:tr>
    </w:tbl>
    <w:p>
      <w:pPr>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hint="eastAsia" w:ascii="仿宋" w:hAnsi="仿宋" w:eastAsia="仿宋" w:cs="仿宋"/>
          <w:sz w:val="32"/>
          <w:szCs w:val="32"/>
        </w:rPr>
      </w:pPr>
      <w:r>
        <w:rPr>
          <w:rFonts w:hint="eastAsia" w:ascii="仿宋" w:hAnsi="仿宋" w:eastAsia="仿宋" w:cs="仿宋"/>
          <w:sz w:val="32"/>
          <w:szCs w:val="32"/>
        </w:rPr>
        <w:t>申报日期：202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08</w:t>
      </w:r>
      <w:r>
        <w:rPr>
          <w:rFonts w:hint="eastAsia" w:ascii="仿宋" w:hAnsi="仿宋" w:eastAsia="仿宋" w:cs="仿宋"/>
          <w:sz w:val="32"/>
          <w:szCs w:val="32"/>
        </w:rPr>
        <w:t>月</w:t>
      </w:r>
      <w:r>
        <w:rPr>
          <w:rFonts w:hint="eastAsia" w:ascii="仿宋" w:hAnsi="仿宋" w:eastAsia="仿宋" w:cs="仿宋"/>
          <w:sz w:val="32"/>
          <w:szCs w:val="32"/>
          <w:lang w:val="en-US" w:eastAsia="zh-CN"/>
        </w:rPr>
        <w:t>04</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房地产开发企业名称（盖章）：</w:t>
      </w:r>
      <w:r>
        <w:rPr>
          <w:rFonts w:hint="eastAsia" w:ascii="仿宋" w:hAnsi="仿宋" w:eastAsia="仿宋" w:cs="仿宋"/>
          <w:sz w:val="32"/>
          <w:szCs w:val="32"/>
          <w:lang w:val="en-US" w:eastAsia="zh-CN"/>
        </w:rPr>
        <w:t>益阳市鑫悦置业有限公司</w:t>
      </w:r>
      <w:r>
        <w:rPr>
          <w:rFonts w:hint="eastAsia" w:ascii="仿宋" w:hAnsi="仿宋" w:eastAsia="仿宋" w:cs="仿宋"/>
          <w:sz w:val="32"/>
          <w:szCs w:val="32"/>
        </w:rPr>
        <w:t xml:space="preserve"> </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楼盘名称</w:t>
            </w:r>
          </w:p>
        </w:tc>
        <w:tc>
          <w:tcPr>
            <w:tcW w:w="2790" w:type="dxa"/>
            <w:gridSpan w:val="2"/>
            <w:noWrap/>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青春里·鑫悦府</w:t>
            </w:r>
          </w:p>
        </w:tc>
        <w:tc>
          <w:tcPr>
            <w:tcW w:w="1530"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坐落位置</w:t>
            </w:r>
          </w:p>
        </w:tc>
        <w:tc>
          <w:tcPr>
            <w:tcW w:w="3076" w:type="dxa"/>
            <w:gridSpan w:val="2"/>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龙洲路与环园路交汇处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土地性质</w:t>
            </w:r>
          </w:p>
        </w:tc>
        <w:tc>
          <w:tcPr>
            <w:tcW w:w="2790" w:type="dxa"/>
            <w:gridSpan w:val="2"/>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商住</w:t>
            </w:r>
          </w:p>
        </w:tc>
        <w:tc>
          <w:tcPr>
            <w:tcW w:w="1530"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土地使用年限</w:t>
            </w:r>
          </w:p>
        </w:tc>
        <w:tc>
          <w:tcPr>
            <w:tcW w:w="3076" w:type="dxa"/>
            <w:gridSpan w:val="2"/>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住宅70年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房源数量（可供销售房源）</w:t>
            </w:r>
          </w:p>
        </w:tc>
        <w:tc>
          <w:tcPr>
            <w:tcW w:w="2790" w:type="dxa"/>
            <w:gridSpan w:val="2"/>
            <w:noWrap/>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530"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房屋交付使用时间</w:t>
            </w:r>
          </w:p>
        </w:tc>
        <w:tc>
          <w:tcPr>
            <w:tcW w:w="3076" w:type="dxa"/>
            <w:gridSpan w:val="2"/>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容积率</w:t>
            </w:r>
          </w:p>
        </w:tc>
        <w:tc>
          <w:tcPr>
            <w:tcW w:w="1395" w:type="dxa"/>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1395"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绿化率</w:t>
            </w:r>
          </w:p>
        </w:tc>
        <w:tc>
          <w:tcPr>
            <w:tcW w:w="1530" w:type="dxa"/>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1905" w:type="dxa"/>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车位配比率</w:t>
            </w:r>
          </w:p>
        </w:tc>
        <w:tc>
          <w:tcPr>
            <w:tcW w:w="1171" w:type="dxa"/>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代收代办收费项目及标准（房产交易契税、房屋维修基金、交易手续费、产权登记费）</w:t>
            </w:r>
          </w:p>
        </w:tc>
        <w:tc>
          <w:tcPr>
            <w:tcW w:w="6001" w:type="dxa"/>
            <w:gridSpan w:val="4"/>
            <w:noWrap/>
            <w:vAlign w:val="center"/>
          </w:tcPr>
          <w:p>
            <w:pPr>
              <w:jc w:val="center"/>
              <w:rPr>
                <w:rFonts w:hint="default" w:ascii="仿宋" w:hAnsi="仿宋" w:eastAsia="仿宋" w:cs="仿宋"/>
                <w:sz w:val="28"/>
                <w:szCs w:val="28"/>
                <w:lang w:val="en-US" w:eastAsia="zh-CN"/>
              </w:rPr>
            </w:pPr>
            <w:r>
              <w:rPr>
                <w:rFonts w:hint="default" w:ascii="仿宋" w:hAnsi="仿宋" w:eastAsia="仿宋" w:cs="仿宋"/>
                <w:sz w:val="28"/>
                <w:szCs w:val="28"/>
              </w:rPr>
              <w:t>房屋交易契税</w:t>
            </w:r>
            <w:r>
              <w:rPr>
                <w:rFonts w:hint="eastAsia" w:ascii="仿宋" w:hAnsi="仿宋" w:eastAsia="仿宋" w:cs="仿宋"/>
                <w:sz w:val="28"/>
                <w:szCs w:val="28"/>
              </w:rPr>
              <w:t xml:space="preserve">：90m2≤首套房1.5%，二套2%，三套4%。  </w:t>
            </w:r>
            <w:r>
              <w:rPr>
                <w:rFonts w:hint="default" w:ascii="仿宋" w:hAnsi="仿宋" w:eastAsia="仿宋" w:cs="仿宋"/>
                <w:sz w:val="28"/>
                <w:szCs w:val="28"/>
              </w:rPr>
              <w:t xml:space="preserve">                               </w:t>
            </w:r>
            <w:r>
              <w:rPr>
                <w:rFonts w:hint="eastAsia" w:ascii="仿宋" w:hAnsi="仿宋" w:eastAsia="仿宋" w:cs="仿宋"/>
                <w:sz w:val="28"/>
                <w:szCs w:val="28"/>
              </w:rPr>
              <w:t xml:space="preserve">房屋维修基金：90元/ m2。  </w:t>
            </w:r>
            <w:r>
              <w:rPr>
                <w:rFonts w:hint="default" w:ascii="仿宋" w:hAnsi="仿宋" w:eastAsia="仿宋" w:cs="仿宋"/>
                <w:sz w:val="28"/>
                <w:szCs w:val="28"/>
              </w:rPr>
              <w:t xml:space="preserve">                                    </w:t>
            </w:r>
            <w:r>
              <w:rPr>
                <w:rFonts w:hint="eastAsia" w:ascii="仿宋" w:hAnsi="仿宋" w:eastAsia="仿宋" w:cs="仿宋"/>
                <w:sz w:val="28"/>
                <w:szCs w:val="28"/>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前期物业服务</w:t>
            </w:r>
          </w:p>
          <w:p>
            <w:pPr>
              <w:jc w:val="center"/>
              <w:rPr>
                <w:rFonts w:hint="eastAsia" w:ascii="仿宋" w:hAnsi="仿宋" w:eastAsia="仿宋" w:cs="仿宋"/>
                <w:sz w:val="28"/>
                <w:szCs w:val="28"/>
              </w:rPr>
            </w:pPr>
            <w:r>
              <w:rPr>
                <w:rFonts w:hint="eastAsia" w:ascii="仿宋" w:hAnsi="仿宋" w:eastAsia="仿宋" w:cs="仿宋"/>
                <w:sz w:val="28"/>
                <w:szCs w:val="28"/>
              </w:rPr>
              <w:t>拟收费标准</w:t>
            </w:r>
          </w:p>
        </w:tc>
        <w:tc>
          <w:tcPr>
            <w:tcW w:w="6001" w:type="dxa"/>
            <w:gridSpan w:val="4"/>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优惠折扣及</w:t>
            </w:r>
          </w:p>
          <w:p>
            <w:pPr>
              <w:jc w:val="center"/>
              <w:rPr>
                <w:rFonts w:hint="eastAsia" w:ascii="仿宋" w:hAnsi="仿宋" w:eastAsia="仿宋" w:cs="仿宋"/>
                <w:sz w:val="28"/>
                <w:szCs w:val="28"/>
              </w:rPr>
            </w:pPr>
            <w:r>
              <w:rPr>
                <w:rFonts w:hint="eastAsia" w:ascii="仿宋" w:hAnsi="仿宋" w:eastAsia="仿宋" w:cs="仿宋"/>
                <w:sz w:val="28"/>
                <w:szCs w:val="28"/>
              </w:rPr>
              <w:t>销售条件</w:t>
            </w:r>
          </w:p>
        </w:tc>
        <w:tc>
          <w:tcPr>
            <w:tcW w:w="6001" w:type="dxa"/>
            <w:gridSpan w:val="4"/>
            <w:noWrap/>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精装修带全屋家电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rPr>
                <w:rFonts w:hint="eastAsia" w:ascii="仿宋" w:hAnsi="仿宋" w:eastAsia="仿宋" w:cs="仿宋"/>
                <w:sz w:val="28"/>
                <w:szCs w:val="28"/>
              </w:rPr>
            </w:pPr>
            <w:r>
              <w:rPr>
                <w:rFonts w:hint="eastAsia" w:ascii="仿宋" w:hAnsi="仿宋" w:eastAsia="仿宋" w:cs="仿宋"/>
                <w:sz w:val="28"/>
                <w:szCs w:val="28"/>
              </w:rPr>
              <w:t>备注</w:t>
            </w:r>
          </w:p>
        </w:tc>
        <w:tc>
          <w:tcPr>
            <w:tcW w:w="6001" w:type="dxa"/>
            <w:gridSpan w:val="4"/>
            <w:noWrap/>
            <w:vAlign w:val="center"/>
          </w:tcPr>
          <w:p>
            <w:pPr>
              <w:rPr>
                <w:rFonts w:hint="eastAsia" w:ascii="仿宋" w:hAnsi="仿宋" w:eastAsia="仿宋" w:cs="仿宋"/>
                <w:sz w:val="28"/>
                <w:szCs w:val="28"/>
              </w:rPr>
            </w:pPr>
          </w:p>
        </w:tc>
      </w:tr>
    </w:tbl>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开发企业名称：益阳市鑫悦置业有限公司 </w:t>
      </w:r>
    </w:p>
    <w:p>
      <w:pPr>
        <w:rPr>
          <w:rFonts w:hint="eastAsia" w:ascii="仿宋" w:hAnsi="仿宋" w:eastAsia="仿宋" w:cs="仿宋"/>
          <w:sz w:val="28"/>
          <w:szCs w:val="28"/>
        </w:rPr>
      </w:pPr>
      <w:r>
        <w:rPr>
          <w:rFonts w:hint="eastAsia" w:ascii="仿宋" w:hAnsi="仿宋" w:eastAsia="仿宋" w:cs="仿宋"/>
          <w:sz w:val="32"/>
          <w:szCs w:val="32"/>
          <w:lang w:val="en-US" w:eastAsia="zh-CN"/>
        </w:rPr>
        <w:t>一、楼盘信息</w:t>
      </w:r>
      <w:r>
        <w:rPr>
          <w:rFonts w:hint="eastAsia" w:ascii="仿宋" w:hAnsi="仿宋" w:eastAsia="仿宋" w:cs="仿宋"/>
          <w:sz w:val="32"/>
          <w:szCs w:val="32"/>
          <w:lang w:val="en-US" w:eastAsia="zh-CN"/>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青春里·鑫悦府</w:t>
            </w:r>
          </w:p>
        </w:tc>
        <w:tc>
          <w:tcPr>
            <w:tcW w:w="1908"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地    址</w:t>
            </w:r>
          </w:p>
        </w:tc>
        <w:tc>
          <w:tcPr>
            <w:tcW w:w="3305" w:type="dxa"/>
            <w:tcBorders>
              <w:top w:val="single" w:color="auto" w:sz="6" w:space="0"/>
              <w:left w:val="single" w:color="auto" w:sz="6" w:space="0"/>
              <w:bottom w:val="single" w:color="auto" w:sz="6"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龙洲路与环园路交汇处</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p>
        </w:tc>
        <w:tc>
          <w:tcPr>
            <w:tcW w:w="1908"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土地性质</w:t>
            </w:r>
          </w:p>
        </w:tc>
        <w:tc>
          <w:tcPr>
            <w:tcW w:w="2212" w:type="dxa"/>
            <w:tcBorders>
              <w:top w:val="single" w:color="auto" w:sz="6" w:space="0"/>
              <w:left w:val="single" w:color="auto" w:sz="6" w:space="0"/>
              <w:bottom w:val="single" w:color="auto" w:sz="4"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商住</w:t>
            </w:r>
          </w:p>
        </w:tc>
        <w:tc>
          <w:tcPr>
            <w:tcW w:w="1908" w:type="dxa"/>
            <w:tcBorders>
              <w:top w:val="single" w:color="auto" w:sz="6" w:space="0"/>
              <w:left w:val="single" w:color="auto" w:sz="6" w:space="0"/>
              <w:bottom w:val="single" w:color="auto" w:sz="4"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住宅2022年12月16日2092年12月15日</w:t>
            </w:r>
          </w:p>
        </w:tc>
      </w:tr>
      <w:tr>
        <w:tblPrEx>
          <w:tblCellMar>
            <w:top w:w="0" w:type="dxa"/>
            <w:left w:w="108" w:type="dxa"/>
            <w:bottom w:w="0" w:type="dxa"/>
            <w:right w:w="108" w:type="dxa"/>
          </w:tblCellMar>
        </w:tblPrEx>
        <w:trPr>
          <w:trHeight w:val="502" w:hRule="atLeast"/>
        </w:trPr>
        <w:tc>
          <w:tcPr>
            <w:tcW w:w="2016" w:type="dxa"/>
            <w:tcBorders>
              <w:top w:val="single" w:color="auto" w:sz="4" w:space="0"/>
              <w:left w:val="single" w:color="auto" w:sz="6" w:space="0"/>
              <w:bottom w:val="single" w:color="auto" w:sz="4"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容 积 率</w:t>
            </w:r>
          </w:p>
        </w:tc>
        <w:tc>
          <w:tcPr>
            <w:tcW w:w="2212" w:type="dxa"/>
            <w:tcBorders>
              <w:top w:val="single" w:color="auto" w:sz="4" w:space="0"/>
              <w:left w:val="single" w:color="auto" w:sz="6" w:space="0"/>
              <w:bottom w:val="single" w:color="auto" w:sz="4"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1908" w:type="dxa"/>
            <w:tcBorders>
              <w:top w:val="single" w:color="auto" w:sz="4" w:space="0"/>
              <w:left w:val="single" w:color="auto" w:sz="6" w:space="0"/>
              <w:bottom w:val="single" w:color="auto" w:sz="4"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p>
            <w:pPr>
              <w:jc w:val="center"/>
              <w:rPr>
                <w:rFonts w:hint="eastAsia" w:ascii="仿宋" w:hAnsi="仿宋" w:eastAsia="仿宋" w:cs="仿宋"/>
                <w:sz w:val="28"/>
                <w:szCs w:val="28"/>
                <w:lang w:val="en-US" w:eastAsia="zh-CN"/>
              </w:rPr>
            </w:pP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绿 化 率</w:t>
            </w:r>
          </w:p>
        </w:tc>
        <w:tc>
          <w:tcPr>
            <w:tcW w:w="2212" w:type="dxa"/>
            <w:tcBorders>
              <w:top w:val="single" w:color="auto" w:sz="4" w:space="0"/>
              <w:left w:val="single" w:color="auto" w:sz="6" w:space="0"/>
              <w:bottom w:val="single" w:color="auto" w:sz="4"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层    高</w:t>
            </w:r>
          </w:p>
        </w:tc>
        <w:tc>
          <w:tcPr>
            <w:tcW w:w="2212" w:type="dxa"/>
            <w:tcBorders>
              <w:top w:val="single" w:color="auto" w:sz="4" w:space="0"/>
              <w:left w:val="single" w:color="auto" w:sz="6" w:space="0"/>
              <w:bottom w:val="single" w:color="auto" w:sz="6" w:space="0"/>
              <w:right w:val="single" w:color="auto" w:sz="6" w:space="0"/>
            </w:tcBorders>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2.9~3.05</w:t>
            </w:r>
          </w:p>
        </w:tc>
        <w:tc>
          <w:tcPr>
            <w:tcW w:w="1908" w:type="dxa"/>
            <w:tcBorders>
              <w:top w:val="single" w:color="auto" w:sz="4"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lang w:val="en-US" w:eastAsia="zh-CN"/>
              </w:rPr>
              <w:t>精装修带全屋家电</w:t>
            </w:r>
          </w:p>
        </w:tc>
      </w:tr>
    </w:tbl>
    <w:p>
      <w:pPr>
        <w:jc w:val="both"/>
        <w:rPr>
          <w:rFonts w:hint="eastAsia" w:ascii="仿宋" w:hAnsi="仿宋" w:eastAsia="仿宋" w:cs="仿宋"/>
          <w:sz w:val="28"/>
          <w:szCs w:val="28"/>
        </w:rPr>
      </w:pPr>
      <w:r>
        <w:rPr>
          <w:rFonts w:hint="eastAsia" w:ascii="仿宋" w:hAnsi="仿宋" w:eastAsia="仿宋" w:cs="仿宋"/>
          <w:sz w:val="28"/>
          <w:szCs w:val="28"/>
        </w:rPr>
        <w:t>二、代收代缴项目及标准</w:t>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收费项目</w:t>
            </w:r>
          </w:p>
        </w:tc>
        <w:tc>
          <w:tcPr>
            <w:tcW w:w="2493"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收费标准</w:t>
            </w:r>
          </w:p>
        </w:tc>
        <w:tc>
          <w:tcPr>
            <w:tcW w:w="1744"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收费单位</w:t>
            </w:r>
          </w:p>
        </w:tc>
        <w:tc>
          <w:tcPr>
            <w:tcW w:w="3300"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vAlign w:val="top"/>
          </w:tcPr>
          <w:p>
            <w:pPr>
              <w:jc w:val="center"/>
              <w:rPr>
                <w:rFonts w:hint="default" w:ascii="仿宋" w:hAnsi="仿宋" w:eastAsia="仿宋" w:cs="仿宋"/>
                <w:sz w:val="28"/>
                <w:szCs w:val="28"/>
              </w:rPr>
            </w:pPr>
            <w:r>
              <w:rPr>
                <w:rFonts w:hint="eastAsia" w:ascii="仿宋" w:hAnsi="仿宋" w:eastAsia="仿宋" w:cs="仿宋"/>
                <w:sz w:val="28"/>
                <w:szCs w:val="28"/>
              </w:rPr>
              <w:t>首套房：网签价的1％，</w:t>
            </w:r>
          </w:p>
          <w:p>
            <w:pPr>
              <w:jc w:val="center"/>
              <w:rPr>
                <w:rFonts w:hint="eastAsia" w:ascii="仿宋" w:hAnsi="仿宋" w:eastAsia="仿宋" w:cs="仿宋"/>
                <w:sz w:val="28"/>
                <w:szCs w:val="28"/>
              </w:rPr>
            </w:pPr>
            <w:r>
              <w:rPr>
                <w:rFonts w:hint="eastAsia" w:ascii="仿宋" w:hAnsi="仿宋" w:eastAsia="仿宋" w:cs="仿宋"/>
                <w:sz w:val="28"/>
                <w:szCs w:val="28"/>
              </w:rPr>
              <w:t>第二套房：网签价的1.5％</w:t>
            </w:r>
            <w:r>
              <w:rPr>
                <w:rFonts w:hint="eastAsia" w:ascii="仿宋" w:hAnsi="仿宋" w:eastAsia="仿宋" w:cs="仿宋"/>
                <w:sz w:val="28"/>
                <w:szCs w:val="28"/>
                <w:lang w:eastAsia="zh-CN"/>
              </w:rPr>
              <w:t>；</w:t>
            </w:r>
            <w:r>
              <w:rPr>
                <w:rFonts w:hint="eastAsia" w:ascii="仿宋" w:hAnsi="仿宋" w:eastAsia="仿宋" w:cs="仿宋"/>
                <w:sz w:val="28"/>
                <w:szCs w:val="28"/>
              </w:rPr>
              <w:t>第三套房及以上：网签价的4％，</w:t>
            </w:r>
          </w:p>
        </w:tc>
        <w:tc>
          <w:tcPr>
            <w:tcW w:w="1744"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市税务局</w:t>
            </w:r>
          </w:p>
        </w:tc>
        <w:tc>
          <w:tcPr>
            <w:tcW w:w="3300"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 w:hAnsi="仿宋" w:eastAsia="仿宋" w:cs="仿宋"/>
                <w:sz w:val="28"/>
                <w:szCs w:val="28"/>
              </w:rPr>
            </w:pPr>
            <w:r>
              <w:rPr>
                <w:rFonts w:hint="eastAsia" w:ascii="仿宋" w:hAnsi="仿宋" w:eastAsia="仿宋" w:cs="仿宋"/>
                <w:sz w:val="28"/>
                <w:szCs w:val="28"/>
              </w:rPr>
              <w:t>财税（2016）23号</w:t>
            </w:r>
          </w:p>
        </w:tc>
      </w:tr>
      <w:tr>
        <w:tblPrEx>
          <w:tblCellMar>
            <w:top w:w="0" w:type="dxa"/>
            <w:left w:w="108" w:type="dxa"/>
            <w:bottom w:w="0" w:type="dxa"/>
            <w:right w:w="108" w:type="dxa"/>
          </w:tblCellMar>
        </w:tblPrEx>
        <w:trPr>
          <w:trHeight w:val="639" w:hRule="atLeast"/>
        </w:trPr>
        <w:tc>
          <w:tcPr>
            <w:tcW w:w="1931"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 w:hAnsi="仿宋" w:eastAsia="仿宋" w:cs="仿宋"/>
                <w:sz w:val="28"/>
                <w:szCs w:val="28"/>
              </w:rPr>
            </w:pPr>
            <w:r>
              <w:rPr>
                <w:rFonts w:hint="eastAsia" w:ascii="仿宋" w:hAnsi="仿宋" w:eastAsia="仿宋" w:cs="仿宋"/>
                <w:sz w:val="28"/>
                <w:szCs w:val="28"/>
              </w:rPr>
              <w:t>90元/㎡</w:t>
            </w:r>
          </w:p>
        </w:tc>
        <w:tc>
          <w:tcPr>
            <w:tcW w:w="1744"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市财政服务中心</w:t>
            </w:r>
          </w:p>
        </w:tc>
        <w:tc>
          <w:tcPr>
            <w:tcW w:w="3300"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 w:hAnsi="仿宋" w:eastAsia="仿宋" w:cs="仿宋"/>
                <w:sz w:val="28"/>
                <w:szCs w:val="28"/>
              </w:rPr>
            </w:pPr>
            <w:r>
              <w:rPr>
                <w:rFonts w:hint="eastAsia" w:ascii="仿宋" w:hAnsi="仿宋" w:eastAsia="仿宋" w:cs="仿宋"/>
                <w:sz w:val="28"/>
                <w:szCs w:val="28"/>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 w:hAnsi="仿宋" w:eastAsia="仿宋" w:cs="仿宋"/>
                <w:sz w:val="28"/>
                <w:szCs w:val="28"/>
              </w:rPr>
            </w:pPr>
            <w:r>
              <w:rPr>
                <w:rFonts w:hint="eastAsia" w:ascii="仿宋" w:hAnsi="仿宋" w:eastAsia="仿宋" w:cs="仿宋"/>
                <w:sz w:val="28"/>
                <w:szCs w:val="28"/>
              </w:rPr>
              <w:t>80元/户</w:t>
            </w:r>
          </w:p>
        </w:tc>
        <w:tc>
          <w:tcPr>
            <w:tcW w:w="1744" w:type="dxa"/>
            <w:tcBorders>
              <w:top w:val="single" w:color="auto" w:sz="6" w:space="0"/>
              <w:left w:val="single" w:color="auto" w:sz="6" w:space="0"/>
              <w:bottom w:val="single" w:color="auto" w:sz="6" w:space="0"/>
              <w:right w:val="single" w:color="auto" w:sz="6" w:space="0"/>
            </w:tcBorders>
          </w:tcPr>
          <w:p>
            <w:pPr>
              <w:jc w:val="center"/>
              <w:rPr>
                <w:rFonts w:hint="eastAsia" w:ascii="仿宋" w:hAnsi="仿宋" w:eastAsia="仿宋" w:cs="仿宋"/>
                <w:sz w:val="28"/>
                <w:szCs w:val="28"/>
              </w:rPr>
            </w:pPr>
            <w:r>
              <w:rPr>
                <w:rFonts w:hint="eastAsia" w:ascii="仿宋" w:hAnsi="仿宋" w:eastAsia="仿宋" w:cs="仿宋"/>
                <w:sz w:val="28"/>
                <w:szCs w:val="28"/>
              </w:rPr>
              <w:t>市财政服务中心</w:t>
            </w:r>
          </w:p>
        </w:tc>
        <w:tc>
          <w:tcPr>
            <w:tcW w:w="3300" w:type="dxa"/>
            <w:tcBorders>
              <w:top w:val="single" w:color="auto" w:sz="6" w:space="0"/>
              <w:left w:val="single" w:color="auto" w:sz="6" w:space="0"/>
              <w:bottom w:val="single" w:color="auto" w:sz="6" w:space="0"/>
              <w:right w:val="single" w:color="auto" w:sz="6" w:space="0"/>
            </w:tcBorders>
            <w:vAlign w:val="top"/>
          </w:tcPr>
          <w:p>
            <w:pPr>
              <w:jc w:val="center"/>
              <w:rPr>
                <w:rFonts w:hint="eastAsia" w:ascii="仿宋" w:hAnsi="仿宋" w:eastAsia="仿宋" w:cs="仿宋"/>
                <w:sz w:val="28"/>
                <w:szCs w:val="28"/>
              </w:rPr>
            </w:pPr>
            <w:r>
              <w:rPr>
                <w:rFonts w:hint="eastAsia" w:ascii="仿宋" w:hAnsi="仿宋" w:eastAsia="仿宋" w:cs="仿宋"/>
                <w:sz w:val="28"/>
                <w:szCs w:val="28"/>
              </w:rPr>
              <w:t>湘发改价费（2017）264号</w:t>
            </w:r>
          </w:p>
        </w:tc>
      </w:tr>
    </w:tbl>
    <w:p>
      <w:pPr>
        <w:rPr>
          <w:rFonts w:hint="eastAsia" w:ascii="仿宋" w:hAnsi="仿宋" w:eastAsia="仿宋" w:cs="仿宋"/>
          <w:sz w:val="32"/>
          <w:szCs w:val="32"/>
        </w:rPr>
      </w:pPr>
      <w:r>
        <w:rPr>
          <w:rFonts w:hint="eastAsia" w:ascii="仿宋" w:hAnsi="仿宋" w:eastAsia="仿宋" w:cs="仿宋"/>
          <w:sz w:val="32"/>
          <w:szCs w:val="32"/>
        </w:rPr>
        <w:t>三、优惠折扣及享受优惠折扣的条件：依据相关政策，按付款方式不同享受折扣，开盘折扣另计。</w:t>
      </w:r>
    </w:p>
    <w:p>
      <w:pPr>
        <w:rPr>
          <w:rFonts w:hint="eastAsia" w:ascii="仿宋" w:hAnsi="仿宋" w:eastAsia="仿宋" w:cs="仿宋"/>
          <w:sz w:val="32"/>
          <w:szCs w:val="32"/>
        </w:rPr>
      </w:pPr>
      <w:r>
        <w:rPr>
          <w:rFonts w:hint="eastAsia" w:ascii="仿宋" w:hAnsi="仿宋" w:eastAsia="仿宋" w:cs="仿宋"/>
          <w:sz w:val="32"/>
          <w:szCs w:val="32"/>
        </w:rPr>
        <w:t>四、房价内已包含进户水电表及开户费；燃气开户及管道费；电子监控、通信线路等公共配套设施建设费用。（商品房经营者可根据小区具体情况增加公示内容）</w:t>
      </w:r>
    </w:p>
    <w:p>
      <w:pPr>
        <w:rPr>
          <w:rFonts w:hint="eastAsia" w:ascii="仿宋" w:hAnsi="仿宋" w:eastAsia="仿宋" w:cs="仿宋"/>
          <w:sz w:val="32"/>
          <w:szCs w:val="32"/>
        </w:rPr>
      </w:pPr>
      <w:r>
        <w:rPr>
          <w:rFonts w:hint="eastAsia" w:ascii="仿宋" w:hAnsi="仿宋" w:eastAsia="仿宋" w:cs="仿宋"/>
          <w:sz w:val="32"/>
          <w:szCs w:val="32"/>
        </w:rPr>
        <w:t>五、小区物业服务费用（可根据具体服务项目调整）前期物业服务费公示服务等级、服务内容、服务收费标准，无异议后签定前期物业合同，再报市发改委核定。</w:t>
      </w:r>
    </w:p>
    <w:p>
      <w:pPr>
        <w:rPr>
          <w:rFonts w:hint="eastAsia" w:ascii="仿宋" w:hAnsi="仿宋" w:eastAsia="仿宋" w:cs="仿宋"/>
          <w:sz w:val="32"/>
          <w:szCs w:val="32"/>
        </w:rPr>
      </w:pPr>
      <w:r>
        <w:rPr>
          <w:rFonts w:hint="eastAsia" w:ascii="仿宋" w:hAnsi="仿宋" w:eastAsia="仿宋" w:cs="仿宋"/>
          <w:sz w:val="32"/>
          <w:szCs w:val="32"/>
        </w:rPr>
        <w:t xml:space="preserve">益阳市发展和改革委员会监制              价格举报电话：12315  </w:t>
      </w:r>
    </w:p>
    <w:p>
      <w:pPr>
        <w:rPr>
          <w:rFonts w:hint="eastAsia" w:ascii="仿宋" w:hAnsi="仿宋" w:eastAsia="仿宋" w:cs="仿宋"/>
          <w:sz w:val="32"/>
          <w:szCs w:val="32"/>
        </w:rPr>
      </w:pPr>
      <w:r>
        <w:rPr>
          <w:rFonts w:hint="eastAsia" w:ascii="仿宋" w:hAnsi="仿宋" w:eastAsia="仿宋" w:cs="仿宋"/>
          <w:sz w:val="32"/>
          <w:szCs w:val="32"/>
        </w:rPr>
        <w:t>附件4：</w:t>
      </w:r>
    </w:p>
    <w:p>
      <w:pPr>
        <w:rPr>
          <w:rFonts w:hint="eastAsia" w:ascii="仿宋" w:hAnsi="仿宋" w:eastAsia="仿宋" w:cs="仿宋"/>
          <w:sz w:val="32"/>
          <w:szCs w:val="32"/>
        </w:rPr>
      </w:pPr>
      <w:r>
        <w:rPr>
          <w:rFonts w:hint="eastAsia" w:ascii="仿宋" w:hAnsi="仿宋" w:eastAsia="仿宋" w:cs="仿宋"/>
          <w:sz w:val="32"/>
          <w:szCs w:val="32"/>
        </w:rPr>
        <w:t>销售价格承诺书</w:t>
      </w:r>
    </w:p>
    <w:p>
      <w:pPr>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lang w:val="en-US" w:eastAsia="zh-CN"/>
        </w:rPr>
        <w:t>青春里·鑫悦府</w:t>
      </w:r>
      <w:r>
        <w:rPr>
          <w:rFonts w:hint="eastAsia" w:ascii="仿宋" w:hAnsi="仿宋" w:eastAsia="仿宋" w:cs="仿宋"/>
          <w:sz w:val="32"/>
          <w:szCs w:val="32"/>
          <w:lang w:val="en-US" w:eastAsia="zh"/>
        </w:rPr>
        <w:t>12#</w:t>
      </w:r>
      <w:r>
        <w:rPr>
          <w:rFonts w:hint="eastAsia" w:ascii="仿宋" w:hAnsi="仿宋" w:eastAsia="仿宋" w:cs="仿宋"/>
          <w:sz w:val="32"/>
          <w:szCs w:val="32"/>
          <w:lang w:val="en-US" w:eastAsia="zh-CN"/>
        </w:rPr>
        <w:t>栋</w:t>
      </w:r>
      <w:r>
        <w:rPr>
          <w:rFonts w:hint="eastAsia" w:ascii="仿宋" w:hAnsi="仿宋" w:eastAsia="仿宋" w:cs="仿宋"/>
          <w:sz w:val="32"/>
          <w:szCs w:val="32"/>
        </w:rPr>
        <w:t>商品住房价格事项作如下郑重承诺：</w:t>
      </w:r>
    </w:p>
    <w:p>
      <w:pPr>
        <w:rPr>
          <w:rFonts w:hint="eastAsia"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rPr>
          <w:rFonts w:hint="eastAsia" w:ascii="仿宋" w:hAnsi="仿宋" w:eastAsia="仿宋" w:cs="仿宋"/>
          <w:sz w:val="32"/>
          <w:szCs w:val="32"/>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rPr>
          <w:rFonts w:hint="eastAsia" w:ascii="仿宋" w:hAnsi="仿宋" w:eastAsia="仿宋" w:cs="仿宋"/>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执行商品住房销售明码标价有关规定，实行“一房一价”，在销售场所公示全部可售房源及备案价格。每套住房标示价格不高于备案价格。不在标价之外加价销售商品房或者收取任何未予标明的费用。</w:t>
      </w:r>
    </w:p>
    <w:p>
      <w:pPr>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hint="eastAsia" w:ascii="仿宋" w:hAnsi="仿宋" w:eastAsia="仿宋" w:cs="仿宋"/>
          <w:sz w:val="32"/>
          <w:szCs w:val="32"/>
        </w:rPr>
      </w:pPr>
    </w:p>
    <w:p>
      <w:pPr>
        <w:rPr>
          <w:rFonts w:hint="eastAsia" w:ascii="仿宋" w:hAnsi="仿宋" w:eastAsia="仿宋" w:cs="仿宋"/>
          <w:sz w:val="32"/>
          <w:szCs w:val="32"/>
          <w:lang w:eastAsia="zh"/>
        </w:rPr>
      </w:pPr>
      <w:r>
        <w:rPr>
          <w:rFonts w:hint="eastAsia" w:ascii="仿宋" w:hAnsi="仿宋" w:eastAsia="仿宋" w:cs="仿宋"/>
          <w:sz w:val="32"/>
          <w:szCs w:val="32"/>
        </w:rPr>
        <w:t>承诺单位（公章）：</w:t>
      </w:r>
    </w:p>
    <w:p>
      <w:pPr>
        <w:rPr>
          <w:rFonts w:hint="eastAsia" w:ascii="仿宋" w:hAnsi="仿宋" w:eastAsia="仿宋" w:cs="仿宋"/>
          <w:sz w:val="32"/>
          <w:szCs w:val="32"/>
        </w:rPr>
      </w:pPr>
      <w:r>
        <w:rPr>
          <w:rFonts w:hint="eastAsia" w:ascii="仿宋" w:hAnsi="仿宋" w:eastAsia="仿宋" w:cs="仿宋"/>
          <w:sz w:val="32"/>
          <w:szCs w:val="32"/>
        </w:rPr>
        <w:t>法人或负责人（签名）：</w:t>
      </w:r>
    </w:p>
    <w:p>
      <w:pPr>
        <w:rPr>
          <w:rFonts w:hint="eastAsia"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仿宋" w:hAnsi="仿宋" w:eastAsia="仿宋" w:cs="仿宋"/>
          <w:sz w:val="32"/>
          <w:szCs w:val="32"/>
          <w:lang w:val="en-US" w:eastAsia="zh-CN"/>
        </w:rPr>
        <w:t>08</w:t>
      </w:r>
      <w:r>
        <w:rPr>
          <w:rFonts w:hint="eastAsia" w:ascii="仿宋" w:hAnsi="仿宋" w:eastAsia="仿宋" w:cs="仿宋"/>
          <w:sz w:val="32"/>
          <w:szCs w:val="32"/>
        </w:rPr>
        <w:t>月</w:t>
      </w:r>
      <w:r>
        <w:rPr>
          <w:rFonts w:hint="eastAsia" w:ascii="仿宋" w:hAnsi="仿宋" w:eastAsia="仿宋" w:cs="仿宋"/>
          <w:sz w:val="32"/>
          <w:szCs w:val="32"/>
          <w:lang w:val="en-US" w:eastAsia="zh-CN"/>
        </w:rPr>
        <w:t>04</w:t>
      </w:r>
      <w:r>
        <w:rPr>
          <w:rFonts w:hint="eastAsia" w:ascii="仿宋" w:hAnsi="仿宋" w:eastAsia="仿宋" w:cs="仿宋"/>
          <w:sz w:val="32"/>
          <w:szCs w:val="32"/>
        </w:rPr>
        <w:t>日</w:t>
      </w:r>
    </w:p>
    <w:p>
      <w:pPr>
        <w:rPr>
          <w:rFonts w:eastAsia="仿宋"/>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
        </w:rPr>
        <w:t xml:space="preserve">     </w:t>
      </w:r>
      <w:r>
        <w:rPr>
          <w:rFonts w:hint="eastAsia" w:ascii="仿宋" w:hAnsi="仿宋" w:eastAsia="仿宋" w:cs="仿宋"/>
          <w:sz w:val="32"/>
          <w:szCs w:val="32"/>
        </w:rPr>
        <w:t>经办人：</w:t>
      </w:r>
      <w:r>
        <w:rPr>
          <w:rFonts w:hint="eastAsia" w:ascii="仿宋" w:hAnsi="仿宋" w:eastAsia="仿宋" w:cs="仿宋"/>
          <w:sz w:val="32"/>
          <w:szCs w:val="32"/>
          <w:lang w:val="en-US" w:eastAsia="zh-CN"/>
        </w:rPr>
        <w:t>陈念</w:t>
      </w:r>
      <w:r>
        <w:rPr>
          <w:rFonts w:hint="eastAsia" w:ascii="仿宋" w:hAnsi="仿宋" w:eastAsia="仿宋" w:cs="仿宋"/>
          <w:sz w:val="32"/>
          <w:szCs w:val="32"/>
        </w:rPr>
        <w:t xml:space="preserve"> 电话：</w:t>
      </w:r>
      <w:r>
        <w:rPr>
          <w:rFonts w:hint="eastAsia" w:ascii="仿宋" w:hAnsi="仿宋" w:eastAsia="仿宋" w:cs="仿宋"/>
          <w:sz w:val="32"/>
          <w:szCs w:val="32"/>
          <w:lang w:val="en-US" w:eastAsia="zh-CN"/>
        </w:rPr>
        <w:t>15807378211</w:t>
      </w:r>
      <w:r>
        <w:rPr>
          <w:rFonts w:hint="eastAsia" w:ascii="仿宋" w:hAnsi="仿宋" w:eastAsia="仿宋" w:cs="仿宋"/>
          <w:sz w:val="32"/>
          <w:szCs w:val="32"/>
        </w:rPr>
        <w:t xml:space="preserve">                   </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VmZjViYWVmNjA0NDQ2NzRhZWNhYmNkNzEyMjAzOW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3FA4A8A"/>
    <w:rsid w:val="0DC14B58"/>
    <w:rsid w:val="0E9B186F"/>
    <w:rsid w:val="0EA50285"/>
    <w:rsid w:val="0FE4573C"/>
    <w:rsid w:val="133B6B5E"/>
    <w:rsid w:val="147C434A"/>
    <w:rsid w:val="149420D9"/>
    <w:rsid w:val="1CEF53ED"/>
    <w:rsid w:val="1DC8750C"/>
    <w:rsid w:val="1E0E6048"/>
    <w:rsid w:val="1E57638D"/>
    <w:rsid w:val="1F0F42C7"/>
    <w:rsid w:val="1F182848"/>
    <w:rsid w:val="201F6401"/>
    <w:rsid w:val="258856BA"/>
    <w:rsid w:val="26FF65E6"/>
    <w:rsid w:val="2731521B"/>
    <w:rsid w:val="286D263F"/>
    <w:rsid w:val="2DBC2BFD"/>
    <w:rsid w:val="2DF06950"/>
    <w:rsid w:val="33966EA6"/>
    <w:rsid w:val="3A354A34"/>
    <w:rsid w:val="3A4D7408"/>
    <w:rsid w:val="3C8D6BCF"/>
    <w:rsid w:val="3DAE329D"/>
    <w:rsid w:val="3DDD508E"/>
    <w:rsid w:val="3FEFDC9E"/>
    <w:rsid w:val="42CB3316"/>
    <w:rsid w:val="45BA67E1"/>
    <w:rsid w:val="47FD6C27"/>
    <w:rsid w:val="4C997ACD"/>
    <w:rsid w:val="4F66E90D"/>
    <w:rsid w:val="4FDF7053"/>
    <w:rsid w:val="50252C4A"/>
    <w:rsid w:val="50867042"/>
    <w:rsid w:val="51B9766F"/>
    <w:rsid w:val="51FED7AB"/>
    <w:rsid w:val="53979A4D"/>
    <w:rsid w:val="57383440"/>
    <w:rsid w:val="57D8223F"/>
    <w:rsid w:val="58F4701C"/>
    <w:rsid w:val="5BA81241"/>
    <w:rsid w:val="5E8C743B"/>
    <w:rsid w:val="5EFA7CCD"/>
    <w:rsid w:val="5F3E0DF4"/>
    <w:rsid w:val="5FDD8479"/>
    <w:rsid w:val="60065E0F"/>
    <w:rsid w:val="620F4B71"/>
    <w:rsid w:val="65BCE930"/>
    <w:rsid w:val="66FF829B"/>
    <w:rsid w:val="67C06887"/>
    <w:rsid w:val="682317C9"/>
    <w:rsid w:val="6BFF6867"/>
    <w:rsid w:val="6FD026B0"/>
    <w:rsid w:val="776E5335"/>
    <w:rsid w:val="785B5528"/>
    <w:rsid w:val="78FA1031"/>
    <w:rsid w:val="79FF9C9E"/>
    <w:rsid w:val="7C5FC8E1"/>
    <w:rsid w:val="7EDF4028"/>
    <w:rsid w:val="7EFF1170"/>
    <w:rsid w:val="7F4D724E"/>
    <w:rsid w:val="7F778B64"/>
    <w:rsid w:val="7F7D58EC"/>
    <w:rsid w:val="7F7F2ABE"/>
    <w:rsid w:val="7FB7E635"/>
    <w:rsid w:val="7FBF36EE"/>
    <w:rsid w:val="7FEE45A9"/>
    <w:rsid w:val="7FEF9ADC"/>
    <w:rsid w:val="9D4B5CFF"/>
    <w:rsid w:val="9E7F5909"/>
    <w:rsid w:val="9FDC8485"/>
    <w:rsid w:val="AA775D78"/>
    <w:rsid w:val="BA7B23C6"/>
    <w:rsid w:val="CD3DB24A"/>
    <w:rsid w:val="CFD8FC19"/>
    <w:rsid w:val="DFDF1A15"/>
    <w:rsid w:val="DFF9856A"/>
    <w:rsid w:val="E1BF16C0"/>
    <w:rsid w:val="E78E7713"/>
    <w:rsid w:val="E7EE9FD0"/>
    <w:rsid w:val="EEB7512D"/>
    <w:rsid w:val="EF79579D"/>
    <w:rsid w:val="EFF7F6DC"/>
    <w:rsid w:val="F3F94F5F"/>
    <w:rsid w:val="F3FD31E1"/>
    <w:rsid w:val="F7CF5528"/>
    <w:rsid w:val="FB5748F0"/>
    <w:rsid w:val="FCFF2E20"/>
    <w:rsid w:val="FDEDDAD0"/>
    <w:rsid w:val="FDFF01ED"/>
    <w:rsid w:val="FE3EAFE6"/>
    <w:rsid w:val="FE734873"/>
    <w:rsid w:val="FF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6</Pages>
  <Words>1989</Words>
  <Characters>2148</Characters>
  <Lines>20</Lines>
  <Paragraphs>5</Paragraphs>
  <TotalTime>20</TotalTime>
  <ScaleCrop>false</ScaleCrop>
  <LinksUpToDate>false</LinksUpToDate>
  <CharactersWithSpaces>2309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2021-06-17T13:02:00Z</dcterms:created>
  <dc:creator>夏斌</dc:creator>
  <cp:lastModifiedBy>greatwall</cp:lastModifiedBy>
  <cp:lastPrinted>2022-08-24T15:07:00Z</cp:lastPrinted>
  <dcterms:modified xsi:type="dcterms:W3CDTF">2022-09-01T17:06:14Z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09EEE197ED1E4D94AB562F77793924A3</vt:lpwstr>
  </property>
</Properties>
</file>