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700" w:lineRule="exact"/>
        <w:jc w:val="center"/>
        <w:rPr>
          <w:rFonts w:ascii="Times New Roman" w:hAnsi="Times New Roman" w:eastAsia="方正小标宋简体" w:cs="Times New Roman"/>
          <w:bCs/>
          <w:color w:val="FF0000"/>
          <w:spacing w:val="-10"/>
          <w:w w:val="35"/>
          <w:sz w:val="200"/>
          <w:szCs w:val="160"/>
        </w:rPr>
      </w:pPr>
      <w:bookmarkStart w:id="0" w:name="OLE_LINK1"/>
      <w:bookmarkStart w:id="1" w:name="OLE_LINK3"/>
      <w:bookmarkStart w:id="2" w:name="OLE_LINK2"/>
    </w:p>
    <w:p>
      <w:pPr>
        <w:spacing w:line="1400" w:lineRule="exact"/>
        <w:jc w:val="center"/>
        <w:rPr>
          <w:rFonts w:ascii="Times New Roman" w:hAnsi="Times New Roman" w:eastAsia="方正小标宋简体" w:cs="Times New Roman"/>
          <w:w w:val="57"/>
          <w:sz w:val="130"/>
          <w:szCs w:val="24"/>
        </w:rPr>
      </w:pPr>
      <w:r>
        <w:rPr>
          <w:rFonts w:ascii="Times New Roman" w:hAnsi="Times New Roman" w:eastAsia="仿宋_GB2312" w:cs="Times New Roman"/>
          <w:spacing w:val="-2"/>
          <w:sz w:val="32"/>
          <w:szCs w:val="32"/>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139065</wp:posOffset>
                </wp:positionV>
                <wp:extent cx="6245225" cy="933450"/>
                <wp:effectExtent l="0" t="0" r="3175" b="0"/>
                <wp:wrapNone/>
                <wp:docPr id="1" name="文本框 2"/>
                <wp:cNvGraphicFramePr/>
                <a:graphic xmlns:a="http://schemas.openxmlformats.org/drawingml/2006/main">
                  <a:graphicData uri="http://schemas.microsoft.com/office/word/2010/wordprocessingShape">
                    <wps:wsp>
                      <wps:cNvSpPr txBox="1"/>
                      <wps:spPr>
                        <a:xfrm>
                          <a:off x="0" y="0"/>
                          <a:ext cx="6245225" cy="933450"/>
                        </a:xfrm>
                        <a:prstGeom prst="rect">
                          <a:avLst/>
                        </a:prstGeom>
                        <a:solidFill>
                          <a:srgbClr val="FFFFFF"/>
                        </a:solidFill>
                        <a:ln w="1270">
                          <a:noFill/>
                        </a:ln>
                      </wps:spPr>
                      <wps:txbx>
                        <w:txbxContent>
                          <w:p>
                            <w:pPr>
                              <w:spacing w:line="1400" w:lineRule="exact"/>
                              <w:jc w:val="center"/>
                              <w:rPr>
                                <w:rFonts w:ascii="方正小标宋简体" w:hAnsi="宋体" w:eastAsia="方正小标宋简体"/>
                                <w:color w:val="FF0000"/>
                                <w:spacing w:val="70"/>
                                <w:w w:val="59"/>
                                <w:sz w:val="134"/>
                                <w:szCs w:val="32"/>
                              </w:rPr>
                            </w:pPr>
                            <w:r>
                              <w:rPr>
                                <w:rFonts w:hint="eastAsia" w:ascii="方正小标宋简体" w:eastAsia="方正小标宋简体"/>
                                <w:color w:val="FF0000"/>
                                <w:spacing w:val="-40"/>
                                <w:w w:val="59"/>
                                <w:sz w:val="130"/>
                                <w:szCs w:val="130"/>
                              </w:rPr>
                              <w:t>湖南桃江经济开发区管委会文件</w:t>
                            </w:r>
                          </w:p>
                          <w:p/>
                        </w:txbxContent>
                      </wps:txbx>
                      <wps:bodyPr lIns="0" tIns="0" rIns="0" bIns="0" upright="1"/>
                    </wps:wsp>
                  </a:graphicData>
                </a:graphic>
              </wp:anchor>
            </w:drawing>
          </mc:Choice>
          <mc:Fallback>
            <w:pict>
              <v:shape id="文本框 2" o:spid="_x0000_s1026" o:spt="202" type="#_x0000_t202" style="position:absolute;left:0pt;margin-left:-18pt;margin-top:10.95pt;height:73.5pt;width:491.75pt;z-index:251660288;mso-width-relative:page;mso-height-relative:page;" fillcolor="#FFFFFF" filled="t" stroked="f" coordsize="21600,21600" o:gfxdata="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lJhvDcAAAACgEAAA8AAAAAAAAAAQAgAAAAIgAAAGRycy9kb3ducmV2Lnht&#10;bFBLAQIUABQAAAAIAIdO4kDg+zKOvAEAAFYDAAAOAAAAAAAAAAEAIAAAACsBAABkcnMvZTJvRG9j&#10;LnhtbFBLBQYAAAAABgAGAFkBAABZBQAAAAA=&#10;">
                <v:fill on="t" focussize="0,0"/>
                <v:stroke on="f" weight="0.1pt"/>
                <v:imagedata o:title=""/>
                <o:lock v:ext="edit" aspectratio="f"/>
                <v:textbox inset="0mm,0mm,0mm,0mm">
                  <w:txbxContent>
                    <w:p>
                      <w:pPr>
                        <w:spacing w:line="1400" w:lineRule="exact"/>
                        <w:jc w:val="center"/>
                        <w:rPr>
                          <w:rFonts w:ascii="方正小标宋简体" w:hAnsi="宋体" w:eastAsia="方正小标宋简体"/>
                          <w:color w:val="FF0000"/>
                          <w:spacing w:val="70"/>
                          <w:w w:val="59"/>
                          <w:sz w:val="134"/>
                          <w:szCs w:val="32"/>
                        </w:rPr>
                      </w:pPr>
                      <w:r>
                        <w:rPr>
                          <w:rFonts w:hint="eastAsia" w:ascii="方正小标宋简体" w:eastAsia="方正小标宋简体"/>
                          <w:color w:val="FF0000"/>
                          <w:spacing w:val="-40"/>
                          <w:w w:val="59"/>
                          <w:sz w:val="130"/>
                          <w:szCs w:val="130"/>
                        </w:rPr>
                        <w:t>湖南桃江经济开发区管委会文件</w:t>
                      </w:r>
                    </w:p>
                    <w:p/>
                  </w:txbxContent>
                </v:textbox>
              </v:shape>
            </w:pict>
          </mc:Fallback>
        </mc:AlternateContent>
      </w:r>
    </w:p>
    <w:p>
      <w:pPr>
        <w:spacing w:line="1400" w:lineRule="exact"/>
        <w:ind w:left="3163" w:leftChars="152" w:hanging="2844" w:hangingChars="900"/>
        <w:rPr>
          <w:rFonts w:ascii="Times New Roman" w:hAnsi="Times New Roman" w:eastAsia="仿宋_GB2312" w:cs="Times New Roman"/>
          <w:sz w:val="32"/>
          <w:szCs w:val="32"/>
        </w:rPr>
      </w:pPr>
      <w:r>
        <w:rPr>
          <w:rFonts w:ascii="Times New Roman" w:hAnsi="Times New Roman" w:eastAsia="仿宋_GB2312" w:cs="Times New Roman"/>
          <w:color w:val="000000"/>
          <w:spacing w:val="-2"/>
          <w:sz w:val="32"/>
          <w:szCs w:val="32"/>
        </w:rPr>
        <w:t xml:space="preserve">                  </w:t>
      </w:r>
    </w:p>
    <w:p>
      <w:pPr>
        <w:spacing w:line="590" w:lineRule="exact"/>
        <w:rPr>
          <w:rFonts w:ascii="Times New Roman" w:hAnsi="Times New Roman" w:eastAsia="黑体" w:cs="Times New Roman"/>
          <w:w w:val="90"/>
          <w:szCs w:val="24"/>
        </w:rPr>
      </w:pPr>
      <w:r>
        <w:rPr>
          <w:rFonts w:ascii="Times New Roman" w:hAnsi="Times New Roman" w:eastAsia="宋体" w:cs="Times New Roman"/>
          <w:szCs w:val="24"/>
        </w:rPr>
        <mc:AlternateContent>
          <mc:Choice Requires="wps">
            <w:drawing>
              <wp:anchor distT="0" distB="0" distL="114300" distR="114300" simplePos="0" relativeHeight="251661312" behindDoc="0" locked="0" layoutInCell="1" allowOverlap="1">
                <wp:simplePos x="0" y="0"/>
                <wp:positionH relativeFrom="column">
                  <wp:posOffset>-58420</wp:posOffset>
                </wp:positionH>
                <wp:positionV relativeFrom="paragraph">
                  <wp:posOffset>125730</wp:posOffset>
                </wp:positionV>
                <wp:extent cx="5939790" cy="0"/>
                <wp:effectExtent l="0" t="19050" r="3810" b="19050"/>
                <wp:wrapNone/>
                <wp:docPr id="2" name="直线 4"/>
                <wp:cNvGraphicFramePr/>
                <a:graphic xmlns:a="http://schemas.openxmlformats.org/drawingml/2006/main">
                  <a:graphicData uri="http://schemas.microsoft.com/office/word/2010/wordprocessingShape">
                    <wps:wsp>
                      <wps:cNvCnPr/>
                      <wps:spPr>
                        <a:xfrm>
                          <a:off x="0" y="0"/>
                          <a:ext cx="593979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4.6pt;margin-top:9.9pt;height:0pt;width:467.7pt;z-index:251661312;mso-width-relative:page;mso-height-relative:page;" filled="f" stroked="t" coordsize="21600,21600" o:gfxdata="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9+MfdgAAAAIAQAADwAAAAAAAAABACAAAAAi&#10;AAAAZHJzL2Rvd25yZXYueG1sUEsBAhQAFAAAAAgAh07iQCADdwjRAQAAjgMAAA4AAAAAAAAAAQAg&#10;AAAAJwEAAGRycy9lMm9Eb2MueG1sUEsFBgAAAAAGAAYAWQEAAGoFAAAAAA==&#10;">
                <v:fill on="f" focussize="0,0"/>
                <v:stroke weight="3pt" color="#FF0000" joinstyle="round"/>
                <v:imagedata o:title=""/>
                <o:lock v:ext="edit" aspectratio="f"/>
              </v:line>
            </w:pict>
          </mc:Fallback>
        </mc:AlternateContent>
      </w:r>
    </w:p>
    <w:bookmarkEnd w:id="0"/>
    <w:bookmarkEnd w:id="1"/>
    <w:bookmarkEnd w:id="2"/>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rPr>
        <w:t>湖南省生态环境厅、湖南省发展和改革委员会</w:t>
      </w:r>
      <w:r>
        <w:rPr>
          <w:rFonts w:hint="eastAsia" w:ascii="方正小标宋简体" w:hAnsi="方正小标宋简体" w:eastAsia="方正小标宋简体" w:cs="方正小标宋简体"/>
          <w:sz w:val="44"/>
          <w:szCs w:val="44"/>
          <w:lang w:eastAsia="zh-CN"/>
        </w:rPr>
        <w:t>交办的桃江经开区</w:t>
      </w:r>
      <w:r>
        <w:rPr>
          <w:rFonts w:hint="eastAsia" w:ascii="方正小标宋简体" w:hAnsi="方正小标宋简体" w:eastAsia="方正小标宋简体" w:cs="方正小标宋简体"/>
          <w:sz w:val="44"/>
          <w:szCs w:val="44"/>
          <w:lang w:val="en-US" w:eastAsia="zh-CN"/>
        </w:rPr>
        <w:t>2019年园区</w:t>
      </w:r>
      <w:r>
        <w:rPr>
          <w:rFonts w:hint="eastAsia" w:ascii="方正小标宋简体" w:hAnsi="方正小标宋简体" w:eastAsia="方正小标宋简体" w:cs="方正小标宋简体"/>
          <w:sz w:val="44"/>
          <w:szCs w:val="44"/>
        </w:rPr>
        <w:t>污水处理设施整治专项行动发现问题</w:t>
      </w:r>
      <w:r>
        <w:rPr>
          <w:rFonts w:hint="eastAsia" w:ascii="方正小标宋简体" w:hAnsi="方正小标宋简体" w:eastAsia="方正小标宋简体" w:cs="方正小标宋简体"/>
          <w:sz w:val="44"/>
          <w:szCs w:val="44"/>
          <w:lang w:eastAsia="zh-CN"/>
        </w:rPr>
        <w:t>清单</w:t>
      </w:r>
      <w:r>
        <w:rPr>
          <w:rFonts w:hint="eastAsia" w:ascii="方正小标宋简体" w:hAnsi="方正小标宋简体" w:eastAsia="方正小标宋简体" w:cs="方正小标宋简体"/>
          <w:sz w:val="44"/>
          <w:szCs w:val="44"/>
        </w:rPr>
        <w:t>（第一批）</w:t>
      </w:r>
      <w:r>
        <w:rPr>
          <w:rFonts w:hint="eastAsia" w:ascii="方正小标宋简体" w:hAnsi="方正小标宋简体" w:eastAsia="方正小标宋简体" w:cs="方正小标宋简体"/>
          <w:sz w:val="44"/>
          <w:szCs w:val="44"/>
          <w:lang w:eastAsia="zh-CN"/>
        </w:rPr>
        <w:t>和</w:t>
      </w:r>
      <w:r>
        <w:rPr>
          <w:rFonts w:hint="eastAsia" w:ascii="方正小标宋简体" w:hAnsi="方正小标宋简体" w:eastAsia="方正小标宋简体" w:cs="方正小标宋简体"/>
          <w:sz w:val="44"/>
          <w:szCs w:val="44"/>
          <w:lang w:val="en-US" w:eastAsia="zh-CN"/>
        </w:rPr>
        <w:t>2020年园区</w:t>
      </w:r>
      <w:r>
        <w:rPr>
          <w:rFonts w:hint="eastAsia" w:ascii="方正小标宋简体" w:hAnsi="方正小标宋简体" w:eastAsia="方正小标宋简体" w:cs="方正小标宋简体"/>
          <w:sz w:val="44"/>
          <w:szCs w:val="44"/>
        </w:rPr>
        <w:t>污水处理设施</w:t>
      </w:r>
      <w:r>
        <w:rPr>
          <w:rFonts w:hint="eastAsia" w:ascii="方正小标宋简体" w:hAnsi="方正小标宋简体" w:eastAsia="方正小标宋简体" w:cs="方正小标宋简体"/>
          <w:sz w:val="44"/>
          <w:szCs w:val="44"/>
          <w:lang w:eastAsia="zh-CN"/>
        </w:rPr>
        <w:t>夏季攻势问题销号情况公示</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黑体" w:hAnsi="黑体" w:eastAsia="黑体" w:cs="黑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仿宋_GB2312" w:eastAsia="仿宋_GB2312" w:cs="Times New Roman"/>
          <w:sz w:val="32"/>
          <w:szCs w:val="32"/>
          <w:lang w:eastAsia="zh-CN"/>
        </w:rPr>
      </w:pPr>
      <w:r>
        <w:rPr>
          <w:rFonts w:hint="eastAsia" w:ascii="仿宋_GB2312" w:hAnsi="仿宋_GB2312" w:eastAsia="仿宋_GB2312" w:cs="仿宋_GB2312"/>
          <w:sz w:val="32"/>
          <w:szCs w:val="32"/>
        </w:rPr>
        <w:t>湖南省生态环境厅、湖南省发展和改革委员会</w:t>
      </w:r>
      <w:r>
        <w:rPr>
          <w:rFonts w:hint="eastAsia" w:ascii="仿宋_GB2312" w:hAnsi="仿宋_GB2312" w:eastAsia="仿宋_GB2312" w:cs="仿宋_GB2312"/>
          <w:sz w:val="32"/>
          <w:szCs w:val="32"/>
          <w:lang w:eastAsia="zh-CN"/>
        </w:rPr>
        <w:t>交办的</w:t>
      </w:r>
      <w:r>
        <w:rPr>
          <w:rFonts w:hint="eastAsia" w:ascii="仿宋_GB2312" w:hAnsi="仿宋_GB2312" w:eastAsia="仿宋_GB2312" w:cs="仿宋_GB2312"/>
          <w:sz w:val="32"/>
          <w:szCs w:val="32"/>
          <w:lang w:val="en-US" w:eastAsia="zh-CN"/>
        </w:rPr>
        <w:t>2019年园区</w:t>
      </w:r>
      <w:r>
        <w:rPr>
          <w:rFonts w:hint="eastAsia" w:ascii="仿宋_GB2312" w:hAnsi="仿宋_GB2312" w:eastAsia="仿宋_GB2312" w:cs="仿宋_GB2312"/>
          <w:sz w:val="32"/>
          <w:szCs w:val="32"/>
        </w:rPr>
        <w:t>污水处理设施整治专项行动发现问题</w:t>
      </w:r>
      <w:r>
        <w:rPr>
          <w:rFonts w:hint="eastAsia" w:ascii="仿宋_GB2312" w:hAnsi="仿宋_GB2312" w:eastAsia="仿宋_GB2312" w:cs="仿宋_GB2312"/>
          <w:sz w:val="32"/>
          <w:szCs w:val="32"/>
          <w:lang w:eastAsia="zh-CN"/>
        </w:rPr>
        <w:t>清单</w:t>
      </w:r>
      <w:r>
        <w:rPr>
          <w:rFonts w:hint="eastAsia" w:ascii="仿宋_GB2312" w:hAnsi="仿宋_GB2312" w:eastAsia="仿宋_GB2312" w:cs="仿宋_GB2312"/>
          <w:sz w:val="32"/>
          <w:szCs w:val="32"/>
        </w:rPr>
        <w:t>（第一批</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2020年园区</w:t>
      </w:r>
      <w:r>
        <w:rPr>
          <w:rFonts w:hint="eastAsia" w:ascii="仿宋_GB2312" w:hAnsi="仿宋_GB2312" w:eastAsia="仿宋_GB2312" w:cs="仿宋_GB2312"/>
          <w:sz w:val="32"/>
          <w:szCs w:val="32"/>
        </w:rPr>
        <w:t>污水处理设施</w:t>
      </w:r>
      <w:r>
        <w:rPr>
          <w:rFonts w:hint="eastAsia" w:ascii="仿宋_GB2312" w:hAnsi="仿宋_GB2312" w:eastAsia="仿宋_GB2312" w:cs="仿宋_GB2312"/>
          <w:sz w:val="32"/>
          <w:szCs w:val="32"/>
          <w:lang w:eastAsia="zh-CN"/>
        </w:rPr>
        <w:t>夏季攻势问题已完成整改，按照</w:t>
      </w:r>
      <w:r>
        <w:rPr>
          <w:rFonts w:ascii="Times New Roman" w:hAnsi="仿宋_GB2312" w:eastAsia="仿宋_GB2312" w:cs="Times New Roman"/>
          <w:sz w:val="32"/>
          <w:szCs w:val="32"/>
        </w:rPr>
        <w:t>湖南省生态环境厅、湖南省发展和改革委员会《关于做好产业园区污水处理设施问题排查整治销号和</w:t>
      </w:r>
      <w:r>
        <w:rPr>
          <w:rFonts w:ascii="Times New Roman" w:hAnsi="Times New Roman" w:eastAsia="仿宋_GB2312" w:cs="Times New Roman"/>
          <w:sz w:val="32"/>
          <w:szCs w:val="32"/>
        </w:rPr>
        <w:t>“</w:t>
      </w:r>
      <w:r>
        <w:rPr>
          <w:rFonts w:ascii="Times New Roman" w:hAnsi="仿宋_GB2312" w:eastAsia="仿宋_GB2312" w:cs="Times New Roman"/>
          <w:sz w:val="32"/>
          <w:szCs w:val="32"/>
        </w:rPr>
        <w:t>一园一档</w:t>
      </w:r>
      <w:r>
        <w:rPr>
          <w:rFonts w:ascii="Times New Roman" w:hAnsi="Times New Roman" w:eastAsia="仿宋_GB2312" w:cs="Times New Roman"/>
          <w:sz w:val="32"/>
          <w:szCs w:val="32"/>
        </w:rPr>
        <w:t>”</w:t>
      </w:r>
      <w:r>
        <w:rPr>
          <w:rFonts w:ascii="Times New Roman" w:hAnsi="仿宋_GB2312" w:eastAsia="仿宋_GB2312" w:cs="Times New Roman"/>
          <w:sz w:val="32"/>
          <w:szCs w:val="32"/>
        </w:rPr>
        <w:t>管理工作的通知》（湘环函</w:t>
      </w:r>
      <w:r>
        <w:rPr>
          <w:rFonts w:ascii="Times New Roman" w:hAnsi="Times New Roman" w:eastAsia="仿宋_GB2312" w:cs="Times New Roman"/>
          <w:spacing w:val="-2"/>
          <w:sz w:val="32"/>
          <w:szCs w:val="32"/>
        </w:rPr>
        <w:t>〔2020〕39号</w:t>
      </w:r>
      <w:r>
        <w:rPr>
          <w:rFonts w:ascii="Times New Roman" w:hAnsi="仿宋_GB2312" w:eastAsia="仿宋_GB2312" w:cs="Times New Roman"/>
          <w:sz w:val="32"/>
          <w:szCs w:val="32"/>
        </w:rPr>
        <w:t>）、《关于交办工业园区污水处理设施整治专项行动发现问题（第一批）的函》（湘环函</w:t>
      </w:r>
      <w:r>
        <w:rPr>
          <w:rFonts w:ascii="Times New Roman" w:hAnsi="Times New Roman" w:eastAsia="仿宋_GB2312" w:cs="Times New Roman"/>
          <w:spacing w:val="-2"/>
          <w:sz w:val="32"/>
          <w:szCs w:val="32"/>
        </w:rPr>
        <w:t>〔2019〕175号</w:t>
      </w:r>
      <w:r>
        <w:rPr>
          <w:rFonts w:ascii="Times New Roman" w:hAnsi="仿宋_GB2312" w:eastAsia="仿宋_GB2312" w:cs="Times New Roman"/>
          <w:sz w:val="32"/>
          <w:szCs w:val="32"/>
        </w:rPr>
        <w:t>）</w:t>
      </w:r>
      <w:r>
        <w:rPr>
          <w:rFonts w:hint="eastAsia" w:ascii="Times New Roman" w:hAnsi="仿宋_GB2312" w:eastAsia="仿宋_GB2312" w:cs="Times New Roman"/>
          <w:sz w:val="32"/>
          <w:szCs w:val="32"/>
          <w:lang w:eastAsia="zh-CN"/>
        </w:rPr>
        <w:t>文件要求，园区管委会将整改问题完成情况进行公示。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仿宋_GB2312" w:eastAsia="仿宋_GB2312" w:cs="Times New Roman"/>
          <w:sz w:val="32"/>
          <w:szCs w:val="32"/>
          <w:lang w:eastAsia="zh-CN"/>
        </w:rPr>
      </w:pPr>
      <w:r>
        <w:rPr>
          <w:rFonts w:hint="eastAsia" w:ascii="Times New Roman" w:hAnsi="仿宋_GB2312" w:eastAsia="仿宋_GB2312" w:cs="Times New Roman"/>
          <w:sz w:val="32"/>
          <w:szCs w:val="32"/>
          <w:lang w:eastAsia="zh-CN"/>
        </w:rPr>
        <w:t>附：整改完成情况报告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仿宋_GB2312"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仿宋_GB2312" w:eastAsia="仿宋_GB2312" w:cs="Times New Roman"/>
          <w:sz w:val="32"/>
          <w:szCs w:val="32"/>
          <w:lang w:val="en-US" w:eastAsia="zh-CN"/>
        </w:rPr>
      </w:pPr>
      <w:r>
        <w:rPr>
          <w:rFonts w:hint="eastAsia" w:ascii="Times New Roman" w:hAnsi="仿宋_GB2312" w:eastAsia="仿宋_GB2312" w:cs="Times New Roman"/>
          <w:sz w:val="32"/>
          <w:szCs w:val="32"/>
          <w:lang w:val="en-US" w:eastAsia="zh-CN"/>
        </w:rPr>
        <w:t xml:space="preserve">               湖南桃江经济开发区管理委员会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仿宋_GB2312" w:eastAsia="仿宋_GB2312" w:cs="Times New Roman"/>
          <w:sz w:val="32"/>
          <w:szCs w:val="32"/>
          <w:lang w:val="en-US" w:eastAsia="zh-CN"/>
        </w:rPr>
      </w:pPr>
      <w:r>
        <w:rPr>
          <w:rFonts w:hint="eastAsia" w:ascii="Times New Roman" w:hAnsi="仿宋_GB2312" w:eastAsia="仿宋_GB2312" w:cs="Times New Roman"/>
          <w:sz w:val="32"/>
          <w:szCs w:val="32"/>
          <w:lang w:val="en-US" w:eastAsia="zh-CN"/>
        </w:rPr>
        <w:t xml:space="preserve">                     2020年9月11日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仿宋_GB2312"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仿宋_GB2312"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仿宋_GB2312"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仿宋_GB2312"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仿宋_GB2312"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仿宋_GB2312"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仿宋_GB2312"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仿宋_GB2312"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仿宋_GB2312"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仿宋_GB2312"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仿宋_GB2312"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仿宋_GB2312"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仿宋_GB2312"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仿宋_GB2312"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仿宋_GB2312"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仿宋_GB2312" w:eastAsia="仿宋_GB2312" w:cs="Times New Roman"/>
          <w:sz w:val="32"/>
          <w:szCs w:val="32"/>
          <w:lang w:val="en-US" w:eastAsia="zh-CN"/>
        </w:rPr>
      </w:pPr>
    </w:p>
    <w:p>
      <w:pPr>
        <w:widowControl/>
        <w:shd w:val="clear" w:color="auto" w:fill="FFFFFF"/>
        <w:spacing w:line="440" w:lineRule="atLeast"/>
        <w:rPr>
          <w:rFonts w:ascii="仿宋_GB2312" w:hAnsi="宋体" w:eastAsia="仿宋_GB2312" w:cs="宋体"/>
          <w:color w:val="000000"/>
          <w:kern w:val="0"/>
          <w:sz w:val="32"/>
          <w:szCs w:val="32"/>
        </w:rPr>
      </w:pPr>
    </w:p>
    <w:p>
      <w:pPr>
        <w:spacing w:line="300" w:lineRule="exact"/>
        <w:rPr>
          <w:rFonts w:ascii="Times New Roman" w:hAnsi="Times New Roman" w:eastAsia="仿宋_GB2312" w:cs="Times New Roman"/>
          <w:sz w:val="32"/>
          <w:szCs w:val="32"/>
        </w:rPr>
      </w:pPr>
    </w:p>
    <w:p>
      <w:pPr>
        <w:spacing w:line="480" w:lineRule="exact"/>
        <w:rPr>
          <w:rFonts w:hint="eastAsia" w:ascii="Times New Roman" w:hAnsi="仿宋_GB2312" w:eastAsia="仿宋_GB2312" w:cs="Times New Roman"/>
          <w:sz w:val="32"/>
          <w:szCs w:val="32"/>
          <w:lang w:val="en-US" w:eastAsia="zh-CN"/>
        </w:rPr>
      </w:pPr>
      <w:r>
        <w:rPr>
          <w:rFonts w:ascii="仿宋_GB2312" w:eastAsia="仿宋_GB2312"/>
          <w:sz w:val="28"/>
          <w:szCs w:val="28"/>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5482590" cy="0"/>
                <wp:effectExtent l="0" t="9525" r="3810" b="9525"/>
                <wp:wrapNone/>
                <wp:docPr id="6" name="直接连接符 6"/>
                <wp:cNvGraphicFramePr/>
                <a:graphic xmlns:a="http://schemas.openxmlformats.org/drawingml/2006/main">
                  <a:graphicData uri="http://schemas.microsoft.com/office/word/2010/wordprocessingShape">
                    <wps:wsp>
                      <wps:cNvCnPr/>
                      <wps:spPr>
                        <a:xfrm>
                          <a:off x="0" y="0"/>
                          <a:ext cx="5482590" cy="0"/>
                        </a:xfrm>
                        <a:prstGeom prst="line">
                          <a:avLst/>
                        </a:prstGeom>
                        <a:noFill/>
                        <a:ln w="19050" cap="flat"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0pt;margin-top:0pt;height:0pt;width:431.7pt;z-index:251683840;mso-width-relative:page;mso-height-relative:page;" filled="f" stroked="t" coordsize="21600,21600" o:gfxdata="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HYeDtMAAAACAQAADwAAAAAAAAABACAAAAAiAAAAZHJz&#10;L2Rvd25yZXYueG1sUEsBAhQAFAAAAAgAh07iQLPVCFEJAgAA5wMAAA4AAAAAAAAAAQAgAAAAIgEA&#10;AGRycy9lMm9Eb2MueG1sUEsFBgAAAAAGAAYAWQEAAJ0FAAAAAA==&#10;">
                <v:fill on="f" focussize="0,0"/>
                <v:stroke weight="1.5pt" color="#000000" joinstyle="miter"/>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395605</wp:posOffset>
                </wp:positionV>
                <wp:extent cx="5482590" cy="0"/>
                <wp:effectExtent l="0" t="9525" r="3810" b="9525"/>
                <wp:wrapNone/>
                <wp:docPr id="8" name="直接连接符 8"/>
                <wp:cNvGraphicFramePr/>
                <a:graphic xmlns:a="http://schemas.openxmlformats.org/drawingml/2006/main">
                  <a:graphicData uri="http://schemas.microsoft.com/office/word/2010/wordprocessingShape">
                    <wps:wsp>
                      <wps:cNvCnPr/>
                      <wps:spPr>
                        <a:xfrm>
                          <a:off x="0" y="0"/>
                          <a:ext cx="5482590" cy="0"/>
                        </a:xfrm>
                        <a:prstGeom prst="line">
                          <a:avLst/>
                        </a:prstGeom>
                        <a:noFill/>
                        <a:ln w="19050" cap="flat"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0pt;margin-top:31.15pt;height:0pt;width:431.7pt;z-index:251684864;mso-width-relative:page;mso-height-relative:page;" filled="f" stroked="t" coordsize="21600,21600" o:gfxdata="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&#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t/WyB1gAAAAYBAAAPAAAAAAAAAAEAIAAAACIAAABk&#10;cnMvZG93bnJldi54bWxQSwECFAAUAAAACACHTuJAtl5vKggCAADnAwAADgAAAAAAAAABACAAAAAl&#10;AQAAZHJzL2Uyb0RvYy54bWxQSwUGAAAAAAYABgBZAQAAnwUAAAAA&#10;">
                <v:fill on="f" focussize="0,0"/>
                <v:stroke weight="1.5pt" color="#000000" joinstyle="miter"/>
                <v:imagedata o:title=""/>
                <o:lock v:ext="edit" aspectratio="f"/>
              </v:line>
            </w:pict>
          </mc:Fallback>
        </mc:AlternateContent>
      </w:r>
      <w:r>
        <w:rPr>
          <w:rFonts w:hint="eastAsia" w:ascii="仿宋_GB2312" w:eastAsia="仿宋_GB2312"/>
          <w:sz w:val="28"/>
          <w:szCs w:val="28"/>
        </w:rPr>
        <w:t xml:space="preserve">湖南桃江经济开发区管理委员会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2020年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11</w:t>
      </w:r>
      <w:r>
        <w:rPr>
          <w:rFonts w:hint="eastAsia" w:ascii="仿宋_GB2312" w:eastAsia="仿宋_GB2312"/>
          <w:sz w:val="28"/>
          <w:szCs w:val="28"/>
        </w:rPr>
        <w:t>日印发</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val="en-US" w:eastAsia="zh-CN"/>
        </w:rPr>
        <w:t>关于2019年园区</w:t>
      </w:r>
      <w:r>
        <w:rPr>
          <w:rFonts w:hint="eastAsia" w:ascii="黑体" w:hAnsi="黑体" w:eastAsia="黑体" w:cs="黑体"/>
          <w:sz w:val="44"/>
          <w:szCs w:val="44"/>
        </w:rPr>
        <w:t>污水处理设施整治专项行动发现问题</w:t>
      </w:r>
      <w:r>
        <w:rPr>
          <w:rFonts w:hint="eastAsia" w:ascii="黑体" w:hAnsi="黑体" w:eastAsia="黑体" w:cs="黑体"/>
          <w:sz w:val="44"/>
          <w:szCs w:val="44"/>
          <w:lang w:eastAsia="zh-CN"/>
        </w:rPr>
        <w:t>清单</w:t>
      </w:r>
      <w:r>
        <w:rPr>
          <w:rFonts w:hint="eastAsia" w:ascii="黑体" w:hAnsi="黑体" w:eastAsia="黑体" w:cs="黑体"/>
          <w:sz w:val="44"/>
          <w:szCs w:val="44"/>
        </w:rPr>
        <w:t>（第一批）</w:t>
      </w:r>
      <w:r>
        <w:rPr>
          <w:rFonts w:hint="eastAsia" w:ascii="黑体" w:hAnsi="黑体" w:eastAsia="黑体" w:cs="黑体"/>
          <w:sz w:val="44"/>
          <w:szCs w:val="44"/>
          <w:lang w:eastAsia="zh-CN"/>
        </w:rPr>
        <w:t>和</w:t>
      </w:r>
      <w:r>
        <w:rPr>
          <w:rFonts w:hint="eastAsia" w:ascii="黑体" w:hAnsi="黑体" w:eastAsia="黑体" w:cs="黑体"/>
          <w:sz w:val="44"/>
          <w:szCs w:val="44"/>
          <w:lang w:val="en-US" w:eastAsia="zh-CN"/>
        </w:rPr>
        <w:t>2020年园区</w:t>
      </w:r>
      <w:r>
        <w:rPr>
          <w:rFonts w:hint="eastAsia" w:ascii="黑体" w:hAnsi="黑体" w:eastAsia="黑体" w:cs="黑体"/>
          <w:sz w:val="44"/>
          <w:szCs w:val="44"/>
        </w:rPr>
        <w:t>污水处理设施</w:t>
      </w:r>
      <w:r>
        <w:rPr>
          <w:rFonts w:hint="eastAsia" w:ascii="黑体" w:hAnsi="黑体" w:eastAsia="黑体" w:cs="黑体"/>
          <w:sz w:val="44"/>
          <w:szCs w:val="44"/>
          <w:lang w:eastAsia="zh-CN"/>
        </w:rPr>
        <w:t>夏季攻势问题的整改完成情况报告</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黑体" w:hAnsi="黑体" w:eastAsia="黑体" w:cs="黑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根据湖南省生态环境厅、湖南省发展和改革委员会《关于做好产业园区污水处理设施问题排查整治销号和“一园一档”管理工作的通知》（湘环函</w:t>
      </w:r>
      <w:r>
        <w:rPr>
          <w:rFonts w:ascii="Times New Roman" w:hAnsi="Times New Roman" w:eastAsia="仿宋_GB2312" w:cs="Times New Roman"/>
          <w:spacing w:val="-2"/>
          <w:sz w:val="32"/>
          <w:szCs w:val="32"/>
        </w:rPr>
        <w:t>〔20</w:t>
      </w:r>
      <w:r>
        <w:rPr>
          <w:rFonts w:hint="eastAsia" w:ascii="Times New Roman" w:hAnsi="Times New Roman" w:eastAsia="仿宋_GB2312" w:cs="Times New Roman"/>
          <w:spacing w:val="-2"/>
          <w:sz w:val="32"/>
          <w:szCs w:val="32"/>
        </w:rPr>
        <w:t>20</w:t>
      </w:r>
      <w:r>
        <w:rPr>
          <w:rFonts w:ascii="Times New Roman" w:hAnsi="Times New Roman" w:eastAsia="仿宋_GB2312" w:cs="Times New Roman"/>
          <w:spacing w:val="-2"/>
          <w:sz w:val="32"/>
          <w:szCs w:val="32"/>
        </w:rPr>
        <w:t>〕</w:t>
      </w:r>
      <w:r>
        <w:rPr>
          <w:rFonts w:hint="eastAsia" w:ascii="Times New Roman" w:hAnsi="Times New Roman" w:eastAsia="仿宋_GB2312" w:cs="Times New Roman"/>
          <w:spacing w:val="-2"/>
          <w:sz w:val="32"/>
          <w:szCs w:val="32"/>
        </w:rPr>
        <w:t>39号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《关于交办工业园区污水处理设施整治专项行动发现问题（第一批）的函》（湘环函</w:t>
      </w:r>
      <w:r>
        <w:rPr>
          <w:rFonts w:ascii="Times New Roman" w:hAnsi="Times New Roman" w:eastAsia="仿宋_GB2312" w:cs="Times New Roman"/>
          <w:spacing w:val="-2"/>
          <w:sz w:val="32"/>
          <w:szCs w:val="32"/>
        </w:rPr>
        <w:t>〔20</w:t>
      </w:r>
      <w:r>
        <w:rPr>
          <w:rFonts w:hint="eastAsia" w:ascii="Times New Roman" w:hAnsi="Times New Roman" w:eastAsia="仿宋_GB2312" w:cs="Times New Roman"/>
          <w:spacing w:val="-2"/>
          <w:sz w:val="32"/>
          <w:szCs w:val="32"/>
        </w:rPr>
        <w:t>19</w:t>
      </w:r>
      <w:r>
        <w:rPr>
          <w:rFonts w:ascii="Times New Roman" w:hAnsi="Times New Roman" w:eastAsia="仿宋_GB2312" w:cs="Times New Roman"/>
          <w:spacing w:val="-2"/>
          <w:sz w:val="32"/>
          <w:szCs w:val="32"/>
        </w:rPr>
        <w:t>〕</w:t>
      </w:r>
      <w:r>
        <w:rPr>
          <w:rFonts w:hint="eastAsia" w:ascii="Times New Roman" w:hAnsi="Times New Roman" w:eastAsia="仿宋_GB2312" w:cs="Times New Roman"/>
          <w:spacing w:val="-2"/>
          <w:sz w:val="32"/>
          <w:szCs w:val="32"/>
        </w:rPr>
        <w:t>175号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文件要求，我区认真组织、积极开展了排查整治工作。主要存在问题如下</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“因园区内存在涉水企业污水排放量少导致污水处理设施未运行”的问题。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“已建成的管网之间未连接上或连接好”的问题。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“有制度但制度中未明确排查周期的问题”的问题。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“其他污水收集情况</w:t>
      </w:r>
      <w:r>
        <w:rPr>
          <w:rFonts w:hint="eastAsia" w:ascii="仿宋_GB2312" w:hAnsi="仿宋_GB2312" w:eastAsia="仿宋_GB2312" w:cs="仿宋_GB2312"/>
          <w:sz w:val="32"/>
          <w:szCs w:val="32"/>
          <w:lang w:val="en-US" w:eastAsia="zh-CN"/>
        </w:rPr>
        <w:t>(雨水与污水未完全分别收集）</w:t>
      </w:r>
      <w:r>
        <w:rPr>
          <w:rFonts w:hint="eastAsia" w:ascii="仿宋_GB2312" w:hAnsi="仿宋_GB2312" w:eastAsia="仿宋_GB2312" w:cs="仿宋_GB2312"/>
          <w:sz w:val="32"/>
          <w:szCs w:val="32"/>
          <w:lang w:eastAsia="zh-CN"/>
        </w:rPr>
        <w:t>”的问题。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“桃江县第二污水处理厂进口浓度过低（部分月份</w:t>
      </w:r>
      <w:r>
        <w:rPr>
          <w:rFonts w:hint="eastAsia" w:ascii="仿宋_GB2312" w:hAnsi="仿宋_GB2312" w:eastAsia="仿宋_GB2312" w:cs="仿宋_GB2312"/>
          <w:sz w:val="32"/>
          <w:szCs w:val="32"/>
          <w:lang w:val="en-US" w:eastAsia="zh-CN"/>
        </w:rPr>
        <w:t>COD月均值低于60mg/L</w:t>
      </w:r>
      <w:r>
        <w:rPr>
          <w:rFonts w:hint="eastAsia" w:ascii="仿宋_GB2312" w:hAnsi="仿宋_GB2312" w:eastAsia="仿宋_GB2312" w:cs="仿宋_GB2312"/>
          <w:sz w:val="32"/>
          <w:szCs w:val="32"/>
          <w:lang w:eastAsia="zh-CN"/>
        </w:rPr>
        <w:t>）”的问题。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“在线监控管理不规范”的问题。</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为切实开展好此项工作，落</w:t>
      </w:r>
      <w:r>
        <w:rPr>
          <w:rFonts w:hint="eastAsia" w:ascii="仿宋_GB2312" w:hAnsi="仿宋_GB2312" w:eastAsia="仿宋_GB2312" w:cs="仿宋_GB2312"/>
          <w:sz w:val="32"/>
          <w:szCs w:val="32"/>
          <w:lang w:val="en-US" w:eastAsia="zh-CN"/>
        </w:rPr>
        <w:t>实</w:t>
      </w:r>
      <w:r>
        <w:rPr>
          <w:rFonts w:hint="eastAsia" w:ascii="仿宋_GB2312" w:hAnsi="仿宋_GB2312" w:eastAsia="仿宋_GB2312" w:cs="仿宋_GB2312"/>
          <w:sz w:val="32"/>
          <w:szCs w:val="32"/>
          <w:lang w:eastAsia="zh-CN"/>
        </w:rPr>
        <w:t>问题整改主体责任，我区于</w:t>
      </w:r>
      <w:r>
        <w:rPr>
          <w:rFonts w:hint="eastAsia" w:ascii="仿宋_GB2312" w:hAnsi="仿宋_GB2312" w:eastAsia="仿宋_GB2312" w:cs="仿宋_GB2312"/>
          <w:sz w:val="32"/>
          <w:szCs w:val="32"/>
          <w:lang w:val="en-US" w:eastAsia="zh-CN"/>
        </w:rPr>
        <w:t>2020年3月20日成立了工作领导小组，并于当天制定了《桃江经济开发区“一园一策”专项整治实施方案》，方案中明确了整改措施、完成时间和责任人员，对照问题进行逐一整改，现就整改完成情况报告如下：</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选定</w:t>
      </w:r>
      <w:r>
        <w:rPr>
          <w:rFonts w:hint="eastAsia" w:ascii="仿宋_GB2312" w:hAnsi="仿宋_GB2312" w:eastAsia="仿宋_GB2312" w:cs="仿宋_GB2312"/>
          <w:sz w:val="32"/>
          <w:szCs w:val="32"/>
          <w:lang w:eastAsia="zh-CN"/>
        </w:rPr>
        <w:t>湖南</w:t>
      </w:r>
      <w:r>
        <w:rPr>
          <w:rFonts w:hint="eastAsia" w:ascii="仿宋_GB2312" w:hAnsi="仿宋_GB2312" w:eastAsia="仿宋_GB2312" w:cs="仿宋_GB2312"/>
          <w:sz w:val="32"/>
          <w:szCs w:val="32"/>
        </w:rPr>
        <w:t>修</w:t>
      </w:r>
      <w:r>
        <w:rPr>
          <w:rFonts w:hint="eastAsia" w:ascii="仿宋_GB2312" w:hAnsi="仿宋_GB2312" w:eastAsia="仿宋_GB2312" w:cs="仿宋_GB2312"/>
          <w:sz w:val="32"/>
          <w:szCs w:val="32"/>
          <w:lang w:eastAsia="zh-CN"/>
        </w:rPr>
        <w:t>峰</w:t>
      </w:r>
      <w:r>
        <w:rPr>
          <w:rFonts w:hint="eastAsia" w:ascii="仿宋_GB2312" w:hAnsi="仿宋_GB2312" w:eastAsia="仿宋_GB2312" w:cs="仿宋_GB2312"/>
          <w:sz w:val="32"/>
          <w:szCs w:val="32"/>
        </w:rPr>
        <w:t>环保</w:t>
      </w:r>
      <w:r>
        <w:rPr>
          <w:rFonts w:hint="eastAsia" w:ascii="仿宋_GB2312" w:hAnsi="仿宋_GB2312" w:eastAsia="仿宋_GB2312" w:cs="仿宋_GB2312"/>
          <w:sz w:val="32"/>
          <w:szCs w:val="32"/>
          <w:lang w:eastAsia="zh-CN"/>
        </w:rPr>
        <w:t>科技有限</w:t>
      </w:r>
      <w:r>
        <w:rPr>
          <w:rFonts w:hint="eastAsia" w:ascii="仿宋_GB2312" w:hAnsi="仿宋_GB2312" w:eastAsia="仿宋_GB2312" w:cs="仿宋_GB2312"/>
          <w:sz w:val="32"/>
          <w:szCs w:val="32"/>
        </w:rPr>
        <w:t>公司为运营单位，并督促其拟定方案对污水处理设施进行改造，</w:t>
      </w:r>
      <w:r>
        <w:rPr>
          <w:rFonts w:hint="eastAsia" w:ascii="仿宋_GB2312" w:hAnsi="仿宋_GB2312" w:eastAsia="仿宋_GB2312" w:cs="仿宋_GB2312"/>
          <w:sz w:val="32"/>
          <w:szCs w:val="32"/>
          <w:lang w:eastAsia="zh-CN"/>
        </w:rPr>
        <w:t>改造方案为：</w:t>
      </w:r>
      <w:r>
        <w:rPr>
          <w:rFonts w:hint="eastAsia" w:ascii="仿宋_GB2312" w:hAnsi="仿宋_GB2312" w:eastAsia="仿宋_GB2312" w:cs="仿宋_GB2312"/>
          <w:sz w:val="32"/>
          <w:szCs w:val="32"/>
        </w:rPr>
        <w:t>1、两组粗格栅、细格栅将停止运行一组；2、两组AAO生反池实行每一天交替运行方式：每日上午8点切换AAO池进口的进水和回流闸门，实行单池运行。在水量不足的情况下尽可能的延长工艺连续运行的时间，同时两池交替运行，也确保两条AAO池的污泥活性，使其在受到水量冲击的情况下也能保证两条AAO池能立即运行，最终确保出水达标排放。</w:t>
      </w:r>
      <w:r>
        <w:rPr>
          <w:rFonts w:hint="eastAsia" w:ascii="仿宋_GB2312" w:hAnsi="仿宋_GB2312" w:eastAsia="仿宋_GB2312" w:cs="仿宋_GB2312"/>
          <w:sz w:val="32"/>
          <w:szCs w:val="32"/>
          <w:lang w:eastAsia="zh-CN"/>
        </w:rPr>
        <w:t>目前，桃江县第二污水处理厂</w:t>
      </w:r>
      <w:r>
        <w:rPr>
          <w:rFonts w:hint="eastAsia" w:ascii="仿宋_GB2312" w:hAnsi="仿宋_GB2312" w:eastAsia="仿宋_GB2312" w:cs="仿宋_GB2312"/>
          <w:sz w:val="32"/>
          <w:szCs w:val="32"/>
        </w:rPr>
        <w:t>污水处理设施</w:t>
      </w:r>
      <w:r>
        <w:rPr>
          <w:rFonts w:hint="eastAsia" w:ascii="仿宋_GB2312" w:hAnsi="仿宋_GB2312" w:eastAsia="仿宋_GB2312" w:cs="仿宋_GB2312"/>
          <w:sz w:val="32"/>
          <w:szCs w:val="32"/>
          <w:lang w:eastAsia="zh-CN"/>
        </w:rPr>
        <w:t>已正常运行</w:t>
      </w:r>
      <w:r>
        <w:rPr>
          <w:rFonts w:hint="eastAsia" w:ascii="仿宋_GB2312" w:hAnsi="仿宋_GB2312" w:eastAsia="仿宋_GB2312" w:cs="仿宋_GB2312"/>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5"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我区已</w:t>
      </w:r>
      <w:r>
        <w:rPr>
          <w:rFonts w:hint="eastAsia" w:ascii="仿宋_GB2312" w:hAnsi="仿宋_GB2312" w:eastAsia="仿宋_GB2312" w:cs="仿宋_GB2312"/>
          <w:sz w:val="32"/>
          <w:szCs w:val="32"/>
          <w:lang w:val="en-US" w:eastAsia="zh-CN"/>
        </w:rPr>
        <w:t>新建口味王至金盆北路污水管网，包括DN800主污水连接管(连接半稼洲路至金盆北路）DN600污水支管收集了凤冠电机、腾化食品、安达电子、口味王等企业</w:t>
      </w:r>
      <w:bookmarkStart w:id="3" w:name="_GoBack"/>
      <w:bookmarkEnd w:id="3"/>
      <w:r>
        <w:rPr>
          <w:rFonts w:hint="eastAsia" w:ascii="仿宋_GB2312" w:hAnsi="仿宋_GB2312" w:eastAsia="仿宋_GB2312" w:cs="仿宋_GB2312"/>
          <w:sz w:val="32"/>
          <w:szCs w:val="32"/>
          <w:lang w:val="en-US" w:eastAsia="zh-CN"/>
        </w:rPr>
        <w:t>污水。</w:t>
      </w:r>
      <w:r>
        <w:rPr>
          <w:rFonts w:hint="eastAsia" w:ascii="仿宋_GB2312" w:hAnsi="仿宋_GB2312" w:eastAsia="仿宋_GB2312" w:cs="仿宋_GB2312"/>
          <w:b w:val="0"/>
          <w:bCs w:val="0"/>
          <w:sz w:val="32"/>
          <w:szCs w:val="32"/>
          <w:lang w:val="en-US" w:eastAsia="zh-CN"/>
        </w:rPr>
        <w:t>目前，园区内已建成污水管网之间已全部连接好，无污水直排现象。</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5"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召开专题会议</w:t>
      </w: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桃江经济开发区污水管网巡检制度</w:t>
      </w:r>
      <w:r>
        <w:rPr>
          <w:rFonts w:hint="eastAsia" w:ascii="仿宋_GB2312" w:hAnsi="仿宋_GB2312" w:eastAsia="仿宋_GB2312" w:cs="仿宋_GB2312"/>
          <w:sz w:val="32"/>
          <w:szCs w:val="32"/>
          <w:lang w:eastAsia="zh-CN"/>
        </w:rPr>
        <w:t>，组织相关单位和人员进行了学习，并明确由区安监局对</w:t>
      </w:r>
      <w:r>
        <w:rPr>
          <w:rFonts w:hint="eastAsia" w:ascii="仿宋_GB2312" w:hAnsi="仿宋_GB2312" w:eastAsia="仿宋_GB2312" w:cs="仿宋_GB2312"/>
          <w:sz w:val="32"/>
          <w:szCs w:val="32"/>
        </w:rPr>
        <w:t>污水管网和设施进行</w:t>
      </w:r>
      <w:r>
        <w:rPr>
          <w:rFonts w:hint="eastAsia" w:ascii="仿宋_GB2312" w:hAnsi="仿宋_GB2312" w:eastAsia="仿宋_GB2312" w:cs="仿宋_GB2312"/>
          <w:sz w:val="32"/>
          <w:szCs w:val="32"/>
          <w:lang w:eastAsia="zh-CN"/>
        </w:rPr>
        <w:t>每月</w:t>
      </w:r>
      <w:r>
        <w:rPr>
          <w:rFonts w:hint="eastAsia" w:ascii="仿宋_GB2312" w:hAnsi="仿宋_GB2312" w:eastAsia="仿宋_GB2312" w:cs="仿宋_GB2312"/>
          <w:sz w:val="32"/>
          <w:szCs w:val="32"/>
        </w:rPr>
        <w:t>巡查</w:t>
      </w:r>
      <w:r>
        <w:rPr>
          <w:rFonts w:hint="eastAsia" w:ascii="仿宋_GB2312" w:hAnsi="仿宋_GB2312" w:eastAsia="仿宋_GB2312" w:cs="仿宋_GB2312"/>
          <w:sz w:val="32"/>
          <w:szCs w:val="32"/>
          <w:lang w:eastAsia="zh-CN"/>
        </w:rPr>
        <w:t>，建立好台帐，确定吴赞科为责任人。</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5"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新建口味王至金盆北路污水管网，将原半稼洲雨污混流管道分离，污水通过新建DN800的主管分离至金盆北路污水管网系统中。</w:t>
      </w:r>
      <w:r>
        <w:rPr>
          <w:rFonts w:hint="eastAsia" w:ascii="仿宋_GB2312" w:hAnsi="仿宋_GB2312" w:eastAsia="仿宋_GB2312" w:cs="仿宋_GB2312"/>
          <w:sz w:val="32"/>
          <w:szCs w:val="32"/>
          <w:lang w:eastAsia="zh-CN"/>
        </w:rPr>
        <w:t>目前，</w:t>
      </w:r>
      <w:r>
        <w:rPr>
          <w:rFonts w:hint="eastAsia" w:ascii="仿宋_GB2312" w:hAnsi="仿宋_GB2312" w:eastAsia="仿宋_GB2312" w:cs="仿宋_GB2312"/>
          <w:sz w:val="32"/>
          <w:szCs w:val="32"/>
        </w:rPr>
        <w:t>我区已建成雨水及污水管网总长为58.3公里，总投资为5500万元。其中，雨水管道37公里，污水管道21.3公里。主次干道上雨水、污水管网均已铺设到位连接到各企业，所有企业污水和生活污水都已接入污水管网自流或通过提升泵站流入污水处理厂进行处理后达标排</w:t>
      </w:r>
      <w:r>
        <w:rPr>
          <w:rFonts w:hint="eastAsia" w:ascii="仿宋_GB2312" w:hAnsi="仿宋_GB2312" w:eastAsia="仿宋_GB2312" w:cs="仿宋_GB2312"/>
          <w:sz w:val="32"/>
          <w:szCs w:val="32"/>
          <w:lang w:eastAsia="zh-CN"/>
        </w:rPr>
        <w:t>放</w:t>
      </w:r>
      <w:r>
        <w:rPr>
          <w:rFonts w:hint="eastAsia" w:ascii="仿宋_GB2312" w:hAnsi="仿宋_GB2312" w:eastAsia="仿宋_GB2312" w:cs="仿宋_GB2312"/>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5"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制定了整改方案，针对进水在线COD仪已损坏，监测数据不准的问题，</w:t>
      </w:r>
      <w:r>
        <w:rPr>
          <w:rFonts w:hint="eastAsia" w:ascii="仿宋_GB2312" w:hAnsi="仿宋_GB2312" w:eastAsia="仿宋_GB2312" w:cs="仿宋_GB2312"/>
          <w:sz w:val="32"/>
          <w:szCs w:val="32"/>
          <w:lang w:eastAsia="zh-CN"/>
        </w:rPr>
        <w:t>重新购入进水在线</w:t>
      </w:r>
      <w:r>
        <w:rPr>
          <w:rFonts w:hint="eastAsia" w:ascii="仿宋_GB2312" w:hAnsi="仿宋_GB2312" w:eastAsia="仿宋_GB2312" w:cs="仿宋_GB2312"/>
          <w:sz w:val="32"/>
          <w:szCs w:val="32"/>
          <w:lang w:val="en-US" w:eastAsia="zh-CN"/>
        </w:rPr>
        <w:t>COD仪</w:t>
      </w:r>
      <w:r>
        <w:rPr>
          <w:rFonts w:hint="eastAsia" w:ascii="仿宋_GB2312" w:hAnsi="仿宋_GB2312" w:eastAsia="仿宋_GB2312" w:cs="仿宋_GB2312"/>
          <w:sz w:val="32"/>
          <w:szCs w:val="32"/>
          <w:lang w:eastAsia="zh-CN"/>
        </w:rPr>
        <w:t>并进行安装调式</w:t>
      </w:r>
      <w:r>
        <w:rPr>
          <w:rFonts w:hint="eastAsia" w:ascii="仿宋_GB2312" w:hAnsi="仿宋_GB2312" w:eastAsia="仿宋_GB2312" w:cs="仿宋_GB2312"/>
          <w:sz w:val="32"/>
          <w:szCs w:val="32"/>
          <w:lang w:val="en-US" w:eastAsia="zh-CN"/>
        </w:rPr>
        <w:t>，改善了进口浓度过低的问题。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六、制定了方案，改造了处理设备，规范了监控管理。</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组织污水处理厂运营方与在线运维方和设备厂方进行了对接，更换了氨氮仪和进水流量计，已将检测数据上传至信息平台。确定湖南思睿泽环保有限公司对污水处理厂进行正式运营。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目前，我区已完成水环境问题清单中的所有问题整改，特此报告。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仿宋_GB2312"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黑体" w:hAnsi="黑体" w:eastAsia="黑体" w:cs="黑体"/>
          <w:sz w:val="44"/>
          <w:szCs w:val="44"/>
          <w:lang w:val="en-US" w:eastAsia="zh-CN"/>
        </w:rPr>
      </w:pPr>
    </w:p>
    <w:sectPr>
      <w:pgSz w:w="11906" w:h="16838"/>
      <w:pgMar w:top="1984" w:right="141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1D9B8"/>
    <w:multiLevelType w:val="singleLevel"/>
    <w:tmpl w:val="5561D9B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E3AEC"/>
    <w:rsid w:val="069F28B8"/>
    <w:rsid w:val="0DAE3AEC"/>
    <w:rsid w:val="617D1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2020-09-15T00:30:00Z</dcterms:created>
  <dc:creator>大胡子</dc:creator>
  <cp:lastModifiedBy>大胡子</cp:lastModifiedBy>
  <dcterms:modified xsi:type="dcterms:W3CDTF">2020-09-15T23:59:39Z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