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宋体"/>
          <w:kern w:val="0"/>
          <w:sz w:val="32"/>
          <w:szCs w:val="32"/>
        </w:rPr>
      </w:pPr>
      <w:bookmarkStart w:id="10" w:name="_GoBack"/>
      <w:bookmarkEnd w:id="10"/>
    </w:p>
    <w:p>
      <w:pPr>
        <w:widowControl/>
        <w:jc w:val="left"/>
        <w:rPr>
          <w:rFonts w:hint="eastAsia" w:ascii="黑体" w:hAnsi="黑体" w:eastAsia="黑体" w:cs="宋体"/>
          <w:kern w:val="0"/>
          <w:sz w:val="44"/>
          <w:szCs w:val="44"/>
        </w:rPr>
      </w:pPr>
      <w:r>
        <w:rPr>
          <w:rFonts w:hint="eastAsia" w:ascii="黑体" w:hAnsi="黑体" w:eastAsia="黑体" w:cs="宋体"/>
          <w:kern w:val="0"/>
          <w:sz w:val="44"/>
          <w:szCs w:val="44"/>
        </w:rPr>
        <w:t xml:space="preserve"> </w:t>
      </w:r>
    </w:p>
    <w:p>
      <w:pPr>
        <w:widowControl/>
        <w:jc w:val="left"/>
        <w:rPr>
          <w:rFonts w:hint="eastAsia" w:ascii="黑体" w:hAnsi="黑体" w:eastAsia="黑体" w:cs="宋体"/>
          <w:kern w:val="0"/>
          <w:sz w:val="44"/>
          <w:szCs w:val="44"/>
        </w:rPr>
      </w:pPr>
      <w:r>
        <w:rPr>
          <w:rFonts w:hint="eastAsia" w:ascii="黑体" w:hAnsi="黑体" w:eastAsia="黑体" w:cs="宋体"/>
          <w:kern w:val="0"/>
          <w:sz w:val="44"/>
          <w:szCs w:val="44"/>
        </w:rPr>
        <w:t xml:space="preserve"> </w:t>
      </w:r>
    </w:p>
    <w:p>
      <w:pPr>
        <w:widowControl/>
        <w:jc w:val="left"/>
        <w:rPr>
          <w:rFonts w:hint="eastAsia" w:ascii="黑体" w:hAnsi="黑体" w:eastAsia="黑体" w:cs="宋体"/>
          <w:kern w:val="0"/>
          <w:sz w:val="44"/>
          <w:szCs w:val="44"/>
        </w:rPr>
      </w:pPr>
      <w:r>
        <w:rPr>
          <w:rFonts w:hint="eastAsia" w:ascii="黑体" w:hAnsi="黑体" w:eastAsia="黑体" w:cs="宋体"/>
          <w:kern w:val="0"/>
          <w:sz w:val="44"/>
          <w:szCs w:val="44"/>
        </w:rPr>
        <w:t xml:space="preserve"> </w:t>
      </w:r>
    </w:p>
    <w:p>
      <w:pPr>
        <w:widowControl/>
        <w:jc w:val="left"/>
        <w:rPr>
          <w:rFonts w:hint="eastAsia" w:ascii="黑体" w:hAnsi="黑体" w:eastAsia="黑体" w:cs="宋体"/>
          <w:kern w:val="0"/>
          <w:sz w:val="44"/>
          <w:szCs w:val="44"/>
        </w:rPr>
      </w:pPr>
      <w:r>
        <w:rPr>
          <w:rFonts w:hint="eastAsia" w:ascii="黑体" w:hAnsi="黑体" w:eastAsia="黑体" w:cs="宋体"/>
          <w:kern w:val="0"/>
          <w:sz w:val="44"/>
          <w:szCs w:val="44"/>
        </w:rPr>
        <w:t xml:space="preserve"> </w:t>
      </w:r>
    </w:p>
    <w:p>
      <w:pPr>
        <w:widowControl/>
        <w:autoSpaceDE w:val="0"/>
        <w:spacing w:line="800" w:lineRule="exact"/>
        <w:jc w:val="left"/>
        <w:rPr>
          <w:rFonts w:hint="eastAsia" w:ascii="黑体" w:hAnsi="黑体" w:eastAsia="黑体" w:cs="宋体"/>
          <w:kern w:val="0"/>
          <w:sz w:val="44"/>
          <w:szCs w:val="44"/>
        </w:rPr>
      </w:pPr>
      <w:r>
        <w:rPr>
          <w:rFonts w:hint="eastAsia" w:ascii="黑体" w:hAnsi="黑体" w:eastAsia="黑体" w:cs="宋体"/>
          <w:kern w:val="0"/>
          <w:sz w:val="44"/>
          <w:szCs w:val="44"/>
        </w:rPr>
        <w:t xml:space="preserve"> </w:t>
      </w:r>
    </w:p>
    <w:p>
      <w:pPr>
        <w:spacing w:line="40" w:lineRule="exact"/>
        <w:rPr>
          <w:rFonts w:hint="eastAsia" w:ascii="仿宋_GB2312" w:hAnsi="Calibri" w:eastAsia="仿宋_GB2312"/>
          <w:sz w:val="32"/>
          <w:szCs w:val="32"/>
        </w:rPr>
      </w:pPr>
      <w:r>
        <w:rPr>
          <w:rFonts w:hint="eastAsia" w:ascii="仿宋_GB2312" w:hAnsi="Calibri" w:eastAsia="仿宋_GB2312"/>
          <w:sz w:val="32"/>
          <w:szCs w:val="32"/>
        </w:rPr>
        <w:t xml:space="preserve"> </w:t>
      </w:r>
    </w:p>
    <w:p>
      <w:pPr>
        <w:spacing w:line="40" w:lineRule="exact"/>
        <w:rPr>
          <w:rFonts w:hint="eastAsia" w:ascii="仿宋_GB2312" w:hAnsi="Calibri" w:eastAsia="仿宋_GB2312"/>
          <w:sz w:val="32"/>
          <w:szCs w:val="32"/>
        </w:rPr>
      </w:pPr>
      <w:r>
        <w:rPr>
          <w:rFonts w:hint="eastAsia" w:ascii="仿宋_GB2312" w:hAnsi="Calibri" w:eastAsia="仿宋_GB2312"/>
          <w:sz w:val="32"/>
          <w:szCs w:val="32"/>
        </w:rPr>
        <w:t xml:space="preserve"> </w:t>
      </w:r>
    </w:p>
    <w:p>
      <w:pPr>
        <w:spacing w:line="860" w:lineRule="exact"/>
        <w:rPr>
          <w:rFonts w:hint="eastAsia" w:ascii="仿宋_GB2312" w:hAnsi="Calibri" w:eastAsia="仿宋_GB2312"/>
          <w:sz w:val="32"/>
          <w:szCs w:val="32"/>
        </w:rPr>
      </w:pPr>
      <w:r>
        <w:rPr>
          <w:rFonts w:hint="eastAsia" w:ascii="仿宋_GB2312" w:hAnsi="Calibri" w:eastAsia="仿宋_GB2312"/>
          <w:sz w:val="32"/>
          <w:szCs w:val="32"/>
        </w:rPr>
        <w:t xml:space="preserve"> </w:t>
      </w:r>
    </w:p>
    <w:p>
      <w:pPr>
        <w:jc w:val="center"/>
        <w:rPr>
          <w:rFonts w:hint="eastAsia" w:ascii="黑体" w:hAnsi="黑体" w:eastAsia="黑体"/>
          <w:sz w:val="44"/>
          <w:szCs w:val="44"/>
        </w:rPr>
      </w:pPr>
      <w:r>
        <w:rPr>
          <w:rFonts w:hint="eastAsia" w:ascii="仿宋_GB2312" w:eastAsia="仿宋_GB2312"/>
          <w:sz w:val="32"/>
          <w:szCs w:val="32"/>
        </w:rPr>
        <w:t xml:space="preserve">  益发改</w:t>
      </w:r>
      <w:r>
        <w:rPr>
          <w:rFonts w:hint="eastAsia" w:ascii="仿宋_GB2312" w:eastAsia="仿宋_GB2312"/>
          <w:sz w:val="32"/>
          <w:szCs w:val="32"/>
          <w:lang w:eastAsia="zh-CN"/>
        </w:rPr>
        <w:t>法规</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46</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仿宋" w:eastAsia="方正小标宋_GBK"/>
          <w:bCs/>
          <w:sz w:val="42"/>
          <w:szCs w:val="42"/>
          <w:lang w:eastAsia="zh-CN"/>
        </w:rPr>
      </w:pPr>
    </w:p>
    <w:p>
      <w:pPr>
        <w:keepNext w:val="0"/>
        <w:keepLines w:val="0"/>
        <w:pageBreakBefore w:val="0"/>
        <w:widowControl w:val="0"/>
        <w:kinsoku/>
        <w:wordWrap/>
        <w:overflowPunct/>
        <w:topLinePunct w:val="0"/>
        <w:bidi w:val="0"/>
        <w:snapToGrid/>
        <w:spacing w:line="540" w:lineRule="exact"/>
        <w:jc w:val="center"/>
        <w:textAlignment w:val="auto"/>
        <w:rPr>
          <w:rFonts w:hint="eastAsia" w:eastAsia="方正小标宋简体"/>
          <w:bCs/>
          <w:color w:val="000000"/>
          <w:sz w:val="42"/>
          <w:szCs w:val="32"/>
        </w:rPr>
      </w:pPr>
      <w:r>
        <w:rPr>
          <w:rFonts w:hint="eastAsia" w:ascii="方正小标宋_GBK" w:hAnsi="仿宋" w:eastAsia="方正小标宋_GBK"/>
          <w:bCs/>
          <w:sz w:val="42"/>
          <w:szCs w:val="42"/>
          <w:lang w:eastAsia="zh-CN"/>
        </w:rPr>
        <w:t>益阳市</w:t>
      </w:r>
      <w:r>
        <w:rPr>
          <w:rFonts w:hint="eastAsia" w:ascii="方正小标宋_GBK" w:hAnsi="仿宋" w:eastAsia="方正小标宋_GBK"/>
          <w:bCs/>
          <w:sz w:val="42"/>
          <w:szCs w:val="42"/>
        </w:rPr>
        <w:t>发展和改革委员会</w:t>
      </w:r>
      <w:bookmarkStart w:id="0" w:name="FlMainSend"/>
      <w:bookmarkEnd w:id="0"/>
      <w:bookmarkStart w:id="1" w:name="FlSubject"/>
      <w:bookmarkEnd w:id="1"/>
    </w:p>
    <w:p>
      <w:pPr>
        <w:keepNext w:val="0"/>
        <w:keepLines w:val="0"/>
        <w:pageBreakBefore w:val="0"/>
        <w:widowControl w:val="0"/>
        <w:kinsoku/>
        <w:wordWrap/>
        <w:overflowPunct/>
        <w:topLinePunct w:val="0"/>
        <w:bidi w:val="0"/>
        <w:snapToGrid/>
        <w:spacing w:line="540" w:lineRule="exact"/>
        <w:jc w:val="center"/>
        <w:textAlignment w:val="auto"/>
        <w:rPr>
          <w:rFonts w:ascii="方正小标宋_GBK" w:hAnsi="仿宋" w:eastAsia="方正小标宋_GBK"/>
          <w:bCs/>
          <w:sz w:val="42"/>
          <w:szCs w:val="42"/>
        </w:rPr>
      </w:pPr>
      <w:r>
        <w:rPr>
          <w:rFonts w:hint="eastAsia" w:ascii="方正小标宋_GBK" w:hAnsi="仿宋" w:eastAsia="方正小标宋_GBK"/>
          <w:bCs/>
          <w:sz w:val="42"/>
          <w:szCs w:val="42"/>
        </w:rPr>
        <w:t>关于印发《</w:t>
      </w:r>
      <w:r>
        <w:rPr>
          <w:rFonts w:hint="eastAsia" w:ascii="方正小标宋_GBK" w:hAnsi="仿宋" w:eastAsia="方正小标宋_GBK"/>
          <w:bCs/>
          <w:sz w:val="42"/>
          <w:szCs w:val="42"/>
          <w:lang w:eastAsia="zh-CN"/>
        </w:rPr>
        <w:t>益阳市</w:t>
      </w:r>
      <w:r>
        <w:rPr>
          <w:rFonts w:ascii="方正小标宋_GBK" w:hAnsi="仿宋" w:eastAsia="方正小标宋_GBK"/>
          <w:bCs/>
          <w:sz w:val="42"/>
          <w:szCs w:val="42"/>
        </w:rPr>
        <w:t>发展和改革委员会行政执法</w:t>
      </w:r>
    </w:p>
    <w:p>
      <w:pPr>
        <w:keepNext w:val="0"/>
        <w:keepLines w:val="0"/>
        <w:pageBreakBefore w:val="0"/>
        <w:widowControl w:val="0"/>
        <w:kinsoku/>
        <w:wordWrap/>
        <w:overflowPunct/>
        <w:topLinePunct w:val="0"/>
        <w:bidi w:val="0"/>
        <w:snapToGrid/>
        <w:spacing w:line="540" w:lineRule="exact"/>
        <w:jc w:val="center"/>
        <w:textAlignment w:val="auto"/>
        <w:rPr>
          <w:rFonts w:ascii="方正小标宋_GBK" w:hAnsi="仿宋" w:eastAsia="方正小标宋_GBK"/>
          <w:bCs/>
          <w:sz w:val="42"/>
          <w:szCs w:val="42"/>
        </w:rPr>
      </w:pPr>
      <w:r>
        <w:rPr>
          <w:rFonts w:ascii="方正小标宋_GBK" w:hAnsi="仿宋" w:eastAsia="方正小标宋_GBK"/>
          <w:bCs/>
          <w:sz w:val="42"/>
          <w:szCs w:val="42"/>
        </w:rPr>
        <w:t>案卷管理办法（</w:t>
      </w:r>
      <w:r>
        <w:rPr>
          <w:rFonts w:hint="eastAsia" w:ascii="方正小标宋_GBK" w:hAnsi="仿宋" w:eastAsia="方正小标宋_GBK"/>
          <w:bCs/>
          <w:sz w:val="42"/>
          <w:szCs w:val="42"/>
        </w:rPr>
        <w:t>试行</w:t>
      </w:r>
      <w:r>
        <w:rPr>
          <w:rFonts w:ascii="方正小标宋_GBK" w:hAnsi="仿宋" w:eastAsia="方正小标宋_GBK"/>
          <w:bCs/>
          <w:sz w:val="42"/>
          <w:szCs w:val="42"/>
        </w:rPr>
        <w:t>）</w:t>
      </w:r>
      <w:r>
        <w:rPr>
          <w:rFonts w:hint="eastAsia" w:ascii="方正小标宋_GBK" w:hAnsi="仿宋" w:eastAsia="方正小标宋_GBK"/>
          <w:bCs/>
          <w:sz w:val="42"/>
          <w:szCs w:val="42"/>
        </w:rPr>
        <w:t>》的通知</w:t>
      </w:r>
    </w:p>
    <w:p>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_GB2312" w:eastAsia="仿宋_GB2312" w:cs="仿宋_GB2312"/>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机关各</w:t>
      </w:r>
      <w:r>
        <w:rPr>
          <w:rFonts w:hint="eastAsia" w:ascii="仿宋_GB2312" w:eastAsia="仿宋_GB2312" w:cs="仿宋_GB2312"/>
          <w:kern w:val="0"/>
          <w:sz w:val="32"/>
          <w:szCs w:val="32"/>
          <w:lang w:eastAsia="zh-CN"/>
        </w:rPr>
        <w:t>科</w:t>
      </w:r>
      <w:r>
        <w:rPr>
          <w:rFonts w:hint="eastAsia" w:ascii="仿宋_GB2312" w:eastAsia="仿宋_GB2312" w:cs="仿宋_GB2312"/>
          <w:kern w:val="0"/>
          <w:sz w:val="32"/>
          <w:szCs w:val="32"/>
        </w:rPr>
        <w:t>室、委属各单位：</w:t>
      </w:r>
    </w:p>
    <w:p>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_GB2312" w:eastAsia="仿宋_GB2312" w:cs="仿宋_GB2312"/>
          <w:kern w:val="0"/>
          <w:sz w:val="32"/>
          <w:szCs w:val="32"/>
        </w:rPr>
      </w:pPr>
      <w:r>
        <w:rPr>
          <w:rFonts w:hint="eastAsia" w:ascii="仿宋_GB2312" w:eastAsia="仿宋_GB2312"/>
          <w:sz w:val="32"/>
          <w:szCs w:val="32"/>
        </w:rPr>
        <w:t xml:space="preserve">    </w:t>
      </w:r>
      <w:r>
        <w:rPr>
          <w:rFonts w:hint="eastAsia" w:ascii="仿宋_GB2312" w:hAnsi="Calibri" w:eastAsia="仿宋_GB2312"/>
          <w:sz w:val="32"/>
          <w:szCs w:val="32"/>
        </w:rPr>
        <w:t>《</w:t>
      </w:r>
      <w:r>
        <w:rPr>
          <w:rFonts w:hint="eastAsia" w:ascii="仿宋_GB2312" w:hAnsi="Calibri" w:eastAsia="仿宋_GB2312"/>
          <w:sz w:val="32"/>
          <w:szCs w:val="32"/>
          <w:lang w:eastAsia="zh-CN"/>
        </w:rPr>
        <w:t>益阳市</w:t>
      </w:r>
      <w:r>
        <w:rPr>
          <w:rFonts w:ascii="仿宋_GB2312" w:hAnsi="Calibri" w:eastAsia="仿宋_GB2312"/>
          <w:sz w:val="32"/>
          <w:szCs w:val="32"/>
        </w:rPr>
        <w:t>发展</w:t>
      </w:r>
      <w:r>
        <w:rPr>
          <w:rFonts w:hint="eastAsia" w:ascii="仿宋_GB2312" w:hAnsi="Calibri" w:eastAsia="仿宋_GB2312"/>
          <w:sz w:val="32"/>
          <w:szCs w:val="32"/>
        </w:rPr>
        <w:t>和改革委</w:t>
      </w:r>
      <w:r>
        <w:rPr>
          <w:rFonts w:hint="eastAsia" w:ascii="仿宋_GB2312" w:eastAsia="仿宋_GB2312" w:cs="仿宋_GB2312"/>
          <w:kern w:val="0"/>
          <w:sz w:val="32"/>
          <w:szCs w:val="32"/>
        </w:rPr>
        <w:t>员会行政执法案卷管理办法（试行）》已经委务会审议</w:t>
      </w:r>
      <w:r>
        <w:rPr>
          <w:rFonts w:hint="eastAsia" w:ascii="仿宋_GB2312" w:eastAsia="仿宋_GB2312" w:cs="仿宋_GB2312"/>
          <w:kern w:val="0"/>
          <w:sz w:val="32"/>
          <w:szCs w:val="32"/>
          <w:lang w:eastAsia="zh-CN"/>
        </w:rPr>
        <w:t>通过</w:t>
      </w:r>
      <w:r>
        <w:rPr>
          <w:rFonts w:hint="eastAsia" w:ascii="仿宋_GB2312" w:eastAsia="仿宋_GB2312" w:cs="仿宋_GB2312"/>
          <w:kern w:val="0"/>
          <w:sz w:val="32"/>
          <w:szCs w:val="32"/>
        </w:rPr>
        <w:t>，现印发给你们，请遵照执行。</w:t>
      </w:r>
    </w:p>
    <w:p>
      <w:pPr>
        <w:keepNext w:val="0"/>
        <w:keepLines w:val="0"/>
        <w:pageBreakBefore w:val="0"/>
        <w:widowControl w:val="0"/>
        <w:kinsoku/>
        <w:wordWrap/>
        <w:overflowPunct/>
        <w:topLinePunct w:val="0"/>
        <w:autoSpaceDE/>
        <w:autoSpaceDN/>
        <w:bidi w:val="0"/>
        <w:adjustRightInd/>
        <w:snapToGrid/>
        <w:spacing w:line="580" w:lineRule="exact"/>
        <w:ind w:firstLine="641"/>
        <w:jc w:val="left"/>
        <w:textAlignment w:val="auto"/>
        <w:rPr>
          <w:rFonts w:hint="eastAsia" w:ascii="仿宋_GB2312" w:eastAsia="仿宋_GB2312"/>
          <w:sz w:val="32"/>
          <w:szCs w:val="32"/>
        </w:rPr>
      </w:pPr>
    </w:p>
    <w:p>
      <w:pPr>
        <w:spacing w:line="596" w:lineRule="exact"/>
        <w:ind w:firstLine="640"/>
        <w:jc w:val="cente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益阳市</w:t>
      </w:r>
      <w:r>
        <w:rPr>
          <w:rFonts w:hint="eastAsia" w:ascii="仿宋_GB2312" w:eastAsia="仿宋_GB2312"/>
          <w:sz w:val="32"/>
          <w:szCs w:val="32"/>
        </w:rPr>
        <w:t>发展和改革委员会</w:t>
      </w:r>
    </w:p>
    <w:p>
      <w:pPr>
        <w:spacing w:line="596"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2020</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23</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仿宋"/>
          <w:color w:val="000000"/>
          <w:sz w:val="32"/>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tcBorders>
              <w:top w:val="single" w:color="auto" w:sz="4" w:space="0"/>
              <w:left w:val="nil"/>
              <w:bottom w:val="single" w:color="auto" w:sz="4" w:space="0"/>
              <w:right w:val="nil"/>
            </w:tcBorders>
            <w:noWrap w:val="0"/>
            <w:vAlign w:val="top"/>
          </w:tcPr>
          <w:p>
            <w:pPr>
              <w:spacing w:line="520" w:lineRule="exact"/>
              <w:ind w:left="-37" w:right="210" w:rightChars="100" w:firstLine="205" w:firstLineChars="75"/>
              <w:rPr>
                <w:rFonts w:eastAsia="仿宋_GB2312"/>
                <w:kern w:val="0"/>
                <w:sz w:val="28"/>
                <w:szCs w:val="28"/>
              </w:rPr>
            </w:pPr>
            <w:r>
              <w:rPr>
                <w:rFonts w:hint="eastAsia" w:ascii="仿宋_GB2312" w:eastAsia="仿宋_GB2312"/>
                <w:w w:val="98"/>
                <w:kern w:val="0"/>
                <w:sz w:val="28"/>
                <w:szCs w:val="28"/>
                <w:lang w:eastAsia="zh-CN"/>
              </w:rPr>
              <w:t>益阳市</w:t>
            </w:r>
            <w:r>
              <w:rPr>
                <w:rFonts w:hint="eastAsia" w:ascii="仿宋_GB2312" w:eastAsia="仿宋_GB2312"/>
                <w:w w:val="98"/>
                <w:kern w:val="0"/>
                <w:sz w:val="28"/>
                <w:szCs w:val="28"/>
              </w:rPr>
              <w:t xml:space="preserve">发展和改革委员会办公室            </w:t>
            </w:r>
            <w:r>
              <w:rPr>
                <w:rFonts w:hint="eastAsia" w:ascii="仿宋_GB2312" w:eastAsia="仿宋_GB2312"/>
                <w:w w:val="98"/>
                <w:kern w:val="0"/>
                <w:sz w:val="28"/>
                <w:szCs w:val="28"/>
                <w:lang w:val="en-US" w:eastAsia="zh-CN"/>
              </w:rPr>
              <w:t>2020</w:t>
            </w:r>
            <w:r>
              <w:rPr>
                <w:rFonts w:hint="eastAsia" w:ascii="仿宋_GB2312" w:eastAsia="仿宋_GB2312"/>
                <w:w w:val="98"/>
                <w:kern w:val="0"/>
                <w:sz w:val="28"/>
                <w:szCs w:val="28"/>
              </w:rPr>
              <w:t>年</w:t>
            </w:r>
            <w:r>
              <w:rPr>
                <w:rFonts w:hint="eastAsia" w:ascii="仿宋_GB2312" w:eastAsia="仿宋_GB2312"/>
                <w:w w:val="98"/>
                <w:kern w:val="0"/>
                <w:sz w:val="28"/>
                <w:szCs w:val="28"/>
                <w:lang w:val="en-US" w:eastAsia="zh-CN"/>
              </w:rPr>
              <w:t xml:space="preserve"> 1</w:t>
            </w:r>
            <w:r>
              <w:rPr>
                <w:rFonts w:hint="eastAsia" w:ascii="仿宋_GB2312" w:eastAsia="仿宋_GB2312"/>
                <w:w w:val="98"/>
                <w:kern w:val="0"/>
                <w:sz w:val="28"/>
                <w:szCs w:val="28"/>
              </w:rPr>
              <w:t>月</w:t>
            </w:r>
            <w:r>
              <w:rPr>
                <w:rFonts w:hint="eastAsia" w:ascii="仿宋_GB2312" w:eastAsia="仿宋_GB2312"/>
                <w:w w:val="98"/>
                <w:kern w:val="0"/>
                <w:sz w:val="28"/>
                <w:szCs w:val="28"/>
                <w:lang w:val="en-US" w:eastAsia="zh-CN"/>
              </w:rPr>
              <w:t xml:space="preserve"> 23</w:t>
            </w:r>
            <w:r>
              <w:rPr>
                <w:rFonts w:hint="eastAsia" w:ascii="仿宋_GB2312" w:eastAsia="仿宋_GB2312"/>
                <w:w w:val="98"/>
                <w:kern w:val="0"/>
                <w:sz w:val="28"/>
                <w:szCs w:val="28"/>
              </w:rPr>
              <w:t>日印发</w:t>
            </w:r>
          </w:p>
        </w:tc>
      </w:tr>
    </w:tbl>
    <w:p>
      <w:pPr>
        <w:spacing w:line="596" w:lineRule="exact"/>
        <w:rPr>
          <w:rFonts w:hint="eastAsia" w:ascii="仿宋_GB2312" w:eastAsia="仿宋_GB2312"/>
          <w:bCs/>
          <w:color w:val="000000"/>
          <w:sz w:val="32"/>
          <w:szCs w:val="32"/>
        </w:rPr>
      </w:pPr>
      <w:r>
        <w:rPr>
          <w:rFonts w:eastAsia="方正小标宋简体"/>
          <w:bCs/>
          <w:color w:val="000000"/>
          <w:sz w:val="42"/>
          <w:szCs w:val="42"/>
        </w:rPr>
        <w:br w:type="page"/>
      </w:r>
      <w:r>
        <w:rPr>
          <w:rFonts w:hint="eastAsia" w:ascii="仿宋_GB2312" w:eastAsia="仿宋_GB2312"/>
          <w:bCs/>
          <w:color w:val="000000"/>
          <w:sz w:val="32"/>
          <w:szCs w:val="32"/>
        </w:rPr>
        <w:t>附件：</w:t>
      </w:r>
    </w:p>
    <w:p>
      <w:pPr>
        <w:spacing w:line="596" w:lineRule="exact"/>
        <w:jc w:val="center"/>
        <w:rPr>
          <w:rFonts w:eastAsia="方正小标宋简体"/>
          <w:bCs/>
          <w:color w:val="000000"/>
          <w:sz w:val="42"/>
          <w:szCs w:val="42"/>
        </w:rPr>
      </w:pPr>
    </w:p>
    <w:p>
      <w:pPr>
        <w:spacing w:line="596" w:lineRule="exact"/>
        <w:jc w:val="center"/>
        <w:rPr>
          <w:rFonts w:hint="eastAsia" w:eastAsia="方正小标宋简体"/>
          <w:bCs/>
          <w:color w:val="000000"/>
          <w:sz w:val="42"/>
          <w:szCs w:val="42"/>
        </w:rPr>
      </w:pPr>
      <w:r>
        <w:rPr>
          <w:rFonts w:hint="eastAsia" w:eastAsia="方正小标宋简体"/>
          <w:bCs/>
          <w:color w:val="000000"/>
          <w:sz w:val="42"/>
          <w:szCs w:val="42"/>
          <w:lang w:eastAsia="zh-CN"/>
        </w:rPr>
        <w:t>益阳市</w:t>
      </w:r>
      <w:r>
        <w:rPr>
          <w:rFonts w:eastAsia="方正小标宋简体"/>
          <w:bCs/>
          <w:color w:val="000000"/>
          <w:sz w:val="42"/>
          <w:szCs w:val="42"/>
        </w:rPr>
        <w:t>发展和改革委员会</w:t>
      </w:r>
    </w:p>
    <w:p>
      <w:pPr>
        <w:spacing w:line="596" w:lineRule="exact"/>
        <w:jc w:val="center"/>
        <w:rPr>
          <w:rFonts w:eastAsia="方正小标宋简体"/>
          <w:bCs/>
          <w:color w:val="000000"/>
          <w:sz w:val="42"/>
          <w:szCs w:val="42"/>
        </w:rPr>
      </w:pPr>
      <w:r>
        <w:rPr>
          <w:rFonts w:eastAsia="方正小标宋简体"/>
          <w:bCs/>
          <w:color w:val="000000"/>
          <w:sz w:val="42"/>
          <w:szCs w:val="42"/>
        </w:rPr>
        <w:t>行政执法案卷管理办法</w:t>
      </w:r>
    </w:p>
    <w:p>
      <w:pPr>
        <w:spacing w:line="596" w:lineRule="exact"/>
        <w:jc w:val="center"/>
        <w:rPr>
          <w:rFonts w:hint="eastAsia" w:ascii="楷体_GB2312" w:eastAsia="楷体_GB2312"/>
          <w:bCs/>
          <w:color w:val="000000"/>
          <w:sz w:val="32"/>
          <w:szCs w:val="32"/>
        </w:rPr>
      </w:pPr>
      <w:r>
        <w:rPr>
          <w:rFonts w:hint="eastAsia" w:ascii="楷体_GB2312" w:eastAsia="楷体_GB2312"/>
          <w:bCs/>
          <w:color w:val="000000"/>
          <w:sz w:val="32"/>
          <w:szCs w:val="32"/>
        </w:rPr>
        <w:t>（试行）</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第一条</w:t>
      </w:r>
      <w:r>
        <w:rPr>
          <w:rFonts w:eastAsia="仿宋"/>
          <w:color w:val="000000"/>
          <w:sz w:val="32"/>
          <w:szCs w:val="32"/>
        </w:rPr>
        <w:t xml:space="preserve"> </w:t>
      </w:r>
      <w:bookmarkStart w:id="2" w:name="OLE_LINK25"/>
      <w:r>
        <w:rPr>
          <w:rFonts w:eastAsia="仿宋_GB2312"/>
          <w:color w:val="000000"/>
          <w:sz w:val="32"/>
          <w:szCs w:val="32"/>
        </w:rPr>
        <w:t>为全面推行行政执法全过程记录制度，促进我委行政执法案卷管理规范化，根据《档案法》、《国务院办公厅关于全面推行行政执法公示制度执法全过程记录制度重大执法决定法制审核制度的指导意见》等有关规定，结合我委行政执法工作实际，制定本办法。</w:t>
      </w:r>
    </w:p>
    <w:bookmarkEnd w:id="2"/>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第二条</w:t>
      </w:r>
      <w:r>
        <w:rPr>
          <w:rFonts w:eastAsia="仿宋"/>
          <w:color w:val="000000"/>
          <w:sz w:val="32"/>
          <w:szCs w:val="32"/>
        </w:rPr>
        <w:t xml:space="preserve"> </w:t>
      </w:r>
      <w:r>
        <w:rPr>
          <w:rFonts w:eastAsia="仿宋_GB2312"/>
          <w:color w:val="000000"/>
          <w:sz w:val="32"/>
          <w:szCs w:val="32"/>
        </w:rPr>
        <w:t>本办法所称行政执法案卷，是指我委在政府投资审批、企业投资核准、政府定价、招投标管理、投诉处理、行政处罚等执法全过程中留存归档的文字材料、音像资料、请示报告和法律文书等。</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第三条</w:t>
      </w:r>
      <w:r>
        <w:rPr>
          <w:rFonts w:eastAsia="仿宋_GB2312"/>
          <w:color w:val="000000"/>
          <w:sz w:val="32"/>
          <w:szCs w:val="32"/>
        </w:rPr>
        <w:t xml:space="preserve"> 规范管理行政执法案卷是落实行政执法全过程记录制度的重要保证。各行政执法</w:t>
      </w:r>
      <w:r>
        <w:rPr>
          <w:rFonts w:hint="eastAsia" w:eastAsia="仿宋_GB2312"/>
          <w:color w:val="000000"/>
          <w:sz w:val="32"/>
          <w:szCs w:val="32"/>
          <w:lang w:eastAsia="zh-CN"/>
        </w:rPr>
        <w:t>科</w:t>
      </w:r>
      <w:r>
        <w:rPr>
          <w:rFonts w:eastAsia="仿宋_GB2312"/>
          <w:color w:val="000000"/>
          <w:sz w:val="32"/>
          <w:szCs w:val="32"/>
        </w:rPr>
        <w:t>室（单位）要加强案卷管理，对行政执法的启动、调查取证、审核决定、送达执行等全部过程进行记录留存，做到执法全过程留痕和可回溯管理，确保所有行政执法行为有据可查。</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 xml:space="preserve">第四条 </w:t>
      </w:r>
      <w:r>
        <w:rPr>
          <w:rFonts w:eastAsia="仿宋_GB2312"/>
          <w:color w:val="000000"/>
          <w:sz w:val="32"/>
          <w:szCs w:val="32"/>
        </w:rPr>
        <w:t>行政执法全过程记录包括文字记录和音像记录。文字记录是以纸质文件或电子文件形式对行政执法活动进行记录</w:t>
      </w:r>
      <w:r>
        <w:rPr>
          <w:rFonts w:eastAsia="仿宋_GB2312"/>
          <w:color w:val="000000"/>
          <w:spacing w:val="-4"/>
          <w:sz w:val="32"/>
          <w:szCs w:val="32"/>
        </w:rPr>
        <w:t>的方式；音像记录是通过照相机、录音机、摄像机、执法记录仪、视频监控等记录设备，实时对行政执法行为进行记录的方式。</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 xml:space="preserve">第五条 </w:t>
      </w:r>
      <w:r>
        <w:rPr>
          <w:rFonts w:eastAsia="仿宋_GB2312"/>
          <w:color w:val="000000"/>
          <w:sz w:val="32"/>
          <w:szCs w:val="32"/>
        </w:rPr>
        <w:t>各行政执法</w:t>
      </w:r>
      <w:r>
        <w:rPr>
          <w:rFonts w:hint="eastAsia" w:eastAsia="仿宋_GB2312"/>
          <w:color w:val="000000"/>
          <w:sz w:val="32"/>
          <w:szCs w:val="32"/>
          <w:lang w:eastAsia="zh-CN"/>
        </w:rPr>
        <w:t>科</w:t>
      </w:r>
      <w:r>
        <w:rPr>
          <w:rFonts w:eastAsia="仿宋_GB2312"/>
          <w:color w:val="000000"/>
          <w:sz w:val="32"/>
          <w:szCs w:val="32"/>
        </w:rPr>
        <w:t>室（单位）应当根据行政执法行为的不同类别、阶段、环节，采用不同的记录方式，做到记录合法规范、客观全面、及时准确。</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 xml:space="preserve">第六条 </w:t>
      </w:r>
      <w:r>
        <w:rPr>
          <w:rFonts w:eastAsia="仿宋_GB2312"/>
          <w:color w:val="000000"/>
          <w:sz w:val="32"/>
          <w:szCs w:val="32"/>
        </w:rPr>
        <w:t>各行政执法</w:t>
      </w:r>
      <w:r>
        <w:rPr>
          <w:rFonts w:hint="eastAsia" w:eastAsia="仿宋_GB2312"/>
          <w:color w:val="000000"/>
          <w:sz w:val="32"/>
          <w:szCs w:val="32"/>
          <w:lang w:eastAsia="zh-CN"/>
        </w:rPr>
        <w:t>科</w:t>
      </w:r>
      <w:r>
        <w:rPr>
          <w:rFonts w:eastAsia="仿宋_GB2312"/>
          <w:color w:val="000000"/>
          <w:sz w:val="32"/>
          <w:szCs w:val="32"/>
        </w:rPr>
        <w:t>室（单位）应当明确</w:t>
      </w:r>
      <w:bookmarkStart w:id="3" w:name="OLE_LINK27"/>
      <w:r>
        <w:rPr>
          <w:rFonts w:eastAsia="仿宋_GB2312"/>
          <w:color w:val="000000"/>
          <w:sz w:val="32"/>
          <w:szCs w:val="32"/>
        </w:rPr>
        <w:t>案卷承办人</w:t>
      </w:r>
      <w:bookmarkEnd w:id="3"/>
      <w:r>
        <w:rPr>
          <w:rFonts w:eastAsia="仿宋_GB2312"/>
          <w:color w:val="000000"/>
          <w:sz w:val="32"/>
          <w:szCs w:val="32"/>
        </w:rPr>
        <w:t>，负责执法案卷的立卷归档工作。案卷承办人在行政执法过程中，应当系统地收集有关文书和音像资料；案件办结后，应当全面整理，及时进行立卷并归档。</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 xml:space="preserve">第七条 </w:t>
      </w:r>
      <w:r>
        <w:rPr>
          <w:rFonts w:eastAsia="仿宋_GB2312"/>
          <w:color w:val="000000"/>
          <w:sz w:val="32"/>
          <w:szCs w:val="32"/>
        </w:rPr>
        <w:t>政府投资项目审批的</w:t>
      </w:r>
      <w:bookmarkStart w:id="4" w:name="OLE_LINK28"/>
      <w:r>
        <w:rPr>
          <w:rFonts w:eastAsia="仿宋_GB2312"/>
          <w:color w:val="000000"/>
          <w:sz w:val="32"/>
          <w:szCs w:val="32"/>
        </w:rPr>
        <w:t>行政执法案卷应当包括以下资料：</w:t>
      </w:r>
    </w:p>
    <w:bookmarkEnd w:id="4"/>
    <w:p>
      <w:pPr>
        <w:adjustRightInd w:val="0"/>
        <w:snapToGrid w:val="0"/>
        <w:spacing w:line="596" w:lineRule="exact"/>
        <w:ind w:firstLine="640" w:firstLineChars="200"/>
        <w:rPr>
          <w:rFonts w:eastAsia="楷体_GB2312"/>
          <w:color w:val="000000"/>
          <w:sz w:val="32"/>
          <w:szCs w:val="32"/>
        </w:rPr>
      </w:pPr>
      <w:r>
        <w:rPr>
          <w:rFonts w:eastAsia="楷体_GB2312"/>
          <w:color w:val="000000"/>
          <w:sz w:val="32"/>
          <w:szCs w:val="32"/>
        </w:rPr>
        <w:t>（一）项目建议书的审批</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1.项目建议书审批文件；</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2.委领导的签批意见（包括发文稿纸和办文说明）；</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3.受理通知书或申请材料补正告知书；</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4.项目申请报告（按文本格式）；</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5.征求意见材料，包括行业主管部门的书面意见、征求公众意见情况、专家评议意见（如有）；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6.法制审核意见（如有）；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7.主任办公会会议纪要（如有）；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8.送达回执或签收文件；</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9.其他相关资料。</w:t>
      </w:r>
    </w:p>
    <w:p>
      <w:pPr>
        <w:numPr>
          <w:ilvl w:val="0"/>
          <w:numId w:val="1"/>
        </w:numPr>
        <w:adjustRightInd w:val="0"/>
        <w:snapToGrid w:val="0"/>
        <w:spacing w:line="596" w:lineRule="exact"/>
        <w:ind w:firstLine="640" w:firstLineChars="200"/>
        <w:rPr>
          <w:rFonts w:eastAsia="楷体_GB2312"/>
          <w:color w:val="000000"/>
          <w:sz w:val="32"/>
          <w:szCs w:val="32"/>
        </w:rPr>
      </w:pPr>
      <w:r>
        <w:rPr>
          <w:rFonts w:eastAsia="楷体_GB2312"/>
          <w:color w:val="000000"/>
          <w:sz w:val="32"/>
          <w:szCs w:val="32"/>
        </w:rPr>
        <w:t>可行性研究报告的审批</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1.项目可行性研究报告审批文件；</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2.委领导的签批意见（包括发文稿纸和办文说明）；</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3.受理通知书或申请材料补正告知书；</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4.项目申请文件；</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5.可行性研究报告文本；</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6.项目审批依法应当具备的前置条件（视项目情况提供规划选址意见、用地预审意见、节能审查意见等）；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7.征求意见材料，包括行业主管部门的书面意见、征求公众意见情况、专家评议意见（如有）；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8.项目咨询评估报告（如有）；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9.财政部门关于资金来源的意见（如有）；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10.法制审核意见（如有）；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11.主任办公会会议纪要（如有）；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12.送达回执或签收文件；</w:t>
      </w:r>
    </w:p>
    <w:p>
      <w:pPr>
        <w:adjustRightInd w:val="0"/>
        <w:snapToGrid w:val="0"/>
        <w:spacing w:line="596" w:lineRule="exact"/>
        <w:ind w:firstLine="640" w:firstLineChars="200"/>
        <w:rPr>
          <w:rFonts w:eastAsia="黑体"/>
          <w:color w:val="000000"/>
          <w:sz w:val="32"/>
          <w:szCs w:val="32"/>
        </w:rPr>
      </w:pPr>
      <w:r>
        <w:rPr>
          <w:rFonts w:eastAsia="仿宋_GB2312"/>
          <w:color w:val="000000"/>
          <w:sz w:val="32"/>
          <w:szCs w:val="32"/>
        </w:rPr>
        <w:t>13.其他相关资料。</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第八条</w:t>
      </w:r>
      <w:r>
        <w:rPr>
          <w:rFonts w:eastAsia="仿宋"/>
          <w:color w:val="000000"/>
          <w:sz w:val="32"/>
          <w:szCs w:val="32"/>
        </w:rPr>
        <w:t xml:space="preserve"> </w:t>
      </w:r>
      <w:r>
        <w:rPr>
          <w:rFonts w:eastAsia="仿宋_GB2312"/>
          <w:color w:val="000000"/>
          <w:sz w:val="32"/>
          <w:szCs w:val="32"/>
        </w:rPr>
        <w:t>企业投资核准的行政执法案卷应当包括以下资料：</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1.项目核准批复文件(包括核准或不予核准决定书、延期或不予延期决定书、调整或不予调整决定书)；</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2.委领导的签批意见（包括发文稿纸和办文说明）；</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3.受理通知书或申请材料补正告知书；</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4.项目申请文件（或项目申请报告）；</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5.项目审批依法应当具备的前置条件（视项目情况提供规划选址意见、用地预审意见、节能审查意见等）；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6.征求意见材料，包括行业主管部门的书面意见、征求公众意见情况、专家评议意见（如有）；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7.外商投资项目核准需要附送的其他文件（如有）；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8.项目咨询评估报告（如有）；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9.法制审核意见（如有）；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10.主任办公会会议纪要（如有）；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11.送达回执或签收文件；</w:t>
      </w:r>
    </w:p>
    <w:p>
      <w:pPr>
        <w:adjustRightInd w:val="0"/>
        <w:snapToGrid w:val="0"/>
        <w:spacing w:line="596" w:lineRule="exact"/>
        <w:ind w:firstLine="640" w:firstLineChars="200"/>
        <w:rPr>
          <w:rFonts w:eastAsia="仿宋"/>
          <w:color w:val="000000"/>
          <w:sz w:val="32"/>
          <w:szCs w:val="32"/>
        </w:rPr>
      </w:pPr>
      <w:r>
        <w:rPr>
          <w:rFonts w:eastAsia="仿宋_GB2312"/>
          <w:color w:val="000000"/>
          <w:sz w:val="32"/>
          <w:szCs w:val="32"/>
        </w:rPr>
        <w:t>12.其他相关资料。</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第九条</w:t>
      </w:r>
      <w:r>
        <w:rPr>
          <w:rFonts w:eastAsia="仿宋"/>
          <w:color w:val="000000"/>
          <w:sz w:val="32"/>
          <w:szCs w:val="32"/>
        </w:rPr>
        <w:t xml:space="preserve"> </w:t>
      </w:r>
      <w:r>
        <w:rPr>
          <w:rFonts w:eastAsia="仿宋_GB2312"/>
          <w:color w:val="000000"/>
          <w:sz w:val="32"/>
          <w:szCs w:val="32"/>
        </w:rPr>
        <w:t>政府定价的行政执法案卷</w:t>
      </w:r>
      <w:bookmarkStart w:id="5" w:name="OLE_LINK1"/>
      <w:r>
        <w:rPr>
          <w:rFonts w:eastAsia="仿宋_GB2312"/>
          <w:color w:val="000000"/>
          <w:sz w:val="32"/>
          <w:szCs w:val="32"/>
        </w:rPr>
        <w:t>应当包括以下资料：</w:t>
      </w:r>
    </w:p>
    <w:bookmarkEnd w:id="5"/>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1.价格审批文件；</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2.委领导的签批意见(包括发文稿纸和办文说明)</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3.定价申请文件及相关资料（如有）；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4.对市场供求、社会承受能力和行业影响的调查分析材料；</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5.成本监审或成本调查测算报告；</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6.专家论证材料（如有）；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7.征求意见材料（开展听证的除外）；</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8.听证笔录、听证报告及相关音像资料（如有）；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9.制定价格方案；</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10.合法性审查意见；</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11.集体审议意见或委主任办公会会议纪要；</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12.按规定报请</w:t>
      </w:r>
      <w:r>
        <w:rPr>
          <w:rFonts w:hint="eastAsia" w:eastAsia="仿宋_GB2312"/>
          <w:color w:val="000000"/>
          <w:sz w:val="32"/>
          <w:szCs w:val="32"/>
          <w:lang w:eastAsia="zh-CN"/>
        </w:rPr>
        <w:t>市</w:t>
      </w:r>
      <w:r>
        <w:rPr>
          <w:rFonts w:eastAsia="仿宋_GB2312"/>
          <w:color w:val="000000"/>
          <w:sz w:val="32"/>
          <w:szCs w:val="32"/>
        </w:rPr>
        <w:t>政府审批的请示文件（如有）；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13.其他相关资料。</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第十条</w:t>
      </w:r>
      <w:r>
        <w:rPr>
          <w:rFonts w:eastAsia="仿宋"/>
          <w:color w:val="000000"/>
          <w:sz w:val="32"/>
          <w:szCs w:val="32"/>
        </w:rPr>
        <w:t xml:space="preserve"> </w:t>
      </w:r>
      <w:r>
        <w:rPr>
          <w:rFonts w:eastAsia="仿宋_GB2312"/>
          <w:color w:val="000000"/>
          <w:sz w:val="32"/>
          <w:szCs w:val="32"/>
        </w:rPr>
        <w:t>工程建设项目招标事项核准行政执法案卷</w:t>
      </w:r>
      <w:bookmarkStart w:id="6" w:name="OLE_LINK7"/>
      <w:r>
        <w:rPr>
          <w:rFonts w:eastAsia="仿宋_GB2312"/>
          <w:color w:val="000000"/>
          <w:sz w:val="32"/>
          <w:szCs w:val="32"/>
        </w:rPr>
        <w:t>应当包括以下资料</w:t>
      </w:r>
      <w:r>
        <w:rPr>
          <w:rFonts w:hint="eastAsia" w:eastAsia="仿宋_GB2312"/>
          <w:color w:val="000000"/>
          <w:sz w:val="32"/>
          <w:szCs w:val="32"/>
          <w:lang w:eastAsia="zh-CN"/>
        </w:rPr>
        <w:t>（根据益编办发【</w:t>
      </w:r>
      <w:r>
        <w:rPr>
          <w:rFonts w:hint="eastAsia" w:eastAsia="仿宋_GB2312"/>
          <w:color w:val="000000"/>
          <w:sz w:val="32"/>
          <w:szCs w:val="32"/>
          <w:lang w:val="en-US" w:eastAsia="zh-CN"/>
        </w:rPr>
        <w:t>2019】7号文件规定，招标事项核准由公共资源交易管理科负责，其他科室不再核准</w:t>
      </w:r>
      <w:r>
        <w:rPr>
          <w:rFonts w:hint="eastAsia" w:eastAsia="仿宋_GB2312"/>
          <w:color w:val="000000"/>
          <w:sz w:val="32"/>
          <w:szCs w:val="32"/>
          <w:lang w:eastAsia="zh-CN"/>
        </w:rPr>
        <w:t>）</w:t>
      </w:r>
      <w:r>
        <w:rPr>
          <w:rFonts w:eastAsia="仿宋_GB2312"/>
          <w:color w:val="000000"/>
          <w:sz w:val="32"/>
          <w:szCs w:val="32"/>
        </w:rPr>
        <w:t>：</w:t>
      </w:r>
    </w:p>
    <w:bookmarkEnd w:id="6"/>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1.招标事项核准批复文件；</w:t>
      </w:r>
    </w:p>
    <w:p>
      <w:pPr>
        <w:adjustRightInd w:val="0"/>
        <w:snapToGrid w:val="0"/>
        <w:spacing w:line="596" w:lineRule="exact"/>
        <w:ind w:firstLine="640" w:firstLineChars="200"/>
        <w:rPr>
          <w:rFonts w:eastAsia="仿宋_GB2312"/>
          <w:color w:val="000000"/>
          <w:sz w:val="32"/>
          <w:szCs w:val="32"/>
        </w:rPr>
      </w:pPr>
      <w:bookmarkStart w:id="7" w:name="OLE_LINK8"/>
      <w:r>
        <w:rPr>
          <w:rFonts w:eastAsia="仿宋_GB2312"/>
          <w:color w:val="000000"/>
          <w:sz w:val="32"/>
          <w:szCs w:val="32"/>
        </w:rPr>
        <w:t>2</w:t>
      </w:r>
      <w:bookmarkEnd w:id="7"/>
      <w:r>
        <w:rPr>
          <w:rFonts w:eastAsia="仿宋_GB2312"/>
          <w:color w:val="000000"/>
          <w:sz w:val="32"/>
          <w:szCs w:val="32"/>
        </w:rPr>
        <w:t>.委领导的签批意见(包括发文稿纸和办文说明)；</w:t>
      </w:r>
    </w:p>
    <w:p>
      <w:pPr>
        <w:adjustRightInd w:val="0"/>
        <w:snapToGrid w:val="0"/>
        <w:spacing w:line="596" w:lineRule="exact"/>
        <w:ind w:firstLine="640" w:firstLineChars="200"/>
        <w:rPr>
          <w:rFonts w:eastAsia="仿宋_GB2312"/>
          <w:color w:val="000000"/>
          <w:sz w:val="32"/>
          <w:szCs w:val="32"/>
        </w:rPr>
      </w:pPr>
      <w:bookmarkStart w:id="8" w:name="OLE_LINK10"/>
      <w:r>
        <w:rPr>
          <w:rFonts w:eastAsia="仿宋_GB2312"/>
          <w:color w:val="000000"/>
          <w:sz w:val="32"/>
          <w:szCs w:val="32"/>
        </w:rPr>
        <w:t>3.受理通知书或申请材料补正告知书；</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4.核准申请文件；</w:t>
      </w:r>
    </w:p>
    <w:bookmarkEnd w:id="8"/>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5.项目立项审批或核准的批复文件；</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6.申请自行招标的相关材料；</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7.国有投资项目申请邀请招标或不招标的证明材料；</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8.法制审核意见（如有）；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9.主任办公会会议纪要（如有）；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10.送达回执或签收文件；</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11.其他相关资料。</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第十一条</w:t>
      </w:r>
      <w:r>
        <w:rPr>
          <w:rFonts w:eastAsia="仿宋"/>
          <w:color w:val="000000"/>
          <w:sz w:val="32"/>
          <w:szCs w:val="32"/>
        </w:rPr>
        <w:t xml:space="preserve"> </w:t>
      </w:r>
      <w:r>
        <w:rPr>
          <w:rFonts w:eastAsia="仿宋_GB2312"/>
          <w:color w:val="000000"/>
          <w:sz w:val="32"/>
          <w:szCs w:val="32"/>
        </w:rPr>
        <w:t>行政处罚的</w:t>
      </w:r>
      <w:bookmarkStart w:id="9" w:name="OLE_LINK16"/>
      <w:r>
        <w:rPr>
          <w:rFonts w:eastAsia="仿宋_GB2312"/>
          <w:color w:val="000000"/>
          <w:sz w:val="32"/>
          <w:szCs w:val="32"/>
        </w:rPr>
        <w:t>行政执法案卷应当包括以下资料：</w:t>
      </w:r>
    </w:p>
    <w:bookmarkEnd w:id="9"/>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1.行政处罚决定书；</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2.委领导的签批意见(包括发文稿纸和办文说明)；</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3.检查（调查）通知书；</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4.调查询问笔录；</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5.证据目录；</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6.案卷讨论记录；</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7.事先告知书；</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8.当事人申辩材料；</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9.听证通知书（如有）；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10.听证笔录及相关材料；</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11.法制审核意见（如有）；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12.主任办公会会议纪要（如有）；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13.送达回执或签收文件；</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14.其他相关资料。</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第十二条</w:t>
      </w:r>
      <w:r>
        <w:rPr>
          <w:rFonts w:eastAsia="仿宋"/>
          <w:color w:val="000000"/>
          <w:sz w:val="32"/>
          <w:szCs w:val="32"/>
        </w:rPr>
        <w:t xml:space="preserve"> </w:t>
      </w:r>
      <w:r>
        <w:rPr>
          <w:rFonts w:eastAsia="仿宋_GB2312"/>
          <w:color w:val="000000"/>
          <w:sz w:val="32"/>
          <w:szCs w:val="32"/>
        </w:rPr>
        <w:t>投诉处理的行政执法案卷应当包括以下资料：</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1.投诉处理决定书；</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2.委领导的签批意见(包括发文稿纸和办文说明)；</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3.受理通知书或补正告知书；</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4.投诉书及相关证据材料；</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5.被投诉人的答复材料和相关证据材料；</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6.调查笔录；</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7.收集的证据材料；</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8.法制审核意见（如有）；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9.主任办公会会议纪要（如有）；</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10.送达回执或签收文件；</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11.其他相关资料。</w:t>
      </w:r>
    </w:p>
    <w:p>
      <w:pPr>
        <w:adjustRightInd w:val="0"/>
        <w:snapToGrid w:val="0"/>
        <w:spacing w:line="596" w:lineRule="exact"/>
        <w:ind w:firstLine="640" w:firstLineChars="200"/>
        <w:rPr>
          <w:rFonts w:eastAsia="仿宋"/>
          <w:color w:val="000000"/>
          <w:sz w:val="32"/>
          <w:szCs w:val="32"/>
        </w:rPr>
      </w:pPr>
      <w:r>
        <w:rPr>
          <w:rFonts w:eastAsia="黑体"/>
          <w:color w:val="000000"/>
          <w:sz w:val="32"/>
          <w:szCs w:val="32"/>
        </w:rPr>
        <w:t>第十三条</w:t>
      </w:r>
      <w:r>
        <w:rPr>
          <w:rFonts w:eastAsia="仿宋_GB2312"/>
          <w:color w:val="000000"/>
          <w:sz w:val="32"/>
          <w:szCs w:val="32"/>
        </w:rPr>
        <w:t xml:space="preserve"> 各案卷管理工作承办人应当制作卷宗目录，并按顺序填写案卷内材料名称。装订前应当对文书材料进行全面检查，确保法律文书、证据材料、音像资料等必须完备。案卷档案应当符合《档案法》的相关规定，并便于长期保管。</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第十四条</w:t>
      </w:r>
      <w:r>
        <w:rPr>
          <w:rFonts w:eastAsia="仿宋"/>
          <w:color w:val="000000"/>
          <w:sz w:val="32"/>
          <w:szCs w:val="32"/>
        </w:rPr>
        <w:t xml:space="preserve"> </w:t>
      </w:r>
      <w:r>
        <w:rPr>
          <w:rFonts w:eastAsia="仿宋_GB2312"/>
          <w:color w:val="000000"/>
          <w:sz w:val="32"/>
          <w:szCs w:val="32"/>
        </w:rPr>
        <w:t>行政执法案卷应当在行政执法行为完成后的三十日内装订完毕，并按照委机关档案归档有关规定将案卷移交委档案室保管。</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档案室有权对移交归档的资料进行检查，对不符合档案管理规定的案卷，可退回给相关处室重新整理、立卷</w:t>
      </w:r>
      <w:r>
        <w:rPr>
          <w:rFonts w:hint="eastAsia" w:eastAsia="仿宋_GB2312"/>
          <w:color w:val="000000"/>
          <w:sz w:val="32"/>
          <w:szCs w:val="32"/>
        </w:rPr>
        <w:t>。</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第十五条</w:t>
      </w:r>
      <w:r>
        <w:rPr>
          <w:rFonts w:eastAsia="仿宋"/>
          <w:color w:val="000000"/>
          <w:sz w:val="32"/>
          <w:szCs w:val="32"/>
        </w:rPr>
        <w:t xml:space="preserve"> </w:t>
      </w:r>
      <w:r>
        <w:rPr>
          <w:rFonts w:eastAsia="仿宋_GB2312"/>
          <w:color w:val="000000"/>
          <w:sz w:val="32"/>
          <w:szCs w:val="32"/>
        </w:rPr>
        <w:t>行政执法案卷管理工作纳入委绩效考核和依法行政考核范围。法规</w:t>
      </w:r>
      <w:r>
        <w:rPr>
          <w:rFonts w:hint="eastAsia" w:eastAsia="仿宋_GB2312"/>
          <w:color w:val="000000"/>
          <w:sz w:val="32"/>
          <w:szCs w:val="32"/>
          <w:lang w:eastAsia="zh-CN"/>
        </w:rPr>
        <w:t>科</w:t>
      </w:r>
      <w:r>
        <w:rPr>
          <w:rFonts w:eastAsia="仿宋_GB2312"/>
          <w:color w:val="000000"/>
          <w:sz w:val="32"/>
          <w:szCs w:val="32"/>
        </w:rPr>
        <w:t>牵头，会同办公室定期对行政执法案卷开展评查，及时发现和纠正执法案卷缺失和内容不规范的问题。</w:t>
      </w:r>
    </w:p>
    <w:p>
      <w:pPr>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因立卷不及时、案卷管理不规范等致使关键证据等材料丢失，导致行政执法行为被确认为违法或被撤销，情节严重造成不良后果的，依规依纪追究相关</w:t>
      </w:r>
      <w:r>
        <w:rPr>
          <w:rFonts w:hint="eastAsia" w:eastAsia="仿宋_GB2312"/>
          <w:color w:val="000000"/>
          <w:sz w:val="32"/>
          <w:szCs w:val="32"/>
          <w:lang w:eastAsia="zh-CN"/>
        </w:rPr>
        <w:t>科</w:t>
      </w:r>
      <w:r>
        <w:rPr>
          <w:rFonts w:eastAsia="仿宋_GB2312"/>
          <w:color w:val="000000"/>
          <w:sz w:val="32"/>
          <w:szCs w:val="32"/>
        </w:rPr>
        <w:t>室和责任人员的责任。</w:t>
      </w:r>
    </w:p>
    <w:p>
      <w:pPr>
        <w:adjustRightInd w:val="0"/>
        <w:snapToGrid w:val="0"/>
        <w:spacing w:line="596" w:lineRule="exact"/>
        <w:ind w:firstLine="640" w:firstLineChars="200"/>
        <w:rPr>
          <w:rFonts w:eastAsia="仿宋"/>
          <w:color w:val="000000"/>
          <w:sz w:val="32"/>
          <w:szCs w:val="32"/>
        </w:rPr>
      </w:pPr>
      <w:r>
        <w:rPr>
          <w:rFonts w:eastAsia="黑体"/>
          <w:color w:val="000000"/>
          <w:sz w:val="32"/>
          <w:szCs w:val="32"/>
        </w:rPr>
        <w:t>第十六条</w:t>
      </w:r>
      <w:r>
        <w:rPr>
          <w:rFonts w:eastAsia="仿宋"/>
          <w:color w:val="000000"/>
          <w:sz w:val="32"/>
          <w:szCs w:val="32"/>
        </w:rPr>
        <w:t xml:space="preserve"> </w:t>
      </w:r>
      <w:r>
        <w:rPr>
          <w:rFonts w:eastAsia="仿宋_GB2312"/>
          <w:color w:val="000000"/>
          <w:sz w:val="32"/>
          <w:szCs w:val="32"/>
        </w:rPr>
        <w:t>法规</w:t>
      </w:r>
      <w:r>
        <w:rPr>
          <w:rFonts w:hint="eastAsia" w:eastAsia="仿宋_GB2312"/>
          <w:color w:val="000000"/>
          <w:sz w:val="32"/>
          <w:szCs w:val="32"/>
          <w:lang w:eastAsia="zh-CN"/>
        </w:rPr>
        <w:t>科</w:t>
      </w:r>
      <w:r>
        <w:rPr>
          <w:rFonts w:eastAsia="仿宋_GB2312"/>
          <w:color w:val="000000"/>
          <w:sz w:val="32"/>
          <w:szCs w:val="32"/>
        </w:rPr>
        <w:t>每年根据</w:t>
      </w:r>
      <w:r>
        <w:rPr>
          <w:rFonts w:hint="eastAsia" w:eastAsia="仿宋_GB2312"/>
          <w:color w:val="000000"/>
          <w:sz w:val="32"/>
          <w:szCs w:val="32"/>
          <w:lang w:eastAsia="zh-CN"/>
        </w:rPr>
        <w:t>省</w:t>
      </w:r>
      <w:r>
        <w:rPr>
          <w:rFonts w:eastAsia="仿宋_GB2312"/>
          <w:color w:val="000000"/>
          <w:sz w:val="32"/>
          <w:szCs w:val="32"/>
        </w:rPr>
        <w:t>发改委及</w:t>
      </w:r>
      <w:r>
        <w:rPr>
          <w:rFonts w:hint="eastAsia" w:eastAsia="仿宋_GB2312"/>
          <w:color w:val="000000"/>
          <w:sz w:val="32"/>
          <w:szCs w:val="32"/>
          <w:lang w:eastAsia="zh-CN"/>
        </w:rPr>
        <w:t>市</w:t>
      </w:r>
      <w:r>
        <w:rPr>
          <w:rFonts w:eastAsia="仿宋_GB2312"/>
          <w:color w:val="000000"/>
          <w:sz w:val="32"/>
          <w:szCs w:val="32"/>
        </w:rPr>
        <w:t>政府的有关要求，选送部分执法案卷接受评查。评为优秀案卷的，给予通报表扬；评为不合格的，给予通报批评。</w:t>
      </w:r>
    </w:p>
    <w:p>
      <w:pPr>
        <w:adjustRightInd w:val="0"/>
        <w:snapToGrid w:val="0"/>
        <w:spacing w:line="596" w:lineRule="exact"/>
        <w:ind w:firstLine="640" w:firstLineChars="200"/>
        <w:rPr>
          <w:rFonts w:eastAsia="仿宋_GB2312"/>
          <w:color w:val="000000"/>
          <w:sz w:val="32"/>
          <w:szCs w:val="32"/>
        </w:rPr>
      </w:pPr>
      <w:r>
        <w:rPr>
          <w:rFonts w:eastAsia="黑体"/>
          <w:color w:val="000000"/>
          <w:sz w:val="32"/>
          <w:szCs w:val="32"/>
        </w:rPr>
        <w:t>第十七条</w:t>
      </w:r>
      <w:r>
        <w:rPr>
          <w:rFonts w:eastAsia="仿宋"/>
          <w:color w:val="000000"/>
          <w:sz w:val="32"/>
          <w:szCs w:val="32"/>
        </w:rPr>
        <w:t xml:space="preserve"> </w:t>
      </w:r>
      <w:r>
        <w:rPr>
          <w:rFonts w:eastAsia="仿宋_GB2312"/>
          <w:sz w:val="32"/>
          <w:szCs w:val="32"/>
        </w:rPr>
        <w:t>本办法自公布之日起</w:t>
      </w:r>
      <w:r>
        <w:rPr>
          <w:rFonts w:hint="eastAsia" w:eastAsia="仿宋_GB2312"/>
          <w:sz w:val="32"/>
          <w:szCs w:val="32"/>
        </w:rPr>
        <w:t>试行，试行期两年。试行过程中视情况修订完善。</w:t>
      </w:r>
    </w:p>
    <w:p/>
    <w:p>
      <w:pPr>
        <w:wordWrap w:val="0"/>
        <w:autoSpaceDE w:val="0"/>
        <w:autoSpaceDN w:val="0"/>
        <w:adjustRightInd w:val="0"/>
        <w:spacing w:line="596" w:lineRule="exact"/>
        <w:ind w:right="-2"/>
        <w:jc w:val="right"/>
        <w:rPr>
          <w:rFonts w:eastAsia="仿宋_GB2312"/>
          <w:w w:val="98"/>
          <w:sz w:val="32"/>
        </w:rPr>
      </w:pPr>
      <w:r>
        <w:rPr>
          <w:rFonts w:eastAsia="仿宋_GB2312"/>
          <w:w w:val="98"/>
          <w:sz w:val="32"/>
        </w:rPr>
        <w:t xml:space="preserve">      </w:t>
      </w:r>
    </w:p>
    <w:p>
      <w:pPr>
        <w:autoSpaceDE w:val="0"/>
        <w:autoSpaceDN w:val="0"/>
        <w:adjustRightInd w:val="0"/>
        <w:spacing w:line="596" w:lineRule="exact"/>
        <w:rPr>
          <w:rFonts w:ascii="黑体" w:eastAsia="仿宋_GB2312"/>
          <w:w w:val="98"/>
          <w:sz w:val="32"/>
          <w:szCs w:val="32"/>
        </w:rPr>
      </w:pPr>
    </w:p>
    <w:p>
      <w:pPr>
        <w:rPr>
          <w:szCs w:val="28"/>
        </w:rPr>
      </w:pPr>
    </w:p>
    <w:p>
      <w:pPr>
        <w:rPr>
          <w:rFonts w:hint="eastAsia"/>
          <w:szCs w:val="28"/>
        </w:rPr>
      </w:pPr>
    </w:p>
    <w:p/>
    <w:sectPr>
      <w:footerReference r:id="rId3" w:type="default"/>
      <w:footerReference r:id="rId4" w:type="even"/>
      <w:pgSz w:w="11906" w:h="16838"/>
      <w:pgMar w:top="1587" w:right="1531" w:bottom="1134" w:left="1588"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15" w:rightChars="150"/>
      <w:jc w:val="right"/>
      <w:rPr>
        <w:sz w:val="28"/>
        <w:szCs w:val="28"/>
      </w:rPr>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7</w:t>
    </w:r>
    <w:r>
      <w:rPr>
        <w:kern w:val="0"/>
        <w:sz w:val="28"/>
        <w:szCs w:val="28"/>
      </w:rPr>
      <w:fldChar w:fldCharType="end"/>
    </w:r>
    <w:r>
      <w:rPr>
        <w:kern w:val="0"/>
        <w:sz w:val="28"/>
        <w:szCs w:val="28"/>
      </w:rPr>
      <w:t xml:space="preserve"> </w:t>
    </w:r>
    <w:r>
      <w:rPr>
        <w:rFonts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ight="357"/>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8</w:t>
    </w:r>
    <w:r>
      <w:rPr>
        <w:kern w:val="0"/>
        <w:sz w:val="28"/>
        <w:szCs w:val="28"/>
      </w:rPr>
      <w:fldChar w:fldCharType="end"/>
    </w:r>
    <w:r>
      <w:rPr>
        <w:kern w:val="0"/>
        <w:sz w:val="28"/>
        <w:szCs w:val="28"/>
      </w:rPr>
      <w:t xml:space="preserve"> </w:t>
    </w:r>
    <w:r>
      <w:rPr>
        <w:rFonts w:hint="eastAsia"/>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7F5D6"/>
    <w:multiLevelType w:val="singleLevel"/>
    <w:tmpl w:val="5CB7F5D6"/>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30958"/>
    <w:rsid w:val="01652FA4"/>
    <w:rsid w:val="05517F2B"/>
    <w:rsid w:val="1DDC261E"/>
    <w:rsid w:val="2440444A"/>
    <w:rsid w:val="24734B7E"/>
    <w:rsid w:val="2CEB1FEC"/>
    <w:rsid w:val="2F6B068F"/>
    <w:rsid w:val="37E4304E"/>
    <w:rsid w:val="4C0359D8"/>
    <w:rsid w:val="51830958"/>
    <w:rsid w:val="53093816"/>
    <w:rsid w:val="55722BC8"/>
    <w:rsid w:val="5EFF6A42"/>
    <w:rsid w:val="6642730D"/>
    <w:rsid w:val="749E11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2019-12-26T02:40:00Z</dcterms:created>
  <dc:creator>Administrator</dc:creator>
  <cp:lastModifiedBy>fdf</cp:lastModifiedBy>
  <cp:lastPrinted>2020-01-21T00:59:00Z</cp:lastPrinted>
  <dcterms:modified xsi:type="dcterms:W3CDTF">2020-07-23T01:13:23Z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