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kern w:val="0"/>
          <w:sz w:val="32"/>
          <w:szCs w:val="32"/>
        </w:rPr>
      </w:pP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autoSpaceDE w:val="0"/>
        <w:spacing w:line="800" w:lineRule="exact"/>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spacing w:line="4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4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86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jc w:val="center"/>
        <w:rPr>
          <w:rFonts w:hint="eastAsia" w:ascii="黑体" w:hAnsi="黑体" w:eastAsia="黑体"/>
          <w:sz w:val="44"/>
          <w:szCs w:val="44"/>
        </w:rPr>
      </w:pPr>
      <w:r>
        <w:rPr>
          <w:rFonts w:hint="eastAsia" w:ascii="仿宋_GB2312" w:eastAsia="仿宋_GB2312"/>
          <w:sz w:val="32"/>
          <w:szCs w:val="32"/>
        </w:rPr>
        <w:t xml:space="preserve">  益发改</w:t>
      </w:r>
      <w:r>
        <w:rPr>
          <w:rFonts w:hint="eastAsia" w:ascii="仿宋_GB2312" w:eastAsia="仿宋_GB2312"/>
          <w:sz w:val="32"/>
          <w:szCs w:val="32"/>
          <w:lang w:eastAsia="zh-CN"/>
        </w:rPr>
        <w:t>法规</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47</w:t>
      </w:r>
      <w:r>
        <w:rPr>
          <w:rFonts w:hint="eastAsia" w:ascii="仿宋_GB2312" w:eastAsia="仿宋_GB2312"/>
          <w:sz w:val="32"/>
          <w:szCs w:val="32"/>
        </w:rPr>
        <w:t>号</w:t>
      </w:r>
    </w:p>
    <w:p>
      <w:pPr>
        <w:spacing w:line="596" w:lineRule="exact"/>
        <w:jc w:val="center"/>
        <w:rPr>
          <w:rFonts w:hint="eastAsia" w:ascii="方正小标宋_GBK" w:hAnsi="仿宋" w:eastAsia="方正小标宋_GBK"/>
          <w:bCs/>
          <w:sz w:val="42"/>
          <w:szCs w:val="42"/>
          <w:lang w:eastAsia="zh-CN"/>
        </w:rPr>
      </w:pPr>
    </w:p>
    <w:p>
      <w:pPr>
        <w:keepNext w:val="0"/>
        <w:keepLines w:val="0"/>
        <w:pageBreakBefore w:val="0"/>
        <w:widowControl w:val="0"/>
        <w:kinsoku/>
        <w:wordWrap/>
        <w:overflowPunct/>
        <w:topLinePunct w:val="0"/>
        <w:bidi w:val="0"/>
        <w:snapToGrid/>
        <w:spacing w:line="540" w:lineRule="exact"/>
        <w:jc w:val="center"/>
        <w:textAlignment w:val="auto"/>
        <w:rPr>
          <w:rFonts w:hint="eastAsia" w:eastAsia="方正小标宋简体"/>
          <w:bCs/>
          <w:color w:val="000000"/>
          <w:sz w:val="42"/>
          <w:szCs w:val="32"/>
        </w:rPr>
      </w:pPr>
      <w:r>
        <w:rPr>
          <w:rFonts w:hint="eastAsia" w:ascii="方正小标宋_GBK" w:hAnsi="仿宋" w:eastAsia="方正小标宋_GBK"/>
          <w:bCs/>
          <w:sz w:val="42"/>
          <w:szCs w:val="42"/>
          <w:lang w:eastAsia="zh-CN"/>
        </w:rPr>
        <w:t>益阳市</w:t>
      </w:r>
      <w:r>
        <w:rPr>
          <w:rFonts w:hint="eastAsia" w:ascii="方正小标宋_GBK" w:hAnsi="仿宋" w:eastAsia="方正小标宋_GBK"/>
          <w:bCs/>
          <w:sz w:val="42"/>
          <w:szCs w:val="42"/>
        </w:rPr>
        <w:t>发展和改革委员会</w:t>
      </w:r>
      <w:bookmarkStart w:id="0" w:name="FlSubject"/>
      <w:bookmarkEnd w:id="0"/>
      <w:bookmarkStart w:id="1" w:name="FlMainSend"/>
      <w:bookmarkEnd w:id="1"/>
    </w:p>
    <w:p>
      <w:pPr>
        <w:keepNext w:val="0"/>
        <w:keepLines w:val="0"/>
        <w:pageBreakBefore w:val="0"/>
        <w:widowControl w:val="0"/>
        <w:kinsoku/>
        <w:wordWrap/>
        <w:overflowPunct/>
        <w:topLinePunct w:val="0"/>
        <w:bidi w:val="0"/>
        <w:snapToGrid/>
        <w:spacing w:line="540" w:lineRule="exact"/>
        <w:jc w:val="center"/>
        <w:textAlignment w:val="auto"/>
        <w:rPr>
          <w:rFonts w:hint="eastAsia" w:ascii="方正小标宋_GBK" w:hAnsi="仿宋" w:eastAsia="方正小标宋_GBK"/>
          <w:bCs/>
          <w:sz w:val="42"/>
          <w:szCs w:val="42"/>
        </w:rPr>
      </w:pPr>
      <w:r>
        <w:rPr>
          <w:rFonts w:hint="eastAsia" w:ascii="方正小标宋_GBK" w:hAnsi="仿宋" w:eastAsia="方正小标宋_GBK"/>
          <w:bCs/>
          <w:sz w:val="42"/>
          <w:szCs w:val="42"/>
        </w:rPr>
        <w:t>关于印发《</w:t>
      </w:r>
      <w:r>
        <w:rPr>
          <w:rFonts w:hint="eastAsia" w:ascii="方正小标宋_GBK" w:hAnsi="仿宋" w:eastAsia="方正小标宋_GBK"/>
          <w:bCs/>
          <w:sz w:val="42"/>
          <w:szCs w:val="42"/>
          <w:lang w:eastAsia="zh-CN"/>
        </w:rPr>
        <w:t>益阳市</w:t>
      </w:r>
      <w:r>
        <w:rPr>
          <w:rFonts w:hint="eastAsia" w:ascii="方正小标宋_GBK" w:hAnsi="仿宋" w:eastAsia="方正小标宋_GBK"/>
          <w:bCs/>
          <w:sz w:val="42"/>
          <w:szCs w:val="42"/>
        </w:rPr>
        <w:t>发展和改革委员会</w:t>
      </w:r>
      <w:r>
        <w:rPr>
          <w:rFonts w:ascii="方正小标宋_GBK" w:hAnsi="仿宋" w:eastAsia="方正小标宋_GBK"/>
          <w:bCs/>
          <w:sz w:val="42"/>
          <w:szCs w:val="42"/>
        </w:rPr>
        <w:t>重大行政</w:t>
      </w:r>
    </w:p>
    <w:p>
      <w:pPr>
        <w:keepNext w:val="0"/>
        <w:keepLines w:val="0"/>
        <w:pageBreakBefore w:val="0"/>
        <w:widowControl w:val="0"/>
        <w:kinsoku/>
        <w:wordWrap/>
        <w:overflowPunct/>
        <w:topLinePunct w:val="0"/>
        <w:bidi w:val="0"/>
        <w:snapToGrid/>
        <w:spacing w:line="540" w:lineRule="exact"/>
        <w:jc w:val="center"/>
        <w:textAlignment w:val="auto"/>
        <w:rPr>
          <w:rFonts w:ascii="方正小标宋_GBK" w:hAnsi="仿宋" w:eastAsia="方正小标宋_GBK"/>
          <w:bCs/>
          <w:sz w:val="42"/>
          <w:szCs w:val="42"/>
        </w:rPr>
      </w:pPr>
      <w:r>
        <w:rPr>
          <w:rFonts w:ascii="方正小标宋_GBK" w:hAnsi="仿宋" w:eastAsia="方正小标宋_GBK"/>
          <w:bCs/>
          <w:sz w:val="42"/>
          <w:szCs w:val="42"/>
        </w:rPr>
        <w:t>执法决定法制审核办法（</w:t>
      </w:r>
      <w:r>
        <w:rPr>
          <w:rFonts w:hint="eastAsia" w:ascii="方正小标宋_GBK" w:hAnsi="仿宋" w:eastAsia="方正小标宋_GBK"/>
          <w:bCs/>
          <w:sz w:val="42"/>
          <w:szCs w:val="42"/>
        </w:rPr>
        <w:t>试行</w:t>
      </w:r>
      <w:r>
        <w:rPr>
          <w:rFonts w:ascii="方正小标宋_GBK" w:hAnsi="仿宋" w:eastAsia="方正小标宋_GBK"/>
          <w:bCs/>
          <w:sz w:val="42"/>
          <w:szCs w:val="42"/>
        </w:rPr>
        <w:t>）</w:t>
      </w:r>
      <w:r>
        <w:rPr>
          <w:rFonts w:hint="eastAsia" w:ascii="方正小标宋_GBK" w:hAnsi="仿宋" w:eastAsia="方正小标宋_GBK"/>
          <w:bCs/>
          <w:sz w:val="42"/>
          <w:szCs w:val="42"/>
        </w:rPr>
        <w:t>》的通知</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机关各</w:t>
      </w:r>
      <w:r>
        <w:rPr>
          <w:rFonts w:hint="eastAsia" w:ascii="仿宋_GB2312" w:eastAsia="仿宋_GB2312" w:cs="仿宋_GB2312"/>
          <w:kern w:val="0"/>
          <w:sz w:val="32"/>
          <w:szCs w:val="32"/>
          <w:lang w:eastAsia="zh-CN"/>
        </w:rPr>
        <w:t>科</w:t>
      </w:r>
      <w:r>
        <w:rPr>
          <w:rFonts w:hint="eastAsia" w:ascii="仿宋_GB2312" w:eastAsia="仿宋_GB2312" w:cs="仿宋_GB2312"/>
          <w:kern w:val="0"/>
          <w:sz w:val="32"/>
          <w:szCs w:val="32"/>
        </w:rPr>
        <w:t>室、委属各单位：</w:t>
      </w:r>
    </w:p>
    <w:p>
      <w:pPr>
        <w:keepNext w:val="0"/>
        <w:keepLines w:val="0"/>
        <w:pageBreakBefore w:val="0"/>
        <w:widowControl w:val="0"/>
        <w:kinsoku/>
        <w:wordWrap/>
        <w:overflowPunct/>
        <w:topLinePunct w:val="0"/>
        <w:bidi w:val="0"/>
        <w:snapToGrid/>
        <w:spacing w:line="540" w:lineRule="exact"/>
        <w:ind w:firstLine="640"/>
        <w:jc w:val="left"/>
        <w:textAlignment w:val="auto"/>
        <w:rPr>
          <w:rFonts w:hint="eastAsia" w:ascii="仿宋_GB2312" w:hAnsi="Calibri" w:eastAsia="仿宋_GB2312"/>
          <w:sz w:val="32"/>
          <w:szCs w:val="32"/>
        </w:rPr>
      </w:pPr>
      <w:r>
        <w:rPr>
          <w:rFonts w:hint="eastAsia" w:ascii="仿宋_GB2312" w:hAnsi="Calibri" w:eastAsia="仿宋_GB2312"/>
          <w:sz w:val="32"/>
          <w:szCs w:val="32"/>
        </w:rPr>
        <w:t>《</w:t>
      </w:r>
      <w:r>
        <w:rPr>
          <w:rFonts w:hint="eastAsia" w:ascii="仿宋_GB2312" w:hAnsi="Calibri" w:eastAsia="仿宋_GB2312"/>
          <w:sz w:val="32"/>
          <w:szCs w:val="32"/>
          <w:lang w:eastAsia="zh-CN"/>
        </w:rPr>
        <w:t>益阳市</w:t>
      </w:r>
      <w:r>
        <w:rPr>
          <w:rFonts w:ascii="仿宋_GB2312" w:hAnsi="Calibri" w:eastAsia="仿宋_GB2312"/>
          <w:sz w:val="32"/>
          <w:szCs w:val="32"/>
        </w:rPr>
        <w:t>发展</w:t>
      </w:r>
      <w:r>
        <w:rPr>
          <w:rFonts w:hint="eastAsia" w:ascii="仿宋_GB2312" w:hAnsi="Calibri" w:eastAsia="仿宋_GB2312"/>
          <w:sz w:val="32"/>
          <w:szCs w:val="32"/>
        </w:rPr>
        <w:t>和改革委员会</w:t>
      </w:r>
      <w:r>
        <w:rPr>
          <w:rFonts w:ascii="仿宋_GB2312" w:hAnsi="Calibri" w:eastAsia="仿宋_GB2312"/>
          <w:sz w:val="32"/>
          <w:szCs w:val="32"/>
        </w:rPr>
        <w:t>重大行政执法决定法制</w:t>
      </w:r>
      <w:r>
        <w:rPr>
          <w:rFonts w:hint="eastAsia" w:ascii="仿宋_GB2312" w:hAnsi="Calibri" w:eastAsia="仿宋_GB2312"/>
          <w:sz w:val="32"/>
          <w:szCs w:val="32"/>
        </w:rPr>
        <w:t>审核</w:t>
      </w:r>
      <w:r>
        <w:rPr>
          <w:rFonts w:ascii="仿宋_GB2312" w:hAnsi="Calibri" w:eastAsia="仿宋_GB2312"/>
          <w:sz w:val="32"/>
          <w:szCs w:val="32"/>
        </w:rPr>
        <w:t>办法</w:t>
      </w:r>
      <w:r>
        <w:rPr>
          <w:rFonts w:hint="eastAsia" w:ascii="仿宋_GB2312" w:eastAsia="仿宋_GB2312"/>
          <w:sz w:val="32"/>
          <w:szCs w:val="32"/>
        </w:rPr>
        <w:t>（试行）</w:t>
      </w:r>
      <w:r>
        <w:rPr>
          <w:rFonts w:hint="eastAsia" w:ascii="仿宋_GB2312" w:hAnsi="Calibri" w:eastAsia="仿宋_GB2312"/>
          <w:sz w:val="32"/>
          <w:szCs w:val="32"/>
        </w:rPr>
        <w:t>》</w:t>
      </w:r>
      <w:r>
        <w:rPr>
          <w:rFonts w:hint="eastAsia" w:ascii="仿宋_GB2312" w:eastAsia="仿宋_GB2312"/>
          <w:sz w:val="32"/>
          <w:szCs w:val="32"/>
        </w:rPr>
        <w:t>已经委务会审议通过，现</w:t>
      </w:r>
      <w:r>
        <w:rPr>
          <w:rFonts w:hint="eastAsia" w:ascii="仿宋_GB2312" w:hAnsi="Calibri" w:eastAsia="仿宋_GB2312"/>
          <w:sz w:val="32"/>
          <w:szCs w:val="32"/>
        </w:rPr>
        <w:t>印发给你们，请遵照执行</w:t>
      </w:r>
      <w:r>
        <w:rPr>
          <w:rFonts w:hint="eastAsia" w:ascii="仿宋_GB2312" w:eastAsia="仿宋_GB2312"/>
          <w:sz w:val="32"/>
          <w:szCs w:val="32"/>
        </w:rPr>
        <w:t>。</w:t>
      </w:r>
    </w:p>
    <w:p>
      <w:pPr>
        <w:spacing w:line="596" w:lineRule="exact"/>
        <w:ind w:firstLine="640"/>
        <w:jc w:val="center"/>
        <w:rPr>
          <w:rFonts w:hint="eastAsia" w:ascii="仿宋_GB2312" w:eastAsia="仿宋_GB2312"/>
          <w:sz w:val="32"/>
          <w:szCs w:val="32"/>
        </w:rPr>
      </w:pPr>
      <w:r>
        <w:rPr>
          <w:rFonts w:hint="eastAsia" w:ascii="仿宋_GB2312" w:eastAsia="仿宋_GB2312"/>
          <w:sz w:val="32"/>
          <w:szCs w:val="32"/>
        </w:rPr>
        <w:t xml:space="preserve">            </w:t>
      </w:r>
    </w:p>
    <w:p>
      <w:pPr>
        <w:spacing w:line="596" w:lineRule="exact"/>
        <w:ind w:firstLine="64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line="596" w:lineRule="exact"/>
        <w:ind w:firstLine="640"/>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湖南省发展和改革委员会</w:t>
      </w:r>
    </w:p>
    <w:p>
      <w:pPr>
        <w:adjustRightInd w:val="0"/>
        <w:snapToGrid w:val="0"/>
        <w:spacing w:line="596" w:lineRule="exact"/>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800" w:lineRule="exact"/>
        <w:textAlignment w:val="auto"/>
        <w:rPr>
          <w:rFonts w:hint="eastAsia" w:ascii="仿宋_GB2312" w:eastAsia="仿宋_GB2312"/>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noWrap w:val="0"/>
            <w:vAlign w:val="top"/>
          </w:tcPr>
          <w:p>
            <w:pPr>
              <w:spacing w:line="520" w:lineRule="exact"/>
              <w:ind w:left="-37" w:right="210" w:rightChars="100" w:firstLine="205" w:firstLineChars="75"/>
              <w:rPr>
                <w:rFonts w:eastAsia="仿宋_GB2312"/>
                <w:kern w:val="0"/>
                <w:sz w:val="28"/>
                <w:szCs w:val="28"/>
              </w:rPr>
            </w:pPr>
            <w:r>
              <w:rPr>
                <w:rFonts w:hint="eastAsia" w:ascii="仿宋_GB2312" w:eastAsia="仿宋_GB2312"/>
                <w:w w:val="98"/>
                <w:kern w:val="0"/>
                <w:sz w:val="28"/>
                <w:szCs w:val="28"/>
                <w:lang w:eastAsia="zh-CN"/>
              </w:rPr>
              <w:t>益阳市</w:t>
            </w:r>
            <w:r>
              <w:rPr>
                <w:rFonts w:hint="eastAsia" w:ascii="仿宋_GB2312" w:eastAsia="仿宋_GB2312"/>
                <w:w w:val="98"/>
                <w:kern w:val="0"/>
                <w:sz w:val="28"/>
                <w:szCs w:val="28"/>
              </w:rPr>
              <w:t>发展和改革委员会办公室            20</w:t>
            </w:r>
            <w:r>
              <w:rPr>
                <w:rFonts w:hint="eastAsia" w:ascii="仿宋_GB2312" w:eastAsia="仿宋_GB2312"/>
                <w:w w:val="98"/>
                <w:kern w:val="0"/>
                <w:sz w:val="28"/>
                <w:szCs w:val="28"/>
                <w:lang w:val="en-US" w:eastAsia="zh-CN"/>
              </w:rPr>
              <w:t>20</w:t>
            </w:r>
            <w:r>
              <w:rPr>
                <w:rFonts w:hint="eastAsia" w:ascii="仿宋_GB2312" w:eastAsia="仿宋_GB2312"/>
                <w:w w:val="98"/>
                <w:kern w:val="0"/>
                <w:sz w:val="28"/>
                <w:szCs w:val="28"/>
              </w:rPr>
              <w:t>年</w:t>
            </w:r>
            <w:r>
              <w:rPr>
                <w:rFonts w:hint="eastAsia" w:ascii="仿宋_GB2312" w:eastAsia="仿宋_GB2312"/>
                <w:w w:val="98"/>
                <w:kern w:val="0"/>
                <w:sz w:val="28"/>
                <w:szCs w:val="28"/>
                <w:lang w:val="en-US" w:eastAsia="zh-CN"/>
              </w:rPr>
              <w:t xml:space="preserve"> 1</w:t>
            </w:r>
            <w:r>
              <w:rPr>
                <w:rFonts w:hint="eastAsia" w:ascii="仿宋_GB2312" w:eastAsia="仿宋_GB2312"/>
                <w:w w:val="98"/>
                <w:kern w:val="0"/>
                <w:sz w:val="28"/>
                <w:szCs w:val="28"/>
              </w:rPr>
              <w:t>月</w:t>
            </w:r>
            <w:r>
              <w:rPr>
                <w:rFonts w:hint="eastAsia" w:ascii="仿宋_GB2312" w:eastAsia="仿宋_GB2312"/>
                <w:w w:val="98"/>
                <w:kern w:val="0"/>
                <w:sz w:val="28"/>
                <w:szCs w:val="28"/>
                <w:lang w:val="en-US" w:eastAsia="zh-CN"/>
              </w:rPr>
              <w:t>23</w:t>
            </w:r>
            <w:r>
              <w:rPr>
                <w:rFonts w:hint="eastAsia" w:ascii="仿宋_GB2312" w:eastAsia="仿宋_GB2312"/>
                <w:w w:val="98"/>
                <w:kern w:val="0"/>
                <w:sz w:val="28"/>
                <w:szCs w:val="28"/>
              </w:rPr>
              <w:t>日印发</w:t>
            </w:r>
          </w:p>
        </w:tc>
      </w:tr>
    </w:tbl>
    <w:p>
      <w:pPr>
        <w:adjustRightInd w:val="0"/>
        <w:snapToGrid w:val="0"/>
        <w:spacing w:line="596" w:lineRule="exact"/>
        <w:rPr>
          <w:rFonts w:hint="eastAsia" w:ascii="仿宋_GB2312" w:eastAsia="仿宋_GB2312"/>
          <w:bCs/>
          <w:color w:val="000000"/>
          <w:sz w:val="32"/>
          <w:szCs w:val="32"/>
        </w:rPr>
      </w:pPr>
      <w:r>
        <w:rPr>
          <w:rFonts w:hint="eastAsia" w:ascii="仿宋" w:hAnsi="仿宋" w:eastAsia="仿宋" w:cs="仿宋"/>
          <w:sz w:val="32"/>
          <w:szCs w:val="32"/>
        </w:rPr>
        <w:br w:type="page"/>
      </w:r>
      <w:r>
        <w:rPr>
          <w:rFonts w:hint="eastAsia" w:ascii="仿宋_GB2312" w:hAnsi="仿宋" w:eastAsia="仿宋_GB2312" w:cs="仿宋"/>
          <w:sz w:val="32"/>
          <w:szCs w:val="32"/>
        </w:rPr>
        <w:t>附件：</w:t>
      </w:r>
    </w:p>
    <w:p>
      <w:pPr>
        <w:adjustRightInd w:val="0"/>
        <w:snapToGrid w:val="0"/>
        <w:spacing w:line="596" w:lineRule="exact"/>
        <w:jc w:val="center"/>
        <w:rPr>
          <w:rFonts w:eastAsia="方正小标宋简体"/>
          <w:bCs/>
          <w:color w:val="000000"/>
          <w:sz w:val="42"/>
          <w:szCs w:val="32"/>
        </w:rPr>
      </w:pPr>
    </w:p>
    <w:p>
      <w:pPr>
        <w:adjustRightInd w:val="0"/>
        <w:snapToGrid w:val="0"/>
        <w:spacing w:line="596" w:lineRule="exact"/>
        <w:jc w:val="center"/>
        <w:rPr>
          <w:rFonts w:eastAsia="方正小标宋简体"/>
          <w:bCs/>
          <w:color w:val="000000"/>
          <w:sz w:val="42"/>
          <w:szCs w:val="32"/>
        </w:rPr>
      </w:pPr>
      <w:r>
        <w:rPr>
          <w:rFonts w:hint="eastAsia" w:eastAsia="方正小标宋简体"/>
          <w:bCs/>
          <w:color w:val="000000"/>
          <w:sz w:val="42"/>
          <w:szCs w:val="32"/>
          <w:lang w:eastAsia="zh-CN"/>
        </w:rPr>
        <w:t>益阳市</w:t>
      </w:r>
      <w:r>
        <w:rPr>
          <w:rFonts w:eastAsia="方正小标宋简体"/>
          <w:bCs/>
          <w:color w:val="000000"/>
          <w:sz w:val="42"/>
          <w:szCs w:val="32"/>
        </w:rPr>
        <w:t>发展和改革委员会</w:t>
      </w:r>
    </w:p>
    <w:p>
      <w:pPr>
        <w:adjustRightInd w:val="0"/>
        <w:snapToGrid w:val="0"/>
        <w:spacing w:line="596" w:lineRule="exact"/>
        <w:jc w:val="center"/>
        <w:rPr>
          <w:rFonts w:eastAsia="方正小标宋简体"/>
          <w:bCs/>
          <w:color w:val="000000"/>
          <w:sz w:val="42"/>
          <w:szCs w:val="32"/>
        </w:rPr>
      </w:pPr>
      <w:r>
        <w:rPr>
          <w:rFonts w:eastAsia="方正小标宋简体"/>
          <w:bCs/>
          <w:color w:val="000000"/>
          <w:sz w:val="42"/>
          <w:szCs w:val="32"/>
        </w:rPr>
        <w:t>重大行政执法决定法制审核办法</w:t>
      </w:r>
    </w:p>
    <w:p>
      <w:pPr>
        <w:adjustRightInd w:val="0"/>
        <w:snapToGrid w:val="0"/>
        <w:spacing w:line="596" w:lineRule="exact"/>
        <w:jc w:val="center"/>
        <w:rPr>
          <w:rFonts w:hint="eastAsia" w:ascii="楷体_GB2312" w:eastAsia="楷体_GB2312"/>
          <w:bCs/>
          <w:color w:val="000000"/>
          <w:sz w:val="32"/>
          <w:szCs w:val="32"/>
        </w:rPr>
      </w:pPr>
      <w:r>
        <w:rPr>
          <w:rFonts w:hint="eastAsia" w:ascii="楷体_GB2312" w:eastAsia="楷体_GB2312"/>
          <w:bCs/>
          <w:color w:val="000000"/>
          <w:sz w:val="32"/>
          <w:szCs w:val="32"/>
        </w:rPr>
        <w:t>（试行）</w:t>
      </w:r>
    </w:p>
    <w:p>
      <w:pPr>
        <w:adjustRightInd w:val="0"/>
        <w:snapToGrid w:val="0"/>
        <w:spacing w:line="596" w:lineRule="exact"/>
        <w:jc w:val="center"/>
        <w:rPr>
          <w:rFonts w:hint="eastAsia" w:ascii="楷体_GB2312" w:eastAsia="楷体_GB2312"/>
          <w:bCs/>
          <w:color w:val="000000"/>
          <w:sz w:val="32"/>
          <w:szCs w:val="32"/>
        </w:rPr>
      </w:pPr>
    </w:p>
    <w:p>
      <w:pPr>
        <w:adjustRightInd w:val="0"/>
        <w:snapToGrid w:val="0"/>
        <w:spacing w:line="596" w:lineRule="exact"/>
        <w:ind w:firstLine="640" w:firstLineChars="200"/>
        <w:rPr>
          <w:rFonts w:eastAsia="仿宋_GB2312"/>
          <w:sz w:val="32"/>
          <w:szCs w:val="32"/>
        </w:rPr>
      </w:pPr>
      <w:r>
        <w:rPr>
          <w:rFonts w:eastAsia="黑体"/>
          <w:sz w:val="32"/>
          <w:szCs w:val="32"/>
        </w:rPr>
        <w:t xml:space="preserve">第一条 </w:t>
      </w:r>
      <w:r>
        <w:rPr>
          <w:rFonts w:eastAsia="仿宋_GB2312"/>
          <w:sz w:val="32"/>
          <w:szCs w:val="32"/>
        </w:rPr>
        <w:t>为深入推进依法行政，严格规范公正文明执法，确保我委所作重大行政执法决定合法有效，保护公民、法人和其他组织的合法权益，根据《档案法》、《国务院办公厅关于全面推行行政执法公示制度执法全过程记录制度重大执法决定法制审核制度的指导意见》（国办发[2018]118号）等有关规定，结合我委工作实际，制定本办法。</w:t>
      </w:r>
    </w:p>
    <w:p>
      <w:pPr>
        <w:adjustRightInd w:val="0"/>
        <w:snapToGrid w:val="0"/>
        <w:spacing w:line="596" w:lineRule="exact"/>
        <w:ind w:firstLine="640" w:firstLineChars="200"/>
        <w:rPr>
          <w:rFonts w:eastAsia="仿宋_GB2312"/>
          <w:sz w:val="32"/>
          <w:szCs w:val="32"/>
        </w:rPr>
      </w:pPr>
      <w:r>
        <w:rPr>
          <w:rFonts w:eastAsia="黑体"/>
          <w:sz w:val="32"/>
          <w:szCs w:val="32"/>
        </w:rPr>
        <w:t>第二条</w:t>
      </w:r>
      <w:r>
        <w:rPr>
          <w:rFonts w:eastAsia="仿宋_GB2312"/>
          <w:sz w:val="32"/>
          <w:szCs w:val="32"/>
        </w:rPr>
        <w:t xml:space="preserve"> 本办法所称的行政执法决定包括我委作出的行政许可、行政审批、行政处罚、行政</w:t>
      </w:r>
      <w:r>
        <w:rPr>
          <w:rFonts w:hint="eastAsia" w:eastAsia="仿宋_GB2312"/>
          <w:sz w:val="32"/>
          <w:szCs w:val="32"/>
          <w:lang w:val="en-US" w:eastAsia="zh-CN"/>
        </w:rPr>
        <w:t>检查</w:t>
      </w:r>
      <w:r>
        <w:rPr>
          <w:rFonts w:eastAsia="仿宋_GB2312"/>
          <w:sz w:val="32"/>
          <w:szCs w:val="32"/>
        </w:rPr>
        <w:t>、价格制定以及其他对行政相对人权利义务产生影响的行政行为。</w:t>
      </w:r>
    </w:p>
    <w:p>
      <w:pPr>
        <w:adjustRightInd w:val="0"/>
        <w:snapToGrid w:val="0"/>
        <w:spacing w:line="596" w:lineRule="exact"/>
        <w:ind w:firstLine="640" w:firstLineChars="200"/>
        <w:rPr>
          <w:rFonts w:eastAsia="仿宋_GB2312"/>
          <w:sz w:val="32"/>
          <w:szCs w:val="32"/>
        </w:rPr>
      </w:pPr>
      <w:r>
        <w:rPr>
          <w:rFonts w:eastAsia="黑体"/>
          <w:sz w:val="32"/>
          <w:szCs w:val="32"/>
        </w:rPr>
        <w:t xml:space="preserve">第三条 </w:t>
      </w:r>
      <w:r>
        <w:rPr>
          <w:rFonts w:eastAsia="仿宋_GB2312"/>
          <w:sz w:val="32"/>
          <w:szCs w:val="32"/>
        </w:rPr>
        <w:t>本办法所称重大行政执法决定法制审核是指我委有关</w:t>
      </w:r>
      <w:r>
        <w:rPr>
          <w:rFonts w:hint="eastAsia" w:eastAsia="仿宋_GB2312"/>
          <w:sz w:val="32"/>
          <w:szCs w:val="32"/>
          <w:lang w:eastAsia="zh-CN"/>
        </w:rPr>
        <w:t>科</w:t>
      </w:r>
      <w:r>
        <w:rPr>
          <w:rFonts w:eastAsia="仿宋_GB2312"/>
          <w:sz w:val="32"/>
          <w:szCs w:val="32"/>
        </w:rPr>
        <w:t>室、单位以我委名义做出重大行政执法决定前，由委法制工作机构（法规</w:t>
      </w:r>
      <w:r>
        <w:rPr>
          <w:rFonts w:hint="eastAsia" w:eastAsia="仿宋_GB2312"/>
          <w:sz w:val="32"/>
          <w:szCs w:val="32"/>
          <w:lang w:eastAsia="zh-CN"/>
        </w:rPr>
        <w:t>科</w:t>
      </w:r>
      <w:r>
        <w:rPr>
          <w:rFonts w:eastAsia="仿宋_GB2312"/>
          <w:sz w:val="32"/>
          <w:szCs w:val="32"/>
        </w:rPr>
        <w:t>）对其合法性、合理性进行审核的活动。必要时，法制工作机构可组织安排我委法律顾问、公职律师等参与审核工作。</w:t>
      </w:r>
    </w:p>
    <w:p>
      <w:pPr>
        <w:adjustRightInd w:val="0"/>
        <w:snapToGrid w:val="0"/>
        <w:spacing w:line="596" w:lineRule="exact"/>
        <w:ind w:firstLine="640" w:firstLineChars="200"/>
        <w:rPr>
          <w:rFonts w:eastAsia="仿宋_GB2312"/>
          <w:sz w:val="32"/>
          <w:szCs w:val="32"/>
        </w:rPr>
      </w:pPr>
      <w:r>
        <w:rPr>
          <w:rFonts w:eastAsia="黑体"/>
          <w:sz w:val="32"/>
          <w:szCs w:val="32"/>
        </w:rPr>
        <w:t>第四条</w:t>
      </w:r>
      <w:r>
        <w:rPr>
          <w:rFonts w:eastAsia="仿宋_GB2312"/>
          <w:sz w:val="32"/>
          <w:szCs w:val="32"/>
        </w:rPr>
        <w:t xml:space="preserve"> 凡涉及重大公共利益、可能造成重大社会影响或引发社会风险，直接关系行政相对人或第三人重大权益，经过听证程序作出行政执法决定，以及案件情况疑难复杂、涉及多个法律关系的重大行政执法决定，都要进行法制审核。未经法制审核或审核不通过的，不得作出行政执法决定。具体审核范围以我委重大行政执法决定法制审核目录清单为准（见附件）。</w:t>
      </w:r>
    </w:p>
    <w:p>
      <w:pPr>
        <w:adjustRightInd w:val="0"/>
        <w:snapToGrid w:val="0"/>
        <w:spacing w:line="596" w:lineRule="exact"/>
        <w:ind w:firstLine="640" w:firstLineChars="200"/>
        <w:rPr>
          <w:rFonts w:eastAsia="仿宋_GB2312"/>
          <w:sz w:val="32"/>
          <w:szCs w:val="32"/>
        </w:rPr>
      </w:pPr>
      <w:r>
        <w:rPr>
          <w:rFonts w:eastAsia="黑体"/>
          <w:sz w:val="32"/>
          <w:szCs w:val="32"/>
        </w:rPr>
        <w:t>第五条</w:t>
      </w:r>
      <w:r>
        <w:rPr>
          <w:rFonts w:eastAsia="仿宋_GB2312"/>
          <w:sz w:val="32"/>
          <w:szCs w:val="32"/>
        </w:rPr>
        <w:t xml:space="preserve"> 承办</w:t>
      </w:r>
      <w:r>
        <w:rPr>
          <w:rFonts w:hint="eastAsia" w:eastAsia="仿宋_GB2312"/>
          <w:sz w:val="32"/>
          <w:szCs w:val="32"/>
          <w:lang w:eastAsia="zh-CN"/>
        </w:rPr>
        <w:t>科</w:t>
      </w:r>
      <w:r>
        <w:rPr>
          <w:rFonts w:eastAsia="仿宋_GB2312"/>
          <w:sz w:val="32"/>
          <w:szCs w:val="32"/>
        </w:rPr>
        <w:t>室、单位应当按照职责对拟作出的重大行政执法决定进行前期审查，并在完成全部征求意见、集体讨论、委内会签、修改程序，拟提请委主任办公会审议或报送委领导签发前，送法制工作机构审核。承办</w:t>
      </w:r>
      <w:r>
        <w:rPr>
          <w:rFonts w:hint="eastAsia" w:eastAsia="仿宋_GB2312"/>
          <w:sz w:val="32"/>
          <w:szCs w:val="32"/>
          <w:lang w:eastAsia="zh-CN"/>
        </w:rPr>
        <w:t>科</w:t>
      </w:r>
      <w:r>
        <w:rPr>
          <w:rFonts w:eastAsia="仿宋_GB2312"/>
          <w:sz w:val="32"/>
          <w:szCs w:val="32"/>
        </w:rPr>
        <w:t>室、单位一般应当为法制工作机构预留1-2个工作日的审查时间，特别重大复杂的应当预留更长时间。对于特别紧急、需要尽快做出执法决定的，法制工作机构应特事特办，及时组织进行审查。</w:t>
      </w:r>
    </w:p>
    <w:p>
      <w:pPr>
        <w:adjustRightInd w:val="0"/>
        <w:snapToGrid w:val="0"/>
        <w:spacing w:line="596" w:lineRule="exact"/>
        <w:ind w:firstLine="640" w:firstLineChars="200"/>
        <w:rPr>
          <w:rFonts w:eastAsia="仿宋_GB2312"/>
          <w:sz w:val="32"/>
          <w:szCs w:val="32"/>
        </w:rPr>
      </w:pPr>
      <w:r>
        <w:rPr>
          <w:rFonts w:eastAsia="黑体"/>
          <w:sz w:val="32"/>
          <w:szCs w:val="32"/>
        </w:rPr>
        <w:t>第六条</w:t>
      </w:r>
      <w:r>
        <w:rPr>
          <w:rFonts w:eastAsia="仿宋_GB2312"/>
          <w:sz w:val="32"/>
          <w:szCs w:val="32"/>
        </w:rPr>
        <w:t xml:space="preserve"> 承办</w:t>
      </w:r>
      <w:r>
        <w:rPr>
          <w:rFonts w:hint="eastAsia" w:eastAsia="仿宋_GB2312"/>
          <w:sz w:val="32"/>
          <w:szCs w:val="32"/>
          <w:lang w:eastAsia="zh-CN"/>
        </w:rPr>
        <w:t>科</w:t>
      </w:r>
      <w:r>
        <w:rPr>
          <w:rFonts w:eastAsia="仿宋_GB2312"/>
          <w:sz w:val="32"/>
          <w:szCs w:val="32"/>
        </w:rPr>
        <w:t>室、单位在送审时应当提供以下材料：</w:t>
      </w:r>
    </w:p>
    <w:p>
      <w:pPr>
        <w:adjustRightInd w:val="0"/>
        <w:snapToGrid w:val="0"/>
        <w:spacing w:line="596" w:lineRule="exact"/>
        <w:ind w:firstLine="640" w:firstLineChars="200"/>
        <w:rPr>
          <w:rFonts w:eastAsia="仿宋_GB2312"/>
          <w:sz w:val="32"/>
          <w:szCs w:val="32"/>
        </w:rPr>
      </w:pPr>
      <w:r>
        <w:rPr>
          <w:rFonts w:eastAsia="仿宋_GB2312"/>
          <w:sz w:val="32"/>
          <w:szCs w:val="32"/>
        </w:rPr>
        <w:t>（一）拟作出的重大行政执法决定文书；</w:t>
      </w:r>
    </w:p>
    <w:p>
      <w:pPr>
        <w:adjustRightInd w:val="0"/>
        <w:snapToGrid w:val="0"/>
        <w:spacing w:line="596" w:lineRule="exact"/>
        <w:ind w:firstLine="640" w:firstLineChars="200"/>
        <w:rPr>
          <w:rFonts w:eastAsia="仿宋_GB2312"/>
          <w:sz w:val="32"/>
          <w:szCs w:val="32"/>
        </w:rPr>
      </w:pPr>
      <w:r>
        <w:rPr>
          <w:rFonts w:eastAsia="仿宋_GB2312"/>
          <w:sz w:val="32"/>
          <w:szCs w:val="32"/>
        </w:rPr>
        <w:t>（二）重大行政执法决定的起草说明、请示批复及相关程序性材料；</w:t>
      </w:r>
    </w:p>
    <w:p>
      <w:pPr>
        <w:adjustRightInd w:val="0"/>
        <w:snapToGrid w:val="0"/>
        <w:spacing w:line="596" w:lineRule="exact"/>
        <w:ind w:firstLine="640" w:firstLineChars="200"/>
        <w:rPr>
          <w:rFonts w:eastAsia="仿宋_GB2312"/>
          <w:sz w:val="32"/>
          <w:szCs w:val="32"/>
        </w:rPr>
      </w:pPr>
      <w:r>
        <w:rPr>
          <w:rFonts w:eastAsia="仿宋_GB2312"/>
          <w:sz w:val="32"/>
          <w:szCs w:val="32"/>
        </w:rPr>
        <w:t>（三）重大行政执法决定意见的相关证据材料、前置要件；</w:t>
      </w:r>
    </w:p>
    <w:p>
      <w:pPr>
        <w:adjustRightInd w:val="0"/>
        <w:snapToGrid w:val="0"/>
        <w:spacing w:line="596" w:lineRule="exact"/>
        <w:ind w:firstLine="640" w:firstLineChars="200"/>
        <w:rPr>
          <w:rFonts w:eastAsia="仿宋_GB2312"/>
          <w:sz w:val="32"/>
          <w:szCs w:val="32"/>
        </w:rPr>
      </w:pPr>
      <w:r>
        <w:rPr>
          <w:rFonts w:eastAsia="仿宋_GB2312"/>
          <w:sz w:val="32"/>
          <w:szCs w:val="32"/>
        </w:rPr>
        <w:t>（四）需举行听证或开展评估的，应当提供听证报告或评估报告；</w:t>
      </w:r>
    </w:p>
    <w:p>
      <w:pPr>
        <w:adjustRightInd w:val="0"/>
        <w:snapToGrid w:val="0"/>
        <w:spacing w:line="596" w:lineRule="exact"/>
        <w:ind w:firstLine="640" w:firstLineChars="200"/>
        <w:rPr>
          <w:rFonts w:eastAsia="仿宋_GB2312"/>
          <w:sz w:val="32"/>
          <w:szCs w:val="32"/>
        </w:rPr>
      </w:pPr>
      <w:r>
        <w:rPr>
          <w:rFonts w:eastAsia="仿宋_GB2312"/>
          <w:sz w:val="32"/>
          <w:szCs w:val="32"/>
        </w:rPr>
        <w:t>（五）需征求相关方面意见的，应当提供征求意见采纳情况说明；</w:t>
      </w:r>
    </w:p>
    <w:p>
      <w:pPr>
        <w:adjustRightInd w:val="0"/>
        <w:snapToGrid w:val="0"/>
        <w:spacing w:line="596" w:lineRule="exact"/>
        <w:ind w:firstLine="640" w:firstLineChars="200"/>
        <w:rPr>
          <w:rFonts w:eastAsia="仿宋_GB2312"/>
          <w:sz w:val="32"/>
          <w:szCs w:val="32"/>
        </w:rPr>
      </w:pPr>
      <w:r>
        <w:rPr>
          <w:rFonts w:eastAsia="仿宋_GB2312"/>
          <w:sz w:val="32"/>
          <w:szCs w:val="32"/>
        </w:rPr>
        <w:t>（六）作出重大行政执法决定涉及的法律、行政法规、规范性文件及政策规定；</w:t>
      </w:r>
    </w:p>
    <w:p>
      <w:pPr>
        <w:adjustRightInd w:val="0"/>
        <w:snapToGrid w:val="0"/>
        <w:spacing w:line="596" w:lineRule="exact"/>
        <w:ind w:firstLine="640" w:firstLineChars="200"/>
        <w:rPr>
          <w:rFonts w:eastAsia="仿宋_GB2312"/>
          <w:sz w:val="32"/>
          <w:szCs w:val="32"/>
        </w:rPr>
      </w:pPr>
      <w:r>
        <w:rPr>
          <w:rFonts w:eastAsia="仿宋_GB2312"/>
          <w:sz w:val="32"/>
          <w:szCs w:val="32"/>
        </w:rPr>
        <w:t>（七）其他需要提供的材料。</w:t>
      </w:r>
    </w:p>
    <w:p>
      <w:pPr>
        <w:adjustRightInd w:val="0"/>
        <w:snapToGrid w:val="0"/>
        <w:spacing w:line="596" w:lineRule="exact"/>
        <w:ind w:firstLine="640" w:firstLineChars="200"/>
        <w:rPr>
          <w:rFonts w:eastAsia="仿宋_GB2312"/>
          <w:sz w:val="32"/>
          <w:szCs w:val="32"/>
        </w:rPr>
      </w:pPr>
      <w:r>
        <w:rPr>
          <w:rFonts w:eastAsia="仿宋_GB2312"/>
          <w:sz w:val="32"/>
          <w:szCs w:val="32"/>
        </w:rPr>
        <w:t>承办</w:t>
      </w:r>
      <w:r>
        <w:rPr>
          <w:rFonts w:hint="eastAsia" w:eastAsia="仿宋_GB2312"/>
          <w:sz w:val="32"/>
          <w:szCs w:val="32"/>
          <w:lang w:eastAsia="zh-CN"/>
        </w:rPr>
        <w:t>科</w:t>
      </w:r>
      <w:r>
        <w:rPr>
          <w:rFonts w:eastAsia="仿宋_GB2312"/>
          <w:sz w:val="32"/>
          <w:szCs w:val="32"/>
        </w:rPr>
        <w:t>室应当对材料的真实性、准确性和完整性负责。所提供材料不齐全的，法制工作机构可以要求承办</w:t>
      </w:r>
      <w:r>
        <w:rPr>
          <w:rFonts w:hint="eastAsia" w:eastAsia="仿宋_GB2312"/>
          <w:sz w:val="32"/>
          <w:szCs w:val="32"/>
          <w:lang w:eastAsia="zh-CN"/>
        </w:rPr>
        <w:t>科</w:t>
      </w:r>
      <w:r>
        <w:rPr>
          <w:rFonts w:eastAsia="仿宋_GB2312"/>
          <w:sz w:val="32"/>
          <w:szCs w:val="32"/>
        </w:rPr>
        <w:t>室、单位予以补充、完善。承办处室、单位应在1日内重新提供完整材料。</w:t>
      </w:r>
    </w:p>
    <w:p>
      <w:pPr>
        <w:adjustRightInd w:val="0"/>
        <w:snapToGrid w:val="0"/>
        <w:spacing w:line="596" w:lineRule="exact"/>
        <w:ind w:firstLine="640" w:firstLineChars="200"/>
        <w:rPr>
          <w:rFonts w:eastAsia="仿宋_GB2312"/>
          <w:sz w:val="32"/>
          <w:szCs w:val="32"/>
        </w:rPr>
      </w:pPr>
      <w:r>
        <w:rPr>
          <w:rFonts w:eastAsia="黑体"/>
          <w:sz w:val="32"/>
          <w:szCs w:val="32"/>
        </w:rPr>
        <w:t xml:space="preserve">第七条 </w:t>
      </w:r>
      <w:r>
        <w:rPr>
          <w:rFonts w:eastAsia="仿宋_GB2312"/>
          <w:sz w:val="32"/>
          <w:szCs w:val="32"/>
        </w:rPr>
        <w:t>法制工作机构对拟作出的重大行政执法决定主要从以下几个方面进行审核：</w:t>
      </w:r>
    </w:p>
    <w:p>
      <w:pPr>
        <w:adjustRightInd w:val="0"/>
        <w:snapToGrid w:val="0"/>
        <w:spacing w:line="596" w:lineRule="exact"/>
        <w:ind w:firstLine="640" w:firstLineChars="200"/>
        <w:rPr>
          <w:rFonts w:eastAsia="仿宋_GB2312"/>
          <w:sz w:val="32"/>
          <w:szCs w:val="32"/>
        </w:rPr>
      </w:pPr>
      <w:r>
        <w:rPr>
          <w:rFonts w:eastAsia="仿宋_GB2312"/>
          <w:sz w:val="32"/>
          <w:szCs w:val="32"/>
        </w:rPr>
        <w:t>（一）是否属于我委法定职责，行政执法主体是否合法；</w:t>
      </w:r>
    </w:p>
    <w:p>
      <w:pPr>
        <w:adjustRightInd w:val="0"/>
        <w:snapToGrid w:val="0"/>
        <w:spacing w:line="596" w:lineRule="exact"/>
        <w:ind w:firstLine="640" w:firstLineChars="200"/>
        <w:rPr>
          <w:rFonts w:eastAsia="仿宋_GB2312"/>
          <w:sz w:val="32"/>
          <w:szCs w:val="32"/>
        </w:rPr>
      </w:pPr>
      <w:r>
        <w:rPr>
          <w:rFonts w:eastAsia="仿宋_GB2312"/>
          <w:sz w:val="32"/>
          <w:szCs w:val="32"/>
        </w:rPr>
        <w:t>（二）行政执法人员是否具备执法资格；</w:t>
      </w:r>
    </w:p>
    <w:p>
      <w:pPr>
        <w:adjustRightInd w:val="0"/>
        <w:snapToGrid w:val="0"/>
        <w:spacing w:line="596" w:lineRule="exact"/>
        <w:ind w:firstLine="640" w:firstLineChars="200"/>
        <w:rPr>
          <w:rFonts w:eastAsia="仿宋_GB2312"/>
          <w:sz w:val="32"/>
          <w:szCs w:val="32"/>
        </w:rPr>
      </w:pPr>
      <w:r>
        <w:rPr>
          <w:rFonts w:eastAsia="仿宋_GB2312"/>
          <w:sz w:val="32"/>
          <w:szCs w:val="32"/>
        </w:rPr>
        <w:t>（三）行政执法程序是否合法；</w:t>
      </w:r>
    </w:p>
    <w:p>
      <w:pPr>
        <w:adjustRightInd w:val="0"/>
        <w:snapToGrid w:val="0"/>
        <w:spacing w:line="596" w:lineRule="exact"/>
        <w:ind w:firstLine="640" w:firstLineChars="200"/>
        <w:rPr>
          <w:rFonts w:eastAsia="仿宋_GB2312"/>
          <w:sz w:val="32"/>
          <w:szCs w:val="32"/>
        </w:rPr>
      </w:pPr>
      <w:r>
        <w:rPr>
          <w:rFonts w:eastAsia="仿宋_GB2312"/>
          <w:sz w:val="32"/>
          <w:szCs w:val="32"/>
        </w:rPr>
        <w:t>（四）主要事实是否清楚，证据是否合法充分，相关条件是否完备；</w:t>
      </w:r>
    </w:p>
    <w:p>
      <w:pPr>
        <w:adjustRightInd w:val="0"/>
        <w:snapToGrid w:val="0"/>
        <w:spacing w:line="596" w:lineRule="exact"/>
        <w:ind w:firstLine="640" w:firstLineChars="200"/>
        <w:rPr>
          <w:rFonts w:eastAsia="仿宋_GB2312"/>
          <w:sz w:val="32"/>
          <w:szCs w:val="32"/>
        </w:rPr>
      </w:pPr>
      <w:r>
        <w:rPr>
          <w:rFonts w:eastAsia="仿宋_GB2312"/>
          <w:sz w:val="32"/>
          <w:szCs w:val="32"/>
        </w:rPr>
        <w:t>（五）适用法律、法规、规章是否准确；</w:t>
      </w:r>
    </w:p>
    <w:p>
      <w:pPr>
        <w:adjustRightInd w:val="0"/>
        <w:snapToGrid w:val="0"/>
        <w:spacing w:line="596" w:lineRule="exact"/>
        <w:ind w:firstLine="640" w:firstLineChars="200"/>
        <w:rPr>
          <w:rFonts w:eastAsia="仿宋_GB2312"/>
          <w:sz w:val="32"/>
          <w:szCs w:val="32"/>
        </w:rPr>
      </w:pPr>
      <w:r>
        <w:rPr>
          <w:rFonts w:eastAsia="仿宋_GB2312"/>
          <w:sz w:val="32"/>
          <w:szCs w:val="32"/>
        </w:rPr>
        <w:t>（六）执行裁量基准运用是否适当；</w:t>
      </w:r>
    </w:p>
    <w:p>
      <w:pPr>
        <w:adjustRightInd w:val="0"/>
        <w:snapToGrid w:val="0"/>
        <w:spacing w:line="596" w:lineRule="exact"/>
        <w:ind w:firstLine="640" w:firstLineChars="200"/>
        <w:rPr>
          <w:rFonts w:eastAsia="仿宋_GB2312"/>
          <w:sz w:val="32"/>
          <w:szCs w:val="32"/>
        </w:rPr>
      </w:pPr>
      <w:r>
        <w:rPr>
          <w:rFonts w:eastAsia="仿宋_GB2312"/>
          <w:sz w:val="32"/>
          <w:szCs w:val="32"/>
        </w:rPr>
        <w:t>（七）行政执法文书是否完备、规范；</w:t>
      </w:r>
    </w:p>
    <w:p>
      <w:pPr>
        <w:adjustRightInd w:val="0"/>
        <w:snapToGrid w:val="0"/>
        <w:spacing w:line="596" w:lineRule="exact"/>
        <w:ind w:firstLine="640" w:firstLineChars="200"/>
        <w:rPr>
          <w:rFonts w:eastAsia="仿宋_GB2312"/>
          <w:sz w:val="32"/>
          <w:szCs w:val="32"/>
        </w:rPr>
      </w:pPr>
      <w:r>
        <w:rPr>
          <w:rFonts w:eastAsia="仿宋_GB2312"/>
          <w:sz w:val="32"/>
          <w:szCs w:val="32"/>
        </w:rPr>
        <w:t>（八）其他需要审核的内容。</w:t>
      </w:r>
    </w:p>
    <w:p>
      <w:pPr>
        <w:adjustRightInd w:val="0"/>
        <w:snapToGrid w:val="0"/>
        <w:spacing w:line="596" w:lineRule="exact"/>
        <w:ind w:firstLine="640" w:firstLineChars="200"/>
        <w:rPr>
          <w:rFonts w:eastAsia="仿宋_GB2312"/>
          <w:sz w:val="32"/>
          <w:szCs w:val="32"/>
        </w:rPr>
      </w:pPr>
      <w:r>
        <w:rPr>
          <w:rFonts w:eastAsia="黑体"/>
          <w:sz w:val="32"/>
          <w:szCs w:val="32"/>
        </w:rPr>
        <w:t xml:space="preserve">第八条 </w:t>
      </w:r>
      <w:r>
        <w:rPr>
          <w:rFonts w:eastAsia="仿宋_GB2312"/>
          <w:sz w:val="32"/>
          <w:szCs w:val="32"/>
        </w:rPr>
        <w:t>法制工作机构在审核复杂、疑难重大行政执法决定过程中，可以组织专家论证，也可以委托第三方专业机构进行评估或请示上级有关部门。</w:t>
      </w:r>
    </w:p>
    <w:p>
      <w:pPr>
        <w:adjustRightInd w:val="0"/>
        <w:snapToGrid w:val="0"/>
        <w:spacing w:line="596" w:lineRule="exact"/>
        <w:ind w:firstLine="640" w:firstLineChars="200"/>
        <w:rPr>
          <w:rFonts w:eastAsia="仿宋_GB2312"/>
          <w:sz w:val="32"/>
          <w:szCs w:val="32"/>
        </w:rPr>
      </w:pPr>
      <w:r>
        <w:rPr>
          <w:rFonts w:eastAsia="黑体"/>
          <w:sz w:val="32"/>
          <w:szCs w:val="32"/>
        </w:rPr>
        <w:t xml:space="preserve">第九条 </w:t>
      </w:r>
      <w:r>
        <w:rPr>
          <w:rFonts w:eastAsia="仿宋_GB2312"/>
          <w:sz w:val="32"/>
          <w:szCs w:val="32"/>
        </w:rPr>
        <w:t xml:space="preserve">法制审核以书面审查为主。根据行政执法具体情况，提出相应的审查意见： </w:t>
      </w:r>
    </w:p>
    <w:p>
      <w:pPr>
        <w:adjustRightInd w:val="0"/>
        <w:snapToGrid w:val="0"/>
        <w:spacing w:line="596" w:lineRule="exact"/>
        <w:ind w:firstLine="640" w:firstLineChars="200"/>
        <w:rPr>
          <w:rFonts w:eastAsia="仿宋_GB2312"/>
          <w:sz w:val="32"/>
          <w:szCs w:val="32"/>
        </w:rPr>
      </w:pPr>
      <w:r>
        <w:rPr>
          <w:rFonts w:eastAsia="仿宋_GB2312"/>
          <w:sz w:val="32"/>
          <w:szCs w:val="32"/>
        </w:rPr>
        <w:t>（一）事实清楚、证据确凿、定性准确、程序合法的，出具结论为合法的审查意见。</w:t>
      </w:r>
    </w:p>
    <w:p>
      <w:pPr>
        <w:adjustRightInd w:val="0"/>
        <w:snapToGrid w:val="0"/>
        <w:spacing w:line="596" w:lineRule="exact"/>
        <w:ind w:firstLine="640" w:firstLineChars="200"/>
        <w:rPr>
          <w:rFonts w:eastAsia="仿宋_GB2312"/>
          <w:sz w:val="32"/>
          <w:szCs w:val="32"/>
        </w:rPr>
      </w:pPr>
      <w:r>
        <w:rPr>
          <w:rFonts w:eastAsia="仿宋_GB2312"/>
          <w:sz w:val="32"/>
          <w:szCs w:val="32"/>
        </w:rPr>
        <w:t>（二）主要事实不清、证据不足、条件不具备的，提出继续调查、补充相关要件的建议；</w:t>
      </w:r>
    </w:p>
    <w:p>
      <w:pPr>
        <w:adjustRightInd w:val="0"/>
        <w:snapToGrid w:val="0"/>
        <w:spacing w:line="596" w:lineRule="exact"/>
        <w:ind w:firstLine="640" w:firstLineChars="200"/>
        <w:rPr>
          <w:rFonts w:eastAsia="仿宋_GB2312"/>
          <w:sz w:val="32"/>
          <w:szCs w:val="32"/>
        </w:rPr>
      </w:pPr>
      <w:r>
        <w:rPr>
          <w:rFonts w:eastAsia="仿宋_GB2312"/>
          <w:sz w:val="32"/>
          <w:szCs w:val="32"/>
        </w:rPr>
        <w:t>（三）定性不准、适用法律不准确和裁量基准不当的，提出变更意见；</w:t>
      </w:r>
    </w:p>
    <w:p>
      <w:pPr>
        <w:adjustRightInd w:val="0"/>
        <w:snapToGrid w:val="0"/>
        <w:spacing w:line="596" w:lineRule="exact"/>
        <w:ind w:firstLine="640" w:firstLineChars="200"/>
        <w:rPr>
          <w:rFonts w:eastAsia="仿宋_GB2312"/>
          <w:sz w:val="32"/>
          <w:szCs w:val="32"/>
        </w:rPr>
      </w:pPr>
      <w:r>
        <w:rPr>
          <w:rFonts w:eastAsia="仿宋_GB2312"/>
          <w:sz w:val="32"/>
          <w:szCs w:val="32"/>
        </w:rPr>
        <w:t>（四）程序不合法、执法文书不规范的，提出纠正意见；</w:t>
      </w:r>
    </w:p>
    <w:p>
      <w:pPr>
        <w:adjustRightInd w:val="0"/>
        <w:snapToGrid w:val="0"/>
        <w:spacing w:line="596" w:lineRule="exact"/>
        <w:ind w:firstLine="640" w:firstLineChars="200"/>
        <w:rPr>
          <w:rFonts w:eastAsia="仿宋_GB2312"/>
          <w:sz w:val="32"/>
          <w:szCs w:val="32"/>
        </w:rPr>
      </w:pPr>
      <w:r>
        <w:rPr>
          <w:rFonts w:eastAsia="仿宋_GB2312"/>
          <w:sz w:val="32"/>
          <w:szCs w:val="32"/>
        </w:rPr>
        <w:t>（五）超出法定职权范围的，提出不予作出行政执法决定的建议；</w:t>
      </w:r>
    </w:p>
    <w:p>
      <w:pPr>
        <w:adjustRightInd w:val="0"/>
        <w:snapToGrid w:val="0"/>
        <w:spacing w:line="596" w:lineRule="exact"/>
        <w:ind w:firstLine="640" w:firstLineChars="200"/>
        <w:rPr>
          <w:rFonts w:eastAsia="仿宋_GB2312"/>
          <w:sz w:val="32"/>
          <w:szCs w:val="32"/>
        </w:rPr>
      </w:pPr>
      <w:r>
        <w:rPr>
          <w:rFonts w:eastAsia="仿宋_GB2312"/>
          <w:sz w:val="32"/>
          <w:szCs w:val="32"/>
        </w:rPr>
        <w:t>（六）行政执法主体不合法或者行政执法人员不具备执法资格的，提出不予作出行政执法决定的建议。</w:t>
      </w:r>
    </w:p>
    <w:p>
      <w:pPr>
        <w:adjustRightInd w:val="0"/>
        <w:snapToGrid w:val="0"/>
        <w:spacing w:line="596" w:lineRule="exact"/>
        <w:ind w:firstLine="640" w:firstLineChars="200"/>
        <w:rPr>
          <w:rFonts w:eastAsia="仿宋_GB2312"/>
          <w:sz w:val="32"/>
          <w:szCs w:val="32"/>
        </w:rPr>
      </w:pPr>
      <w:r>
        <w:rPr>
          <w:rFonts w:eastAsia="仿宋_GB2312"/>
          <w:sz w:val="32"/>
          <w:szCs w:val="32"/>
        </w:rPr>
        <w:t>经审核属于第（二）至（六）项情形的，承办</w:t>
      </w:r>
      <w:r>
        <w:rPr>
          <w:rFonts w:hint="eastAsia" w:eastAsia="仿宋_GB2312"/>
          <w:sz w:val="32"/>
          <w:szCs w:val="32"/>
          <w:lang w:eastAsia="zh-CN"/>
        </w:rPr>
        <w:t>科</w:t>
      </w:r>
      <w:r>
        <w:rPr>
          <w:rFonts w:eastAsia="仿宋_GB2312"/>
          <w:sz w:val="32"/>
          <w:szCs w:val="32"/>
        </w:rPr>
        <w:t>室、单位应当对审核意见进行认真研究，并妥善作出处理；补充、变更或完善相关内容继续作出重大行政执法决定的，重新进行法制审核。</w:t>
      </w:r>
    </w:p>
    <w:p>
      <w:pPr>
        <w:adjustRightInd w:val="0"/>
        <w:snapToGrid w:val="0"/>
        <w:spacing w:line="596" w:lineRule="exact"/>
        <w:ind w:firstLine="640" w:firstLineChars="200"/>
        <w:rPr>
          <w:rFonts w:eastAsia="仿宋_GB2312"/>
          <w:sz w:val="32"/>
          <w:szCs w:val="32"/>
        </w:rPr>
      </w:pPr>
      <w:r>
        <w:rPr>
          <w:rFonts w:eastAsia="黑体"/>
          <w:sz w:val="32"/>
          <w:szCs w:val="32"/>
        </w:rPr>
        <w:t>第十条</w:t>
      </w:r>
      <w:r>
        <w:rPr>
          <w:rFonts w:eastAsia="仿宋_GB2312"/>
          <w:sz w:val="32"/>
          <w:szCs w:val="32"/>
        </w:rPr>
        <w:t xml:space="preserve"> 行政许可类重大行政执法决定，法制工作机构应当在1个工作日内完成审核工作，其他重大行政执法决定，法制工作机构应当在2个工作日内完成审核工作。特别复杂的，可适当延长。补充材料、专家论证等环节不计入审核时限。</w:t>
      </w:r>
    </w:p>
    <w:p>
      <w:pPr>
        <w:adjustRightInd w:val="0"/>
        <w:snapToGrid w:val="0"/>
        <w:spacing w:line="596" w:lineRule="exact"/>
        <w:ind w:firstLine="640" w:firstLineChars="200"/>
        <w:rPr>
          <w:rFonts w:eastAsia="仿宋_GB2312"/>
          <w:sz w:val="32"/>
          <w:szCs w:val="32"/>
        </w:rPr>
      </w:pPr>
      <w:r>
        <w:rPr>
          <w:rFonts w:eastAsia="黑体"/>
          <w:sz w:val="32"/>
          <w:szCs w:val="32"/>
        </w:rPr>
        <w:t>第十一条</w:t>
      </w:r>
      <w:r>
        <w:rPr>
          <w:rFonts w:eastAsia="仿宋_GB2312"/>
          <w:sz w:val="32"/>
          <w:szCs w:val="32"/>
        </w:rPr>
        <w:t xml:space="preserve"> 法制工作机构就审核意见与承办</w:t>
      </w:r>
      <w:r>
        <w:rPr>
          <w:rFonts w:hint="eastAsia" w:eastAsia="仿宋_GB2312"/>
          <w:sz w:val="32"/>
          <w:szCs w:val="32"/>
          <w:lang w:eastAsia="zh-CN"/>
        </w:rPr>
        <w:t>科</w:t>
      </w:r>
      <w:r>
        <w:rPr>
          <w:rFonts w:eastAsia="仿宋_GB2312"/>
          <w:sz w:val="32"/>
          <w:szCs w:val="32"/>
        </w:rPr>
        <w:t>室、单位存在重大分歧的，应当积极沟通，尽可能协商一致；确实无法协商一致的，由承办</w:t>
      </w:r>
      <w:r>
        <w:rPr>
          <w:rFonts w:hint="eastAsia" w:eastAsia="仿宋_GB2312"/>
          <w:sz w:val="32"/>
          <w:szCs w:val="32"/>
          <w:lang w:eastAsia="zh-CN"/>
        </w:rPr>
        <w:t>科</w:t>
      </w:r>
      <w:r>
        <w:rPr>
          <w:rFonts w:eastAsia="仿宋_GB2312"/>
          <w:sz w:val="32"/>
          <w:szCs w:val="32"/>
        </w:rPr>
        <w:t>室、单位及时报请委领导决定。</w:t>
      </w:r>
    </w:p>
    <w:p>
      <w:pPr>
        <w:adjustRightInd w:val="0"/>
        <w:snapToGrid w:val="0"/>
        <w:spacing w:line="596" w:lineRule="exact"/>
        <w:ind w:firstLine="640" w:firstLineChars="20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spacing w:val="-6"/>
          <w:sz w:val="32"/>
          <w:szCs w:val="32"/>
        </w:rPr>
        <w:t>以规范性文件形式作出的重大行政执法决定，规范性文件合法性审查可与重大行政执法决定法制审核合并进行。</w:t>
      </w:r>
    </w:p>
    <w:p>
      <w:pPr>
        <w:adjustRightInd w:val="0"/>
        <w:snapToGrid w:val="0"/>
        <w:spacing w:line="596" w:lineRule="exact"/>
        <w:ind w:firstLine="640" w:firstLineChars="200"/>
        <w:rPr>
          <w:rFonts w:eastAsia="仿宋_GB2312"/>
          <w:sz w:val="32"/>
          <w:szCs w:val="32"/>
        </w:rPr>
      </w:pPr>
      <w:r>
        <w:rPr>
          <w:rFonts w:eastAsia="黑体"/>
          <w:sz w:val="32"/>
          <w:szCs w:val="32"/>
        </w:rPr>
        <w:t>第十三条</w:t>
      </w:r>
      <w:r>
        <w:rPr>
          <w:rFonts w:eastAsia="仿宋_GB2312"/>
          <w:sz w:val="32"/>
          <w:szCs w:val="32"/>
        </w:rPr>
        <w:t xml:space="preserve"> 法制工作机构在审核过程中，对于承办</w:t>
      </w:r>
      <w:r>
        <w:rPr>
          <w:rFonts w:hint="eastAsia" w:eastAsia="仿宋_GB2312"/>
          <w:sz w:val="32"/>
          <w:szCs w:val="32"/>
          <w:lang w:eastAsia="zh-CN"/>
        </w:rPr>
        <w:t>科</w:t>
      </w:r>
      <w:r>
        <w:rPr>
          <w:rFonts w:eastAsia="仿宋_GB2312"/>
          <w:sz w:val="32"/>
          <w:szCs w:val="32"/>
        </w:rPr>
        <w:t>室、单位作出重大行政执法决定过程中存在的普遍性问题或典型问题，可报经分管委领导同意后制发法律建议书予以指出，承办</w:t>
      </w:r>
      <w:r>
        <w:rPr>
          <w:rFonts w:hint="eastAsia" w:eastAsia="仿宋_GB2312"/>
          <w:sz w:val="32"/>
          <w:szCs w:val="32"/>
          <w:lang w:eastAsia="zh-CN"/>
        </w:rPr>
        <w:t>科</w:t>
      </w:r>
      <w:r>
        <w:rPr>
          <w:rFonts w:eastAsia="仿宋_GB2312"/>
          <w:sz w:val="32"/>
          <w:szCs w:val="32"/>
        </w:rPr>
        <w:t>室、单位应当在规定时限内进行整改。</w:t>
      </w:r>
    </w:p>
    <w:p>
      <w:pPr>
        <w:adjustRightInd w:val="0"/>
        <w:snapToGrid w:val="0"/>
        <w:spacing w:line="596" w:lineRule="exact"/>
        <w:ind w:firstLine="640" w:firstLineChars="200"/>
        <w:rPr>
          <w:rFonts w:eastAsia="仿宋_GB2312"/>
          <w:sz w:val="32"/>
          <w:szCs w:val="32"/>
        </w:rPr>
      </w:pPr>
      <w:r>
        <w:rPr>
          <w:rFonts w:eastAsia="黑体"/>
          <w:sz w:val="32"/>
          <w:szCs w:val="32"/>
        </w:rPr>
        <w:t>第十四条</w:t>
      </w:r>
      <w:r>
        <w:rPr>
          <w:rFonts w:eastAsia="仿宋_GB2312"/>
          <w:sz w:val="32"/>
          <w:szCs w:val="32"/>
        </w:rPr>
        <w:t xml:space="preserve"> 承办</w:t>
      </w:r>
      <w:r>
        <w:rPr>
          <w:rFonts w:hint="eastAsia" w:eastAsia="仿宋_GB2312"/>
          <w:sz w:val="32"/>
          <w:szCs w:val="32"/>
          <w:lang w:eastAsia="zh-CN"/>
        </w:rPr>
        <w:t>科</w:t>
      </w:r>
      <w:r>
        <w:rPr>
          <w:rFonts w:eastAsia="仿宋_GB2312"/>
          <w:sz w:val="32"/>
          <w:szCs w:val="32"/>
        </w:rPr>
        <w:t>室、单位对重大行政执法决定的合法性负责。因承办机构经办人员不按规定报送审核、拒不配合法制机构调阅相关资料以及不正确采纳法制审核意见等，导致行政执法决定错误，情节严重的，应当依纪依法追究相关人员责任。</w:t>
      </w:r>
    </w:p>
    <w:p>
      <w:pPr>
        <w:adjustRightInd w:val="0"/>
        <w:snapToGrid w:val="0"/>
        <w:spacing w:line="596" w:lineRule="exact"/>
        <w:ind w:firstLine="640" w:firstLineChars="200"/>
        <w:rPr>
          <w:rFonts w:eastAsia="仿宋_GB2312"/>
          <w:sz w:val="32"/>
          <w:szCs w:val="32"/>
        </w:rPr>
      </w:pPr>
      <w:r>
        <w:rPr>
          <w:rFonts w:eastAsia="黑体"/>
          <w:sz w:val="32"/>
          <w:szCs w:val="32"/>
        </w:rPr>
        <w:t>第十五条</w:t>
      </w:r>
      <w:r>
        <w:rPr>
          <w:rFonts w:eastAsia="仿宋_GB2312"/>
          <w:sz w:val="32"/>
          <w:szCs w:val="32"/>
        </w:rPr>
        <w:t xml:space="preserve"> 法制工作机构对重大行政执法决定的法制审核意见负责。因法制机构经办人员在审核过程中不正确履行职责，所出具法制审核意见错误，导致行政执法决定违法，情节严重的，应当依纪依法追究相关人员责任。 </w:t>
      </w:r>
    </w:p>
    <w:p>
      <w:pPr>
        <w:adjustRightInd w:val="0"/>
        <w:snapToGrid w:val="0"/>
        <w:spacing w:line="596" w:lineRule="exact"/>
        <w:ind w:firstLine="640" w:firstLineChars="200"/>
        <w:rPr>
          <w:rFonts w:eastAsia="仿宋_GB2312"/>
          <w:sz w:val="32"/>
          <w:szCs w:val="32"/>
        </w:rPr>
      </w:pPr>
      <w:r>
        <w:rPr>
          <w:rFonts w:eastAsia="黑体"/>
          <w:sz w:val="32"/>
          <w:szCs w:val="32"/>
        </w:rPr>
        <w:t>第十六条</w:t>
      </w:r>
      <w:r>
        <w:rPr>
          <w:rFonts w:eastAsia="仿宋_GB2312"/>
          <w:sz w:val="32"/>
          <w:szCs w:val="32"/>
        </w:rPr>
        <w:t xml:space="preserve"> 本办法自公布之日起</w:t>
      </w:r>
      <w:r>
        <w:rPr>
          <w:rFonts w:hint="eastAsia" w:eastAsia="仿宋_GB2312"/>
          <w:sz w:val="32"/>
          <w:szCs w:val="32"/>
        </w:rPr>
        <w:t>试行，试行期两年。试行过程中视情况修订完善。</w:t>
      </w:r>
      <w:r>
        <w:rPr>
          <w:rFonts w:eastAsia="仿宋_GB2312"/>
          <w:sz w:val="32"/>
          <w:szCs w:val="32"/>
        </w:rPr>
        <w:t xml:space="preserve"> </w:t>
      </w:r>
    </w:p>
    <w:p>
      <w:pPr>
        <w:adjustRightInd w:val="0"/>
        <w:snapToGrid w:val="0"/>
        <w:spacing w:line="596" w:lineRule="exact"/>
        <w:ind w:firstLine="640" w:firstLineChars="200"/>
        <w:rPr>
          <w:rFonts w:eastAsia="仿宋_GB2312"/>
          <w:sz w:val="32"/>
          <w:szCs w:val="32"/>
        </w:rPr>
      </w:pPr>
    </w:p>
    <w:p>
      <w:pPr>
        <w:adjustRightInd w:val="0"/>
        <w:snapToGrid w:val="0"/>
        <w:spacing w:line="596" w:lineRule="exact"/>
        <w:ind w:left="1598" w:leftChars="304" w:hanging="960" w:hangingChars="300"/>
        <w:rPr>
          <w:rFonts w:eastAsia="仿宋_GB2312"/>
          <w:sz w:val="32"/>
          <w:szCs w:val="32"/>
        </w:rPr>
      </w:pPr>
      <w:r>
        <w:rPr>
          <w:rFonts w:eastAsia="仿宋_GB2312"/>
          <w:sz w:val="32"/>
          <w:szCs w:val="32"/>
        </w:rPr>
        <w:t>附件：</w:t>
      </w:r>
      <w:r>
        <w:rPr>
          <w:rFonts w:hint="eastAsia" w:eastAsia="仿宋_GB2312"/>
          <w:sz w:val="32"/>
          <w:szCs w:val="32"/>
          <w:lang w:eastAsia="zh-CN"/>
        </w:rPr>
        <w:t>益阳市</w:t>
      </w:r>
      <w:r>
        <w:rPr>
          <w:rFonts w:eastAsia="仿宋_GB2312"/>
          <w:sz w:val="32"/>
          <w:szCs w:val="32"/>
        </w:rPr>
        <w:t xml:space="preserve">发展和发改委员会重大行政执法决定法制审核目录   </w:t>
      </w:r>
    </w:p>
    <w:p>
      <w:pPr>
        <w:spacing w:line="596" w:lineRule="exact"/>
        <w:jc w:val="left"/>
        <w:rPr>
          <w:rFonts w:eastAsia="仿宋"/>
          <w:sz w:val="32"/>
          <w:szCs w:val="32"/>
        </w:rPr>
        <w:sectPr>
          <w:footerReference r:id="rId3" w:type="default"/>
          <w:footerReference r:id="rId4" w:type="even"/>
          <w:pgSz w:w="11906" w:h="16838"/>
          <w:pgMar w:top="1587" w:right="1361" w:bottom="1134" w:left="1588" w:header="851" w:footer="1304" w:gutter="0"/>
          <w:cols w:space="0" w:num="1"/>
          <w:rtlGutter w:val="0"/>
          <w:docGrid w:type="lines" w:linePitch="312" w:charSpace="0"/>
        </w:sectPr>
      </w:pPr>
    </w:p>
    <w:p>
      <w:pPr>
        <w:rPr>
          <w:rFonts w:hint="eastAsia" w:ascii="仿宋" w:hAnsi="仿宋" w:eastAsia="仿宋" w:cs="仿宋"/>
          <w:sz w:val="32"/>
          <w:szCs w:val="32"/>
        </w:rPr>
      </w:pPr>
      <w:r>
        <w:rPr>
          <w:rFonts w:hint="eastAsia" w:ascii="仿宋" w:hAnsi="仿宋" w:eastAsia="仿宋" w:cs="仿宋"/>
          <w:sz w:val="32"/>
          <w:szCs w:val="32"/>
        </w:rPr>
        <w:t>附件：</w:t>
      </w:r>
    </w:p>
    <w:p>
      <w:pPr>
        <w:jc w:val="center"/>
        <w:rPr>
          <w:rFonts w:eastAsia="方正小标宋简体"/>
          <w:bCs/>
          <w:sz w:val="38"/>
          <w:szCs w:val="38"/>
        </w:rPr>
      </w:pPr>
      <w:r>
        <w:rPr>
          <w:rFonts w:hint="eastAsia" w:eastAsia="方正小标宋简体"/>
          <w:bCs/>
          <w:sz w:val="38"/>
          <w:szCs w:val="38"/>
          <w:lang w:eastAsia="zh-CN"/>
        </w:rPr>
        <w:t>益阳市</w:t>
      </w:r>
      <w:r>
        <w:rPr>
          <w:rFonts w:eastAsia="方正小标宋简体"/>
          <w:bCs/>
          <w:sz w:val="38"/>
          <w:szCs w:val="38"/>
        </w:rPr>
        <w:t>发展和改革委员会重大行政执法决定法制审核目录</w:t>
      </w:r>
    </w:p>
    <w:tbl>
      <w:tblPr>
        <w:tblStyle w:val="3"/>
        <w:tblW w:w="14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485"/>
        <w:gridCol w:w="1727"/>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blHeader/>
          <w:jc w:val="center"/>
        </w:trPr>
        <w:tc>
          <w:tcPr>
            <w:tcW w:w="743" w:type="dxa"/>
            <w:noWrap w:val="0"/>
            <w:vAlign w:val="center"/>
          </w:tcPr>
          <w:p>
            <w:pPr>
              <w:jc w:val="center"/>
              <w:rPr>
                <w:rFonts w:eastAsia="黑体"/>
                <w:szCs w:val="21"/>
              </w:rPr>
            </w:pPr>
            <w:r>
              <w:rPr>
                <w:rFonts w:eastAsia="黑体"/>
                <w:szCs w:val="21"/>
              </w:rPr>
              <w:t>序号</w:t>
            </w:r>
          </w:p>
        </w:tc>
        <w:tc>
          <w:tcPr>
            <w:tcW w:w="6485" w:type="dxa"/>
            <w:noWrap w:val="0"/>
            <w:vAlign w:val="center"/>
          </w:tcPr>
          <w:p>
            <w:pPr>
              <w:jc w:val="center"/>
              <w:rPr>
                <w:rFonts w:eastAsia="黑体"/>
                <w:szCs w:val="21"/>
              </w:rPr>
            </w:pPr>
            <w:r>
              <w:rPr>
                <w:rFonts w:eastAsia="黑体"/>
                <w:szCs w:val="21"/>
              </w:rPr>
              <w:t>重大行政执法决定事项</w:t>
            </w:r>
          </w:p>
        </w:tc>
        <w:tc>
          <w:tcPr>
            <w:tcW w:w="1727" w:type="dxa"/>
            <w:noWrap w:val="0"/>
            <w:vAlign w:val="center"/>
          </w:tcPr>
          <w:p>
            <w:pPr>
              <w:jc w:val="center"/>
              <w:rPr>
                <w:rFonts w:eastAsia="黑体"/>
                <w:szCs w:val="21"/>
              </w:rPr>
            </w:pPr>
            <w:r>
              <w:rPr>
                <w:rFonts w:eastAsia="黑体"/>
                <w:szCs w:val="21"/>
              </w:rPr>
              <w:t>事项类别</w:t>
            </w:r>
          </w:p>
        </w:tc>
        <w:tc>
          <w:tcPr>
            <w:tcW w:w="5743" w:type="dxa"/>
            <w:noWrap w:val="0"/>
            <w:vAlign w:val="center"/>
          </w:tcPr>
          <w:p>
            <w:pPr>
              <w:jc w:val="center"/>
              <w:rPr>
                <w:rFonts w:eastAsia="黑体"/>
                <w:szCs w:val="21"/>
              </w:rPr>
            </w:pPr>
            <w:r>
              <w:rPr>
                <w:rFonts w:eastAsia="黑体"/>
                <w:szCs w:val="21"/>
              </w:rPr>
              <w:t>审核依据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43" w:type="dxa"/>
            <w:tcBorders>
              <w:bottom w:val="single" w:color="auto" w:sz="4" w:space="0"/>
            </w:tcBorders>
            <w:noWrap w:val="0"/>
            <w:vAlign w:val="center"/>
          </w:tcPr>
          <w:p>
            <w:pPr>
              <w:spacing w:line="280" w:lineRule="exact"/>
              <w:jc w:val="center"/>
              <w:rPr>
                <w:szCs w:val="21"/>
              </w:rPr>
            </w:pPr>
            <w:r>
              <w:rPr>
                <w:szCs w:val="21"/>
              </w:rPr>
              <w:t>1</w:t>
            </w:r>
          </w:p>
        </w:tc>
        <w:tc>
          <w:tcPr>
            <w:tcW w:w="6485" w:type="dxa"/>
            <w:tcBorders>
              <w:bottom w:val="single" w:color="auto" w:sz="4" w:space="0"/>
            </w:tcBorders>
            <w:noWrap w:val="0"/>
            <w:vAlign w:val="center"/>
          </w:tcPr>
          <w:p>
            <w:pPr>
              <w:spacing w:line="280" w:lineRule="exact"/>
              <w:rPr>
                <w:sz w:val="21"/>
                <w:szCs w:val="21"/>
              </w:rPr>
            </w:pPr>
            <w:r>
              <w:rPr>
                <w:sz w:val="21"/>
                <w:szCs w:val="21"/>
              </w:rPr>
              <w:t>企业、事业单位、社会团体等投资建设的总投资额5000万以上的</w:t>
            </w:r>
            <w:r>
              <w:rPr>
                <w:rFonts w:hint="eastAsia" w:ascii="宋体" w:hAnsi="宋体"/>
                <w:color w:val="000000"/>
                <w:kern w:val="0"/>
                <w:sz w:val="21"/>
                <w:szCs w:val="21"/>
              </w:rPr>
              <w:t>市管重大和限制类</w:t>
            </w:r>
            <w:r>
              <w:rPr>
                <w:sz w:val="21"/>
                <w:szCs w:val="21"/>
              </w:rPr>
              <w:t>固定资产投资项目核准</w:t>
            </w:r>
          </w:p>
        </w:tc>
        <w:tc>
          <w:tcPr>
            <w:tcW w:w="1727" w:type="dxa"/>
            <w:noWrap w:val="0"/>
            <w:vAlign w:val="center"/>
          </w:tcPr>
          <w:p>
            <w:pPr>
              <w:spacing w:line="280" w:lineRule="exact"/>
              <w:jc w:val="center"/>
              <w:rPr>
                <w:sz w:val="21"/>
                <w:szCs w:val="21"/>
              </w:rPr>
            </w:pPr>
            <w:r>
              <w:rPr>
                <w:sz w:val="21"/>
                <w:szCs w:val="21"/>
              </w:rPr>
              <w:t>行政许可</w:t>
            </w:r>
          </w:p>
        </w:tc>
        <w:tc>
          <w:tcPr>
            <w:tcW w:w="5743" w:type="dxa"/>
            <w:noWrap w:val="0"/>
            <w:vAlign w:val="center"/>
          </w:tcPr>
          <w:p>
            <w:pPr>
              <w:spacing w:line="280" w:lineRule="exact"/>
              <w:rPr>
                <w:sz w:val="21"/>
                <w:szCs w:val="21"/>
              </w:rPr>
            </w:pPr>
            <w:r>
              <w:rPr>
                <w:sz w:val="21"/>
                <w:szCs w:val="21"/>
              </w:rPr>
              <w:t>《政府核准的投资项目目录》 《企业投资项目核准和备案管理条例》（国务院令第673号）《企业投资项目核准和备案管理办法 》（国家发展改革委令第2号）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tcBorders>
              <w:top w:val="single" w:color="auto" w:sz="4" w:space="0"/>
            </w:tcBorders>
            <w:noWrap w:val="0"/>
            <w:vAlign w:val="center"/>
          </w:tcPr>
          <w:p>
            <w:pPr>
              <w:spacing w:line="280" w:lineRule="exact"/>
              <w:jc w:val="center"/>
              <w:rPr>
                <w:szCs w:val="21"/>
              </w:rPr>
            </w:pPr>
            <w:r>
              <w:rPr>
                <w:szCs w:val="21"/>
              </w:rPr>
              <w:t>2</w:t>
            </w:r>
          </w:p>
        </w:tc>
        <w:tc>
          <w:tcPr>
            <w:tcW w:w="6485" w:type="dxa"/>
            <w:tcBorders>
              <w:top w:val="single" w:color="auto" w:sz="4" w:space="0"/>
            </w:tcBorders>
            <w:noWrap w:val="0"/>
            <w:vAlign w:val="center"/>
          </w:tcPr>
          <w:p>
            <w:pPr>
              <w:spacing w:line="280" w:lineRule="exact"/>
              <w:rPr>
                <w:sz w:val="21"/>
                <w:szCs w:val="21"/>
              </w:rPr>
            </w:pPr>
            <w:r>
              <w:rPr>
                <w:sz w:val="21"/>
                <w:szCs w:val="21"/>
              </w:rPr>
              <w:t>固定资产投资项目年综合能耗量5000吨标准煤及以上项目节能审查</w:t>
            </w:r>
          </w:p>
        </w:tc>
        <w:tc>
          <w:tcPr>
            <w:tcW w:w="1727" w:type="dxa"/>
            <w:noWrap w:val="0"/>
            <w:vAlign w:val="center"/>
          </w:tcPr>
          <w:p>
            <w:pPr>
              <w:spacing w:line="280" w:lineRule="exact"/>
              <w:jc w:val="center"/>
              <w:rPr>
                <w:sz w:val="21"/>
                <w:szCs w:val="21"/>
              </w:rPr>
            </w:pPr>
            <w:r>
              <w:rPr>
                <w:sz w:val="21"/>
                <w:szCs w:val="21"/>
              </w:rPr>
              <w:t>行政许可</w:t>
            </w:r>
          </w:p>
        </w:tc>
        <w:tc>
          <w:tcPr>
            <w:tcW w:w="5743" w:type="dxa"/>
            <w:noWrap w:val="0"/>
            <w:vAlign w:val="center"/>
          </w:tcPr>
          <w:p>
            <w:pPr>
              <w:spacing w:line="280" w:lineRule="exact"/>
              <w:rPr>
                <w:sz w:val="21"/>
                <w:szCs w:val="21"/>
              </w:rPr>
            </w:pPr>
            <w:r>
              <w:rPr>
                <w:sz w:val="21"/>
                <w:szCs w:val="21"/>
              </w:rPr>
              <w:t>《节约能源法》《固定资产投资项目节能审查办法》（国家发展改革委令第44号）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743" w:type="dxa"/>
            <w:noWrap w:val="0"/>
            <w:vAlign w:val="center"/>
          </w:tcPr>
          <w:p>
            <w:pPr>
              <w:spacing w:line="280" w:lineRule="exact"/>
              <w:jc w:val="center"/>
              <w:rPr>
                <w:rFonts w:hint="eastAsia" w:eastAsia="宋体"/>
                <w:szCs w:val="21"/>
                <w:lang w:val="en-US" w:eastAsia="zh-CN"/>
              </w:rPr>
            </w:pPr>
            <w:r>
              <w:rPr>
                <w:rFonts w:hint="eastAsia"/>
                <w:szCs w:val="21"/>
                <w:lang w:val="en-US" w:eastAsia="zh-CN"/>
              </w:rPr>
              <w:t>3</w:t>
            </w:r>
          </w:p>
        </w:tc>
        <w:tc>
          <w:tcPr>
            <w:tcW w:w="6485" w:type="dxa"/>
            <w:noWrap w:val="0"/>
            <w:vAlign w:val="center"/>
          </w:tcPr>
          <w:p>
            <w:pPr>
              <w:spacing w:line="280" w:lineRule="exact"/>
              <w:rPr>
                <w:sz w:val="21"/>
                <w:szCs w:val="21"/>
              </w:rPr>
            </w:pPr>
            <w:r>
              <w:rPr>
                <w:sz w:val="21"/>
                <w:szCs w:val="21"/>
              </w:rPr>
              <w:t>权限内总投资额3000万以上的政府投资项目审批</w:t>
            </w:r>
          </w:p>
        </w:tc>
        <w:tc>
          <w:tcPr>
            <w:tcW w:w="1727" w:type="dxa"/>
            <w:noWrap w:val="0"/>
            <w:vAlign w:val="center"/>
          </w:tcPr>
          <w:p>
            <w:pPr>
              <w:spacing w:line="280" w:lineRule="exact"/>
              <w:jc w:val="center"/>
              <w:rPr>
                <w:sz w:val="21"/>
                <w:szCs w:val="21"/>
              </w:rPr>
            </w:pPr>
            <w:r>
              <w:rPr>
                <w:sz w:val="21"/>
                <w:szCs w:val="21"/>
              </w:rPr>
              <w:t>其他行政权力</w:t>
            </w:r>
          </w:p>
        </w:tc>
        <w:tc>
          <w:tcPr>
            <w:tcW w:w="5743" w:type="dxa"/>
            <w:noWrap w:val="0"/>
            <w:vAlign w:val="center"/>
          </w:tcPr>
          <w:p>
            <w:pPr>
              <w:spacing w:line="280" w:lineRule="exact"/>
              <w:rPr>
                <w:sz w:val="21"/>
                <w:szCs w:val="21"/>
              </w:rPr>
            </w:pPr>
            <w:r>
              <w:rPr>
                <w:sz w:val="21"/>
                <w:szCs w:val="21"/>
              </w:rPr>
              <w:t>《国务院关于投资体制改革的决定》（国发〔2004〕20号）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eastAsia" w:eastAsia="宋体"/>
                <w:szCs w:val="21"/>
                <w:lang w:val="en-US" w:eastAsia="zh-CN"/>
              </w:rPr>
            </w:pPr>
            <w:r>
              <w:rPr>
                <w:rFonts w:hint="eastAsia"/>
                <w:szCs w:val="21"/>
                <w:lang w:val="en-US" w:eastAsia="zh-CN"/>
              </w:rPr>
              <w:t>4</w:t>
            </w:r>
          </w:p>
        </w:tc>
        <w:tc>
          <w:tcPr>
            <w:tcW w:w="6485" w:type="dxa"/>
            <w:noWrap w:val="0"/>
            <w:vAlign w:val="center"/>
          </w:tcPr>
          <w:p>
            <w:pPr>
              <w:spacing w:line="280" w:lineRule="exact"/>
              <w:rPr>
                <w:sz w:val="21"/>
                <w:szCs w:val="21"/>
              </w:rPr>
            </w:pPr>
            <w:r>
              <w:rPr>
                <w:sz w:val="21"/>
                <w:szCs w:val="21"/>
              </w:rPr>
              <w:t>制定和调整《定价目录》中已列入听证目录的商品和服务价格</w:t>
            </w:r>
          </w:p>
        </w:tc>
        <w:tc>
          <w:tcPr>
            <w:tcW w:w="1727" w:type="dxa"/>
            <w:noWrap w:val="0"/>
            <w:vAlign w:val="center"/>
          </w:tcPr>
          <w:p>
            <w:pPr>
              <w:spacing w:line="280" w:lineRule="exact"/>
              <w:jc w:val="center"/>
              <w:rPr>
                <w:sz w:val="21"/>
                <w:szCs w:val="21"/>
              </w:rPr>
            </w:pPr>
            <w:r>
              <w:rPr>
                <w:sz w:val="21"/>
                <w:szCs w:val="21"/>
              </w:rPr>
              <w:t>其他行政权力</w:t>
            </w:r>
          </w:p>
        </w:tc>
        <w:tc>
          <w:tcPr>
            <w:tcW w:w="5743" w:type="dxa"/>
            <w:noWrap w:val="0"/>
            <w:vAlign w:val="center"/>
          </w:tcPr>
          <w:p>
            <w:pPr>
              <w:spacing w:line="280" w:lineRule="exact"/>
              <w:rPr>
                <w:sz w:val="21"/>
                <w:szCs w:val="21"/>
              </w:rPr>
            </w:pPr>
            <w:r>
              <w:rPr>
                <w:sz w:val="21"/>
                <w:szCs w:val="21"/>
              </w:rPr>
              <w:t>《中华人民共和国价格法》《政府制定价格行为规则》（国家发展改革委令第7号）《湖南省服务价格管理条例》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743" w:type="dxa"/>
            <w:noWrap w:val="0"/>
            <w:vAlign w:val="center"/>
          </w:tcPr>
          <w:p>
            <w:pPr>
              <w:spacing w:line="280" w:lineRule="exact"/>
              <w:jc w:val="center"/>
              <w:rPr>
                <w:rFonts w:hint="eastAsia" w:eastAsia="宋体"/>
                <w:szCs w:val="21"/>
                <w:lang w:val="en-US" w:eastAsia="zh-CN"/>
              </w:rPr>
            </w:pPr>
            <w:r>
              <w:rPr>
                <w:rFonts w:hint="eastAsia"/>
                <w:szCs w:val="21"/>
                <w:lang w:val="en-US" w:eastAsia="zh-CN"/>
              </w:rPr>
              <w:t>5</w:t>
            </w:r>
          </w:p>
        </w:tc>
        <w:tc>
          <w:tcPr>
            <w:tcW w:w="6485" w:type="dxa"/>
            <w:noWrap w:val="0"/>
            <w:vAlign w:val="center"/>
          </w:tcPr>
          <w:p>
            <w:pPr>
              <w:spacing w:line="280" w:lineRule="exact"/>
              <w:rPr>
                <w:sz w:val="21"/>
                <w:szCs w:val="21"/>
              </w:rPr>
            </w:pPr>
            <w:r>
              <w:rPr>
                <w:rFonts w:hint="eastAsia"/>
                <w:sz w:val="21"/>
                <w:szCs w:val="21"/>
                <w:lang w:eastAsia="zh-CN"/>
              </w:rPr>
              <w:t>授权</w:t>
            </w:r>
            <w:r>
              <w:rPr>
                <w:sz w:val="21"/>
                <w:szCs w:val="21"/>
              </w:rPr>
              <w:t>制定临时价格干预措施、启动价格应急预案</w:t>
            </w:r>
          </w:p>
        </w:tc>
        <w:tc>
          <w:tcPr>
            <w:tcW w:w="1727" w:type="dxa"/>
            <w:noWrap w:val="0"/>
            <w:vAlign w:val="center"/>
          </w:tcPr>
          <w:p>
            <w:pPr>
              <w:spacing w:line="280" w:lineRule="exact"/>
              <w:jc w:val="center"/>
              <w:rPr>
                <w:sz w:val="21"/>
                <w:szCs w:val="21"/>
              </w:rPr>
            </w:pPr>
            <w:r>
              <w:rPr>
                <w:sz w:val="21"/>
                <w:szCs w:val="21"/>
              </w:rPr>
              <w:t>其他行政权力</w:t>
            </w:r>
          </w:p>
        </w:tc>
        <w:tc>
          <w:tcPr>
            <w:tcW w:w="5743" w:type="dxa"/>
            <w:noWrap w:val="0"/>
            <w:vAlign w:val="center"/>
          </w:tcPr>
          <w:p>
            <w:pPr>
              <w:spacing w:line="280" w:lineRule="exact"/>
              <w:rPr>
                <w:sz w:val="21"/>
                <w:szCs w:val="21"/>
              </w:rPr>
            </w:pPr>
            <w:r>
              <w:rPr>
                <w:sz w:val="21"/>
                <w:szCs w:val="21"/>
              </w:rPr>
              <w:t>《中华人民共和国价格法》《湖南省价格监督管理条例》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743" w:type="dxa"/>
            <w:noWrap w:val="0"/>
            <w:vAlign w:val="center"/>
          </w:tcPr>
          <w:p>
            <w:pPr>
              <w:spacing w:line="280" w:lineRule="exact"/>
              <w:jc w:val="center"/>
              <w:rPr>
                <w:rFonts w:hint="eastAsia" w:eastAsia="宋体"/>
                <w:szCs w:val="21"/>
                <w:lang w:val="en-US" w:eastAsia="zh-CN"/>
              </w:rPr>
            </w:pPr>
            <w:r>
              <w:rPr>
                <w:rFonts w:hint="eastAsia"/>
                <w:szCs w:val="21"/>
                <w:lang w:val="en-US" w:eastAsia="zh-CN"/>
              </w:rPr>
              <w:t>6</w:t>
            </w:r>
          </w:p>
        </w:tc>
        <w:tc>
          <w:tcPr>
            <w:tcW w:w="6485" w:type="dxa"/>
            <w:noWrap w:val="0"/>
            <w:vAlign w:val="center"/>
          </w:tcPr>
          <w:p>
            <w:pPr>
              <w:spacing w:line="280" w:lineRule="exact"/>
              <w:rPr>
                <w:sz w:val="21"/>
                <w:szCs w:val="21"/>
              </w:rPr>
            </w:pPr>
            <w:r>
              <w:rPr>
                <w:sz w:val="21"/>
                <w:szCs w:val="21"/>
              </w:rPr>
              <w:t>招标投标活动违法行为处罚：1.</w:t>
            </w:r>
            <w:r>
              <w:rPr>
                <w:color w:val="000000"/>
                <w:sz w:val="21"/>
                <w:szCs w:val="21"/>
                <w:shd w:val="clear" w:color="auto" w:fill="FFFFFF"/>
              </w:rPr>
              <w:t>对</w:t>
            </w:r>
            <w:r>
              <w:rPr>
                <w:sz w:val="21"/>
                <w:szCs w:val="21"/>
              </w:rPr>
              <w:t>个人作出罚款1000元以上、对招标人、投标人、中标人和招标代理机构作出罚款2万元以上的处罚；2.取消招标人、投标人、中标人参加依法必须进行招标的项目的投标资格一年以上；3.取消评标委员会成员资格以及不得再参加任何依法必须进行招标的项目的评标</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sz w:val="21"/>
                <w:szCs w:val="21"/>
              </w:rPr>
              <w:t>《中华人民共和国招标投标法》《中华人民共和国招标投标法实施条例》（国务院令第613号）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eastAsia" w:eastAsia="宋体"/>
                <w:szCs w:val="21"/>
                <w:lang w:val="en-US" w:eastAsia="zh-CN"/>
              </w:rPr>
            </w:pPr>
            <w:r>
              <w:rPr>
                <w:rFonts w:hint="eastAsia"/>
                <w:szCs w:val="21"/>
                <w:lang w:val="en-US" w:eastAsia="zh-CN"/>
              </w:rPr>
              <w:t>7</w:t>
            </w:r>
          </w:p>
        </w:tc>
        <w:tc>
          <w:tcPr>
            <w:tcW w:w="6485" w:type="dxa"/>
            <w:noWrap w:val="0"/>
            <w:vAlign w:val="center"/>
          </w:tcPr>
          <w:p>
            <w:pPr>
              <w:spacing w:line="280" w:lineRule="exact"/>
              <w:rPr>
                <w:sz w:val="21"/>
                <w:szCs w:val="21"/>
              </w:rPr>
            </w:pPr>
            <w:r>
              <w:rPr>
                <w:sz w:val="21"/>
                <w:szCs w:val="21"/>
              </w:rPr>
              <w:t>对政府投资项目代建单位违规违约行为</w:t>
            </w:r>
            <w:r>
              <w:rPr>
                <w:color w:val="333333"/>
                <w:sz w:val="21"/>
                <w:szCs w:val="21"/>
                <w:shd w:val="clear" w:color="auto" w:fill="FFFFFF"/>
              </w:rPr>
              <w:t>作出三年内不得参与代建活动的处罚</w:t>
            </w:r>
          </w:p>
        </w:tc>
        <w:tc>
          <w:tcPr>
            <w:tcW w:w="1727" w:type="dxa"/>
            <w:noWrap w:val="0"/>
            <w:vAlign w:val="center"/>
          </w:tcPr>
          <w:p>
            <w:pPr>
              <w:spacing w:line="280" w:lineRule="exact"/>
              <w:jc w:val="center"/>
              <w:rPr>
                <w:rFonts w:hint="default" w:eastAsia="宋体"/>
                <w:sz w:val="21"/>
                <w:szCs w:val="21"/>
                <w:lang w:val="en-US" w:eastAsia="zh-CN"/>
              </w:rPr>
            </w:pPr>
            <w:r>
              <w:rPr>
                <w:sz w:val="21"/>
                <w:szCs w:val="21"/>
              </w:rPr>
              <w:t>行政处罚</w:t>
            </w:r>
          </w:p>
        </w:tc>
        <w:tc>
          <w:tcPr>
            <w:tcW w:w="5743" w:type="dxa"/>
            <w:noWrap w:val="0"/>
            <w:vAlign w:val="center"/>
          </w:tcPr>
          <w:p>
            <w:pPr>
              <w:spacing w:line="280" w:lineRule="exact"/>
              <w:rPr>
                <w:sz w:val="21"/>
                <w:szCs w:val="21"/>
              </w:rPr>
            </w:pPr>
            <w:r>
              <w:rPr>
                <w:sz w:val="21"/>
                <w:szCs w:val="21"/>
              </w:rPr>
              <w:t>《湖南省政府投资项目代建制管理办法》（湖南省人民政府令第241号）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43" w:type="dxa"/>
            <w:noWrap w:val="0"/>
            <w:vAlign w:val="center"/>
          </w:tcPr>
          <w:p>
            <w:pPr>
              <w:spacing w:line="280" w:lineRule="exact"/>
              <w:jc w:val="center"/>
              <w:rPr>
                <w:rFonts w:hint="eastAsia" w:eastAsia="宋体"/>
                <w:szCs w:val="21"/>
                <w:lang w:val="en-US" w:eastAsia="zh-CN"/>
              </w:rPr>
            </w:pPr>
            <w:r>
              <w:rPr>
                <w:rFonts w:hint="eastAsia"/>
                <w:szCs w:val="21"/>
                <w:lang w:val="en-US" w:eastAsia="zh-CN"/>
              </w:rPr>
              <w:t>8</w:t>
            </w:r>
          </w:p>
        </w:tc>
        <w:tc>
          <w:tcPr>
            <w:tcW w:w="6485" w:type="dxa"/>
            <w:noWrap w:val="0"/>
            <w:vAlign w:val="center"/>
          </w:tcPr>
          <w:p>
            <w:pPr>
              <w:spacing w:line="280" w:lineRule="exact"/>
              <w:rPr>
                <w:sz w:val="21"/>
                <w:szCs w:val="21"/>
              </w:rPr>
            </w:pPr>
            <w:r>
              <w:rPr>
                <w:sz w:val="21"/>
                <w:szCs w:val="21"/>
              </w:rPr>
              <w:t>对固定资产投资项目建设单位开工建设不符合强制性节能标准的项目或者将该项目投入生产、使用行为作出责令停止建设或者停止生产、使用，限期改造的处罚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sz w:val="21"/>
                <w:szCs w:val="21"/>
              </w:rPr>
              <w:t>《中华人民共和国节约能源法》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eastAsia" w:eastAsia="宋体"/>
                <w:szCs w:val="21"/>
                <w:lang w:val="en-US" w:eastAsia="zh-CN"/>
              </w:rPr>
            </w:pPr>
            <w:r>
              <w:rPr>
                <w:rFonts w:hint="eastAsia"/>
                <w:szCs w:val="21"/>
                <w:lang w:val="en-US" w:eastAsia="zh-CN"/>
              </w:rPr>
              <w:t>9</w:t>
            </w:r>
          </w:p>
        </w:tc>
        <w:tc>
          <w:tcPr>
            <w:tcW w:w="6485" w:type="dxa"/>
            <w:noWrap w:val="0"/>
            <w:vAlign w:val="center"/>
          </w:tcPr>
          <w:p>
            <w:pPr>
              <w:spacing w:line="280" w:lineRule="exact"/>
              <w:rPr>
                <w:sz w:val="21"/>
                <w:szCs w:val="21"/>
              </w:rPr>
            </w:pPr>
            <w:r>
              <w:rPr>
                <w:sz w:val="21"/>
                <w:szCs w:val="21"/>
              </w:rPr>
              <w:t>对使用国家明令淘汰的用能设备或者生产工艺行为作出责令停止使用、没收国家明令淘汰的用能设备的处罚的处罚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sz w:val="21"/>
                <w:szCs w:val="21"/>
              </w:rPr>
              <w:t>《中华人民共和国节约能源法》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eastAsia" w:eastAsia="宋体"/>
                <w:szCs w:val="21"/>
                <w:lang w:val="en-US" w:eastAsia="zh-CN"/>
              </w:rPr>
            </w:pPr>
            <w:r>
              <w:rPr>
                <w:szCs w:val="21"/>
              </w:rPr>
              <w:t>1</w:t>
            </w:r>
            <w:r>
              <w:rPr>
                <w:rFonts w:hint="eastAsia"/>
                <w:szCs w:val="21"/>
                <w:lang w:val="en-US" w:eastAsia="zh-CN"/>
              </w:rPr>
              <w:t>0</w:t>
            </w:r>
          </w:p>
        </w:tc>
        <w:tc>
          <w:tcPr>
            <w:tcW w:w="6485" w:type="dxa"/>
            <w:noWrap w:val="0"/>
            <w:vAlign w:val="center"/>
          </w:tcPr>
          <w:p>
            <w:pPr>
              <w:spacing w:line="280" w:lineRule="exact"/>
              <w:rPr>
                <w:sz w:val="21"/>
                <w:szCs w:val="21"/>
              </w:rPr>
            </w:pPr>
            <w:r>
              <w:rPr>
                <w:sz w:val="21"/>
                <w:szCs w:val="21"/>
              </w:rPr>
              <w:t>对从事节能咨询、设计、评估、检测、审计、认证等服务的机构提供虚假信息行为作出没收违法所得，并处五万元以上罚款的处罚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sz w:val="21"/>
                <w:szCs w:val="21"/>
              </w:rPr>
              <w:t>《中华人民共和国节约能源法》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743" w:type="dxa"/>
            <w:noWrap w:val="0"/>
            <w:vAlign w:val="center"/>
          </w:tcPr>
          <w:p>
            <w:pPr>
              <w:spacing w:line="280" w:lineRule="exact"/>
              <w:jc w:val="center"/>
              <w:rPr>
                <w:rFonts w:hint="eastAsia" w:eastAsia="宋体"/>
                <w:szCs w:val="21"/>
                <w:lang w:val="en-US" w:eastAsia="zh-CN"/>
              </w:rPr>
            </w:pPr>
            <w:r>
              <w:rPr>
                <w:szCs w:val="21"/>
              </w:rPr>
              <w:t>1</w:t>
            </w:r>
            <w:r>
              <w:rPr>
                <w:rFonts w:hint="eastAsia"/>
                <w:szCs w:val="21"/>
                <w:lang w:val="en-US" w:eastAsia="zh-CN"/>
              </w:rPr>
              <w:t>1</w:t>
            </w:r>
          </w:p>
        </w:tc>
        <w:tc>
          <w:tcPr>
            <w:tcW w:w="6485" w:type="dxa"/>
            <w:noWrap w:val="0"/>
            <w:vAlign w:val="center"/>
          </w:tcPr>
          <w:p>
            <w:pPr>
              <w:spacing w:line="280" w:lineRule="exact"/>
              <w:rPr>
                <w:sz w:val="21"/>
                <w:szCs w:val="21"/>
              </w:rPr>
            </w:pPr>
            <w:r>
              <w:rPr>
                <w:sz w:val="21"/>
                <w:szCs w:val="21"/>
              </w:rPr>
              <w:t>对重点用能单位未履行节能管理义务作出二万元以上罚款的处罚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sz w:val="21"/>
                <w:szCs w:val="21"/>
              </w:rPr>
              <w:t>《中华人民共和国节约能源法》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eastAsia" w:eastAsia="宋体"/>
                <w:szCs w:val="21"/>
                <w:lang w:val="en-US" w:eastAsia="zh-CN"/>
              </w:rPr>
            </w:pPr>
            <w:r>
              <w:rPr>
                <w:szCs w:val="21"/>
              </w:rPr>
              <w:t>1</w:t>
            </w:r>
            <w:r>
              <w:rPr>
                <w:rFonts w:hint="eastAsia"/>
                <w:szCs w:val="21"/>
                <w:lang w:val="en-US" w:eastAsia="zh-CN"/>
              </w:rPr>
              <w:t>2</w:t>
            </w:r>
          </w:p>
        </w:tc>
        <w:tc>
          <w:tcPr>
            <w:tcW w:w="6485" w:type="dxa"/>
            <w:noWrap w:val="0"/>
            <w:vAlign w:val="center"/>
          </w:tcPr>
          <w:p>
            <w:pPr>
              <w:spacing w:line="280" w:lineRule="exact"/>
              <w:rPr>
                <w:sz w:val="21"/>
                <w:szCs w:val="21"/>
              </w:rPr>
            </w:pPr>
            <w:r>
              <w:rPr>
                <w:sz w:val="21"/>
                <w:szCs w:val="21"/>
              </w:rPr>
              <w:t>对违规无偿向本单位职工提供能源或者对能源消费实行包费制行为作出</w:t>
            </w:r>
            <w:r>
              <w:rPr>
                <w:rFonts w:hint="eastAsia"/>
                <w:sz w:val="21"/>
                <w:szCs w:val="21"/>
                <w:lang w:eastAsia="zh-CN"/>
              </w:rPr>
              <w:t>五</w:t>
            </w:r>
            <w:r>
              <w:rPr>
                <w:sz w:val="21"/>
                <w:szCs w:val="21"/>
              </w:rPr>
              <w:t>万元以上罚款的处罚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sz w:val="21"/>
                <w:szCs w:val="21"/>
              </w:rPr>
              <w:t>《中华人民共和国节约能源法》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eastAsia" w:eastAsia="宋体"/>
                <w:szCs w:val="21"/>
                <w:lang w:val="en-US" w:eastAsia="zh-CN"/>
              </w:rPr>
            </w:pPr>
            <w:r>
              <w:rPr>
                <w:szCs w:val="21"/>
              </w:rPr>
              <w:t>1</w:t>
            </w:r>
            <w:r>
              <w:rPr>
                <w:rFonts w:hint="eastAsia"/>
                <w:szCs w:val="21"/>
                <w:lang w:val="en-US" w:eastAsia="zh-CN"/>
              </w:rPr>
              <w:t>3</w:t>
            </w:r>
          </w:p>
        </w:tc>
        <w:tc>
          <w:tcPr>
            <w:tcW w:w="6485" w:type="dxa"/>
            <w:noWrap w:val="0"/>
            <w:vAlign w:val="center"/>
          </w:tcPr>
          <w:p>
            <w:pPr>
              <w:spacing w:line="280" w:lineRule="exact"/>
              <w:rPr>
                <w:sz w:val="21"/>
                <w:szCs w:val="21"/>
              </w:rPr>
            </w:pPr>
            <w:r>
              <w:rPr>
                <w:sz w:val="21"/>
                <w:szCs w:val="21"/>
              </w:rPr>
              <w:t>对未按照规定公布能源消耗或者重点污染物产生、排放情况的</w:t>
            </w:r>
            <w:r>
              <w:rPr>
                <w:color w:val="333333"/>
                <w:sz w:val="21"/>
                <w:szCs w:val="21"/>
                <w:shd w:val="clear" w:color="auto" w:fill="FFFFFF"/>
              </w:rPr>
              <w:t>企业作出二万元以上罚款的</w:t>
            </w:r>
            <w:r>
              <w:rPr>
                <w:sz w:val="21"/>
                <w:szCs w:val="21"/>
              </w:rPr>
              <w:t>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sz w:val="21"/>
                <w:szCs w:val="21"/>
              </w:rPr>
              <w:t>《中华人民共和国清洁生产促进法》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43" w:type="dxa"/>
            <w:noWrap w:val="0"/>
            <w:vAlign w:val="center"/>
          </w:tcPr>
          <w:p>
            <w:pPr>
              <w:spacing w:line="280" w:lineRule="exact"/>
              <w:jc w:val="center"/>
              <w:rPr>
                <w:rFonts w:hint="eastAsia" w:eastAsia="宋体"/>
                <w:szCs w:val="21"/>
                <w:lang w:val="en-US" w:eastAsia="zh-CN"/>
              </w:rPr>
            </w:pPr>
            <w:r>
              <w:rPr>
                <w:szCs w:val="21"/>
              </w:rPr>
              <w:t>1</w:t>
            </w:r>
            <w:r>
              <w:rPr>
                <w:rFonts w:hint="eastAsia"/>
                <w:szCs w:val="21"/>
                <w:lang w:val="en-US" w:eastAsia="zh-CN"/>
              </w:rPr>
              <w:t>4</w:t>
            </w:r>
          </w:p>
        </w:tc>
        <w:tc>
          <w:tcPr>
            <w:tcW w:w="6485" w:type="dxa"/>
            <w:noWrap w:val="0"/>
            <w:vAlign w:val="center"/>
          </w:tcPr>
          <w:p>
            <w:pPr>
              <w:spacing w:line="280" w:lineRule="exact"/>
              <w:rPr>
                <w:rFonts w:hint="eastAsia" w:eastAsia="宋体"/>
                <w:sz w:val="21"/>
                <w:szCs w:val="21"/>
                <w:lang w:val="en-US" w:eastAsia="zh-CN"/>
              </w:rPr>
            </w:pPr>
            <w:r>
              <w:rPr>
                <w:sz w:val="21"/>
                <w:szCs w:val="21"/>
              </w:rPr>
              <w:t>对不实施强制清洁生产审核或在清洁生产审核中弄虚作假的，或者实施强制清洁生产审核的企业不报告或者不如实报告审核结果的</w:t>
            </w:r>
            <w:r>
              <w:rPr>
                <w:color w:val="333333"/>
                <w:sz w:val="21"/>
                <w:szCs w:val="21"/>
                <w:shd w:val="clear" w:color="auto" w:fill="FFFFFF"/>
              </w:rPr>
              <w:t>企业作出五万元以上罚款的</w:t>
            </w:r>
            <w:r>
              <w:rPr>
                <w:sz w:val="21"/>
                <w:szCs w:val="21"/>
              </w:rPr>
              <w:t>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sz w:val="21"/>
                <w:szCs w:val="21"/>
              </w:rPr>
              <w:t>《中华人民共和国清洁生产促进法》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15</w:t>
            </w:r>
          </w:p>
        </w:tc>
        <w:tc>
          <w:tcPr>
            <w:tcW w:w="6485" w:type="dxa"/>
            <w:noWrap w:val="0"/>
            <w:vAlign w:val="center"/>
          </w:tcPr>
          <w:p>
            <w:pPr>
              <w:spacing w:line="280" w:lineRule="exact"/>
              <w:rPr>
                <w:sz w:val="21"/>
                <w:szCs w:val="21"/>
              </w:rPr>
            </w:pPr>
            <w:r>
              <w:rPr>
                <w:sz w:val="21"/>
                <w:szCs w:val="21"/>
              </w:rPr>
              <w:t>对国民经济、社会发展和公共安全有重大影响的企业投资项目开展监督检查，作出责令</w:t>
            </w:r>
            <w:r>
              <w:rPr>
                <w:color w:val="333333"/>
                <w:sz w:val="21"/>
                <w:szCs w:val="21"/>
                <w:shd w:val="clear" w:color="auto" w:fill="FFFFFF"/>
              </w:rPr>
              <w:t>停止建设或限期整改的处理</w:t>
            </w:r>
          </w:p>
        </w:tc>
        <w:tc>
          <w:tcPr>
            <w:tcW w:w="1727" w:type="dxa"/>
            <w:noWrap w:val="0"/>
            <w:vAlign w:val="center"/>
          </w:tcPr>
          <w:p>
            <w:pPr>
              <w:spacing w:line="280" w:lineRule="exact"/>
              <w:jc w:val="center"/>
              <w:rPr>
                <w:rFonts w:hint="eastAsia" w:eastAsia="宋体"/>
                <w:sz w:val="21"/>
                <w:szCs w:val="21"/>
                <w:lang w:val="en-US" w:eastAsia="zh-CN"/>
              </w:rPr>
            </w:pPr>
            <w:r>
              <w:rPr>
                <w:sz w:val="21"/>
                <w:szCs w:val="21"/>
              </w:rPr>
              <w:t>行政处罚</w:t>
            </w:r>
            <w:r>
              <w:rPr>
                <w:rFonts w:hint="eastAsia"/>
                <w:sz w:val="21"/>
                <w:szCs w:val="21"/>
                <w:lang w:eastAsia="zh-CN"/>
              </w:rPr>
              <w:t>（</w:t>
            </w:r>
            <w:r>
              <w:rPr>
                <w:rFonts w:hint="eastAsia"/>
                <w:sz w:val="21"/>
                <w:szCs w:val="21"/>
                <w:lang w:val="en-US" w:eastAsia="zh-CN"/>
              </w:rPr>
              <w:t>检查）</w:t>
            </w:r>
          </w:p>
        </w:tc>
        <w:tc>
          <w:tcPr>
            <w:tcW w:w="5743" w:type="dxa"/>
            <w:noWrap w:val="0"/>
            <w:vAlign w:val="center"/>
          </w:tcPr>
          <w:p>
            <w:pPr>
              <w:spacing w:line="280" w:lineRule="exact"/>
              <w:rPr>
                <w:sz w:val="21"/>
                <w:szCs w:val="21"/>
              </w:rPr>
            </w:pPr>
            <w:r>
              <w:rPr>
                <w:sz w:val="21"/>
                <w:szCs w:val="21"/>
              </w:rPr>
              <w:t>《国务院关于投资体制改革的决定》（国发〔2004〕20号）《政府核准投资项目管理办法》（国家发展改革委令第11号）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16</w:t>
            </w:r>
          </w:p>
        </w:tc>
        <w:tc>
          <w:tcPr>
            <w:tcW w:w="6485" w:type="dxa"/>
            <w:noWrap w:val="0"/>
            <w:vAlign w:val="center"/>
          </w:tcPr>
          <w:p>
            <w:pPr>
              <w:spacing w:line="280" w:lineRule="exact"/>
              <w:rPr>
                <w:sz w:val="21"/>
                <w:szCs w:val="21"/>
              </w:rPr>
            </w:pPr>
            <w:r>
              <w:rPr>
                <w:color w:val="333333"/>
                <w:sz w:val="21"/>
                <w:szCs w:val="21"/>
                <w:shd w:val="clear" w:color="auto" w:fill="FFFFFF"/>
              </w:rPr>
              <w:t>对未按规定进行节能评估和审查，或节能审查未获通过，擅自开工建设或擅自投入生产、使用的固定资产投资项目，责令停止建设或停止生产、使用以及限期改造</w:t>
            </w:r>
          </w:p>
        </w:tc>
        <w:tc>
          <w:tcPr>
            <w:tcW w:w="1727" w:type="dxa"/>
            <w:noWrap w:val="0"/>
            <w:vAlign w:val="center"/>
          </w:tcPr>
          <w:p>
            <w:pPr>
              <w:spacing w:line="280" w:lineRule="exact"/>
              <w:jc w:val="center"/>
              <w:rPr>
                <w:rFonts w:hint="eastAsia" w:eastAsia="宋体"/>
                <w:sz w:val="21"/>
                <w:szCs w:val="21"/>
                <w:lang w:eastAsia="zh-CN"/>
              </w:rPr>
            </w:pPr>
            <w:r>
              <w:rPr>
                <w:sz w:val="21"/>
                <w:szCs w:val="21"/>
              </w:rPr>
              <w:t>行政处罚</w:t>
            </w:r>
            <w:r>
              <w:rPr>
                <w:rFonts w:hint="eastAsia"/>
                <w:sz w:val="21"/>
                <w:szCs w:val="21"/>
                <w:lang w:eastAsia="zh-CN"/>
              </w:rPr>
              <w:t>（检查）</w:t>
            </w:r>
          </w:p>
        </w:tc>
        <w:tc>
          <w:tcPr>
            <w:tcW w:w="5743" w:type="dxa"/>
            <w:noWrap w:val="0"/>
            <w:vAlign w:val="center"/>
          </w:tcPr>
          <w:p>
            <w:pPr>
              <w:spacing w:line="280" w:lineRule="exact"/>
              <w:rPr>
                <w:sz w:val="21"/>
                <w:szCs w:val="21"/>
              </w:rPr>
            </w:pPr>
            <w:r>
              <w:rPr>
                <w:sz w:val="21"/>
                <w:szCs w:val="21"/>
              </w:rPr>
              <w:t>《中华人民共和国节约能源法》《固定资产投资项目节能审查办法》（国家发展改革委令第44号）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17</w:t>
            </w:r>
          </w:p>
        </w:tc>
        <w:tc>
          <w:tcPr>
            <w:tcW w:w="6485" w:type="dxa"/>
            <w:noWrap w:val="0"/>
            <w:vAlign w:val="center"/>
          </w:tcPr>
          <w:p>
            <w:pPr>
              <w:spacing w:line="280" w:lineRule="exact"/>
              <w:rPr>
                <w:color w:val="333333"/>
                <w:sz w:val="21"/>
                <w:szCs w:val="21"/>
                <w:shd w:val="clear" w:color="auto" w:fill="FFFFFF"/>
              </w:rPr>
            </w:pPr>
            <w:r>
              <w:rPr>
                <w:rFonts w:ascii="宋体" w:hAnsi="宋体" w:eastAsia="宋体" w:cs="宋体"/>
                <w:kern w:val="0"/>
                <w:sz w:val="21"/>
                <w:szCs w:val="21"/>
              </w:rPr>
              <w:t>以不正当手段取得粮食收购资格许可</w:t>
            </w:r>
            <w:r>
              <w:rPr>
                <w:rFonts w:hint="eastAsia" w:ascii="宋体" w:hAnsi="宋体" w:cs="宋体"/>
                <w:kern w:val="0"/>
                <w:sz w:val="21"/>
                <w:szCs w:val="21"/>
                <w:lang w:eastAsia="zh-CN"/>
              </w:rPr>
              <w:t>作出</w:t>
            </w:r>
            <w:r>
              <w:rPr>
                <w:rFonts w:ascii="宋体" w:hAnsi="宋体" w:eastAsia="宋体" w:cs="宋体"/>
                <w:kern w:val="0"/>
                <w:sz w:val="21"/>
                <w:szCs w:val="21"/>
              </w:rPr>
              <w:t>取消粮食收购资格，没收违法所得的处罚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rFonts w:ascii="宋体" w:hAnsi="宋体" w:eastAsia="宋体" w:cs="宋体"/>
                <w:kern w:val="0"/>
                <w:sz w:val="21"/>
                <w:szCs w:val="21"/>
              </w:rPr>
              <w:t>《粮食流通管理条例》（国务院令第407号）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18</w:t>
            </w:r>
          </w:p>
        </w:tc>
        <w:tc>
          <w:tcPr>
            <w:tcW w:w="6485" w:type="dxa"/>
            <w:noWrap w:val="0"/>
            <w:vAlign w:val="center"/>
          </w:tcPr>
          <w:p>
            <w:pPr>
              <w:spacing w:line="280" w:lineRule="exact"/>
              <w:rPr>
                <w:color w:val="333333"/>
                <w:sz w:val="21"/>
                <w:szCs w:val="21"/>
                <w:shd w:val="clear" w:color="auto" w:fill="FFFFFF"/>
              </w:rPr>
            </w:pPr>
            <w:r>
              <w:rPr>
                <w:rFonts w:ascii="宋体" w:hAnsi="宋体" w:eastAsia="宋体" w:cs="宋体"/>
                <w:kern w:val="0"/>
                <w:sz w:val="21"/>
                <w:szCs w:val="21"/>
              </w:rPr>
              <w:t>违反粮食收购制度、粮食流通统计制度、未执行政策性用粮购销活动国家有关政策处非法收购粮食价值1倍以上5倍以下的罚款</w:t>
            </w:r>
            <w:r>
              <w:rPr>
                <w:rFonts w:hint="eastAsia" w:ascii="宋体" w:hAnsi="宋体" w:cs="宋体"/>
                <w:kern w:val="0"/>
                <w:sz w:val="21"/>
                <w:szCs w:val="21"/>
                <w:lang w:eastAsia="zh-CN"/>
              </w:rPr>
              <w:t>及</w:t>
            </w:r>
            <w:r>
              <w:rPr>
                <w:rFonts w:ascii="宋体" w:hAnsi="宋体" w:eastAsia="宋体" w:cs="宋体"/>
                <w:kern w:val="0"/>
                <w:sz w:val="21"/>
                <w:szCs w:val="21"/>
              </w:rPr>
              <w:t>暂停或者取消粮食收购资格的处罚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rFonts w:hint="eastAsia" w:ascii="宋体" w:hAnsi="宋体" w:cs="宋体"/>
                <w:kern w:val="0"/>
                <w:sz w:val="21"/>
                <w:szCs w:val="21"/>
                <w:lang w:eastAsia="zh-CN"/>
              </w:rPr>
              <w:t>《</w:t>
            </w:r>
            <w:r>
              <w:rPr>
                <w:rFonts w:ascii="宋体" w:hAnsi="宋体" w:eastAsia="宋体" w:cs="宋体"/>
                <w:kern w:val="0"/>
                <w:sz w:val="21"/>
                <w:szCs w:val="21"/>
              </w:rPr>
              <w:t>粮食流通管理条例》</w:t>
            </w:r>
            <w:bookmarkStart w:id="2" w:name="_GoBack"/>
            <w:bookmarkEnd w:id="2"/>
            <w:r>
              <w:rPr>
                <w:rFonts w:ascii="宋体" w:hAnsi="宋体" w:eastAsia="宋体" w:cs="宋体"/>
                <w:kern w:val="0"/>
                <w:sz w:val="21"/>
                <w:szCs w:val="21"/>
              </w:rPr>
              <w:t>（国务院令第407号）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19</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违反陈粮质检制度处出库粮食价值1倍以上5倍以下的罚款的处罚</w:t>
            </w:r>
          </w:p>
        </w:tc>
        <w:tc>
          <w:tcPr>
            <w:tcW w:w="1727" w:type="dxa"/>
            <w:noWrap w:val="0"/>
            <w:vAlign w:val="center"/>
          </w:tcPr>
          <w:p>
            <w:pPr>
              <w:spacing w:line="280" w:lineRule="exact"/>
              <w:jc w:val="center"/>
              <w:rPr>
                <w:rFonts w:ascii="Times New Roman" w:hAnsi="Times New Roman" w:eastAsia="宋体" w:cs="Times New Roman"/>
                <w:kern w:val="2"/>
                <w:sz w:val="21"/>
                <w:szCs w:val="21"/>
                <w:lang w:val="en-US" w:eastAsia="zh-CN" w:bidi="ar-SA"/>
              </w:rPr>
            </w:pPr>
            <w:r>
              <w:rPr>
                <w:sz w:val="21"/>
                <w:szCs w:val="21"/>
              </w:rPr>
              <w:t>行政处罚</w:t>
            </w:r>
          </w:p>
        </w:tc>
        <w:tc>
          <w:tcPr>
            <w:tcW w:w="5743" w:type="dxa"/>
            <w:noWrap w:val="0"/>
            <w:vAlign w:val="center"/>
          </w:tcPr>
          <w:p>
            <w:pPr>
              <w:spacing w:line="280" w:lineRule="exact"/>
              <w:rPr>
                <w:rFonts w:ascii="Times New Roman" w:hAnsi="Times New Roman" w:eastAsia="宋体" w:cs="Times New Roman"/>
                <w:kern w:val="2"/>
                <w:sz w:val="21"/>
                <w:szCs w:val="21"/>
                <w:lang w:val="en-US" w:eastAsia="zh-CN" w:bidi="ar-SA"/>
              </w:rPr>
            </w:pPr>
            <w:r>
              <w:rPr>
                <w:rFonts w:hint="eastAsia" w:ascii="宋体" w:hAnsi="宋体" w:cs="宋体"/>
                <w:kern w:val="0"/>
                <w:sz w:val="21"/>
                <w:szCs w:val="21"/>
                <w:lang w:eastAsia="zh-CN"/>
              </w:rPr>
              <w:t>《</w:t>
            </w:r>
            <w:r>
              <w:rPr>
                <w:rFonts w:ascii="宋体" w:hAnsi="宋体" w:eastAsia="宋体" w:cs="宋体"/>
                <w:kern w:val="0"/>
                <w:sz w:val="21"/>
                <w:szCs w:val="21"/>
              </w:rPr>
              <w:t>粮食流通管理条例》（国务院令第407号）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20</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违反粮食经营最低最高库存制度处1倍以上5倍以下的罚款，并取消粮食收购资格的处罚</w:t>
            </w:r>
          </w:p>
        </w:tc>
        <w:tc>
          <w:tcPr>
            <w:tcW w:w="1727" w:type="dxa"/>
            <w:noWrap w:val="0"/>
            <w:vAlign w:val="center"/>
          </w:tcPr>
          <w:p>
            <w:pPr>
              <w:spacing w:line="280" w:lineRule="exact"/>
              <w:jc w:val="center"/>
              <w:rPr>
                <w:rFonts w:ascii="Times New Roman" w:hAnsi="Times New Roman" w:eastAsia="宋体" w:cs="Times New Roman"/>
                <w:kern w:val="2"/>
                <w:sz w:val="21"/>
                <w:szCs w:val="21"/>
                <w:lang w:val="en-US" w:eastAsia="zh-CN" w:bidi="ar-SA"/>
              </w:rPr>
            </w:pPr>
            <w:r>
              <w:rPr>
                <w:sz w:val="21"/>
                <w:szCs w:val="21"/>
              </w:rPr>
              <w:t>行政处罚</w:t>
            </w:r>
          </w:p>
        </w:tc>
        <w:tc>
          <w:tcPr>
            <w:tcW w:w="5743" w:type="dxa"/>
            <w:noWrap w:val="0"/>
            <w:vAlign w:val="center"/>
          </w:tcPr>
          <w:p>
            <w:pPr>
              <w:spacing w:line="280" w:lineRule="exact"/>
              <w:rPr>
                <w:rFonts w:ascii="Times New Roman" w:hAnsi="Times New Roman" w:eastAsia="宋体" w:cs="Times New Roman"/>
                <w:kern w:val="2"/>
                <w:sz w:val="21"/>
                <w:szCs w:val="21"/>
                <w:lang w:val="en-US" w:eastAsia="zh-CN" w:bidi="ar-SA"/>
              </w:rPr>
            </w:pPr>
            <w:r>
              <w:rPr>
                <w:rFonts w:hint="eastAsia" w:ascii="宋体" w:hAnsi="宋体" w:cs="宋体"/>
                <w:kern w:val="0"/>
                <w:sz w:val="21"/>
                <w:szCs w:val="21"/>
                <w:lang w:eastAsia="zh-CN"/>
              </w:rPr>
              <w:t>《</w:t>
            </w:r>
            <w:r>
              <w:rPr>
                <w:rFonts w:ascii="宋体" w:hAnsi="宋体" w:eastAsia="宋体" w:cs="宋体"/>
                <w:kern w:val="0"/>
                <w:sz w:val="21"/>
                <w:szCs w:val="21"/>
              </w:rPr>
              <w:t>粮食流通管理条例》（国务院令第407号）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21</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违规使用粮食储运设施工具</w:t>
            </w:r>
            <w:r>
              <w:rPr>
                <w:rFonts w:hint="eastAsia" w:ascii="宋体" w:hAnsi="宋体" w:cs="宋体"/>
                <w:kern w:val="0"/>
                <w:sz w:val="21"/>
                <w:szCs w:val="21"/>
                <w:lang w:eastAsia="zh-CN"/>
              </w:rPr>
              <w:t>作出</w:t>
            </w:r>
            <w:r>
              <w:rPr>
                <w:rFonts w:ascii="宋体" w:hAnsi="宋体" w:eastAsia="宋体" w:cs="宋体"/>
                <w:kern w:val="0"/>
                <w:sz w:val="21"/>
                <w:szCs w:val="21"/>
              </w:rPr>
              <w:t>被污染的粮食不得非法销售、加工的处罚 </w:t>
            </w:r>
          </w:p>
        </w:tc>
        <w:tc>
          <w:tcPr>
            <w:tcW w:w="1727" w:type="dxa"/>
            <w:noWrap w:val="0"/>
            <w:vAlign w:val="center"/>
          </w:tcPr>
          <w:p>
            <w:pPr>
              <w:spacing w:line="280" w:lineRule="exact"/>
              <w:jc w:val="center"/>
              <w:rPr>
                <w:rFonts w:ascii="Times New Roman" w:hAnsi="Times New Roman" w:eastAsia="宋体" w:cs="Times New Roman"/>
                <w:kern w:val="2"/>
                <w:sz w:val="21"/>
                <w:szCs w:val="21"/>
                <w:lang w:val="en-US" w:eastAsia="zh-CN" w:bidi="ar-SA"/>
              </w:rPr>
            </w:pPr>
            <w:r>
              <w:rPr>
                <w:sz w:val="21"/>
                <w:szCs w:val="21"/>
              </w:rPr>
              <w:t>行政处罚</w:t>
            </w:r>
          </w:p>
        </w:tc>
        <w:tc>
          <w:tcPr>
            <w:tcW w:w="5743" w:type="dxa"/>
            <w:noWrap w:val="0"/>
            <w:vAlign w:val="center"/>
          </w:tcPr>
          <w:p>
            <w:pPr>
              <w:spacing w:line="280" w:lineRule="exact"/>
              <w:rPr>
                <w:rFonts w:ascii="Times New Roman" w:hAnsi="Times New Roman" w:eastAsia="宋体" w:cs="Times New Roman"/>
                <w:kern w:val="2"/>
                <w:sz w:val="21"/>
                <w:szCs w:val="21"/>
                <w:lang w:val="en-US" w:eastAsia="zh-CN" w:bidi="ar-SA"/>
              </w:rPr>
            </w:pPr>
            <w:r>
              <w:rPr>
                <w:rFonts w:hint="eastAsia" w:ascii="宋体" w:hAnsi="宋体" w:cs="宋体"/>
                <w:kern w:val="0"/>
                <w:sz w:val="21"/>
                <w:szCs w:val="21"/>
                <w:lang w:eastAsia="zh-CN"/>
              </w:rPr>
              <w:t>《</w:t>
            </w:r>
            <w:r>
              <w:rPr>
                <w:rFonts w:ascii="宋体" w:hAnsi="宋体" w:eastAsia="宋体" w:cs="宋体"/>
                <w:kern w:val="0"/>
                <w:sz w:val="21"/>
                <w:szCs w:val="21"/>
              </w:rPr>
              <w:t>粮食流通管理条例》（国务院令第407号）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22</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粮油仓储单位违反备案管理规定处1万元以下罚款的处罚 </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rFonts w:ascii="宋体" w:hAnsi="宋体" w:eastAsia="宋体" w:cs="宋体"/>
                <w:kern w:val="0"/>
                <w:sz w:val="21"/>
                <w:szCs w:val="21"/>
              </w:rPr>
              <w:t>《粮油仓储管理办法》（发改委令第5号）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23</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粮油仓储单位不具备收储条件处1万元以上3万元以下罚款的处罚</w:t>
            </w:r>
          </w:p>
        </w:tc>
        <w:tc>
          <w:tcPr>
            <w:tcW w:w="1727" w:type="dxa"/>
            <w:noWrap w:val="0"/>
            <w:vAlign w:val="center"/>
          </w:tcPr>
          <w:p>
            <w:pPr>
              <w:spacing w:line="280" w:lineRule="exact"/>
              <w:jc w:val="center"/>
              <w:rPr>
                <w:rFonts w:ascii="Times New Roman" w:hAnsi="Times New Roman" w:eastAsia="宋体" w:cs="Times New Roman"/>
                <w:kern w:val="2"/>
                <w:sz w:val="21"/>
                <w:szCs w:val="21"/>
                <w:lang w:val="en-US" w:eastAsia="zh-CN" w:bidi="ar-SA"/>
              </w:rPr>
            </w:pPr>
            <w:r>
              <w:rPr>
                <w:sz w:val="21"/>
                <w:szCs w:val="21"/>
              </w:rPr>
              <w:t>行政处罚</w:t>
            </w:r>
          </w:p>
        </w:tc>
        <w:tc>
          <w:tcPr>
            <w:tcW w:w="5743" w:type="dxa"/>
            <w:noWrap w:val="0"/>
            <w:vAlign w:val="center"/>
          </w:tcPr>
          <w:p>
            <w:pPr>
              <w:spacing w:line="280" w:lineRule="exact"/>
              <w:rPr>
                <w:rFonts w:ascii="Times New Roman" w:hAnsi="Times New Roman" w:eastAsia="宋体" w:cs="Times New Roman"/>
                <w:kern w:val="2"/>
                <w:sz w:val="21"/>
                <w:szCs w:val="21"/>
                <w:lang w:val="en-US" w:eastAsia="zh-CN" w:bidi="ar-SA"/>
              </w:rPr>
            </w:pPr>
            <w:r>
              <w:rPr>
                <w:rFonts w:ascii="宋体" w:hAnsi="宋体" w:eastAsia="宋体" w:cs="宋体"/>
                <w:kern w:val="0"/>
                <w:sz w:val="21"/>
                <w:szCs w:val="21"/>
              </w:rPr>
              <w:t>《粮油仓储管理办法》（发改委令第5号）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24</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粮油仓储单位违反粮油出入库、储存等管理规定处3万元以下罚款的处罚 </w:t>
            </w:r>
          </w:p>
        </w:tc>
        <w:tc>
          <w:tcPr>
            <w:tcW w:w="1727" w:type="dxa"/>
            <w:noWrap w:val="0"/>
            <w:vAlign w:val="center"/>
          </w:tcPr>
          <w:p>
            <w:pPr>
              <w:spacing w:line="280" w:lineRule="exact"/>
              <w:jc w:val="center"/>
              <w:rPr>
                <w:rFonts w:ascii="Times New Roman" w:hAnsi="Times New Roman" w:eastAsia="宋体" w:cs="Times New Roman"/>
                <w:kern w:val="2"/>
                <w:sz w:val="21"/>
                <w:szCs w:val="21"/>
                <w:lang w:val="en-US" w:eastAsia="zh-CN" w:bidi="ar-SA"/>
              </w:rPr>
            </w:pPr>
            <w:r>
              <w:rPr>
                <w:sz w:val="21"/>
                <w:szCs w:val="21"/>
              </w:rPr>
              <w:t>行政处罚</w:t>
            </w:r>
          </w:p>
        </w:tc>
        <w:tc>
          <w:tcPr>
            <w:tcW w:w="5743" w:type="dxa"/>
            <w:noWrap w:val="0"/>
            <w:vAlign w:val="center"/>
          </w:tcPr>
          <w:p>
            <w:pPr>
              <w:spacing w:line="280" w:lineRule="exact"/>
              <w:rPr>
                <w:rFonts w:ascii="Times New Roman" w:hAnsi="Times New Roman" w:eastAsia="宋体" w:cs="Times New Roman"/>
                <w:kern w:val="2"/>
                <w:sz w:val="21"/>
                <w:szCs w:val="21"/>
                <w:lang w:val="en-US" w:eastAsia="zh-CN" w:bidi="ar-SA"/>
              </w:rPr>
            </w:pPr>
            <w:r>
              <w:rPr>
                <w:rFonts w:ascii="宋体" w:hAnsi="宋体" w:eastAsia="宋体" w:cs="宋体"/>
                <w:kern w:val="0"/>
                <w:sz w:val="21"/>
                <w:szCs w:val="21"/>
              </w:rPr>
              <w:t>《粮油仓储管理办法》（发改委令第5号）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25</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粮油承储企业弄虚作假、擅自动用储备粮</w:t>
            </w:r>
            <w:r>
              <w:rPr>
                <w:rFonts w:hint="eastAsia" w:ascii="宋体" w:hAnsi="宋体" w:cs="宋体"/>
                <w:kern w:val="0"/>
                <w:sz w:val="21"/>
                <w:szCs w:val="21"/>
                <w:lang w:eastAsia="zh-CN"/>
              </w:rPr>
              <w:t>作出</w:t>
            </w:r>
            <w:r>
              <w:rPr>
                <w:rFonts w:ascii="宋体" w:hAnsi="宋体" w:eastAsia="宋体" w:cs="宋体"/>
                <w:kern w:val="0"/>
                <w:sz w:val="21"/>
                <w:szCs w:val="21"/>
              </w:rPr>
              <w:t>取消其承储计划</w:t>
            </w:r>
            <w:r>
              <w:rPr>
                <w:rFonts w:hint="eastAsia" w:ascii="宋体" w:hAnsi="宋体" w:cs="宋体"/>
                <w:kern w:val="0"/>
                <w:sz w:val="21"/>
                <w:szCs w:val="21"/>
                <w:lang w:eastAsia="zh-CN"/>
              </w:rPr>
              <w:t>或</w:t>
            </w:r>
            <w:r>
              <w:rPr>
                <w:rFonts w:ascii="宋体" w:hAnsi="宋体" w:eastAsia="宋体" w:cs="宋体"/>
                <w:kern w:val="0"/>
                <w:sz w:val="21"/>
                <w:szCs w:val="21"/>
              </w:rPr>
              <w:t>责令赔偿损失</w:t>
            </w:r>
            <w:r>
              <w:rPr>
                <w:rFonts w:hint="eastAsia" w:ascii="宋体" w:hAnsi="宋体" w:cs="宋体"/>
                <w:kern w:val="0"/>
                <w:sz w:val="21"/>
                <w:szCs w:val="21"/>
                <w:lang w:eastAsia="zh-CN"/>
              </w:rPr>
              <w:t>或</w:t>
            </w:r>
            <w:r>
              <w:rPr>
                <w:rFonts w:ascii="宋体" w:hAnsi="宋体" w:eastAsia="宋体" w:cs="宋体"/>
                <w:kern w:val="0"/>
                <w:sz w:val="21"/>
                <w:szCs w:val="21"/>
              </w:rPr>
              <w:t>对直接负责的主管人员和其他直接责任人员，依法给予处分的处罚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rFonts w:ascii="宋体" w:hAnsi="宋体" w:eastAsia="宋体" w:cs="宋体"/>
                <w:kern w:val="0"/>
                <w:sz w:val="21"/>
                <w:szCs w:val="21"/>
              </w:rPr>
              <w:t>《湖南省地方储备粮管理办法》（省政府令第248号）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26</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粮油承储企业套取差价，骗取地方储备粮贷款和费用补贴处1万元以上3万元以下的罚款的处罚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rFonts w:ascii="宋体" w:hAnsi="宋体" w:eastAsia="宋体" w:cs="宋体"/>
                <w:kern w:val="0"/>
                <w:sz w:val="21"/>
                <w:szCs w:val="21"/>
              </w:rPr>
              <w:t>《湖南省地方储备粮管理办法》（省政府令第248号）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43" w:type="dxa"/>
            <w:noWrap w:val="0"/>
            <w:vAlign w:val="center"/>
          </w:tcPr>
          <w:p>
            <w:pPr>
              <w:spacing w:line="280" w:lineRule="exact"/>
              <w:jc w:val="center"/>
              <w:rPr>
                <w:rFonts w:hint="default" w:eastAsia="宋体"/>
                <w:szCs w:val="21"/>
                <w:lang w:val="en-US" w:eastAsia="zh-CN"/>
              </w:rPr>
            </w:pPr>
            <w:r>
              <w:rPr>
                <w:rFonts w:hint="eastAsia"/>
                <w:szCs w:val="21"/>
                <w:lang w:val="en-US" w:eastAsia="zh-CN"/>
              </w:rPr>
              <w:t>27</w:t>
            </w:r>
          </w:p>
        </w:tc>
        <w:tc>
          <w:tcPr>
            <w:tcW w:w="6485" w:type="dxa"/>
            <w:noWrap w:val="0"/>
            <w:vAlign w:val="center"/>
          </w:tcPr>
          <w:p>
            <w:pPr>
              <w:spacing w:line="280" w:lineRule="exact"/>
              <w:rPr>
                <w:rFonts w:ascii="宋体" w:hAnsi="宋体" w:eastAsia="宋体" w:cs="宋体"/>
                <w:kern w:val="0"/>
                <w:sz w:val="21"/>
                <w:szCs w:val="21"/>
              </w:rPr>
            </w:pPr>
            <w:r>
              <w:rPr>
                <w:rFonts w:ascii="宋体" w:hAnsi="宋体" w:eastAsia="宋体" w:cs="宋体"/>
                <w:kern w:val="0"/>
                <w:sz w:val="21"/>
                <w:szCs w:val="21"/>
              </w:rPr>
              <w:t>粮油承储企业未执行储备粮承储管理制度或因管理不善发生重大安全事故</w:t>
            </w:r>
            <w:r>
              <w:rPr>
                <w:rFonts w:hint="eastAsia" w:ascii="宋体" w:hAnsi="宋体" w:cs="宋体"/>
                <w:kern w:val="0"/>
                <w:sz w:val="21"/>
                <w:szCs w:val="21"/>
                <w:lang w:eastAsia="zh-CN"/>
              </w:rPr>
              <w:t>作出</w:t>
            </w:r>
            <w:r>
              <w:rPr>
                <w:rFonts w:ascii="宋体" w:hAnsi="宋体" w:eastAsia="宋体" w:cs="宋体"/>
                <w:kern w:val="0"/>
                <w:sz w:val="21"/>
                <w:szCs w:val="21"/>
              </w:rPr>
              <w:t>取消其承储计划</w:t>
            </w:r>
            <w:r>
              <w:rPr>
                <w:rFonts w:hint="eastAsia" w:ascii="宋体" w:hAnsi="宋体" w:cs="宋体"/>
                <w:kern w:val="0"/>
                <w:sz w:val="21"/>
                <w:szCs w:val="21"/>
                <w:lang w:eastAsia="zh-CN"/>
              </w:rPr>
              <w:t>或</w:t>
            </w:r>
            <w:r>
              <w:rPr>
                <w:rFonts w:ascii="宋体" w:hAnsi="宋体" w:eastAsia="宋体" w:cs="宋体"/>
                <w:kern w:val="0"/>
                <w:sz w:val="21"/>
                <w:szCs w:val="21"/>
              </w:rPr>
              <w:t>对直接负责的主管人员和其他直接责任人员，依法给予处分的处罚</w:t>
            </w:r>
          </w:p>
        </w:tc>
        <w:tc>
          <w:tcPr>
            <w:tcW w:w="1727" w:type="dxa"/>
            <w:noWrap w:val="0"/>
            <w:vAlign w:val="center"/>
          </w:tcPr>
          <w:p>
            <w:pPr>
              <w:spacing w:line="280" w:lineRule="exact"/>
              <w:jc w:val="center"/>
              <w:rPr>
                <w:sz w:val="21"/>
                <w:szCs w:val="21"/>
              </w:rPr>
            </w:pPr>
            <w:r>
              <w:rPr>
                <w:sz w:val="21"/>
                <w:szCs w:val="21"/>
              </w:rPr>
              <w:t>行政处罚</w:t>
            </w:r>
          </w:p>
        </w:tc>
        <w:tc>
          <w:tcPr>
            <w:tcW w:w="5743" w:type="dxa"/>
            <w:noWrap w:val="0"/>
            <w:vAlign w:val="center"/>
          </w:tcPr>
          <w:p>
            <w:pPr>
              <w:spacing w:line="280" w:lineRule="exact"/>
              <w:rPr>
                <w:sz w:val="21"/>
                <w:szCs w:val="21"/>
              </w:rPr>
            </w:pPr>
            <w:r>
              <w:rPr>
                <w:rFonts w:ascii="宋体" w:hAnsi="宋体" w:eastAsia="宋体" w:cs="宋体"/>
                <w:kern w:val="0"/>
                <w:sz w:val="21"/>
                <w:szCs w:val="21"/>
              </w:rPr>
              <w:t>《湖南省地方储备粮管理办法》（省政府令第248号）</w:t>
            </w:r>
          </w:p>
        </w:tc>
      </w:tr>
    </w:tbl>
    <w:p>
      <w:pPr>
        <w:spacing w:before="156" w:beforeLines="50"/>
        <w:ind w:firstLine="480" w:firstLineChars="200"/>
      </w:pPr>
      <w:r>
        <w:rPr>
          <w:sz w:val="24"/>
        </w:rPr>
        <w:t>本目录清单中所称的以上、以下等均包含本数。</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62287"/>
    <w:rsid w:val="04224D39"/>
    <w:rsid w:val="053D6B7A"/>
    <w:rsid w:val="0CC10689"/>
    <w:rsid w:val="1326226C"/>
    <w:rsid w:val="1ED53286"/>
    <w:rsid w:val="22D222CB"/>
    <w:rsid w:val="2AF24F61"/>
    <w:rsid w:val="305F7D1A"/>
    <w:rsid w:val="37146317"/>
    <w:rsid w:val="3AAA374C"/>
    <w:rsid w:val="3B853B37"/>
    <w:rsid w:val="3BD31FCB"/>
    <w:rsid w:val="41E254B8"/>
    <w:rsid w:val="49DE3E5E"/>
    <w:rsid w:val="4DD14269"/>
    <w:rsid w:val="591B5F42"/>
    <w:rsid w:val="5DEA3082"/>
    <w:rsid w:val="634E145E"/>
    <w:rsid w:val="6A023BEF"/>
    <w:rsid w:val="6A521F03"/>
    <w:rsid w:val="6C2B0F06"/>
    <w:rsid w:val="6F9C7DB1"/>
    <w:rsid w:val="74161E21"/>
    <w:rsid w:val="78D70D3F"/>
    <w:rsid w:val="7D962287"/>
    <w:rsid w:val="7EE76B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2019-12-26T06:51:00Z</dcterms:created>
  <dc:creator>Administrator</dc:creator>
  <cp:lastModifiedBy>fdf</cp:lastModifiedBy>
  <cp:lastPrinted>2020-01-21T01:03:00Z</cp:lastPrinted>
  <dcterms:modified xsi:type="dcterms:W3CDTF">2020-03-03T02:39:17Z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