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22BED">
      <w:pPr>
        <w:keepNext w:val="0"/>
        <w:keepLines w:val="0"/>
        <w:pageBreakBefore w:val="0"/>
        <w:widowControl w:val="0"/>
        <w:tabs>
          <w:tab w:val="left" w:pos="1560"/>
        </w:tabs>
        <w:kinsoku/>
        <w:wordWrap/>
        <w:overflowPunct/>
        <w:topLinePunct w:val="0"/>
        <w:autoSpaceDE/>
        <w:autoSpaceDN/>
        <w:bidi w:val="0"/>
        <w:adjustRightInd/>
        <w:snapToGrid/>
        <w:spacing w:before="142" w:beforeLines="25" w:line="600" w:lineRule="exact"/>
        <w:ind w:firstLine="723" w:firstLineChars="200"/>
        <w:jc w:val="center"/>
        <w:textAlignment w:val="auto"/>
        <w:outlineLvl w:val="0"/>
        <w:rPr>
          <w:rFonts w:hint="default" w:ascii="Times New Roman" w:hAnsi="Times New Roman" w:eastAsia="方正小标宋_GBK" w:cs="Times New Roman"/>
          <w:b/>
          <w:bCs/>
          <w:sz w:val="36"/>
          <w:szCs w:val="36"/>
          <w:lang w:val="en-US" w:eastAsia="zh-CN"/>
        </w:rPr>
      </w:pPr>
      <w:bookmarkStart w:id="0" w:name="_Toc9552"/>
      <w:bookmarkStart w:id="1" w:name="_Toc31382"/>
    </w:p>
    <w:p w14:paraId="7F19643F">
      <w:pPr>
        <w:keepNext w:val="0"/>
        <w:keepLines w:val="0"/>
        <w:pageBreakBefore w:val="0"/>
        <w:widowControl w:val="0"/>
        <w:tabs>
          <w:tab w:val="left" w:pos="1560"/>
        </w:tabs>
        <w:kinsoku/>
        <w:wordWrap/>
        <w:overflowPunct/>
        <w:topLinePunct w:val="0"/>
        <w:autoSpaceDE/>
        <w:autoSpaceDN/>
        <w:bidi w:val="0"/>
        <w:adjustRightInd/>
        <w:snapToGrid/>
        <w:spacing w:before="142" w:beforeLines="25" w:line="600" w:lineRule="exact"/>
        <w:ind w:firstLine="723" w:firstLineChars="200"/>
        <w:jc w:val="center"/>
        <w:textAlignment w:val="auto"/>
        <w:outlineLvl w:val="0"/>
        <w:rPr>
          <w:rFonts w:hint="default" w:ascii="Times New Roman" w:hAnsi="Times New Roman" w:eastAsia="方正小标宋_GBK" w:cs="Times New Roman"/>
          <w:b/>
          <w:bCs/>
          <w:sz w:val="36"/>
          <w:szCs w:val="36"/>
          <w:lang w:val="en-US" w:eastAsia="zh-CN"/>
        </w:rPr>
      </w:pPr>
    </w:p>
    <w:p w14:paraId="6BCC720C">
      <w:pPr>
        <w:keepNext w:val="0"/>
        <w:keepLines w:val="0"/>
        <w:pageBreakBefore w:val="0"/>
        <w:widowControl w:val="0"/>
        <w:tabs>
          <w:tab w:val="left" w:pos="1560"/>
        </w:tabs>
        <w:kinsoku/>
        <w:wordWrap/>
        <w:overflowPunct/>
        <w:topLinePunct w:val="0"/>
        <w:autoSpaceDE/>
        <w:autoSpaceDN/>
        <w:bidi w:val="0"/>
        <w:adjustRightInd/>
        <w:snapToGrid/>
        <w:spacing w:before="142" w:beforeLines="25" w:line="600" w:lineRule="exact"/>
        <w:ind w:firstLine="723" w:firstLineChars="200"/>
        <w:jc w:val="center"/>
        <w:textAlignment w:val="auto"/>
        <w:outlineLvl w:val="0"/>
        <w:rPr>
          <w:rFonts w:hint="default" w:ascii="Times New Roman" w:hAnsi="Times New Roman" w:eastAsia="方正小标宋_GBK" w:cs="Times New Roman"/>
          <w:b/>
          <w:bCs/>
          <w:sz w:val="36"/>
          <w:szCs w:val="36"/>
          <w:lang w:val="en-US" w:eastAsia="zh-CN"/>
        </w:rPr>
      </w:pPr>
    </w:p>
    <w:p w14:paraId="26406D91">
      <w:pPr>
        <w:keepNext w:val="0"/>
        <w:keepLines w:val="0"/>
        <w:pageBreakBefore w:val="0"/>
        <w:widowControl w:val="0"/>
        <w:tabs>
          <w:tab w:val="left" w:pos="1560"/>
        </w:tabs>
        <w:kinsoku/>
        <w:wordWrap/>
        <w:overflowPunct/>
        <w:topLinePunct w:val="0"/>
        <w:autoSpaceDE/>
        <w:autoSpaceDN/>
        <w:bidi w:val="0"/>
        <w:adjustRightInd/>
        <w:snapToGrid/>
        <w:spacing w:before="142" w:beforeLines="25" w:line="600" w:lineRule="exact"/>
        <w:ind w:firstLine="723" w:firstLineChars="200"/>
        <w:jc w:val="center"/>
        <w:textAlignment w:val="auto"/>
        <w:outlineLvl w:val="0"/>
        <w:rPr>
          <w:rFonts w:hint="default" w:ascii="Times New Roman" w:hAnsi="Times New Roman" w:eastAsia="方正小标宋_GBK" w:cs="Times New Roman"/>
          <w:b/>
          <w:bCs/>
          <w:sz w:val="36"/>
          <w:szCs w:val="36"/>
          <w:lang w:val="en-US" w:eastAsia="zh-CN"/>
        </w:rPr>
      </w:pPr>
    </w:p>
    <w:p w14:paraId="22BFED55">
      <w:pPr>
        <w:keepNext w:val="0"/>
        <w:keepLines w:val="0"/>
        <w:pageBreakBefore w:val="0"/>
        <w:widowControl w:val="0"/>
        <w:tabs>
          <w:tab w:val="left" w:pos="1560"/>
        </w:tabs>
        <w:kinsoku/>
        <w:wordWrap/>
        <w:overflowPunct/>
        <w:topLinePunct w:val="0"/>
        <w:autoSpaceDE/>
        <w:autoSpaceDN/>
        <w:bidi w:val="0"/>
        <w:adjustRightInd/>
        <w:snapToGrid/>
        <w:spacing w:before="142" w:beforeLines="25" w:line="600" w:lineRule="exact"/>
        <w:ind w:firstLine="723" w:firstLineChars="200"/>
        <w:jc w:val="center"/>
        <w:textAlignment w:val="auto"/>
        <w:outlineLvl w:val="0"/>
        <w:rPr>
          <w:rFonts w:hint="default" w:ascii="Times New Roman" w:hAnsi="Times New Roman" w:eastAsia="方正小标宋_GBK" w:cs="Times New Roman"/>
          <w:b/>
          <w:bCs/>
          <w:sz w:val="36"/>
          <w:szCs w:val="36"/>
          <w:lang w:val="en-US" w:eastAsia="zh-CN"/>
        </w:rPr>
      </w:pPr>
    </w:p>
    <w:p w14:paraId="6A16B98C">
      <w:pPr>
        <w:keepNext w:val="0"/>
        <w:keepLines w:val="0"/>
        <w:pageBreakBefore w:val="0"/>
        <w:widowControl w:val="0"/>
        <w:tabs>
          <w:tab w:val="left" w:pos="1560"/>
        </w:tabs>
        <w:kinsoku/>
        <w:wordWrap/>
        <w:overflowPunct/>
        <w:topLinePunct w:val="0"/>
        <w:autoSpaceDE/>
        <w:autoSpaceDN/>
        <w:bidi w:val="0"/>
        <w:adjustRightInd/>
        <w:snapToGrid/>
        <w:spacing w:before="142" w:beforeLines="25" w:line="600" w:lineRule="exact"/>
        <w:ind w:firstLine="723" w:firstLineChars="200"/>
        <w:jc w:val="center"/>
        <w:textAlignment w:val="auto"/>
        <w:outlineLvl w:val="0"/>
        <w:rPr>
          <w:rFonts w:hint="default" w:ascii="Times New Roman" w:hAnsi="Times New Roman" w:eastAsia="方正小标宋_GBK" w:cs="Times New Roman"/>
          <w:b/>
          <w:bCs/>
          <w:sz w:val="36"/>
          <w:szCs w:val="36"/>
          <w:lang w:val="en-US" w:eastAsia="zh-CN"/>
        </w:rPr>
      </w:pPr>
      <w:r>
        <w:rPr>
          <w:rFonts w:hint="default" w:ascii="Times New Roman" w:hAnsi="Times New Roman" w:eastAsia="方正小标宋_GBK" w:cs="Times New Roman"/>
          <w:b/>
          <w:bCs/>
          <w:sz w:val="36"/>
          <w:szCs w:val="36"/>
          <w:lang w:val="en-US" w:eastAsia="zh-CN"/>
        </w:rPr>
        <w:t>益阳市自然资源和规划局</w:t>
      </w:r>
    </w:p>
    <w:p w14:paraId="170D6343">
      <w:pPr>
        <w:keepNext w:val="0"/>
        <w:keepLines w:val="0"/>
        <w:pageBreakBefore w:val="0"/>
        <w:widowControl w:val="0"/>
        <w:tabs>
          <w:tab w:val="left" w:pos="1560"/>
        </w:tabs>
        <w:kinsoku/>
        <w:wordWrap/>
        <w:overflowPunct/>
        <w:topLinePunct w:val="0"/>
        <w:autoSpaceDE/>
        <w:autoSpaceDN/>
        <w:bidi w:val="0"/>
        <w:adjustRightInd/>
        <w:snapToGrid/>
        <w:spacing w:before="142" w:beforeLines="25" w:line="600" w:lineRule="exact"/>
        <w:ind w:firstLine="723" w:firstLineChars="200"/>
        <w:jc w:val="center"/>
        <w:textAlignment w:val="auto"/>
        <w:outlineLvl w:val="0"/>
        <w:rPr>
          <w:rFonts w:hint="default" w:ascii="Times New Roman" w:hAnsi="Times New Roman" w:eastAsia="方正小标宋_GBK" w:cs="Times New Roman"/>
          <w:b/>
          <w:bCs/>
          <w:sz w:val="36"/>
          <w:szCs w:val="36"/>
          <w:lang w:val="en-US" w:eastAsia="zh-CN"/>
        </w:rPr>
      </w:pPr>
      <w:bookmarkStart w:id="2" w:name="_Toc12712"/>
      <w:r>
        <w:rPr>
          <w:rFonts w:hint="default" w:ascii="Times New Roman" w:hAnsi="Times New Roman" w:eastAsia="方正小标宋_GBK" w:cs="Times New Roman"/>
          <w:b/>
          <w:bCs/>
          <w:sz w:val="36"/>
          <w:szCs w:val="36"/>
          <w:lang w:val="en-US" w:eastAsia="zh-CN"/>
        </w:rPr>
        <w:t>2024年国土空间规划专项资金绩效评价报告</w:t>
      </w:r>
      <w:bookmarkEnd w:id="2"/>
    </w:p>
    <w:p w14:paraId="529E83FB">
      <w:pPr>
        <w:pStyle w:val="2"/>
        <w:jc w:val="center"/>
        <w:rPr>
          <w:rFonts w:hint="default" w:ascii="Times New Roman" w:hAnsi="Times New Roman" w:eastAsia="楷体" w:cs="Times New Roman"/>
          <w:color w:val="auto"/>
          <w:highlight w:val="none"/>
          <w:lang w:val="en-US" w:eastAsia="zh-CN"/>
        </w:rPr>
      </w:pPr>
      <w:r>
        <w:rPr>
          <w:rFonts w:hint="default" w:ascii="Times New Roman" w:hAnsi="Times New Roman" w:eastAsia="楷体" w:cs="Times New Roman"/>
          <w:b w:val="0"/>
          <w:bCs w:val="0"/>
          <w:color w:val="auto"/>
          <w:sz w:val="48"/>
          <w:szCs w:val="48"/>
          <w:highlight w:val="none"/>
          <w:lang w:val="en-US" w:eastAsia="zh-CN"/>
        </w:rPr>
        <w:t xml:space="preserve">  </w:t>
      </w:r>
    </w:p>
    <w:p w14:paraId="73516F15">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textAlignment w:val="auto"/>
        <w:rPr>
          <w:rFonts w:hint="default" w:ascii="Times New Roman" w:hAnsi="Times New Roman" w:eastAsia="仿宋" w:cs="Times New Roman"/>
          <w:color w:val="auto"/>
          <w:kern w:val="2"/>
          <w:sz w:val="44"/>
          <w:szCs w:val="44"/>
          <w:highlight w:val="none"/>
          <w:lang w:val="en-US" w:eastAsia="zh-CN" w:bidi="ar-SA"/>
        </w:rPr>
      </w:pPr>
    </w:p>
    <w:p w14:paraId="4926A04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textAlignment w:val="auto"/>
        <w:rPr>
          <w:rFonts w:hint="default" w:ascii="Times New Roman" w:hAnsi="Times New Roman" w:eastAsia="仿宋" w:cs="Times New Roman"/>
          <w:color w:val="auto"/>
          <w:kern w:val="2"/>
          <w:sz w:val="44"/>
          <w:szCs w:val="44"/>
          <w:highlight w:val="none"/>
          <w:lang w:val="en-US" w:eastAsia="zh-CN" w:bidi="ar-SA"/>
        </w:rPr>
      </w:pPr>
    </w:p>
    <w:p w14:paraId="043B195B">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textAlignment w:val="auto"/>
        <w:rPr>
          <w:rFonts w:hint="default" w:ascii="Times New Roman" w:hAnsi="Times New Roman" w:eastAsia="仿宋" w:cs="Times New Roman"/>
          <w:color w:val="auto"/>
          <w:kern w:val="2"/>
          <w:sz w:val="44"/>
          <w:szCs w:val="44"/>
          <w:highlight w:val="none"/>
          <w:lang w:val="en-US" w:eastAsia="zh-CN" w:bidi="ar-SA"/>
        </w:rPr>
      </w:pPr>
    </w:p>
    <w:p w14:paraId="335027AA">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textAlignment w:val="auto"/>
        <w:rPr>
          <w:rFonts w:hint="default" w:ascii="Times New Roman" w:hAnsi="Times New Roman" w:eastAsia="仿宋" w:cs="Times New Roman"/>
          <w:color w:val="auto"/>
          <w:kern w:val="2"/>
          <w:sz w:val="44"/>
          <w:szCs w:val="44"/>
          <w:highlight w:val="none"/>
          <w:lang w:val="en-US" w:eastAsia="zh-CN" w:bidi="ar-SA"/>
        </w:rPr>
      </w:pPr>
    </w:p>
    <w:p w14:paraId="1F683D3A">
      <w:pPr>
        <w:pStyle w:val="2"/>
        <w:rPr>
          <w:rFonts w:hint="default" w:ascii="Times New Roman" w:hAnsi="Times New Roman" w:cs="Times New Roman"/>
          <w:lang w:val="en-US" w:eastAsia="zh-CN"/>
        </w:rPr>
      </w:pPr>
    </w:p>
    <w:p w14:paraId="761A9B19">
      <w:pPr>
        <w:keepNext w:val="0"/>
        <w:keepLines w:val="0"/>
        <w:pageBreakBefore w:val="0"/>
        <w:widowControl w:val="0"/>
        <w:kinsoku/>
        <w:wordWrap/>
        <w:overflowPunct/>
        <w:topLinePunct w:val="0"/>
        <w:autoSpaceDE/>
        <w:autoSpaceDN/>
        <w:bidi w:val="0"/>
        <w:adjustRightInd/>
        <w:snapToGrid/>
        <w:spacing w:before="79" w:beforeLines="25" w:after="0" w:afterLines="0" w:line="360" w:lineRule="auto"/>
        <w:ind w:left="0" w:leftChars="0" w:right="0" w:rightChars="0" w:firstLine="640" w:firstLineChars="200"/>
        <w:jc w:val="left"/>
        <w:textAlignment w:val="auto"/>
        <w:rPr>
          <w:rFonts w:hint="default" w:ascii="Times New Roman" w:hAnsi="Times New Roman" w:eastAsia="方正仿宋_GB2312" w:cs="Times New Roman"/>
          <w:color w:val="000000"/>
          <w:sz w:val="32"/>
          <w:szCs w:val="32"/>
          <w:u w:val="single"/>
          <w:lang w:val="en-US" w:eastAsia="zh-CN"/>
        </w:rPr>
      </w:pPr>
      <w:r>
        <w:rPr>
          <w:rFonts w:hint="default" w:ascii="Times New Roman" w:hAnsi="Times New Roman" w:eastAsia="方正小标宋_GBK" w:cs="Times New Roman"/>
          <w:color w:val="auto"/>
          <w:kern w:val="2"/>
          <w:sz w:val="32"/>
          <w:szCs w:val="32"/>
          <w:highlight w:val="none"/>
          <w:lang w:val="en-US" w:eastAsia="zh-CN" w:bidi="ar-SA"/>
        </w:rPr>
        <w:t>项目名称：</w:t>
      </w:r>
      <w:r>
        <w:rPr>
          <w:rFonts w:hint="default" w:ascii="Times New Roman" w:hAnsi="Times New Roman" w:eastAsia="方正仿宋_GB2312" w:cs="Times New Roman"/>
          <w:color w:val="000000"/>
          <w:sz w:val="32"/>
          <w:szCs w:val="32"/>
          <w:u w:val="single"/>
          <w:lang w:val="en-US" w:eastAsia="zh-CN"/>
        </w:rPr>
        <w:t xml:space="preserve">2024年国土空间规划专项资金    </w:t>
      </w:r>
    </w:p>
    <w:p w14:paraId="4EA2402E">
      <w:pPr>
        <w:keepNext w:val="0"/>
        <w:keepLines w:val="0"/>
        <w:pageBreakBefore w:val="0"/>
        <w:widowControl w:val="0"/>
        <w:kinsoku/>
        <w:wordWrap/>
        <w:overflowPunct/>
        <w:topLinePunct w:val="0"/>
        <w:autoSpaceDE/>
        <w:autoSpaceDN/>
        <w:bidi w:val="0"/>
        <w:adjustRightInd/>
        <w:snapToGrid/>
        <w:spacing w:before="79" w:beforeLines="25" w:after="0" w:afterLines="0" w:line="360" w:lineRule="auto"/>
        <w:ind w:left="0" w:leftChars="0" w:right="0" w:rightChars="0" w:firstLine="640" w:firstLineChars="200"/>
        <w:jc w:val="left"/>
        <w:textAlignment w:val="auto"/>
        <w:rPr>
          <w:rFonts w:hint="default" w:ascii="Times New Roman" w:hAnsi="Times New Roman" w:eastAsia="仿宋" w:cs="Times New Roman"/>
          <w:color w:val="auto"/>
          <w:kern w:val="2"/>
          <w:sz w:val="32"/>
          <w:szCs w:val="32"/>
          <w:highlight w:val="none"/>
          <w:u w:val="single"/>
          <w:lang w:val="en-US" w:eastAsia="zh-CN" w:bidi="ar-SA"/>
        </w:rPr>
      </w:pPr>
      <w:r>
        <w:rPr>
          <w:rFonts w:hint="default" w:ascii="Times New Roman" w:hAnsi="Times New Roman" w:eastAsia="方正小标宋_GBK" w:cs="Times New Roman"/>
          <w:color w:val="auto"/>
          <w:kern w:val="2"/>
          <w:sz w:val="32"/>
          <w:szCs w:val="32"/>
          <w:highlight w:val="none"/>
          <w:lang w:val="en-US" w:eastAsia="zh-CN" w:bidi="ar-SA"/>
        </w:rPr>
        <w:t>主管单位：</w:t>
      </w:r>
      <w:r>
        <w:rPr>
          <w:rFonts w:hint="default" w:ascii="Times New Roman" w:hAnsi="Times New Roman" w:eastAsia="方正仿宋_GB2312" w:cs="Times New Roman"/>
          <w:color w:val="000000"/>
          <w:sz w:val="32"/>
          <w:szCs w:val="32"/>
          <w:highlight w:val="none"/>
          <w:u w:val="single"/>
          <w:lang w:val="en-US" w:eastAsia="zh-CN"/>
        </w:rPr>
        <w:t xml:space="preserve">   益阳市自然资源和规划局      </w:t>
      </w:r>
      <w:r>
        <w:rPr>
          <w:rFonts w:hint="default" w:ascii="Times New Roman" w:hAnsi="Times New Roman" w:eastAsia="仿宋" w:cs="Times New Roman"/>
          <w:color w:val="auto"/>
          <w:kern w:val="2"/>
          <w:sz w:val="32"/>
          <w:szCs w:val="32"/>
          <w:highlight w:val="none"/>
          <w:u w:val="none"/>
          <w:lang w:val="en-US" w:eastAsia="zh-CN" w:bidi="ar-SA"/>
        </w:rPr>
        <w:t xml:space="preserve">                 </w:t>
      </w:r>
    </w:p>
    <w:p w14:paraId="6E220774">
      <w:pPr>
        <w:keepNext w:val="0"/>
        <w:keepLines w:val="0"/>
        <w:pageBreakBefore w:val="0"/>
        <w:widowControl w:val="0"/>
        <w:kinsoku/>
        <w:wordWrap/>
        <w:overflowPunct/>
        <w:topLinePunct w:val="0"/>
        <w:autoSpaceDE/>
        <w:autoSpaceDN/>
        <w:bidi w:val="0"/>
        <w:adjustRightInd/>
        <w:snapToGrid/>
        <w:spacing w:before="79" w:beforeLines="25" w:after="0" w:afterLines="0" w:line="360" w:lineRule="auto"/>
        <w:ind w:left="0" w:leftChars="0" w:right="0" w:rightChars="0" w:firstLine="640" w:firstLineChars="200"/>
        <w:jc w:val="left"/>
        <w:textAlignment w:val="auto"/>
        <w:rPr>
          <w:rFonts w:hint="default" w:ascii="Times New Roman" w:hAnsi="Times New Roman" w:eastAsia="仿宋" w:cs="Times New Roman"/>
          <w:color w:val="auto"/>
          <w:kern w:val="2"/>
          <w:sz w:val="32"/>
          <w:szCs w:val="32"/>
          <w:highlight w:val="none"/>
          <w:u w:val="single"/>
          <w:lang w:val="en-US" w:eastAsia="zh-CN" w:bidi="ar-SA"/>
        </w:rPr>
      </w:pPr>
      <w:r>
        <w:rPr>
          <w:rFonts w:hint="default" w:ascii="Times New Roman" w:hAnsi="Times New Roman" w:eastAsia="方正小标宋_GBK" w:cs="Times New Roman"/>
          <w:color w:val="auto"/>
          <w:kern w:val="2"/>
          <w:sz w:val="32"/>
          <w:szCs w:val="32"/>
          <w:highlight w:val="none"/>
          <w:lang w:val="en-US" w:eastAsia="zh-CN" w:bidi="ar-SA"/>
        </w:rPr>
        <w:t>组织单位：</w:t>
      </w:r>
      <w:r>
        <w:rPr>
          <w:rFonts w:hint="default" w:ascii="Times New Roman" w:hAnsi="Times New Roman" w:eastAsia="仿宋" w:cs="Times New Roman"/>
          <w:color w:val="auto"/>
          <w:kern w:val="2"/>
          <w:sz w:val="32"/>
          <w:szCs w:val="32"/>
          <w:highlight w:val="none"/>
          <w:u w:val="single"/>
          <w:lang w:val="en-US" w:eastAsia="zh-CN" w:bidi="ar-SA"/>
        </w:rPr>
        <w:t xml:space="preserve">      </w:t>
      </w:r>
      <w:r>
        <w:rPr>
          <w:rFonts w:hint="default" w:ascii="Times New Roman" w:hAnsi="Times New Roman" w:eastAsia="方正仿宋_GB2312" w:cs="Times New Roman"/>
          <w:color w:val="000000"/>
          <w:sz w:val="32"/>
          <w:szCs w:val="32"/>
          <w:u w:val="single"/>
          <w:lang w:val="en-US" w:eastAsia="zh-CN"/>
        </w:rPr>
        <w:t>益阳市财政局</w:t>
      </w:r>
      <w:r>
        <w:rPr>
          <w:rFonts w:hint="default" w:ascii="Times New Roman" w:hAnsi="Times New Roman" w:eastAsia="仿宋" w:cs="Times New Roman"/>
          <w:color w:val="auto"/>
          <w:kern w:val="2"/>
          <w:sz w:val="32"/>
          <w:szCs w:val="32"/>
          <w:highlight w:val="none"/>
          <w:u w:val="single"/>
          <w:lang w:val="en-US" w:eastAsia="zh-CN" w:bidi="ar-SA"/>
        </w:rPr>
        <w:t xml:space="preserve">             </w:t>
      </w:r>
    </w:p>
    <w:p w14:paraId="657034D9">
      <w:pPr>
        <w:keepNext w:val="0"/>
        <w:keepLines w:val="0"/>
        <w:pageBreakBefore w:val="0"/>
        <w:widowControl w:val="0"/>
        <w:kinsoku/>
        <w:wordWrap/>
        <w:overflowPunct/>
        <w:topLinePunct w:val="0"/>
        <w:autoSpaceDE/>
        <w:autoSpaceDN/>
        <w:bidi w:val="0"/>
        <w:adjustRightInd/>
        <w:snapToGrid/>
        <w:spacing w:before="79" w:beforeLines="25" w:after="0" w:afterLines="0" w:line="360" w:lineRule="auto"/>
        <w:ind w:left="0" w:leftChars="0" w:right="0" w:rightChars="0" w:firstLine="640" w:firstLineChars="200"/>
        <w:jc w:val="left"/>
        <w:textAlignment w:val="auto"/>
        <w:rPr>
          <w:rFonts w:hint="default" w:ascii="Times New Roman" w:hAnsi="Times New Roman" w:eastAsia="仿宋" w:cs="Times New Roman"/>
          <w:color w:val="auto"/>
          <w:kern w:val="2"/>
          <w:sz w:val="32"/>
          <w:szCs w:val="32"/>
          <w:highlight w:val="none"/>
          <w:u w:val="single"/>
          <w:lang w:val="en-US" w:eastAsia="zh-CN" w:bidi="ar-SA"/>
        </w:rPr>
      </w:pPr>
      <w:r>
        <w:rPr>
          <w:rFonts w:hint="default" w:ascii="Times New Roman" w:hAnsi="Times New Roman" w:eastAsia="方正小标宋_GBK" w:cs="Times New Roman"/>
          <w:color w:val="auto"/>
          <w:kern w:val="2"/>
          <w:sz w:val="32"/>
          <w:szCs w:val="32"/>
          <w:highlight w:val="none"/>
          <w:lang w:val="en-US" w:eastAsia="zh-CN" w:bidi="ar-SA"/>
        </w:rPr>
        <w:t>实施机构：</w:t>
      </w:r>
      <w:r>
        <w:rPr>
          <w:rFonts w:hint="default" w:ascii="Times New Roman" w:hAnsi="Times New Roman" w:eastAsia="方正仿宋_GB2312" w:cs="Times New Roman"/>
          <w:color w:val="000000"/>
          <w:sz w:val="32"/>
          <w:szCs w:val="32"/>
          <w:u w:val="single"/>
          <w:lang w:val="en-US" w:eastAsia="zh-CN"/>
        </w:rPr>
        <w:t>湖南宏达会计师事务所有限责任公司</w:t>
      </w:r>
    </w:p>
    <w:p w14:paraId="7D77D94F">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textAlignment w:val="auto"/>
        <w:rPr>
          <w:rFonts w:hint="default" w:ascii="Times New Roman" w:hAnsi="Times New Roman" w:eastAsia="仿宋" w:cs="Times New Roman"/>
          <w:color w:val="auto"/>
          <w:kern w:val="2"/>
          <w:sz w:val="44"/>
          <w:szCs w:val="44"/>
          <w:highlight w:val="none"/>
          <w:lang w:val="en-US" w:eastAsia="zh-CN" w:bidi="ar-SA"/>
        </w:rPr>
      </w:pPr>
    </w:p>
    <w:p w14:paraId="06C6ECDA">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2880" w:firstLineChars="900"/>
        <w:jc w:val="both"/>
        <w:textAlignment w:val="auto"/>
        <w:rPr>
          <w:rFonts w:hint="default" w:ascii="Times New Roman" w:hAnsi="Times New Roman" w:eastAsia="仿宋" w:cs="Times New Roman"/>
          <w:color w:val="auto"/>
          <w:kern w:val="2"/>
          <w:sz w:val="32"/>
          <w:szCs w:val="32"/>
          <w:highlight w:val="none"/>
          <w:lang w:val="en-US" w:eastAsia="zh-CN" w:bidi="ar-SA"/>
        </w:rPr>
      </w:pPr>
    </w:p>
    <w:p w14:paraId="6148AC13">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2880" w:firstLineChars="900"/>
        <w:jc w:val="both"/>
        <w:textAlignment w:val="auto"/>
        <w:rPr>
          <w:rFonts w:hint="default" w:ascii="Times New Roman" w:hAnsi="Times New Roman" w:eastAsia="仿宋" w:cs="Times New Roman"/>
          <w:color w:val="auto"/>
          <w:kern w:val="2"/>
          <w:sz w:val="32"/>
          <w:szCs w:val="32"/>
          <w:highlight w:val="none"/>
          <w:lang w:val="en-US" w:eastAsia="zh-CN" w:bidi="ar-SA"/>
        </w:rPr>
      </w:pPr>
      <w:r>
        <w:rPr>
          <w:rFonts w:hint="default" w:ascii="Times New Roman" w:hAnsi="Times New Roman" w:eastAsia="仿宋" w:cs="Times New Roman"/>
          <w:color w:val="auto"/>
          <w:kern w:val="2"/>
          <w:sz w:val="32"/>
          <w:szCs w:val="32"/>
          <w:highlight w:val="none"/>
          <w:lang w:val="en-US" w:eastAsia="zh-CN" w:bidi="ar-SA"/>
        </w:rPr>
        <w:t>报告日期：2025年</w:t>
      </w:r>
      <w:r>
        <w:rPr>
          <w:rFonts w:hint="eastAsia" w:ascii="Times New Roman" w:hAnsi="Times New Roman" w:eastAsia="仿宋" w:cs="Times New Roman"/>
          <w:color w:val="auto"/>
          <w:kern w:val="2"/>
          <w:sz w:val="32"/>
          <w:szCs w:val="32"/>
          <w:highlight w:val="none"/>
          <w:lang w:val="en-US" w:eastAsia="zh-CN" w:bidi="ar-SA"/>
        </w:rPr>
        <w:t>9</w:t>
      </w:r>
      <w:r>
        <w:rPr>
          <w:rFonts w:hint="default" w:ascii="Times New Roman" w:hAnsi="Times New Roman" w:eastAsia="仿宋" w:cs="Times New Roman"/>
          <w:color w:val="auto"/>
          <w:kern w:val="2"/>
          <w:sz w:val="32"/>
          <w:szCs w:val="32"/>
          <w:highlight w:val="none"/>
          <w:lang w:val="en-US" w:eastAsia="zh-CN" w:bidi="ar-SA"/>
        </w:rPr>
        <w:t>月</w:t>
      </w:r>
    </w:p>
    <w:p w14:paraId="4D6E3F70">
      <w:pPr>
        <w:pStyle w:val="2"/>
        <w:rPr>
          <w:rFonts w:hint="default" w:ascii="Times New Roman" w:hAnsi="Times New Roman" w:eastAsia="仿宋" w:cs="Times New Roman"/>
          <w:color w:val="auto"/>
          <w:kern w:val="2"/>
          <w:sz w:val="32"/>
          <w:szCs w:val="32"/>
          <w:highlight w:val="none"/>
          <w:lang w:val="en-US" w:eastAsia="zh-CN" w:bidi="ar-SA"/>
        </w:rPr>
      </w:pPr>
    </w:p>
    <w:p w14:paraId="2D7971AB">
      <w:pPr>
        <w:keepNext w:val="0"/>
        <w:keepLines w:val="0"/>
        <w:pageBreakBefore w:val="0"/>
        <w:tabs>
          <w:tab w:val="left" w:pos="1560"/>
        </w:tabs>
        <w:kinsoku/>
        <w:wordWrap/>
        <w:overflowPunct/>
        <w:topLinePunct w:val="0"/>
        <w:bidi w:val="0"/>
        <w:snapToGrid/>
        <w:spacing w:before="78" w:beforeLines="25" w:after="78" w:afterLines="25" w:line="600" w:lineRule="exact"/>
        <w:jc w:val="center"/>
        <w:outlineLvl w:val="0"/>
        <w:rPr>
          <w:rFonts w:hint="default" w:ascii="Times New Roman" w:hAnsi="Times New Roman" w:eastAsia="方正公文小标宋" w:cs="Times New Roman"/>
          <w:b w:val="0"/>
          <w:bCs w:val="0"/>
          <w:sz w:val="44"/>
          <w:szCs w:val="44"/>
          <w:lang w:val="en-US" w:eastAsia="zh-CN"/>
        </w:rPr>
        <w:sectPr>
          <w:headerReference r:id="rId3" w:type="default"/>
          <w:footerReference r:id="rId4" w:type="default"/>
          <w:pgSz w:w="11906" w:h="16838"/>
          <w:pgMar w:top="1440" w:right="2086" w:bottom="1440" w:left="1800" w:header="851" w:footer="992" w:gutter="0"/>
          <w:pgNumType w:fmt="decimal" w:start="1"/>
          <w:cols w:space="425" w:num="1"/>
          <w:docGrid w:type="lines" w:linePitch="312" w:charSpace="0"/>
        </w:sectPr>
      </w:pPr>
    </w:p>
    <w:p w14:paraId="53EF46A2">
      <w:pPr>
        <w:keepNext w:val="0"/>
        <w:keepLines w:val="0"/>
        <w:pageBreakBefore w:val="0"/>
        <w:tabs>
          <w:tab w:val="left" w:pos="1560"/>
        </w:tabs>
        <w:kinsoku/>
        <w:wordWrap/>
        <w:overflowPunct/>
        <w:topLinePunct w:val="0"/>
        <w:bidi w:val="0"/>
        <w:snapToGrid/>
        <w:spacing w:before="78" w:beforeLines="25" w:after="78" w:afterLines="25" w:line="600" w:lineRule="exact"/>
        <w:jc w:val="center"/>
        <w:outlineLvl w:val="0"/>
        <w:rPr>
          <w:rFonts w:hint="default" w:ascii="Times New Roman" w:hAnsi="Times New Roman" w:eastAsia="方正公文小标宋" w:cs="Times New Roman"/>
          <w:b w:val="0"/>
          <w:bCs w:val="0"/>
          <w:sz w:val="44"/>
          <w:szCs w:val="44"/>
          <w:lang w:val="en-US" w:eastAsia="zh-CN"/>
        </w:rPr>
      </w:pPr>
      <w:r>
        <w:rPr>
          <w:rFonts w:hint="default" w:ascii="Times New Roman" w:hAnsi="Times New Roman" w:eastAsia="方正公文小标宋" w:cs="Times New Roman"/>
          <w:b w:val="0"/>
          <w:bCs w:val="0"/>
          <w:sz w:val="44"/>
          <w:szCs w:val="44"/>
          <w:lang w:val="en-US" w:eastAsia="zh-CN"/>
        </w:rPr>
        <w:t>摘  要</w:t>
      </w:r>
      <w:bookmarkEnd w:id="0"/>
    </w:p>
    <w:p w14:paraId="00FB77C3">
      <w:pPr>
        <w:jc w:val="center"/>
        <w:rPr>
          <w:rFonts w:hint="default" w:ascii="Times New Roman" w:hAnsi="Times New Roman" w:eastAsia="方正公文小标宋" w:cs="Times New Roman"/>
          <w:sz w:val="36"/>
          <w:szCs w:val="36"/>
          <w:lang w:val="en-US" w:eastAsia="zh-CN"/>
        </w:rPr>
      </w:pPr>
    </w:p>
    <w:p w14:paraId="7E695857">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sz w:val="32"/>
          <w:szCs w:val="32"/>
          <w:lang w:val="en-US" w:eastAsia="zh-CN"/>
        </w:rPr>
        <w:t>为压实各部门单位预算绩效主体责任，提升财政资金使用效益，受益阳市财政局的委托，湖南宏达会计师事务所有限责任公司于2025年6月10日—</w:t>
      </w:r>
      <w:r>
        <w:rPr>
          <w:rFonts w:hint="eastAsia" w:ascii="Times New Roman" w:hAnsi="Times New Roman" w:eastAsia="方正仿宋_GB2312" w:cs="Times New Roman"/>
          <w:sz w:val="32"/>
          <w:szCs w:val="32"/>
          <w:lang w:val="en-US" w:eastAsia="zh-CN"/>
        </w:rPr>
        <w:t>9月2</w:t>
      </w:r>
      <w:r>
        <w:rPr>
          <w:rFonts w:hint="default" w:ascii="Times New Roman" w:hAnsi="Times New Roman" w:eastAsia="方正仿宋_GB2312" w:cs="Times New Roman"/>
          <w:sz w:val="32"/>
          <w:szCs w:val="32"/>
          <w:lang w:val="en-US" w:eastAsia="zh-CN"/>
        </w:rPr>
        <w:t>0日对益阳市自然资源和规划局2024年国土空间规划专项资金进行了绩效评价。</w:t>
      </w:r>
    </w:p>
    <w:p w14:paraId="762F644B">
      <w:pPr>
        <w:keepNext w:val="0"/>
        <w:keepLines w:val="0"/>
        <w:pageBreakBefore w:val="0"/>
        <w:kinsoku/>
        <w:wordWrap/>
        <w:overflowPunct/>
        <w:topLinePunct w:val="0"/>
        <w:bidi w:val="0"/>
        <w:snapToGrid/>
        <w:spacing w:line="600" w:lineRule="exact"/>
        <w:ind w:firstLine="640" w:firstLineChars="20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一、评价结论</w:t>
      </w:r>
    </w:p>
    <w:p w14:paraId="6567EDD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2312" w:cs="Times New Roman"/>
          <w:sz w:val="32"/>
          <w:szCs w:val="32"/>
          <w:vertAlign w:val="baseline"/>
          <w:lang w:val="en-US" w:eastAsia="zh-CN"/>
        </w:rPr>
      </w:pPr>
      <w:r>
        <w:rPr>
          <w:rFonts w:hint="default" w:ascii="Times New Roman" w:hAnsi="Times New Roman" w:eastAsia="方正仿宋_GB2312" w:cs="Times New Roman"/>
          <w:color w:val="auto"/>
          <w:kern w:val="2"/>
          <w:sz w:val="32"/>
          <w:szCs w:val="32"/>
          <w:lang w:val="en-US" w:eastAsia="zh-CN" w:bidi="ar-SA"/>
        </w:rPr>
        <w:t>根据绩效评价指标评分表，我们从决策、过程、产出、效益四项对益阳市自然资源和规划局2024年国土空间规划专项资金进行绩效评价打分，最后</w:t>
      </w:r>
      <w:r>
        <w:rPr>
          <w:rFonts w:hint="default" w:ascii="Times New Roman" w:hAnsi="Times New Roman" w:eastAsia="方正仿宋_GB2312" w:cs="Times New Roman"/>
          <w:color w:val="auto"/>
          <w:kern w:val="2"/>
          <w:sz w:val="32"/>
          <w:szCs w:val="32"/>
          <w:highlight w:val="none"/>
          <w:lang w:val="en-US" w:eastAsia="zh-CN" w:bidi="ar-SA"/>
        </w:rPr>
        <w:t>得分为90.34分，</w:t>
      </w:r>
      <w:r>
        <w:rPr>
          <w:rFonts w:hint="default" w:ascii="Times New Roman" w:hAnsi="Times New Roman" w:eastAsia="方正仿宋_GB2312" w:cs="Times New Roman"/>
          <w:color w:val="auto"/>
          <w:kern w:val="2"/>
          <w:sz w:val="32"/>
          <w:szCs w:val="32"/>
          <w:lang w:val="en-US" w:eastAsia="zh-CN" w:bidi="ar-SA"/>
        </w:rPr>
        <w:t>评价等级为“优”。分项目具体评分情况如下表：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8"/>
        <w:gridCol w:w="2066"/>
        <w:gridCol w:w="2066"/>
        <w:gridCol w:w="2066"/>
      </w:tblGrid>
      <w:tr w14:paraId="048B5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9" w:type="dxa"/>
            <w:vAlign w:val="center"/>
          </w:tcPr>
          <w:p w14:paraId="2F3A05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b/>
                <w:bCs/>
                <w:sz w:val="24"/>
                <w:szCs w:val="24"/>
                <w:vertAlign w:val="baseline"/>
                <w:lang w:val="en-US" w:eastAsia="zh-CN"/>
              </w:rPr>
            </w:pPr>
            <w:r>
              <w:rPr>
                <w:rFonts w:hint="default" w:ascii="Times New Roman" w:hAnsi="Times New Roman" w:eastAsia="方正仿宋_GB2312" w:cs="Times New Roman"/>
                <w:b/>
                <w:bCs/>
                <w:sz w:val="24"/>
                <w:szCs w:val="24"/>
                <w:vertAlign w:val="baseline"/>
                <w:lang w:val="en-US" w:eastAsia="zh-CN"/>
              </w:rPr>
              <w:t>项目名称</w:t>
            </w:r>
          </w:p>
        </w:tc>
        <w:tc>
          <w:tcPr>
            <w:tcW w:w="2130" w:type="dxa"/>
            <w:vAlign w:val="center"/>
          </w:tcPr>
          <w:p w14:paraId="26FD7E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b/>
                <w:bCs/>
                <w:sz w:val="24"/>
                <w:szCs w:val="24"/>
                <w:vertAlign w:val="baseline"/>
                <w:lang w:val="en-US" w:eastAsia="zh-CN"/>
              </w:rPr>
            </w:pPr>
            <w:r>
              <w:rPr>
                <w:rFonts w:hint="default" w:ascii="Times New Roman" w:hAnsi="Times New Roman" w:eastAsia="方正仿宋_GB2312" w:cs="Times New Roman"/>
                <w:b/>
                <w:bCs/>
                <w:sz w:val="24"/>
                <w:szCs w:val="24"/>
                <w:vertAlign w:val="baseline"/>
                <w:lang w:val="en-US" w:eastAsia="zh-CN"/>
              </w:rPr>
              <w:t>分值（分）</w:t>
            </w:r>
          </w:p>
        </w:tc>
        <w:tc>
          <w:tcPr>
            <w:tcW w:w="2130" w:type="dxa"/>
            <w:vAlign w:val="center"/>
          </w:tcPr>
          <w:p w14:paraId="0D0756B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b/>
                <w:bCs/>
                <w:sz w:val="24"/>
                <w:szCs w:val="24"/>
                <w:vertAlign w:val="baseline"/>
                <w:lang w:val="en-US" w:eastAsia="zh-CN"/>
              </w:rPr>
            </w:pPr>
            <w:r>
              <w:rPr>
                <w:rFonts w:hint="default" w:ascii="Times New Roman" w:hAnsi="Times New Roman" w:eastAsia="方正仿宋_GB2312" w:cs="Times New Roman"/>
                <w:b/>
                <w:bCs/>
                <w:sz w:val="24"/>
                <w:szCs w:val="24"/>
                <w:vertAlign w:val="baseline"/>
                <w:lang w:val="en-US" w:eastAsia="zh-CN"/>
              </w:rPr>
              <w:t>得分（分）</w:t>
            </w:r>
          </w:p>
        </w:tc>
        <w:tc>
          <w:tcPr>
            <w:tcW w:w="2130" w:type="dxa"/>
            <w:vAlign w:val="center"/>
          </w:tcPr>
          <w:p w14:paraId="4DD0CFC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b/>
                <w:bCs/>
                <w:sz w:val="24"/>
                <w:szCs w:val="24"/>
                <w:vertAlign w:val="baseline"/>
                <w:lang w:val="en-US" w:eastAsia="zh-CN"/>
              </w:rPr>
            </w:pPr>
            <w:r>
              <w:rPr>
                <w:rFonts w:hint="default" w:ascii="Times New Roman" w:hAnsi="Times New Roman" w:eastAsia="方正仿宋_GB2312" w:cs="Times New Roman"/>
                <w:b/>
                <w:bCs/>
                <w:sz w:val="24"/>
                <w:szCs w:val="24"/>
                <w:vertAlign w:val="baseline"/>
                <w:lang w:val="en-US" w:eastAsia="zh-CN"/>
              </w:rPr>
              <w:t>得分率</w:t>
            </w:r>
          </w:p>
        </w:tc>
      </w:tr>
      <w:tr w14:paraId="67C03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129" w:type="dxa"/>
            <w:vAlign w:val="center"/>
          </w:tcPr>
          <w:p w14:paraId="27D10FF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决策</w:t>
            </w:r>
          </w:p>
        </w:tc>
        <w:tc>
          <w:tcPr>
            <w:tcW w:w="2130" w:type="dxa"/>
            <w:vAlign w:val="center"/>
          </w:tcPr>
          <w:p w14:paraId="0559749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15</w:t>
            </w:r>
          </w:p>
        </w:tc>
        <w:tc>
          <w:tcPr>
            <w:tcW w:w="2130" w:type="dxa"/>
            <w:vAlign w:val="center"/>
          </w:tcPr>
          <w:p w14:paraId="459522E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14.5</w:t>
            </w:r>
          </w:p>
        </w:tc>
        <w:tc>
          <w:tcPr>
            <w:tcW w:w="2130" w:type="dxa"/>
            <w:vAlign w:val="center"/>
          </w:tcPr>
          <w:p w14:paraId="25117B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96.67%</w:t>
            </w:r>
          </w:p>
        </w:tc>
      </w:tr>
      <w:tr w14:paraId="28068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9" w:type="dxa"/>
            <w:vAlign w:val="center"/>
          </w:tcPr>
          <w:p w14:paraId="33704EB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过程</w:t>
            </w:r>
          </w:p>
        </w:tc>
        <w:tc>
          <w:tcPr>
            <w:tcW w:w="2130" w:type="dxa"/>
            <w:vAlign w:val="center"/>
          </w:tcPr>
          <w:p w14:paraId="2BAD77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25</w:t>
            </w:r>
          </w:p>
        </w:tc>
        <w:tc>
          <w:tcPr>
            <w:tcW w:w="2130" w:type="dxa"/>
            <w:vAlign w:val="center"/>
          </w:tcPr>
          <w:p w14:paraId="513C32D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18.84</w:t>
            </w:r>
          </w:p>
        </w:tc>
        <w:tc>
          <w:tcPr>
            <w:tcW w:w="2130" w:type="dxa"/>
            <w:vAlign w:val="center"/>
          </w:tcPr>
          <w:p w14:paraId="4085F66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75.36%</w:t>
            </w:r>
          </w:p>
        </w:tc>
      </w:tr>
      <w:tr w14:paraId="1BE33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9" w:type="dxa"/>
            <w:vAlign w:val="center"/>
          </w:tcPr>
          <w:p w14:paraId="33BBE1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产出</w:t>
            </w:r>
          </w:p>
        </w:tc>
        <w:tc>
          <w:tcPr>
            <w:tcW w:w="2130" w:type="dxa"/>
            <w:vAlign w:val="center"/>
          </w:tcPr>
          <w:p w14:paraId="1E46555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40</w:t>
            </w:r>
          </w:p>
        </w:tc>
        <w:tc>
          <w:tcPr>
            <w:tcW w:w="2130" w:type="dxa"/>
            <w:vAlign w:val="center"/>
          </w:tcPr>
          <w:p w14:paraId="39F8644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37</w:t>
            </w:r>
          </w:p>
        </w:tc>
        <w:tc>
          <w:tcPr>
            <w:tcW w:w="2130" w:type="dxa"/>
            <w:vAlign w:val="center"/>
          </w:tcPr>
          <w:p w14:paraId="145E534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9</w:t>
            </w:r>
            <w:r>
              <w:rPr>
                <w:rFonts w:hint="eastAsia" w:ascii="Times New Roman" w:hAnsi="Times New Roman" w:eastAsia="方正仿宋_GB2312" w:cs="Times New Roman"/>
                <w:sz w:val="24"/>
                <w:szCs w:val="24"/>
                <w:vertAlign w:val="baseline"/>
                <w:lang w:val="en-US" w:eastAsia="zh-CN"/>
              </w:rPr>
              <w:t>2</w:t>
            </w:r>
            <w:r>
              <w:rPr>
                <w:rFonts w:hint="default" w:ascii="Times New Roman" w:hAnsi="Times New Roman" w:eastAsia="方正仿宋_GB2312" w:cs="Times New Roman"/>
                <w:sz w:val="24"/>
                <w:szCs w:val="24"/>
                <w:vertAlign w:val="baseline"/>
                <w:lang w:val="en-US" w:eastAsia="zh-CN"/>
              </w:rPr>
              <w:t>.5%</w:t>
            </w:r>
          </w:p>
        </w:tc>
      </w:tr>
      <w:tr w14:paraId="3256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9" w:type="dxa"/>
            <w:vAlign w:val="center"/>
          </w:tcPr>
          <w:p w14:paraId="41FAC2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效益</w:t>
            </w:r>
          </w:p>
        </w:tc>
        <w:tc>
          <w:tcPr>
            <w:tcW w:w="2130" w:type="dxa"/>
            <w:vAlign w:val="center"/>
          </w:tcPr>
          <w:p w14:paraId="2C51908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20</w:t>
            </w:r>
          </w:p>
        </w:tc>
        <w:tc>
          <w:tcPr>
            <w:tcW w:w="2130" w:type="dxa"/>
            <w:vAlign w:val="center"/>
          </w:tcPr>
          <w:p w14:paraId="495AD1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20</w:t>
            </w:r>
          </w:p>
        </w:tc>
        <w:tc>
          <w:tcPr>
            <w:tcW w:w="2130" w:type="dxa"/>
            <w:vAlign w:val="center"/>
          </w:tcPr>
          <w:p w14:paraId="1247A2E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100%</w:t>
            </w:r>
          </w:p>
        </w:tc>
      </w:tr>
      <w:tr w14:paraId="26E62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9" w:type="dxa"/>
            <w:vAlign w:val="center"/>
          </w:tcPr>
          <w:p w14:paraId="43B03D4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合计</w:t>
            </w:r>
          </w:p>
        </w:tc>
        <w:tc>
          <w:tcPr>
            <w:tcW w:w="2130" w:type="dxa"/>
            <w:vAlign w:val="center"/>
          </w:tcPr>
          <w:p w14:paraId="7B6A52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100</w:t>
            </w:r>
          </w:p>
        </w:tc>
        <w:tc>
          <w:tcPr>
            <w:tcW w:w="2130" w:type="dxa"/>
            <w:vAlign w:val="center"/>
          </w:tcPr>
          <w:p w14:paraId="1958D4F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90.34</w:t>
            </w:r>
          </w:p>
        </w:tc>
        <w:tc>
          <w:tcPr>
            <w:tcW w:w="2130" w:type="dxa"/>
            <w:vAlign w:val="center"/>
          </w:tcPr>
          <w:p w14:paraId="7F13340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sz w:val="24"/>
                <w:szCs w:val="24"/>
                <w:vertAlign w:val="baseline"/>
                <w:lang w:val="en-US" w:eastAsia="zh-CN"/>
              </w:rPr>
            </w:pPr>
            <w:r>
              <w:rPr>
                <w:rFonts w:hint="default" w:ascii="Times New Roman" w:hAnsi="Times New Roman" w:eastAsia="方正仿宋_GB2312" w:cs="Times New Roman"/>
                <w:sz w:val="24"/>
                <w:szCs w:val="24"/>
                <w:vertAlign w:val="baseline"/>
                <w:lang w:val="en-US" w:eastAsia="zh-CN"/>
              </w:rPr>
              <w:t>90.34%</w:t>
            </w:r>
          </w:p>
        </w:tc>
      </w:tr>
    </w:tbl>
    <w:p w14:paraId="2DEA09DA">
      <w:pPr>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二、资金安排、到位及使用情况</w:t>
      </w:r>
    </w:p>
    <w:p w14:paraId="19281127">
      <w:pPr>
        <w:pStyle w:val="15"/>
        <w:keepNext w:val="0"/>
        <w:keepLines w:val="0"/>
        <w:pageBreakBefore w:val="0"/>
        <w:widowControl w:val="0"/>
        <w:kinsoku/>
        <w:wordWrap/>
        <w:overflowPunct/>
        <w:topLinePunct w:val="0"/>
        <w:bidi w:val="0"/>
        <w:snapToGrid/>
        <w:spacing w:line="600" w:lineRule="exact"/>
        <w:ind w:firstLine="643"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b/>
          <w:bCs/>
          <w:color w:val="auto"/>
          <w:kern w:val="2"/>
          <w:sz w:val="32"/>
          <w:szCs w:val="32"/>
          <w:lang w:val="en-US" w:eastAsia="zh-CN" w:bidi="ar-SA"/>
        </w:rPr>
        <w:t>资金安排情况。</w:t>
      </w:r>
      <w:r>
        <w:rPr>
          <w:rFonts w:hint="default" w:ascii="Times New Roman" w:hAnsi="Times New Roman" w:eastAsia="方正仿宋_GB2312" w:cs="Times New Roman"/>
          <w:color w:val="auto"/>
          <w:kern w:val="2"/>
          <w:sz w:val="32"/>
          <w:szCs w:val="32"/>
          <w:lang w:val="en-US" w:eastAsia="zh-CN" w:bidi="ar-SA"/>
        </w:rPr>
        <w:t>2024年，市财政局共安排国土空间规划专项资金580.44万元。</w:t>
      </w:r>
    </w:p>
    <w:p w14:paraId="31B8D9E4">
      <w:pPr>
        <w:pStyle w:val="15"/>
        <w:keepNext w:val="0"/>
        <w:keepLines w:val="0"/>
        <w:pageBreakBefore w:val="0"/>
        <w:widowControl w:val="0"/>
        <w:kinsoku/>
        <w:wordWrap/>
        <w:overflowPunct/>
        <w:topLinePunct w:val="0"/>
        <w:bidi w:val="0"/>
        <w:snapToGrid/>
        <w:spacing w:line="600" w:lineRule="exact"/>
        <w:ind w:firstLine="643" w:firstLineChars="200"/>
        <w:jc w:val="both"/>
        <w:textAlignment w:val="auto"/>
        <w:rPr>
          <w:rFonts w:hint="default" w:ascii="Times New Roman" w:hAnsi="Times New Roman" w:eastAsia="方正仿宋_GB2312" w:cs="Times New Roman"/>
          <w:color w:val="auto"/>
          <w:kern w:val="2"/>
          <w:sz w:val="32"/>
          <w:szCs w:val="32"/>
          <w:lang w:val="en-US" w:eastAsia="zh-CN" w:bidi="ar-SA"/>
        </w:rPr>
        <w:sectPr>
          <w:footerReference r:id="rId5" w:type="default"/>
          <w:pgSz w:w="11906" w:h="16838"/>
          <w:pgMar w:top="1440" w:right="2086" w:bottom="1440" w:left="1800" w:header="851" w:footer="992" w:gutter="0"/>
          <w:pgNumType w:fmt="decimal" w:start="1"/>
          <w:cols w:space="425" w:num="1"/>
          <w:docGrid w:type="lines" w:linePitch="312" w:charSpace="0"/>
        </w:sectPr>
      </w:pPr>
      <w:r>
        <w:rPr>
          <w:rFonts w:hint="default" w:ascii="Times New Roman" w:hAnsi="Times New Roman" w:eastAsia="方正仿宋_GB2312" w:cs="Times New Roman"/>
          <w:b/>
          <w:bCs/>
          <w:color w:val="auto"/>
          <w:kern w:val="2"/>
          <w:sz w:val="32"/>
          <w:szCs w:val="32"/>
          <w:lang w:val="en-US" w:eastAsia="zh-CN" w:bidi="ar-SA"/>
        </w:rPr>
        <w:t>资金到位情况。</w:t>
      </w:r>
      <w:r>
        <w:rPr>
          <w:rFonts w:hint="default" w:ascii="Times New Roman" w:hAnsi="Times New Roman" w:eastAsia="方正仿宋_GB2312" w:cs="Times New Roman"/>
          <w:color w:val="auto"/>
          <w:kern w:val="2"/>
          <w:sz w:val="32"/>
          <w:szCs w:val="32"/>
          <w:lang w:val="en-US" w:eastAsia="zh-CN" w:bidi="ar-SA"/>
        </w:rPr>
        <w:t>截至绩效评价日，国土空间规划专项</w:t>
      </w:r>
    </w:p>
    <w:p w14:paraId="53FF5CBB">
      <w:pPr>
        <w:pStyle w:val="15"/>
        <w:keepNext w:val="0"/>
        <w:keepLines w:val="0"/>
        <w:pageBreakBefore w:val="0"/>
        <w:widowControl w:val="0"/>
        <w:kinsoku/>
        <w:wordWrap/>
        <w:overflowPunct/>
        <w:topLinePunct w:val="0"/>
        <w:autoSpaceDE w:val="0"/>
        <w:autoSpaceDN w:val="0"/>
        <w:bidi w:val="0"/>
        <w:adjustRightInd w:val="0"/>
        <w:snapToGrid/>
        <w:spacing w:line="600" w:lineRule="exact"/>
        <w:ind w:firstLine="0" w:firstLineChars="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资金应到位580.44万元，实际到位580.44万元，到位率为100%。</w:t>
      </w:r>
    </w:p>
    <w:p w14:paraId="54DDC4E7">
      <w:pPr>
        <w:keepNext w:val="0"/>
        <w:keepLines w:val="0"/>
        <w:pageBreakBefore w:val="0"/>
        <w:widowControl w:val="0"/>
        <w:kinsoku/>
        <w:wordWrap/>
        <w:overflowPunct/>
        <w:topLinePunct w:val="0"/>
        <w:bidi w:val="0"/>
        <w:snapToGrid/>
        <w:spacing w:before="0" w:beforeLines="0" w:after="79" w:afterLines="25" w:line="600" w:lineRule="exact"/>
        <w:ind w:firstLine="643" w:firstLineChars="200"/>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b/>
          <w:bCs/>
          <w:color w:val="auto"/>
          <w:kern w:val="2"/>
          <w:sz w:val="32"/>
          <w:szCs w:val="32"/>
          <w:lang w:val="en-US" w:eastAsia="zh-CN" w:bidi="ar-SA"/>
        </w:rPr>
        <w:t>资金使用及结余情况。</w:t>
      </w:r>
      <w:r>
        <w:rPr>
          <w:rFonts w:hint="default" w:ascii="Times New Roman" w:hAnsi="Times New Roman" w:eastAsia="方正仿宋_GB2312" w:cs="Times New Roman"/>
          <w:b w:val="0"/>
          <w:bCs w:val="0"/>
          <w:color w:val="auto"/>
          <w:kern w:val="2"/>
          <w:sz w:val="32"/>
          <w:szCs w:val="32"/>
          <w:lang w:val="en-US" w:eastAsia="zh-CN" w:bidi="ar-SA"/>
        </w:rPr>
        <w:t>截至绩效评价日，国土空间规划专项资金已使用535.34万元，结余45.1万元，预算执行率为92.23%。项目资金到位、使用及结余情况见下表：</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59"/>
        <w:gridCol w:w="1259"/>
        <w:gridCol w:w="1300"/>
        <w:gridCol w:w="1110"/>
        <w:gridCol w:w="1205"/>
      </w:tblGrid>
      <w:tr w14:paraId="6D51A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039" w:type="pct"/>
            <w:vAlign w:val="center"/>
          </w:tcPr>
          <w:p w14:paraId="2F5BBE0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bCs/>
                <w:sz w:val="21"/>
                <w:szCs w:val="21"/>
                <w:vertAlign w:val="baseline"/>
                <w:lang w:val="en-US" w:eastAsia="zh-CN"/>
              </w:rPr>
            </w:pPr>
            <w:r>
              <w:rPr>
                <w:rFonts w:hint="default" w:ascii="Times New Roman" w:hAnsi="Times New Roman" w:eastAsia="方正仿宋_GB2312" w:cs="Times New Roman"/>
                <w:b/>
                <w:bCs/>
                <w:sz w:val="21"/>
                <w:szCs w:val="21"/>
                <w:vertAlign w:val="baseline"/>
                <w:lang w:val="en-US" w:eastAsia="zh-CN"/>
              </w:rPr>
              <w:t>项目名称</w:t>
            </w:r>
          </w:p>
        </w:tc>
        <w:tc>
          <w:tcPr>
            <w:tcW w:w="764" w:type="pct"/>
            <w:vAlign w:val="center"/>
          </w:tcPr>
          <w:p w14:paraId="35A6294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bCs/>
                <w:sz w:val="21"/>
                <w:szCs w:val="21"/>
                <w:vertAlign w:val="baseline"/>
                <w:lang w:val="en-US" w:eastAsia="zh-CN"/>
              </w:rPr>
            </w:pPr>
            <w:r>
              <w:rPr>
                <w:rFonts w:hint="default" w:ascii="Times New Roman" w:hAnsi="Times New Roman" w:eastAsia="方正仿宋_GB2312" w:cs="Times New Roman"/>
                <w:b/>
                <w:bCs/>
                <w:sz w:val="21"/>
                <w:szCs w:val="21"/>
                <w:vertAlign w:val="baseline"/>
                <w:lang w:val="en-US" w:eastAsia="zh-CN"/>
              </w:rPr>
              <w:t>到位资金</w:t>
            </w:r>
          </w:p>
          <w:p w14:paraId="09B6490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bCs/>
                <w:sz w:val="21"/>
                <w:szCs w:val="21"/>
                <w:vertAlign w:val="baseline"/>
                <w:lang w:val="en-US" w:eastAsia="zh-CN"/>
              </w:rPr>
            </w:pPr>
            <w:r>
              <w:rPr>
                <w:rFonts w:hint="default" w:ascii="Times New Roman" w:hAnsi="Times New Roman" w:eastAsia="方正仿宋_GB2312" w:cs="Times New Roman"/>
                <w:b/>
                <w:bCs/>
                <w:sz w:val="21"/>
                <w:szCs w:val="21"/>
                <w:vertAlign w:val="baseline"/>
                <w:lang w:val="en-US" w:eastAsia="zh-CN"/>
              </w:rPr>
              <w:t>（万元）</w:t>
            </w:r>
          </w:p>
        </w:tc>
        <w:tc>
          <w:tcPr>
            <w:tcW w:w="789" w:type="pct"/>
            <w:vAlign w:val="center"/>
          </w:tcPr>
          <w:p w14:paraId="52B03A4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bCs/>
                <w:sz w:val="21"/>
                <w:szCs w:val="21"/>
                <w:vertAlign w:val="baseline"/>
                <w:lang w:val="en-US" w:eastAsia="zh-CN"/>
              </w:rPr>
            </w:pPr>
            <w:r>
              <w:rPr>
                <w:rFonts w:hint="default" w:ascii="Times New Roman" w:hAnsi="Times New Roman" w:eastAsia="方正仿宋_GB2312" w:cs="Times New Roman"/>
                <w:b/>
                <w:bCs/>
                <w:sz w:val="21"/>
                <w:szCs w:val="21"/>
                <w:vertAlign w:val="baseline"/>
                <w:lang w:val="en-US" w:eastAsia="zh-CN"/>
              </w:rPr>
              <w:t>使用资金（万元）</w:t>
            </w:r>
          </w:p>
        </w:tc>
        <w:tc>
          <w:tcPr>
            <w:tcW w:w="674" w:type="pct"/>
            <w:vAlign w:val="center"/>
          </w:tcPr>
          <w:p w14:paraId="7E1F6B8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bCs/>
                <w:sz w:val="21"/>
                <w:szCs w:val="21"/>
                <w:vertAlign w:val="baseline"/>
                <w:lang w:val="en-US" w:eastAsia="zh-CN"/>
              </w:rPr>
            </w:pPr>
            <w:r>
              <w:rPr>
                <w:rFonts w:hint="default" w:ascii="Times New Roman" w:hAnsi="Times New Roman" w:eastAsia="方正仿宋_GB2312" w:cs="Times New Roman"/>
                <w:b/>
                <w:bCs/>
                <w:sz w:val="21"/>
                <w:szCs w:val="21"/>
                <w:vertAlign w:val="baseline"/>
                <w:lang w:val="en-US" w:eastAsia="zh-CN"/>
              </w:rPr>
              <w:t>预算执行率（%）</w:t>
            </w:r>
          </w:p>
        </w:tc>
        <w:tc>
          <w:tcPr>
            <w:tcW w:w="731" w:type="pct"/>
            <w:vAlign w:val="center"/>
          </w:tcPr>
          <w:p w14:paraId="25B5D2B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bCs/>
                <w:sz w:val="21"/>
                <w:szCs w:val="21"/>
                <w:vertAlign w:val="baseline"/>
                <w:lang w:val="en-US" w:eastAsia="zh-CN"/>
              </w:rPr>
            </w:pPr>
            <w:r>
              <w:rPr>
                <w:rFonts w:hint="default" w:ascii="Times New Roman" w:hAnsi="Times New Roman" w:eastAsia="方正仿宋_GB2312" w:cs="Times New Roman"/>
                <w:b/>
                <w:bCs/>
                <w:sz w:val="21"/>
                <w:szCs w:val="21"/>
                <w:vertAlign w:val="baseline"/>
                <w:lang w:val="en-US" w:eastAsia="zh-CN"/>
              </w:rPr>
              <w:t>结余资金（万元）</w:t>
            </w:r>
          </w:p>
        </w:tc>
      </w:tr>
      <w:tr w14:paraId="148CC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039" w:type="pct"/>
            <w:shd w:val="clear" w:color="auto" w:fill="auto"/>
            <w:vAlign w:val="center"/>
          </w:tcPr>
          <w:p w14:paraId="1FA7D2CA">
            <w:pPr>
              <w:pStyle w:val="13"/>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益阳市国土空间总体规划（2020—2035年）</w:t>
            </w:r>
          </w:p>
        </w:tc>
        <w:tc>
          <w:tcPr>
            <w:tcW w:w="1259" w:type="dxa"/>
            <w:vAlign w:val="center"/>
          </w:tcPr>
          <w:p w14:paraId="6D9B90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b w:val="0"/>
                <w:bCs w:val="0"/>
                <w:sz w:val="21"/>
                <w:szCs w:val="21"/>
                <w:highlight w:val="yellow"/>
                <w:vertAlign w:val="baseline"/>
                <w:lang w:val="en-US" w:eastAsia="zh-CN"/>
              </w:rPr>
            </w:pPr>
            <w:r>
              <w:rPr>
                <w:rFonts w:hint="default" w:ascii="Times New Roman" w:hAnsi="Times New Roman" w:eastAsia="方正仿宋_GB2312" w:cs="Times New Roman"/>
                <w:sz w:val="21"/>
                <w:szCs w:val="21"/>
                <w:lang w:eastAsia="zh-CN"/>
              </w:rPr>
              <w:t>330</w:t>
            </w:r>
          </w:p>
        </w:tc>
        <w:tc>
          <w:tcPr>
            <w:tcW w:w="789" w:type="pct"/>
            <w:shd w:val="clear" w:color="auto" w:fill="auto"/>
            <w:vAlign w:val="center"/>
          </w:tcPr>
          <w:p w14:paraId="502295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330</w:t>
            </w:r>
          </w:p>
        </w:tc>
        <w:tc>
          <w:tcPr>
            <w:tcW w:w="674" w:type="pct"/>
            <w:vAlign w:val="center"/>
          </w:tcPr>
          <w:p w14:paraId="0F3CBF2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100</w:t>
            </w:r>
          </w:p>
        </w:tc>
        <w:tc>
          <w:tcPr>
            <w:tcW w:w="731" w:type="pct"/>
            <w:vAlign w:val="center"/>
          </w:tcPr>
          <w:p w14:paraId="62E24D9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0</w:t>
            </w:r>
          </w:p>
        </w:tc>
      </w:tr>
      <w:tr w14:paraId="2A13E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039" w:type="pct"/>
            <w:shd w:val="clear" w:color="auto" w:fill="auto"/>
            <w:vAlign w:val="center"/>
          </w:tcPr>
          <w:p w14:paraId="43F52141">
            <w:pPr>
              <w:pStyle w:val="13"/>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益阳市国土空间总体规划专题图集制作</w:t>
            </w:r>
          </w:p>
        </w:tc>
        <w:tc>
          <w:tcPr>
            <w:tcW w:w="1259" w:type="dxa"/>
            <w:vAlign w:val="center"/>
          </w:tcPr>
          <w:p w14:paraId="69BDCD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b w:val="0"/>
                <w:bCs w:val="0"/>
                <w:sz w:val="21"/>
                <w:szCs w:val="21"/>
                <w:highlight w:val="yellow"/>
                <w:vertAlign w:val="baseline"/>
                <w:lang w:val="en-US" w:eastAsia="zh-CN"/>
              </w:rPr>
            </w:pPr>
            <w:r>
              <w:rPr>
                <w:rFonts w:hint="default" w:ascii="Times New Roman" w:hAnsi="Times New Roman" w:eastAsia="方正仿宋_GB2312" w:cs="Times New Roman"/>
                <w:sz w:val="21"/>
                <w:szCs w:val="21"/>
                <w:lang w:eastAsia="zh-CN"/>
              </w:rPr>
              <w:t>19.65</w:t>
            </w:r>
          </w:p>
        </w:tc>
        <w:tc>
          <w:tcPr>
            <w:tcW w:w="789" w:type="pct"/>
            <w:shd w:val="clear" w:color="auto" w:fill="auto"/>
            <w:vAlign w:val="center"/>
          </w:tcPr>
          <w:p w14:paraId="5F2B15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19.65</w:t>
            </w:r>
          </w:p>
        </w:tc>
        <w:tc>
          <w:tcPr>
            <w:tcW w:w="674" w:type="pct"/>
            <w:vAlign w:val="center"/>
          </w:tcPr>
          <w:p w14:paraId="243A24D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100</w:t>
            </w:r>
          </w:p>
        </w:tc>
        <w:tc>
          <w:tcPr>
            <w:tcW w:w="731" w:type="pct"/>
            <w:vAlign w:val="center"/>
          </w:tcPr>
          <w:p w14:paraId="3200B3D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0</w:t>
            </w:r>
          </w:p>
        </w:tc>
      </w:tr>
      <w:tr w14:paraId="0631D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039" w:type="pct"/>
            <w:shd w:val="clear" w:color="auto" w:fill="auto"/>
            <w:vAlign w:val="center"/>
          </w:tcPr>
          <w:p w14:paraId="3E3AD4C4">
            <w:pPr>
              <w:pStyle w:val="13"/>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2022年度国土空间规划城市体检评估</w:t>
            </w:r>
          </w:p>
        </w:tc>
        <w:tc>
          <w:tcPr>
            <w:tcW w:w="1259" w:type="dxa"/>
            <w:vAlign w:val="center"/>
          </w:tcPr>
          <w:p w14:paraId="268186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b w:val="0"/>
                <w:bCs w:val="0"/>
                <w:sz w:val="21"/>
                <w:szCs w:val="21"/>
                <w:highlight w:val="yellow"/>
                <w:vertAlign w:val="baseline"/>
                <w:lang w:val="en-US" w:eastAsia="zh-CN"/>
              </w:rPr>
            </w:pPr>
            <w:r>
              <w:rPr>
                <w:rFonts w:hint="default" w:ascii="Times New Roman" w:hAnsi="Times New Roman" w:eastAsia="方正仿宋_GB2312" w:cs="Times New Roman"/>
                <w:sz w:val="21"/>
                <w:szCs w:val="21"/>
                <w:lang w:eastAsia="zh-CN"/>
              </w:rPr>
              <w:t>34.8</w:t>
            </w:r>
          </w:p>
        </w:tc>
        <w:tc>
          <w:tcPr>
            <w:tcW w:w="789" w:type="pct"/>
            <w:shd w:val="clear" w:color="auto" w:fill="auto"/>
            <w:vAlign w:val="center"/>
          </w:tcPr>
          <w:p w14:paraId="713F3D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34.80</w:t>
            </w:r>
          </w:p>
        </w:tc>
        <w:tc>
          <w:tcPr>
            <w:tcW w:w="674" w:type="pct"/>
            <w:vAlign w:val="center"/>
          </w:tcPr>
          <w:p w14:paraId="4E2577F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100</w:t>
            </w:r>
          </w:p>
        </w:tc>
        <w:tc>
          <w:tcPr>
            <w:tcW w:w="731" w:type="pct"/>
            <w:vAlign w:val="center"/>
          </w:tcPr>
          <w:p w14:paraId="01CB3D2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0</w:t>
            </w:r>
          </w:p>
        </w:tc>
      </w:tr>
      <w:tr w14:paraId="70603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039" w:type="pct"/>
            <w:shd w:val="clear" w:color="auto" w:fill="auto"/>
            <w:vAlign w:val="center"/>
          </w:tcPr>
          <w:p w14:paraId="3D513708">
            <w:pPr>
              <w:pStyle w:val="13"/>
              <w:keepNext w:val="0"/>
              <w:keepLines w:val="0"/>
              <w:pageBreakBefore w:val="0"/>
              <w:widowControl w:val="0"/>
              <w:kinsoku/>
              <w:wordWrap/>
              <w:overflowPunct/>
              <w:topLinePunct w:val="0"/>
              <w:autoSpaceDE/>
              <w:autoSpaceDN/>
              <w:bidi w:val="0"/>
              <w:adjustRightInd/>
              <w:snapToGrid/>
              <w:spacing w:line="240" w:lineRule="auto"/>
              <w:ind w:right="110" w:rightChars="0"/>
              <w:jc w:val="left"/>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益阳市85个乡镇国土空间规划技术审查</w:t>
            </w:r>
          </w:p>
        </w:tc>
        <w:tc>
          <w:tcPr>
            <w:tcW w:w="1259" w:type="dxa"/>
            <w:vAlign w:val="center"/>
          </w:tcPr>
          <w:p w14:paraId="5BA72EE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b w:val="0"/>
                <w:bCs w:val="0"/>
                <w:sz w:val="21"/>
                <w:szCs w:val="21"/>
                <w:highlight w:val="yellow"/>
                <w:vertAlign w:val="baseline"/>
                <w:lang w:val="en-US" w:eastAsia="zh-CN"/>
              </w:rPr>
            </w:pPr>
            <w:r>
              <w:rPr>
                <w:rFonts w:hint="default" w:ascii="Times New Roman" w:hAnsi="Times New Roman" w:eastAsia="方正仿宋_GB2312" w:cs="Times New Roman"/>
                <w:sz w:val="21"/>
                <w:szCs w:val="21"/>
                <w:lang w:eastAsia="zh-CN"/>
              </w:rPr>
              <w:t>54.80</w:t>
            </w:r>
          </w:p>
        </w:tc>
        <w:tc>
          <w:tcPr>
            <w:tcW w:w="789" w:type="pct"/>
            <w:shd w:val="clear" w:color="auto" w:fill="auto"/>
            <w:vAlign w:val="center"/>
          </w:tcPr>
          <w:p w14:paraId="0820A42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54.80</w:t>
            </w:r>
          </w:p>
        </w:tc>
        <w:tc>
          <w:tcPr>
            <w:tcW w:w="674" w:type="pct"/>
            <w:vAlign w:val="center"/>
          </w:tcPr>
          <w:p w14:paraId="5E667C6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100</w:t>
            </w:r>
          </w:p>
        </w:tc>
        <w:tc>
          <w:tcPr>
            <w:tcW w:w="731" w:type="pct"/>
            <w:vAlign w:val="center"/>
          </w:tcPr>
          <w:p w14:paraId="3432E52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0</w:t>
            </w:r>
          </w:p>
        </w:tc>
      </w:tr>
      <w:tr w14:paraId="68502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039" w:type="pct"/>
            <w:shd w:val="clear" w:color="auto" w:fill="auto"/>
            <w:vAlign w:val="center"/>
          </w:tcPr>
          <w:p w14:paraId="2A44BC6A">
            <w:pPr>
              <w:pStyle w:val="13"/>
              <w:keepNext w:val="0"/>
              <w:keepLines w:val="0"/>
              <w:pageBreakBefore w:val="0"/>
              <w:widowControl w:val="0"/>
              <w:kinsoku/>
              <w:wordWrap/>
              <w:overflowPunct/>
              <w:topLinePunct w:val="0"/>
              <w:autoSpaceDE/>
              <w:autoSpaceDN/>
              <w:bidi w:val="0"/>
              <w:adjustRightInd/>
              <w:snapToGrid/>
              <w:spacing w:line="240" w:lineRule="auto"/>
              <w:ind w:left="403" w:leftChars="0" w:right="82" w:rightChars="0" w:hanging="374" w:firstLineChars="0"/>
              <w:jc w:val="left"/>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2024年村庄规划市级审查</w:t>
            </w:r>
          </w:p>
        </w:tc>
        <w:tc>
          <w:tcPr>
            <w:tcW w:w="1259" w:type="dxa"/>
            <w:vAlign w:val="center"/>
          </w:tcPr>
          <w:p w14:paraId="02F80E0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b w:val="0"/>
                <w:bCs w:val="0"/>
                <w:sz w:val="21"/>
                <w:szCs w:val="21"/>
                <w:highlight w:val="yellow"/>
                <w:vertAlign w:val="baseline"/>
                <w:lang w:val="en-US" w:eastAsia="zh-CN"/>
              </w:rPr>
            </w:pPr>
            <w:r>
              <w:rPr>
                <w:rFonts w:hint="default" w:ascii="Times New Roman" w:hAnsi="Times New Roman" w:eastAsia="方正仿宋_GB2312" w:cs="Times New Roman"/>
                <w:sz w:val="21"/>
                <w:szCs w:val="21"/>
                <w:lang w:eastAsia="zh-CN"/>
              </w:rPr>
              <w:t>35</w:t>
            </w:r>
          </w:p>
        </w:tc>
        <w:tc>
          <w:tcPr>
            <w:tcW w:w="789" w:type="pct"/>
            <w:shd w:val="clear" w:color="auto" w:fill="auto"/>
            <w:vAlign w:val="center"/>
          </w:tcPr>
          <w:p w14:paraId="3D29C87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35</w:t>
            </w:r>
          </w:p>
        </w:tc>
        <w:tc>
          <w:tcPr>
            <w:tcW w:w="674" w:type="pct"/>
            <w:vAlign w:val="center"/>
          </w:tcPr>
          <w:p w14:paraId="3093E00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100</w:t>
            </w:r>
          </w:p>
        </w:tc>
        <w:tc>
          <w:tcPr>
            <w:tcW w:w="731" w:type="pct"/>
            <w:vAlign w:val="center"/>
          </w:tcPr>
          <w:p w14:paraId="7C1C20B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0</w:t>
            </w:r>
          </w:p>
        </w:tc>
      </w:tr>
      <w:tr w14:paraId="1A8B4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039" w:type="pct"/>
            <w:shd w:val="clear" w:color="auto" w:fill="auto"/>
            <w:vAlign w:val="center"/>
          </w:tcPr>
          <w:p w14:paraId="0D7EFF64">
            <w:pPr>
              <w:pStyle w:val="13"/>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益阳市中心城区道路复核定线（数据更新入库）</w:t>
            </w:r>
          </w:p>
        </w:tc>
        <w:tc>
          <w:tcPr>
            <w:tcW w:w="1259" w:type="dxa"/>
            <w:vAlign w:val="center"/>
          </w:tcPr>
          <w:p w14:paraId="61BA31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b w:val="0"/>
                <w:bCs w:val="0"/>
                <w:sz w:val="21"/>
                <w:szCs w:val="21"/>
                <w:highlight w:val="yellow"/>
                <w:vertAlign w:val="baseline"/>
                <w:lang w:val="en-US" w:eastAsia="zh-CN"/>
              </w:rPr>
            </w:pPr>
            <w:r>
              <w:rPr>
                <w:rFonts w:hint="default" w:ascii="Times New Roman" w:hAnsi="Times New Roman" w:eastAsia="方正仿宋_GB2312" w:cs="Times New Roman"/>
                <w:sz w:val="21"/>
                <w:szCs w:val="21"/>
                <w:lang w:eastAsia="zh-CN"/>
              </w:rPr>
              <w:t>24.80</w:t>
            </w:r>
          </w:p>
        </w:tc>
        <w:tc>
          <w:tcPr>
            <w:tcW w:w="789" w:type="pct"/>
            <w:shd w:val="clear" w:color="auto" w:fill="auto"/>
            <w:vAlign w:val="center"/>
          </w:tcPr>
          <w:p w14:paraId="527CFA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24.80</w:t>
            </w:r>
          </w:p>
        </w:tc>
        <w:tc>
          <w:tcPr>
            <w:tcW w:w="674" w:type="pct"/>
            <w:vAlign w:val="center"/>
          </w:tcPr>
          <w:p w14:paraId="35D5CD6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100</w:t>
            </w:r>
          </w:p>
        </w:tc>
        <w:tc>
          <w:tcPr>
            <w:tcW w:w="731" w:type="pct"/>
            <w:vAlign w:val="center"/>
          </w:tcPr>
          <w:p w14:paraId="302D375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0</w:t>
            </w:r>
          </w:p>
        </w:tc>
      </w:tr>
      <w:tr w14:paraId="74899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039" w:type="pct"/>
            <w:shd w:val="clear" w:color="auto" w:fill="auto"/>
            <w:vAlign w:val="center"/>
          </w:tcPr>
          <w:p w14:paraId="36F2CB02">
            <w:pPr>
              <w:pStyle w:val="13"/>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益阳市中心城区高铁片区控制性详细规划编制</w:t>
            </w:r>
          </w:p>
        </w:tc>
        <w:tc>
          <w:tcPr>
            <w:tcW w:w="1259" w:type="dxa"/>
            <w:vAlign w:val="center"/>
          </w:tcPr>
          <w:p w14:paraId="5C8936F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b w:val="0"/>
                <w:bCs w:val="0"/>
                <w:sz w:val="21"/>
                <w:szCs w:val="21"/>
                <w:highlight w:val="yellow"/>
                <w:vertAlign w:val="baseline"/>
                <w:lang w:val="en-US" w:eastAsia="zh-CN"/>
              </w:rPr>
            </w:pPr>
            <w:r>
              <w:rPr>
                <w:rFonts w:hint="default" w:ascii="Times New Roman" w:hAnsi="Times New Roman" w:eastAsia="方正仿宋_GB2312" w:cs="Times New Roman"/>
                <w:sz w:val="21"/>
                <w:szCs w:val="21"/>
                <w:lang w:eastAsia="zh-CN"/>
              </w:rPr>
              <w:t>81.39</w:t>
            </w:r>
          </w:p>
        </w:tc>
        <w:tc>
          <w:tcPr>
            <w:tcW w:w="789" w:type="pct"/>
            <w:shd w:val="clear" w:color="auto" w:fill="auto"/>
            <w:vAlign w:val="center"/>
          </w:tcPr>
          <w:p w14:paraId="78FC67D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36.29</w:t>
            </w:r>
          </w:p>
        </w:tc>
        <w:tc>
          <w:tcPr>
            <w:tcW w:w="674" w:type="pct"/>
            <w:vAlign w:val="center"/>
          </w:tcPr>
          <w:p w14:paraId="3282300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44.6</w:t>
            </w:r>
          </w:p>
        </w:tc>
        <w:tc>
          <w:tcPr>
            <w:tcW w:w="731" w:type="pct"/>
            <w:vAlign w:val="center"/>
          </w:tcPr>
          <w:p w14:paraId="179449C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45.1</w:t>
            </w:r>
          </w:p>
        </w:tc>
      </w:tr>
      <w:tr w14:paraId="26B9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039" w:type="pct"/>
            <w:vAlign w:val="center"/>
          </w:tcPr>
          <w:p w14:paraId="5750864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合计</w:t>
            </w:r>
          </w:p>
        </w:tc>
        <w:tc>
          <w:tcPr>
            <w:tcW w:w="1259" w:type="dxa"/>
            <w:vAlign w:val="center"/>
          </w:tcPr>
          <w:p w14:paraId="6BB5B94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highlight w:val="yellow"/>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580.44</w:t>
            </w:r>
          </w:p>
        </w:tc>
        <w:tc>
          <w:tcPr>
            <w:tcW w:w="789" w:type="pct"/>
            <w:vAlign w:val="center"/>
          </w:tcPr>
          <w:p w14:paraId="714854F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535.34</w:t>
            </w:r>
          </w:p>
        </w:tc>
        <w:tc>
          <w:tcPr>
            <w:tcW w:w="674" w:type="pct"/>
            <w:vAlign w:val="center"/>
          </w:tcPr>
          <w:p w14:paraId="65AD00A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92.23</w:t>
            </w:r>
          </w:p>
        </w:tc>
        <w:tc>
          <w:tcPr>
            <w:tcW w:w="731" w:type="pct"/>
            <w:vAlign w:val="center"/>
          </w:tcPr>
          <w:p w14:paraId="153DE30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45.1</w:t>
            </w:r>
          </w:p>
        </w:tc>
      </w:tr>
    </w:tbl>
    <w:p w14:paraId="48FA0FAF">
      <w:pPr>
        <w:keepNext w:val="0"/>
        <w:keepLines w:val="0"/>
        <w:pageBreakBefore w:val="0"/>
        <w:kinsoku/>
        <w:wordWrap/>
        <w:overflowPunct/>
        <w:topLinePunct w:val="0"/>
        <w:bidi w:val="0"/>
        <w:snapToGrid/>
        <w:spacing w:line="600" w:lineRule="exact"/>
        <w:ind w:firstLine="640" w:firstLineChars="200"/>
        <w:rPr>
          <w:rFonts w:hint="default" w:ascii="Times New Roman" w:hAnsi="Times New Roman" w:eastAsia="黑体" w:cs="Times New Roman"/>
          <w:color w:val="auto"/>
          <w:kern w:val="2"/>
          <w:sz w:val="32"/>
          <w:szCs w:val="32"/>
          <w:lang w:val="en-US" w:eastAsia="zh-CN" w:bidi="ar-SA"/>
        </w:rPr>
      </w:pPr>
      <w:r>
        <w:rPr>
          <w:rFonts w:hint="default" w:ascii="Times New Roman" w:hAnsi="Times New Roman" w:eastAsia="黑体" w:cs="Times New Roman"/>
          <w:color w:val="auto"/>
          <w:kern w:val="2"/>
          <w:sz w:val="32"/>
          <w:szCs w:val="32"/>
          <w:lang w:val="en-US" w:eastAsia="zh-CN" w:bidi="ar-SA"/>
        </w:rPr>
        <w:t xml:space="preserve"> 三、主要绩效</w:t>
      </w:r>
    </w:p>
    <w:p w14:paraId="42F529A4">
      <w:pPr>
        <w:keepNext w:val="0"/>
        <w:keepLines w:val="0"/>
        <w:pageBreakBefore w:val="0"/>
        <w:kinsoku/>
        <w:wordWrap/>
        <w:overflowPunct/>
        <w:topLinePunct w:val="0"/>
        <w:bidi w:val="0"/>
        <w:snapToGrid/>
        <w:spacing w:line="600" w:lineRule="exact"/>
        <w:ind w:firstLine="640" w:firstLineChars="200"/>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一是国土空间规划成效初显，体系更趋完善；二是加速推进乡镇规划和村庄规划编制，助力乡村振兴；三是</w:t>
      </w:r>
      <w:r>
        <w:rPr>
          <w:rFonts w:hint="default" w:ascii="Times New Roman" w:hAnsi="Times New Roman" w:eastAsia="方正仿宋_GB2312" w:cs="Times New Roman"/>
          <w:b w:val="0"/>
          <w:bCs w:val="0"/>
          <w:color w:val="auto"/>
          <w:kern w:val="2"/>
          <w:sz w:val="32"/>
          <w:szCs w:val="32"/>
          <w:lang w:bidi="ar-SA"/>
        </w:rPr>
        <w:t>强力推进详细规划编制试点，全市国土空间详细规划覆盖率</w:t>
      </w:r>
      <w:r>
        <w:rPr>
          <w:rFonts w:hint="default" w:ascii="Times New Roman" w:hAnsi="Times New Roman" w:eastAsia="方正仿宋_GB2312" w:cs="Times New Roman"/>
          <w:b w:val="0"/>
          <w:bCs w:val="0"/>
          <w:color w:val="auto"/>
          <w:kern w:val="2"/>
          <w:sz w:val="32"/>
          <w:szCs w:val="32"/>
          <w:lang w:val="en-US" w:eastAsia="zh-CN" w:bidi="ar-SA"/>
        </w:rPr>
        <w:t>得到提升</w:t>
      </w:r>
      <w:r>
        <w:rPr>
          <w:rFonts w:hint="default" w:ascii="Times New Roman" w:hAnsi="Times New Roman" w:eastAsia="方正仿宋_GB2312" w:cs="Times New Roman"/>
          <w:color w:val="auto"/>
          <w:kern w:val="2"/>
          <w:sz w:val="32"/>
          <w:szCs w:val="32"/>
          <w:lang w:val="en-US" w:eastAsia="zh-CN" w:bidi="ar-SA"/>
        </w:rPr>
        <w:t>；四是</w:t>
      </w:r>
      <w:r>
        <w:rPr>
          <w:rFonts w:hint="default" w:ascii="Times New Roman" w:hAnsi="Times New Roman" w:eastAsia="方正仿宋_GB2312" w:cs="Times New Roman"/>
          <w:b w:val="0"/>
          <w:bCs w:val="0"/>
          <w:color w:val="auto"/>
          <w:kern w:val="2"/>
          <w:sz w:val="32"/>
          <w:szCs w:val="32"/>
          <w:lang w:bidi="ar-SA"/>
        </w:rPr>
        <w:t>持续完善国土空间规划“一张图”系统，</w:t>
      </w:r>
      <w:r>
        <w:rPr>
          <w:rFonts w:hint="default" w:ascii="Times New Roman" w:hAnsi="Times New Roman" w:eastAsia="方正仿宋_GB2312" w:cs="Times New Roman"/>
          <w:b w:val="0"/>
          <w:bCs w:val="0"/>
          <w:color w:val="auto"/>
          <w:kern w:val="2"/>
          <w:sz w:val="32"/>
          <w:szCs w:val="32"/>
          <w:lang w:val="en-US" w:eastAsia="zh-CN" w:bidi="ar-SA"/>
        </w:rPr>
        <w:t>为</w:t>
      </w:r>
      <w:r>
        <w:rPr>
          <w:rFonts w:hint="default" w:ascii="Times New Roman" w:hAnsi="Times New Roman" w:eastAsia="方正仿宋_GB2312" w:cs="Times New Roman"/>
          <w:b w:val="0"/>
          <w:bCs w:val="0"/>
          <w:color w:val="auto"/>
          <w:kern w:val="2"/>
          <w:sz w:val="32"/>
          <w:szCs w:val="32"/>
          <w:lang w:bidi="ar-SA"/>
        </w:rPr>
        <w:t>科学全面决策</w:t>
      </w:r>
      <w:r>
        <w:rPr>
          <w:rFonts w:hint="default" w:ascii="Times New Roman" w:hAnsi="Times New Roman" w:eastAsia="方正仿宋_GB2312" w:cs="Times New Roman"/>
          <w:b w:val="0"/>
          <w:bCs w:val="0"/>
          <w:color w:val="auto"/>
          <w:kern w:val="2"/>
          <w:sz w:val="32"/>
          <w:szCs w:val="32"/>
          <w:lang w:val="en-US" w:eastAsia="zh-CN" w:bidi="ar-SA"/>
        </w:rPr>
        <w:t>提供了</w:t>
      </w:r>
      <w:r>
        <w:rPr>
          <w:rFonts w:hint="default" w:ascii="Times New Roman" w:hAnsi="Times New Roman" w:eastAsia="方正仿宋_GB2312" w:cs="Times New Roman"/>
          <w:b w:val="0"/>
          <w:bCs w:val="0"/>
          <w:color w:val="auto"/>
          <w:kern w:val="2"/>
          <w:sz w:val="32"/>
          <w:szCs w:val="32"/>
          <w:lang w:bidi="ar-SA"/>
        </w:rPr>
        <w:t>信息支</w:t>
      </w:r>
      <w:r>
        <w:rPr>
          <w:rFonts w:hint="default" w:ascii="Times New Roman" w:hAnsi="Times New Roman" w:eastAsia="方正仿宋_GB2312" w:cs="Times New Roman"/>
          <w:b w:val="0"/>
          <w:bCs w:val="0"/>
          <w:color w:val="auto"/>
          <w:kern w:val="2"/>
          <w:sz w:val="32"/>
          <w:szCs w:val="32"/>
          <w:lang w:val="en-US" w:eastAsia="zh-CN" w:bidi="ar-SA"/>
        </w:rPr>
        <w:t>撑</w:t>
      </w:r>
      <w:r>
        <w:rPr>
          <w:rFonts w:hint="default" w:ascii="Times New Roman" w:hAnsi="Times New Roman" w:eastAsia="方正仿宋_GB2312" w:cs="Times New Roman"/>
          <w:b w:val="0"/>
          <w:bCs w:val="0"/>
          <w:color w:val="auto"/>
          <w:kern w:val="2"/>
          <w:sz w:val="32"/>
          <w:szCs w:val="32"/>
          <w:lang w:bidi="ar-SA"/>
        </w:rPr>
        <w:t>。</w:t>
      </w:r>
    </w:p>
    <w:p w14:paraId="28F4F5AE">
      <w:pPr>
        <w:keepNext w:val="0"/>
        <w:keepLines w:val="0"/>
        <w:pageBreakBefore w:val="0"/>
        <w:kinsoku/>
        <w:wordWrap/>
        <w:overflowPunct/>
        <w:topLinePunct w:val="0"/>
        <w:bidi w:val="0"/>
        <w:snapToGrid/>
        <w:spacing w:line="600" w:lineRule="exact"/>
        <w:ind w:firstLine="640" w:firstLineChars="200"/>
        <w:rPr>
          <w:rFonts w:hint="default" w:ascii="Times New Roman" w:hAnsi="Times New Roman" w:eastAsia="黑体" w:cs="Times New Roman"/>
          <w:color w:val="auto"/>
          <w:kern w:val="2"/>
          <w:sz w:val="32"/>
          <w:szCs w:val="32"/>
          <w:lang w:val="en-US" w:eastAsia="zh-CN" w:bidi="ar-SA"/>
        </w:rPr>
      </w:pPr>
      <w:r>
        <w:rPr>
          <w:rFonts w:hint="default" w:ascii="Times New Roman" w:hAnsi="Times New Roman" w:eastAsia="黑体" w:cs="Times New Roman"/>
          <w:color w:val="auto"/>
          <w:kern w:val="2"/>
          <w:sz w:val="32"/>
          <w:szCs w:val="32"/>
          <w:lang w:val="en-US" w:eastAsia="zh-CN" w:bidi="ar-SA"/>
        </w:rPr>
        <w:t>四、存在的问题</w:t>
      </w:r>
    </w:p>
    <w:p w14:paraId="73EDA008">
      <w:pPr>
        <w:keepNext w:val="0"/>
        <w:keepLines w:val="0"/>
        <w:pageBreakBefore w:val="0"/>
        <w:kinsoku/>
        <w:wordWrap/>
        <w:overflowPunct/>
        <w:topLinePunct w:val="0"/>
        <w:bidi w:val="0"/>
        <w:snapToGrid/>
        <w:spacing w:line="600" w:lineRule="exact"/>
        <w:ind w:firstLine="640" w:firstLineChars="200"/>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一是项目管理待加强。存在个别项目招投标管理不到位、部分合同要素不齐全、部分项目验收不规范、个别项目未按期完工的情况。二是资金管理需规范。存在个别资金支付未提供发票就开始资金支付审核程序、部分资金支付超合同约定期限、个别项目预算执行率偏低的情况。三是益阳市高铁片区控制性详细规划项目绩效未达预期。</w:t>
      </w:r>
    </w:p>
    <w:p w14:paraId="20383730">
      <w:pPr>
        <w:keepNext w:val="0"/>
        <w:keepLines w:val="0"/>
        <w:pageBreakBefore w:val="0"/>
        <w:kinsoku/>
        <w:wordWrap/>
        <w:overflowPunct/>
        <w:topLinePunct w:val="0"/>
        <w:bidi w:val="0"/>
        <w:snapToGrid/>
        <w:spacing w:line="600" w:lineRule="exact"/>
        <w:ind w:firstLine="640" w:firstLineChars="200"/>
        <w:rPr>
          <w:rFonts w:hint="default" w:ascii="Times New Roman" w:hAnsi="Times New Roman" w:eastAsia="黑体" w:cs="Times New Roman"/>
          <w:color w:val="auto"/>
          <w:kern w:val="2"/>
          <w:sz w:val="32"/>
          <w:szCs w:val="32"/>
          <w:lang w:val="en-US" w:eastAsia="zh-CN" w:bidi="ar-SA"/>
        </w:rPr>
      </w:pPr>
      <w:r>
        <w:rPr>
          <w:rFonts w:hint="default" w:ascii="Times New Roman" w:hAnsi="Times New Roman" w:eastAsia="黑体" w:cs="Times New Roman"/>
          <w:color w:val="auto"/>
          <w:kern w:val="2"/>
          <w:sz w:val="32"/>
          <w:szCs w:val="32"/>
          <w:lang w:val="en-US" w:eastAsia="zh-CN" w:bidi="ar-SA"/>
        </w:rPr>
        <w:t>五、相关建议</w:t>
      </w:r>
    </w:p>
    <w:p w14:paraId="3C59F7E1">
      <w:pPr>
        <w:keepNext w:val="0"/>
        <w:keepLines w:val="0"/>
        <w:pageBreakBefore w:val="0"/>
        <w:kinsoku/>
        <w:wordWrap/>
        <w:overflowPunct/>
        <w:topLinePunct w:val="0"/>
        <w:bidi w:val="0"/>
        <w:snapToGrid/>
        <w:spacing w:line="600" w:lineRule="exact"/>
        <w:ind w:firstLine="640" w:firstLineChars="200"/>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一是加强项目管理。严格执行招投标相关规定，加强合同管理，强化验收管理，加强项目进度管理。二是规范资金管理。规范资金支付审核程序；按合同约定及时支付资金；科学、精准编制项目预算，提升预算执行率。三是加强前期调研评估，提升项目绩效。</w:t>
      </w:r>
    </w:p>
    <w:p w14:paraId="3966EE48">
      <w:pPr>
        <w:keepNext w:val="0"/>
        <w:keepLines w:val="0"/>
        <w:pageBreakBefore w:val="0"/>
        <w:kinsoku/>
        <w:wordWrap/>
        <w:overflowPunct/>
        <w:topLinePunct w:val="0"/>
        <w:bidi w:val="0"/>
        <w:snapToGrid/>
        <w:spacing w:line="600" w:lineRule="exact"/>
        <w:ind w:firstLine="640" w:firstLineChars="200"/>
        <w:rPr>
          <w:rFonts w:hint="default" w:ascii="Times New Roman" w:hAnsi="Times New Roman" w:eastAsia="方正仿宋_GB2312" w:cs="Times New Roman"/>
          <w:color w:val="auto"/>
          <w:kern w:val="2"/>
          <w:sz w:val="32"/>
          <w:szCs w:val="32"/>
          <w:lang w:val="en-US" w:eastAsia="zh-CN" w:bidi="ar-SA"/>
        </w:rPr>
      </w:pPr>
    </w:p>
    <w:p w14:paraId="388054C4">
      <w:pPr>
        <w:spacing w:before="0" w:beforeLines="0" w:after="0" w:afterLines="0" w:line="240" w:lineRule="auto"/>
        <w:ind w:left="0" w:leftChars="0" w:right="0" w:rightChars="0" w:firstLine="0" w:firstLineChars="0"/>
        <w:jc w:val="center"/>
        <w:rPr>
          <w:rFonts w:hint="default" w:ascii="Times New Roman" w:hAnsi="Times New Roman" w:eastAsia="黑体" w:cs="Times New Roman"/>
          <w:kern w:val="2"/>
          <w:sz w:val="32"/>
          <w:szCs w:val="32"/>
          <w:lang w:val="en-US" w:eastAsia="zh-CN" w:bidi="ar-SA"/>
        </w:rPr>
      </w:pPr>
    </w:p>
    <w:p w14:paraId="62939627">
      <w:pPr>
        <w:spacing w:before="0" w:beforeLines="0" w:after="0" w:afterLines="0" w:line="240" w:lineRule="auto"/>
        <w:ind w:left="0" w:leftChars="0" w:right="0" w:rightChars="0" w:firstLine="0" w:firstLineChars="0"/>
        <w:jc w:val="center"/>
        <w:rPr>
          <w:rFonts w:hint="default" w:ascii="Times New Roman" w:hAnsi="Times New Roman" w:eastAsia="黑体" w:cs="Times New Roman"/>
          <w:kern w:val="2"/>
          <w:sz w:val="32"/>
          <w:szCs w:val="32"/>
          <w:lang w:val="en-US" w:eastAsia="zh-CN" w:bidi="ar-SA"/>
        </w:rPr>
      </w:pPr>
    </w:p>
    <w:p w14:paraId="3ACE2399">
      <w:pPr>
        <w:spacing w:before="0" w:beforeLines="0" w:after="0" w:afterLines="0" w:line="240" w:lineRule="auto"/>
        <w:ind w:left="0" w:leftChars="0" w:right="0" w:rightChars="0" w:firstLine="0" w:firstLineChars="0"/>
        <w:jc w:val="center"/>
        <w:rPr>
          <w:rFonts w:hint="default" w:ascii="Times New Roman" w:hAnsi="Times New Roman" w:eastAsia="黑体" w:cs="Times New Roman"/>
          <w:kern w:val="2"/>
          <w:sz w:val="32"/>
          <w:szCs w:val="32"/>
          <w:lang w:val="en-US" w:eastAsia="zh-CN" w:bidi="ar-SA"/>
        </w:rPr>
      </w:pPr>
    </w:p>
    <w:p w14:paraId="39DB1B59">
      <w:pPr>
        <w:spacing w:before="0" w:beforeLines="0" w:after="0" w:afterLines="0" w:line="240" w:lineRule="auto"/>
        <w:ind w:left="0" w:leftChars="0" w:right="0" w:rightChars="0" w:firstLine="0" w:firstLineChars="0"/>
        <w:jc w:val="center"/>
        <w:rPr>
          <w:rFonts w:hint="default" w:ascii="Times New Roman" w:hAnsi="Times New Roman" w:eastAsia="黑体" w:cs="Times New Roman"/>
          <w:kern w:val="2"/>
          <w:sz w:val="32"/>
          <w:szCs w:val="32"/>
          <w:lang w:val="en-US" w:eastAsia="zh-CN" w:bidi="ar-SA"/>
        </w:rPr>
      </w:pPr>
    </w:p>
    <w:p w14:paraId="62547868">
      <w:pPr>
        <w:spacing w:before="0" w:beforeLines="0" w:after="0" w:afterLines="0" w:line="240" w:lineRule="auto"/>
        <w:ind w:left="0" w:leftChars="0" w:right="0" w:rightChars="0" w:firstLine="0" w:firstLineChars="0"/>
        <w:jc w:val="center"/>
        <w:rPr>
          <w:rFonts w:hint="default" w:ascii="Times New Roman" w:hAnsi="Times New Roman" w:eastAsia="黑体" w:cs="Times New Roman"/>
          <w:kern w:val="2"/>
          <w:sz w:val="32"/>
          <w:szCs w:val="32"/>
          <w:lang w:val="en-US" w:eastAsia="zh-CN" w:bidi="ar-SA"/>
        </w:rPr>
      </w:pPr>
    </w:p>
    <w:p w14:paraId="6F7A7CA3">
      <w:pPr>
        <w:spacing w:before="0" w:beforeLines="0" w:after="0" w:afterLines="0" w:line="240" w:lineRule="auto"/>
        <w:ind w:left="0" w:leftChars="0" w:right="0" w:rightChars="0" w:firstLine="0" w:firstLineChars="0"/>
        <w:jc w:val="center"/>
        <w:rPr>
          <w:rFonts w:hint="default" w:ascii="Times New Roman" w:hAnsi="Times New Roman" w:eastAsia="黑体" w:cs="Times New Roman"/>
          <w:kern w:val="2"/>
          <w:sz w:val="32"/>
          <w:szCs w:val="32"/>
          <w:lang w:val="en-US" w:eastAsia="zh-CN" w:bidi="ar-SA"/>
        </w:rPr>
      </w:pPr>
    </w:p>
    <w:p w14:paraId="37EC823D">
      <w:pPr>
        <w:spacing w:before="0" w:beforeLines="0" w:after="0" w:afterLines="0" w:line="240" w:lineRule="auto"/>
        <w:ind w:left="0" w:leftChars="0" w:right="0" w:rightChars="0" w:firstLine="0" w:firstLineChars="0"/>
        <w:jc w:val="center"/>
        <w:rPr>
          <w:rFonts w:hint="default" w:ascii="Times New Roman" w:hAnsi="Times New Roman" w:eastAsia="黑体" w:cs="Times New Roman"/>
          <w:kern w:val="2"/>
          <w:sz w:val="32"/>
          <w:szCs w:val="32"/>
          <w:lang w:val="en-US" w:eastAsia="zh-CN" w:bidi="ar-SA"/>
        </w:rPr>
      </w:pPr>
    </w:p>
    <w:p w14:paraId="4C6E257C">
      <w:pPr>
        <w:spacing w:before="0" w:beforeLines="0" w:after="0" w:afterLines="0" w:line="240" w:lineRule="auto"/>
        <w:ind w:left="0" w:leftChars="0" w:right="0" w:rightChars="0" w:firstLine="0" w:firstLineChars="0"/>
        <w:jc w:val="center"/>
        <w:rPr>
          <w:rFonts w:hint="default" w:ascii="Times New Roman" w:hAnsi="Times New Roman" w:eastAsia="黑体" w:cs="Times New Roman"/>
          <w:kern w:val="2"/>
          <w:sz w:val="32"/>
          <w:szCs w:val="32"/>
          <w:lang w:val="en-US" w:eastAsia="zh-CN" w:bidi="ar-SA"/>
        </w:rPr>
      </w:pPr>
    </w:p>
    <w:sdt>
      <w:sdtPr>
        <w:rPr>
          <w:rFonts w:hint="default" w:ascii="Times New Roman" w:hAnsi="Times New Roman" w:eastAsia="黑体" w:cs="Times New Roman"/>
          <w:kern w:val="2"/>
          <w:sz w:val="32"/>
          <w:szCs w:val="32"/>
          <w:lang w:val="en-US" w:eastAsia="zh-CN" w:bidi="ar-SA"/>
        </w:rPr>
        <w:id w:val="147457764"/>
        <w15:color w:val="DBDBDB"/>
        <w:docPartObj>
          <w:docPartGallery w:val="Table of Contents"/>
          <w:docPartUnique/>
        </w:docPartObj>
      </w:sdtPr>
      <w:sdtEndPr>
        <w:rPr>
          <w:rFonts w:hint="default" w:ascii="Times New Roman" w:hAnsi="Times New Roman" w:eastAsia="黑体" w:cs="Times New Roman"/>
          <w:kern w:val="2"/>
          <w:sz w:val="32"/>
          <w:szCs w:val="32"/>
          <w:lang w:val="en-US" w:eastAsia="zh-CN" w:bidi="ar-SA"/>
        </w:rPr>
      </w:sdtEndPr>
      <w:sdtContent>
        <w:p w14:paraId="2D11FCCA">
          <w:pPr>
            <w:spacing w:before="0" w:beforeLines="0" w:after="0" w:afterLines="0" w:line="240" w:lineRule="auto"/>
            <w:ind w:left="0" w:leftChars="0" w:right="0" w:rightChars="0" w:firstLine="0" w:firstLineChars="0"/>
            <w:jc w:val="center"/>
            <w:rPr>
              <w:rFonts w:hint="default" w:ascii="Times New Roman" w:hAnsi="Times New Roman" w:eastAsia="黑体" w:cs="Times New Roman"/>
              <w:kern w:val="2"/>
              <w:sz w:val="32"/>
              <w:szCs w:val="32"/>
              <w:lang w:val="en-US" w:eastAsia="zh-CN" w:bidi="ar-SA"/>
            </w:rPr>
          </w:pPr>
        </w:p>
        <w:p w14:paraId="0876297B">
          <w:pPr>
            <w:spacing w:before="0" w:beforeLines="0" w:after="0" w:afterLines="0" w:line="240" w:lineRule="auto"/>
            <w:ind w:left="0" w:leftChars="0" w:right="0" w:rightChars="0" w:firstLine="0" w:firstLineChars="0"/>
            <w:jc w:val="center"/>
            <w:rPr>
              <w:rFonts w:hint="default" w:ascii="Times New Roman" w:hAnsi="Times New Roman" w:eastAsia="黑体" w:cs="Times New Roman"/>
              <w:sz w:val="32"/>
              <w:szCs w:val="32"/>
            </w:rPr>
            <w:sectPr>
              <w:footerReference r:id="rId6" w:type="default"/>
              <w:pgSz w:w="11906" w:h="16838"/>
              <w:pgMar w:top="1440" w:right="2086" w:bottom="1440" w:left="1800" w:header="851" w:footer="992" w:gutter="0"/>
              <w:pgNumType w:fmt="decimal" w:start="1"/>
              <w:cols w:space="425" w:num="1"/>
              <w:docGrid w:type="lines" w:linePitch="312" w:charSpace="0"/>
            </w:sectPr>
          </w:pPr>
        </w:p>
        <w:p w14:paraId="7FF5DCBE">
          <w:pPr>
            <w:keepNext w:val="0"/>
            <w:keepLines w:val="0"/>
            <w:pageBreakBefore w:val="0"/>
            <w:widowControl w:val="0"/>
            <w:tabs>
              <w:tab w:val="left" w:pos="1560"/>
            </w:tabs>
            <w:kinsoku/>
            <w:wordWrap/>
            <w:overflowPunct/>
            <w:topLinePunct w:val="0"/>
            <w:autoSpaceDE/>
            <w:autoSpaceDN/>
            <w:bidi w:val="0"/>
            <w:adjustRightInd/>
            <w:snapToGrid/>
            <w:spacing w:before="0" w:beforeLines="0" w:after="0" w:afterLines="0" w:line="600" w:lineRule="exact"/>
            <w:jc w:val="center"/>
            <w:textAlignment w:val="auto"/>
            <w:outlineLvl w:val="0"/>
            <w:rPr>
              <w:rFonts w:hint="default" w:ascii="Times New Roman" w:hAnsi="Times New Roman" w:eastAsia="方正公文小标宋" w:cs="Times New Roman"/>
              <w:b w:val="0"/>
              <w:bCs w:val="0"/>
              <w:sz w:val="36"/>
              <w:szCs w:val="36"/>
              <w:lang w:val="en-US" w:eastAsia="zh-CN"/>
            </w:rPr>
          </w:pPr>
          <w:r>
            <w:rPr>
              <w:rFonts w:hint="default" w:ascii="Times New Roman" w:hAnsi="Times New Roman" w:eastAsia="方正公文小标宋" w:cs="Times New Roman"/>
              <w:b w:val="0"/>
              <w:bCs w:val="0"/>
              <w:sz w:val="36"/>
              <w:szCs w:val="36"/>
              <w:lang w:val="en-US" w:eastAsia="zh-CN"/>
            </w:rPr>
            <w:t>目  录</w:t>
          </w:r>
        </w:p>
        <w:p w14:paraId="3BBCA231">
          <w:pPr>
            <w:pStyle w:val="6"/>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textAlignment w:val="auto"/>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TOC \o "1-2" \h \u </w:instrText>
          </w:r>
          <w:r>
            <w:rPr>
              <w:rFonts w:hint="default" w:ascii="Times New Roman" w:hAnsi="Times New Roman" w:cs="Times New Roman"/>
            </w:rPr>
            <w:fldChar w:fldCharType="separate"/>
          </w:r>
        </w:p>
        <w:p w14:paraId="0329875A">
          <w:pPr>
            <w:pStyle w:val="6"/>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_Toc13165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黑体" w:cs="Times New Roman"/>
              <w:sz w:val="28"/>
              <w:szCs w:val="28"/>
              <w:lang w:val="en-US" w:eastAsia="zh-CN"/>
            </w:rPr>
            <w:t>一、项目资金基本情况</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_Toc13165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1</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0DE3394B">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_Toc14759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sz w:val="28"/>
              <w:szCs w:val="28"/>
              <w:lang w:val="en-US" w:eastAsia="zh-CN"/>
            </w:rPr>
            <w:t>（一）单位基本情况</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_Toc14759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1</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79A1B08F">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_Toc16890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sz w:val="28"/>
              <w:szCs w:val="28"/>
              <w:lang w:val="en-US" w:eastAsia="zh-CN"/>
            </w:rPr>
            <w:t>（二）项目立项背景</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_Toc16890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2</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43D30261">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_Toc6104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sz w:val="28"/>
              <w:szCs w:val="28"/>
              <w:lang w:val="en-US" w:eastAsia="zh-CN"/>
            </w:rPr>
            <w:t>（三）项目主要内容</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_Toc6104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3</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647B7AC6">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_Toc1099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sz w:val="28"/>
              <w:szCs w:val="28"/>
              <w:lang w:val="en-US" w:eastAsia="zh-CN"/>
            </w:rPr>
            <w:t>（四）专项资金管理、安排、到位、使用及结余情况</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_Toc1099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3</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6C7AAD49">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_Toc24573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sz w:val="28"/>
              <w:szCs w:val="28"/>
              <w:lang w:val="en-US" w:eastAsia="zh-CN"/>
            </w:rPr>
            <w:t>（五）项目绩效目标</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_Toc24573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4</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4A13022C">
          <w:pPr>
            <w:pStyle w:val="6"/>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_Toc10464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黑体" w:cs="Times New Roman"/>
              <w:bCs w:val="0"/>
              <w:sz w:val="28"/>
              <w:szCs w:val="28"/>
              <w:lang w:val="en-US" w:eastAsia="zh-CN"/>
            </w:rPr>
            <w:t>二、项目组织实施情况</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_Toc10464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5</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4936102B">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_Toc9922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sz w:val="28"/>
              <w:szCs w:val="28"/>
              <w:lang w:val="en-US" w:eastAsia="zh-CN"/>
            </w:rPr>
            <w:t>（一）组织情况</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_Toc9922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5</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35AC6A2E">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_Toc7830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sz w:val="28"/>
              <w:szCs w:val="28"/>
              <w:lang w:val="en-US" w:eastAsia="zh-CN"/>
            </w:rPr>
            <w:t>（二）实施情况</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_Toc7830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5</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374A6B4D">
          <w:pPr>
            <w:pStyle w:val="6"/>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_Toc14117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黑体" w:cs="Times New Roman"/>
              <w:kern w:val="2"/>
              <w:sz w:val="28"/>
              <w:szCs w:val="28"/>
              <w:lang w:val="en-US" w:eastAsia="zh-CN" w:bidi="ar-SA"/>
            </w:rPr>
            <w:t>三、绩效评价实施情况</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_Toc14117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7</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6EE9AB5A">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_Toc17146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sz w:val="28"/>
              <w:szCs w:val="28"/>
              <w:lang w:val="en-US" w:eastAsia="zh-CN"/>
            </w:rPr>
            <w:t>（一）评价对象</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_Toc17146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7</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1E64CC60">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_Toc7230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sz w:val="28"/>
              <w:szCs w:val="28"/>
              <w:lang w:val="en-US" w:eastAsia="zh-CN"/>
            </w:rPr>
            <w:t>（二）评价目的</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_Toc7230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7</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3AE453AD">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_Toc31068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sz w:val="28"/>
              <w:szCs w:val="28"/>
              <w:lang w:val="en-US" w:eastAsia="zh-CN"/>
            </w:rPr>
            <w:t>（三）评价依据</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_Toc31068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7</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30DB4BF4">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_Toc22320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kern w:val="2"/>
              <w:sz w:val="28"/>
              <w:szCs w:val="28"/>
              <w:lang w:val="en-US" w:eastAsia="zh-CN" w:bidi="ar-SA"/>
            </w:rPr>
            <w:t>（四）评价方法和标准</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_Toc22320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8</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34F039B0">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_Toc3673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sz w:val="28"/>
              <w:szCs w:val="28"/>
              <w:lang w:val="en-US" w:eastAsia="zh-CN"/>
            </w:rPr>
            <w:t>（五）评价工作过程。</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_Toc3673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9</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7FB8A159">
          <w:pPr>
            <w:pStyle w:val="6"/>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_Toc9825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黑体" w:cs="Times New Roman"/>
              <w:kern w:val="2"/>
              <w:sz w:val="28"/>
              <w:szCs w:val="28"/>
              <w:lang w:val="en-US" w:eastAsia="zh-CN" w:bidi="ar-SA"/>
            </w:rPr>
            <w:t>四、项目取得的主要绩效</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_Toc9825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9</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0E2477E2">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_Toc22390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kern w:val="2"/>
              <w:sz w:val="28"/>
              <w:szCs w:val="28"/>
              <w:lang w:val="en-US" w:eastAsia="zh-CN" w:bidi="ar-SA"/>
            </w:rPr>
            <w:t>（一）国土空间规划成效初显，体系更趋完善</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_Toc22390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10</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5E99183F">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_Toc42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kern w:val="2"/>
              <w:sz w:val="28"/>
              <w:szCs w:val="28"/>
              <w:lang w:val="en-US" w:eastAsia="zh-CN" w:bidi="ar-SA"/>
            </w:rPr>
            <w:t>（二）加速推进乡镇规划和村庄规划编制，助力乡村振兴</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_Toc42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10</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1812D9DF">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b w:val="0"/>
              <w:bCs/>
              <w:color w:val="auto"/>
              <w:kern w:val="2"/>
              <w:sz w:val="28"/>
              <w:szCs w:val="28"/>
              <w:lang w:bidi="ar-SA"/>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_Toc9954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kern w:val="2"/>
              <w:sz w:val="28"/>
              <w:szCs w:val="28"/>
              <w:lang w:val="en-US" w:eastAsia="zh-CN" w:bidi="ar-SA"/>
            </w:rPr>
            <w:t>（三）</w:t>
          </w:r>
          <w:r>
            <w:rPr>
              <w:rFonts w:hint="default" w:ascii="Times New Roman" w:hAnsi="Times New Roman" w:eastAsia="方正仿宋_GB2312" w:cs="Times New Roman"/>
              <w:b w:val="0"/>
              <w:bCs/>
              <w:color w:val="auto"/>
              <w:kern w:val="2"/>
              <w:sz w:val="28"/>
              <w:szCs w:val="28"/>
              <w:lang w:bidi="ar-SA"/>
            </w:rPr>
            <w:t>强力推进详细规划编制试点，全市国土空间详细规划覆盖率</w:t>
          </w:r>
        </w:p>
        <w:p w14:paraId="2934EA1C">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b w:val="0"/>
              <w:bCs/>
              <w:color w:val="auto"/>
              <w:kern w:val="2"/>
              <w:sz w:val="28"/>
              <w:szCs w:val="28"/>
              <w:lang w:val="en-US" w:eastAsia="zh-CN" w:bidi="ar-SA"/>
            </w:rPr>
            <w:t>得到提升</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_Toc9954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10</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09EA9FE5">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b w:val="0"/>
              <w:bCs/>
              <w:color w:val="auto"/>
              <w:kern w:val="2"/>
              <w:sz w:val="28"/>
              <w:szCs w:val="28"/>
              <w:lang w:val="en-US" w:eastAsia="zh-CN" w:bidi="ar-SA"/>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_Toc20340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kern w:val="2"/>
              <w:sz w:val="28"/>
              <w:szCs w:val="28"/>
              <w:lang w:val="en-US" w:eastAsia="zh-CN" w:bidi="ar-SA"/>
            </w:rPr>
            <w:t>（四）</w:t>
          </w:r>
          <w:r>
            <w:rPr>
              <w:rFonts w:hint="default" w:ascii="Times New Roman" w:hAnsi="Times New Roman" w:eastAsia="方正仿宋_GB2312" w:cs="Times New Roman"/>
              <w:b w:val="0"/>
              <w:bCs/>
              <w:color w:val="auto"/>
              <w:kern w:val="2"/>
              <w:sz w:val="28"/>
              <w:szCs w:val="28"/>
              <w:lang w:bidi="ar-SA"/>
            </w:rPr>
            <w:t>持续完善国土空间规划“一张图”系统，</w:t>
          </w:r>
          <w:r>
            <w:rPr>
              <w:rFonts w:hint="default" w:ascii="Times New Roman" w:hAnsi="Times New Roman" w:eastAsia="方正仿宋_GB2312" w:cs="Times New Roman"/>
              <w:b w:val="0"/>
              <w:bCs/>
              <w:color w:val="auto"/>
              <w:kern w:val="2"/>
              <w:sz w:val="28"/>
              <w:szCs w:val="28"/>
              <w:lang w:val="en-US" w:eastAsia="zh-CN" w:bidi="ar-SA"/>
            </w:rPr>
            <w:t>为</w:t>
          </w:r>
          <w:r>
            <w:rPr>
              <w:rFonts w:hint="default" w:ascii="Times New Roman" w:hAnsi="Times New Roman" w:eastAsia="方正仿宋_GB2312" w:cs="Times New Roman"/>
              <w:b w:val="0"/>
              <w:bCs/>
              <w:color w:val="auto"/>
              <w:kern w:val="2"/>
              <w:sz w:val="28"/>
              <w:szCs w:val="28"/>
              <w:lang w:bidi="ar-SA"/>
            </w:rPr>
            <w:t>科学全面决策</w:t>
          </w:r>
          <w:r>
            <w:rPr>
              <w:rFonts w:hint="default" w:ascii="Times New Roman" w:hAnsi="Times New Roman" w:eastAsia="方正仿宋_GB2312" w:cs="Times New Roman"/>
              <w:b w:val="0"/>
              <w:bCs/>
              <w:color w:val="auto"/>
              <w:kern w:val="2"/>
              <w:sz w:val="28"/>
              <w:szCs w:val="28"/>
              <w:lang w:val="en-US" w:eastAsia="zh-CN" w:bidi="ar-SA"/>
            </w:rPr>
            <w:t>提供</w:t>
          </w:r>
        </w:p>
        <w:p w14:paraId="5C502340">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b w:val="0"/>
              <w:bCs/>
              <w:color w:val="auto"/>
              <w:kern w:val="2"/>
              <w:sz w:val="28"/>
              <w:szCs w:val="28"/>
              <w:lang w:val="en-US" w:eastAsia="zh-CN" w:bidi="ar-SA"/>
            </w:rPr>
            <w:t>了</w:t>
          </w:r>
          <w:r>
            <w:rPr>
              <w:rFonts w:hint="default" w:ascii="Times New Roman" w:hAnsi="Times New Roman" w:eastAsia="方正仿宋_GB2312" w:cs="Times New Roman"/>
              <w:b w:val="0"/>
              <w:bCs/>
              <w:color w:val="auto"/>
              <w:kern w:val="2"/>
              <w:sz w:val="28"/>
              <w:szCs w:val="28"/>
              <w:lang w:bidi="ar-SA"/>
            </w:rPr>
            <w:t>信息支</w:t>
          </w:r>
          <w:r>
            <w:rPr>
              <w:rFonts w:hint="default" w:ascii="Times New Roman" w:hAnsi="Times New Roman" w:eastAsia="方正仿宋_GB2312" w:cs="Times New Roman"/>
              <w:b w:val="0"/>
              <w:bCs/>
              <w:color w:val="auto"/>
              <w:kern w:val="2"/>
              <w:sz w:val="28"/>
              <w:szCs w:val="28"/>
              <w:lang w:val="en-US" w:eastAsia="zh-CN" w:bidi="ar-SA"/>
            </w:rPr>
            <w:t>撑</w:t>
          </w:r>
          <w:r>
            <w:rPr>
              <w:rFonts w:hint="default" w:ascii="Times New Roman" w:hAnsi="Times New Roman" w:eastAsia="方正仿宋_GB2312" w:cs="Times New Roman"/>
              <w:bCs/>
              <w:sz w:val="28"/>
              <w:szCs w:val="28"/>
            </w:rPr>
            <w:tab/>
          </w:r>
          <w:r>
            <w:rPr>
              <w:rFonts w:hint="default" w:ascii="Times New Roman" w:hAnsi="Times New Roman" w:eastAsia="方正仿宋_GB2312" w:cs="Times New Roman"/>
              <w:bCs/>
              <w:sz w:val="28"/>
              <w:szCs w:val="28"/>
            </w:rPr>
            <w:fldChar w:fldCharType="begin"/>
          </w:r>
          <w:r>
            <w:rPr>
              <w:rFonts w:hint="default" w:ascii="Times New Roman" w:hAnsi="Times New Roman" w:eastAsia="方正仿宋_GB2312" w:cs="Times New Roman"/>
              <w:bCs/>
              <w:sz w:val="28"/>
              <w:szCs w:val="28"/>
            </w:rPr>
            <w:instrText xml:space="preserve"> PAGEREF _Toc20340 \h </w:instrText>
          </w:r>
          <w:r>
            <w:rPr>
              <w:rFonts w:hint="default" w:ascii="Times New Roman" w:hAnsi="Times New Roman" w:eastAsia="方正仿宋_GB2312" w:cs="Times New Roman"/>
              <w:bCs/>
              <w:sz w:val="28"/>
              <w:szCs w:val="28"/>
            </w:rPr>
            <w:fldChar w:fldCharType="separate"/>
          </w:r>
          <w:r>
            <w:rPr>
              <w:rFonts w:hint="default" w:ascii="Times New Roman" w:hAnsi="Times New Roman" w:eastAsia="方正仿宋_GB2312" w:cs="Times New Roman"/>
              <w:bCs/>
              <w:sz w:val="28"/>
              <w:szCs w:val="28"/>
            </w:rPr>
            <w:t>11</w:t>
          </w:r>
          <w:r>
            <w:rPr>
              <w:rFonts w:hint="default" w:ascii="Times New Roman" w:hAnsi="Times New Roman" w:eastAsia="方正仿宋_GB2312" w:cs="Times New Roman"/>
              <w:bCs/>
              <w:sz w:val="28"/>
              <w:szCs w:val="28"/>
            </w:rPr>
            <w:fldChar w:fldCharType="end"/>
          </w:r>
          <w:r>
            <w:rPr>
              <w:rFonts w:hint="default" w:ascii="Times New Roman" w:hAnsi="Times New Roman" w:eastAsia="方正仿宋_GB2312" w:cs="Times New Roman"/>
              <w:sz w:val="28"/>
              <w:szCs w:val="28"/>
            </w:rPr>
            <w:fldChar w:fldCharType="end"/>
          </w:r>
        </w:p>
        <w:p w14:paraId="15A6F789">
          <w:pPr>
            <w:pStyle w:val="6"/>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_Toc15857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黑体" w:cs="Times New Roman"/>
              <w:kern w:val="2"/>
              <w:sz w:val="28"/>
              <w:szCs w:val="28"/>
              <w:lang w:val="en-US" w:eastAsia="zh-CN" w:bidi="ar-SA"/>
            </w:rPr>
            <w:t>五、绩效评价结论及指标分析</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_Toc15857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11</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336D1311">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_Toc13347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sz w:val="28"/>
              <w:szCs w:val="28"/>
              <w:lang w:val="en-US" w:eastAsia="zh-CN"/>
            </w:rPr>
            <w:t>（一）得分情况</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_Toc13347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11</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20E81BD7">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_Toc9519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sz w:val="28"/>
              <w:szCs w:val="28"/>
              <w:lang w:val="en-US" w:eastAsia="zh-CN"/>
            </w:rPr>
            <w:t>（二）指标分析</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_Toc9519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11</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52D0B34D">
          <w:pPr>
            <w:pStyle w:val="6"/>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_Toc9607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黑体" w:cs="Times New Roman"/>
              <w:bCs w:val="0"/>
              <w:sz w:val="28"/>
              <w:szCs w:val="28"/>
              <w:lang w:val="en-US" w:eastAsia="zh-CN"/>
            </w:rPr>
            <w:t>六、存在的主要问题</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_Toc9607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12</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2D56B2C0">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_Toc14936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sz w:val="28"/>
              <w:szCs w:val="28"/>
              <w:lang w:val="en-US" w:eastAsia="zh-CN"/>
            </w:rPr>
            <w:t>（一）项目管理待加强</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_Toc14936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12</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2B76DC44">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_Toc15839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sz w:val="28"/>
              <w:szCs w:val="28"/>
              <w:lang w:val="en-US" w:eastAsia="zh-CN"/>
            </w:rPr>
            <w:t>（二）资金管理待规范</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_Toc15839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15</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2D7AB18C">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bCs/>
              <w:kern w:val="2"/>
              <w:sz w:val="28"/>
              <w:szCs w:val="28"/>
              <w:lang w:val="en-US" w:eastAsia="zh-CN" w:bidi="ar-SA"/>
            </w:rPr>
          </w:pPr>
          <w:r>
            <w:rPr>
              <w:rFonts w:hint="default" w:ascii="Times New Roman" w:hAnsi="Times New Roman" w:eastAsia="方正仿宋_GB2312" w:cs="Times New Roman"/>
              <w:bCs/>
              <w:kern w:val="2"/>
              <w:sz w:val="28"/>
              <w:szCs w:val="28"/>
              <w:lang w:val="en-US" w:eastAsia="zh-CN" w:bidi="ar-SA"/>
            </w:rPr>
            <w:t>（三）个别项目绩效未达预期</w:t>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_Toc15839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_Toc15839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15</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0C6A081D">
          <w:pPr>
            <w:pStyle w:val="6"/>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_Toc11280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黑体" w:cs="Times New Roman"/>
              <w:bCs w:val="0"/>
              <w:sz w:val="28"/>
              <w:szCs w:val="28"/>
              <w:lang w:val="en-US" w:eastAsia="zh-CN"/>
            </w:rPr>
            <w:t>七、相关建议</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_Toc11280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16</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036D84E3">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_Toc28489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sz w:val="28"/>
              <w:szCs w:val="28"/>
              <w:lang w:val="en-US" w:eastAsia="zh-CN"/>
            </w:rPr>
            <w:t>（一）加强项目管理</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_Toc28489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16</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2CC3C2DF">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_Toc14017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sz w:val="28"/>
              <w:szCs w:val="28"/>
              <w:lang w:val="en-US" w:eastAsia="zh-CN"/>
            </w:rPr>
            <w:t>（二）规范资金管理</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_Toc14017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17</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086E4DBF">
          <w:pPr>
            <w:pStyle w:val="7"/>
            <w:keepNext w:val="0"/>
            <w:keepLines w:val="0"/>
            <w:pageBreakBefore w:val="0"/>
            <w:widowControl w:val="0"/>
            <w:tabs>
              <w:tab w:val="right" w:leader="dot" w:pos="8020"/>
            </w:tabs>
            <w:kinsoku/>
            <w:wordWrap/>
            <w:overflowPunct/>
            <w:topLinePunct w:val="0"/>
            <w:autoSpaceDE/>
            <w:autoSpaceDN/>
            <w:bidi w:val="0"/>
            <w:adjustRightInd/>
            <w:snapToGrid/>
            <w:spacing w:beforeLines="0" w:afterLines="0" w:line="600" w:lineRule="exact"/>
            <w:ind w:left="0" w:leftChars="0" w:firstLine="0" w:firstLineChars="0"/>
            <w:textAlignment w:val="auto"/>
            <w:rPr>
              <w:rFonts w:hint="default" w:ascii="Times New Roman" w:hAnsi="Times New Roman" w:eastAsia="方正仿宋_GB2312" w:cs="Times New Roman"/>
              <w:sz w:val="28"/>
              <w:szCs w:val="28"/>
            </w:rPr>
          </w:pP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HYPERLINK \l _Toc14017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bCs/>
              <w:sz w:val="28"/>
              <w:szCs w:val="28"/>
              <w:lang w:val="en-US" w:eastAsia="zh-CN"/>
            </w:rPr>
            <w:t>（三）加强前期调研评估，提升项目绩效</w:t>
          </w:r>
          <w:r>
            <w:rPr>
              <w:rFonts w:hint="default" w:ascii="Times New Roman" w:hAnsi="Times New Roman" w:eastAsia="方正仿宋_GB2312" w:cs="Times New Roman"/>
              <w:sz w:val="28"/>
              <w:szCs w:val="28"/>
            </w:rPr>
            <w:tab/>
          </w:r>
          <w:r>
            <w:rPr>
              <w:rFonts w:hint="default" w:ascii="Times New Roman" w:hAnsi="Times New Roman" w:eastAsia="方正仿宋_GB2312" w:cs="Times New Roman"/>
              <w:sz w:val="28"/>
              <w:szCs w:val="28"/>
            </w:rPr>
            <w:fldChar w:fldCharType="begin"/>
          </w:r>
          <w:r>
            <w:rPr>
              <w:rFonts w:hint="default" w:ascii="Times New Roman" w:hAnsi="Times New Roman" w:eastAsia="方正仿宋_GB2312" w:cs="Times New Roman"/>
              <w:sz w:val="28"/>
              <w:szCs w:val="28"/>
            </w:rPr>
            <w:instrText xml:space="preserve"> PAGEREF _Toc14017 \h </w:instrText>
          </w:r>
          <w:r>
            <w:rPr>
              <w:rFonts w:hint="default" w:ascii="Times New Roman" w:hAnsi="Times New Roman" w:eastAsia="方正仿宋_GB2312" w:cs="Times New Roman"/>
              <w:sz w:val="28"/>
              <w:szCs w:val="28"/>
            </w:rPr>
            <w:fldChar w:fldCharType="separate"/>
          </w:r>
          <w:r>
            <w:rPr>
              <w:rFonts w:hint="default" w:ascii="Times New Roman" w:hAnsi="Times New Roman" w:eastAsia="方正仿宋_GB2312" w:cs="Times New Roman"/>
              <w:sz w:val="28"/>
              <w:szCs w:val="28"/>
            </w:rPr>
            <w:t>17</w:t>
          </w:r>
          <w:r>
            <w:rPr>
              <w:rFonts w:hint="default" w:ascii="Times New Roman" w:hAnsi="Times New Roman" w:eastAsia="方正仿宋_GB2312" w:cs="Times New Roman"/>
              <w:sz w:val="28"/>
              <w:szCs w:val="28"/>
            </w:rPr>
            <w:fldChar w:fldCharType="end"/>
          </w:r>
          <w:r>
            <w:rPr>
              <w:rFonts w:hint="default" w:ascii="Times New Roman" w:hAnsi="Times New Roman" w:eastAsia="方正仿宋_GB2312" w:cs="Times New Roman"/>
              <w:sz w:val="28"/>
              <w:szCs w:val="28"/>
            </w:rPr>
            <w:fldChar w:fldCharType="end"/>
          </w:r>
        </w:p>
        <w:p w14:paraId="69991E1F">
          <w:pPr>
            <w:spacing w:beforeLines="0" w:afterLines="0"/>
            <w:rPr>
              <w:rFonts w:hint="default" w:ascii="Times New Roman" w:hAnsi="Times New Roman" w:cs="Times New Roman"/>
            </w:rPr>
          </w:pPr>
        </w:p>
        <w:p w14:paraId="3A778007">
          <w:pPr>
            <w:keepNext w:val="0"/>
            <w:keepLines w:val="0"/>
            <w:pageBreakBefore w:val="0"/>
            <w:widowControl w:val="0"/>
            <w:kinsoku/>
            <w:wordWrap/>
            <w:overflowPunct/>
            <w:topLinePunct w:val="0"/>
            <w:autoSpaceDE/>
            <w:autoSpaceDN/>
            <w:bidi w:val="0"/>
            <w:adjustRightInd/>
            <w:snapToGrid/>
            <w:spacing w:beforeLines="0" w:afterLines="0" w:line="600" w:lineRule="exact"/>
            <w:textAlignment w:val="auto"/>
            <w:rPr>
              <w:rFonts w:hint="default" w:ascii="Times New Roman" w:hAnsi="Times New Roman" w:cs="Times New Roman"/>
            </w:rPr>
          </w:pPr>
          <w:r>
            <w:rPr>
              <w:rFonts w:hint="default" w:ascii="Times New Roman" w:hAnsi="Times New Roman" w:cs="Times New Roman"/>
            </w:rPr>
            <w:fldChar w:fldCharType="end"/>
          </w:r>
        </w:p>
      </w:sdtContent>
    </w:sdt>
    <w:p w14:paraId="2EDC6040">
      <w:pPr>
        <w:rPr>
          <w:rFonts w:hint="default" w:ascii="Times New Roman" w:hAnsi="Times New Roman" w:cs="Times New Roman"/>
        </w:rPr>
      </w:pPr>
    </w:p>
    <w:p w14:paraId="7FBECD4C">
      <w:pPr>
        <w:tabs>
          <w:tab w:val="left" w:pos="1560"/>
        </w:tabs>
        <w:spacing w:before="78" w:beforeLines="25" w:after="78" w:afterLines="25" w:line="560" w:lineRule="exact"/>
        <w:jc w:val="center"/>
        <w:outlineLvl w:val="0"/>
        <w:rPr>
          <w:rFonts w:hint="default" w:ascii="Times New Roman" w:hAnsi="Times New Roman" w:eastAsia="方正公文小标宋" w:cs="Times New Roman"/>
          <w:b w:val="0"/>
          <w:bCs w:val="0"/>
          <w:sz w:val="36"/>
          <w:szCs w:val="36"/>
          <w:lang w:val="en-US" w:eastAsia="zh-CN"/>
        </w:rPr>
      </w:pPr>
      <w:bookmarkStart w:id="3" w:name="_Toc30999"/>
    </w:p>
    <w:p w14:paraId="0E13D3AC">
      <w:pPr>
        <w:tabs>
          <w:tab w:val="left" w:pos="1560"/>
        </w:tabs>
        <w:spacing w:before="78" w:beforeLines="25" w:after="78" w:afterLines="25" w:line="560" w:lineRule="exact"/>
        <w:jc w:val="center"/>
        <w:outlineLvl w:val="0"/>
        <w:rPr>
          <w:rFonts w:hint="default" w:ascii="Times New Roman" w:hAnsi="Times New Roman" w:eastAsia="方正公文小标宋" w:cs="Times New Roman"/>
          <w:b w:val="0"/>
          <w:bCs w:val="0"/>
          <w:sz w:val="36"/>
          <w:szCs w:val="36"/>
          <w:lang w:val="en-US" w:eastAsia="zh-CN"/>
        </w:rPr>
      </w:pPr>
      <w:bookmarkStart w:id="4" w:name="_Toc24420"/>
    </w:p>
    <w:p w14:paraId="7987D9F6">
      <w:pPr>
        <w:tabs>
          <w:tab w:val="left" w:pos="1560"/>
        </w:tabs>
        <w:spacing w:before="78" w:beforeLines="25" w:after="78" w:afterLines="25" w:line="560" w:lineRule="exact"/>
        <w:jc w:val="center"/>
        <w:outlineLvl w:val="0"/>
        <w:rPr>
          <w:rFonts w:hint="default" w:ascii="Times New Roman" w:hAnsi="Times New Roman" w:eastAsia="方正公文小标宋" w:cs="Times New Roman"/>
          <w:b w:val="0"/>
          <w:bCs w:val="0"/>
          <w:sz w:val="36"/>
          <w:szCs w:val="36"/>
          <w:lang w:val="en-US" w:eastAsia="zh-CN"/>
        </w:rPr>
        <w:sectPr>
          <w:footerReference r:id="rId7" w:type="default"/>
          <w:pgSz w:w="11906" w:h="16838"/>
          <w:pgMar w:top="1440" w:right="1800" w:bottom="1440" w:left="1800" w:header="851" w:footer="992" w:gutter="0"/>
          <w:pgNumType w:fmt="decimal" w:start="1"/>
          <w:cols w:space="425" w:num="1"/>
          <w:docGrid w:type="lines" w:linePitch="312" w:charSpace="0"/>
        </w:sectPr>
      </w:pPr>
    </w:p>
    <w:p w14:paraId="5E234F99">
      <w:pPr>
        <w:tabs>
          <w:tab w:val="left" w:pos="1560"/>
        </w:tabs>
        <w:spacing w:before="78" w:beforeLines="25" w:after="78" w:afterLines="25" w:line="560" w:lineRule="exact"/>
        <w:jc w:val="center"/>
        <w:outlineLvl w:val="0"/>
        <w:rPr>
          <w:rFonts w:hint="default" w:ascii="Times New Roman" w:hAnsi="Times New Roman" w:eastAsia="方正公文小标宋" w:cs="Times New Roman"/>
          <w:b w:val="0"/>
          <w:bCs w:val="0"/>
          <w:sz w:val="36"/>
          <w:szCs w:val="36"/>
          <w:lang w:val="en-US" w:eastAsia="zh-CN"/>
        </w:rPr>
      </w:pPr>
      <w:r>
        <w:rPr>
          <w:rFonts w:hint="default" w:ascii="Times New Roman" w:hAnsi="Times New Roman" w:eastAsia="方正公文小标宋" w:cs="Times New Roman"/>
          <w:b w:val="0"/>
          <w:bCs w:val="0"/>
          <w:sz w:val="36"/>
          <w:szCs w:val="36"/>
          <w:lang w:val="en-US" w:eastAsia="zh-CN"/>
        </w:rPr>
        <w:t>益阳市自然资源和规划局</w:t>
      </w:r>
      <w:bookmarkEnd w:id="3"/>
      <w:bookmarkEnd w:id="4"/>
    </w:p>
    <w:p w14:paraId="0A6CBDD4">
      <w:pPr>
        <w:tabs>
          <w:tab w:val="left" w:pos="1560"/>
        </w:tabs>
        <w:spacing w:before="78" w:beforeLines="25" w:after="78" w:afterLines="25" w:line="560" w:lineRule="exact"/>
        <w:jc w:val="center"/>
        <w:outlineLvl w:val="0"/>
        <w:rPr>
          <w:rFonts w:hint="default" w:ascii="Times New Roman" w:hAnsi="Times New Roman" w:eastAsia="方正公文小标宋" w:cs="Times New Roman"/>
          <w:b w:val="0"/>
          <w:bCs w:val="0"/>
          <w:sz w:val="36"/>
          <w:szCs w:val="36"/>
          <w:lang w:val="en-US" w:eastAsia="zh-CN"/>
        </w:rPr>
      </w:pPr>
      <w:bookmarkStart w:id="5" w:name="_Toc6203"/>
      <w:bookmarkStart w:id="6" w:name="_Toc24635"/>
      <w:r>
        <w:rPr>
          <w:rFonts w:hint="default" w:ascii="Times New Roman" w:hAnsi="Times New Roman" w:eastAsia="方正公文小标宋" w:cs="Times New Roman"/>
          <w:b w:val="0"/>
          <w:bCs w:val="0"/>
          <w:sz w:val="36"/>
          <w:szCs w:val="36"/>
          <w:lang w:val="en-US" w:eastAsia="zh-CN"/>
        </w:rPr>
        <w:t>2024年国土空间规划专项资金绩效评价报告</w:t>
      </w:r>
      <w:bookmarkEnd w:id="1"/>
      <w:bookmarkEnd w:id="5"/>
      <w:bookmarkEnd w:id="6"/>
    </w:p>
    <w:p w14:paraId="068D8F25">
      <w:pPr>
        <w:ind w:firstLine="3920" w:firstLineChars="1400"/>
        <w:rPr>
          <w:rFonts w:hint="default" w:ascii="Times New Roman" w:hAnsi="Times New Roman" w:eastAsia="方正仿宋_GB2312" w:cs="Times New Roman"/>
          <w:sz w:val="28"/>
          <w:szCs w:val="28"/>
          <w:lang w:val="en-US" w:eastAsia="zh-CN"/>
        </w:rPr>
      </w:pPr>
      <w:r>
        <w:rPr>
          <w:rFonts w:hint="default" w:ascii="Times New Roman" w:hAnsi="Times New Roman" w:eastAsia="方正仿宋_GB2312" w:cs="Times New Roman"/>
          <w:sz w:val="28"/>
          <w:szCs w:val="28"/>
          <w:lang w:val="en-US" w:eastAsia="zh-CN"/>
        </w:rPr>
        <w:t>湘宏达绩字（2025）第00</w:t>
      </w:r>
      <w:r>
        <w:rPr>
          <w:rFonts w:hint="eastAsia" w:ascii="Times New Roman" w:hAnsi="Times New Roman" w:eastAsia="方正仿宋_GB2312" w:cs="Times New Roman"/>
          <w:sz w:val="28"/>
          <w:szCs w:val="28"/>
          <w:lang w:val="en-US" w:eastAsia="zh-CN"/>
        </w:rPr>
        <w:t>7</w:t>
      </w:r>
      <w:r>
        <w:rPr>
          <w:rFonts w:hint="default" w:ascii="Times New Roman" w:hAnsi="Times New Roman" w:eastAsia="方正仿宋_GB2312" w:cs="Times New Roman"/>
          <w:sz w:val="28"/>
          <w:szCs w:val="28"/>
          <w:lang w:val="en-US" w:eastAsia="zh-CN"/>
        </w:rPr>
        <w:t>号</w:t>
      </w:r>
    </w:p>
    <w:p w14:paraId="2AF43F68">
      <w:pPr>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sz w:val="32"/>
          <w:szCs w:val="32"/>
          <w:lang w:val="en-US" w:eastAsia="zh-CN"/>
        </w:rPr>
        <w:t>为深入贯彻落实党中央、国务院和省委、省政府关于全面实施预算绩效管理的决策部署，压实各部门单位预算绩效主体责任，提升财政资金使用效益，受益阳市财政局的委托，湖南宏达会计师事务所有限责任公司于2025年6月10日—</w:t>
      </w:r>
      <w:r>
        <w:rPr>
          <w:rFonts w:hint="eastAsia" w:ascii="Times New Roman" w:hAnsi="Times New Roman" w:eastAsia="方正仿宋_GB2312" w:cs="Times New Roman"/>
          <w:sz w:val="32"/>
          <w:szCs w:val="32"/>
          <w:lang w:val="en-US" w:eastAsia="zh-CN"/>
        </w:rPr>
        <w:t>9月2</w:t>
      </w:r>
      <w:r>
        <w:rPr>
          <w:rFonts w:hint="default" w:ascii="Times New Roman" w:hAnsi="Times New Roman" w:eastAsia="方正仿宋_GB2312" w:cs="Times New Roman"/>
          <w:sz w:val="32"/>
          <w:szCs w:val="32"/>
          <w:lang w:val="en-US" w:eastAsia="zh-CN"/>
        </w:rPr>
        <w:t>0日对益阳市自然资源和规划局2024年国土空间规划专项资金进行了绩效评价，现将评价情况报告如下：</w:t>
      </w:r>
    </w:p>
    <w:p w14:paraId="4244871B">
      <w:pPr>
        <w:keepNext w:val="0"/>
        <w:keepLines w:val="0"/>
        <w:pageBreakBefore w:val="0"/>
        <w:widowControl w:val="0"/>
        <w:kinsoku/>
        <w:wordWrap/>
        <w:overflowPunct/>
        <w:topLinePunct w:val="0"/>
        <w:bidi w:val="0"/>
        <w:snapToGrid/>
        <w:spacing w:line="600" w:lineRule="exact"/>
        <w:ind w:firstLine="640" w:firstLineChars="200"/>
        <w:jc w:val="both"/>
        <w:textAlignment w:val="auto"/>
        <w:outlineLvl w:val="0"/>
        <w:rPr>
          <w:rFonts w:hint="default" w:ascii="Times New Roman" w:hAnsi="Times New Roman" w:eastAsia="黑体" w:cs="Times New Roman"/>
          <w:sz w:val="32"/>
          <w:szCs w:val="32"/>
          <w:lang w:val="en-US" w:eastAsia="zh-CN"/>
        </w:rPr>
      </w:pPr>
      <w:bookmarkStart w:id="7" w:name="_Toc13165"/>
      <w:bookmarkStart w:id="8" w:name="_Toc12587"/>
      <w:r>
        <w:rPr>
          <w:rFonts w:hint="default" w:ascii="Times New Roman" w:hAnsi="Times New Roman" w:eastAsia="黑体" w:cs="Times New Roman"/>
          <w:sz w:val="32"/>
          <w:szCs w:val="32"/>
          <w:lang w:val="en-US" w:eastAsia="zh-CN"/>
        </w:rPr>
        <w:t>一、项目资金基本情况</w:t>
      </w:r>
      <w:bookmarkEnd w:id="7"/>
      <w:bookmarkEnd w:id="8"/>
    </w:p>
    <w:p w14:paraId="6706AE50">
      <w:pPr>
        <w:keepNext w:val="0"/>
        <w:keepLines w:val="0"/>
        <w:pageBreakBefore w:val="0"/>
        <w:widowControl w:val="0"/>
        <w:kinsoku/>
        <w:wordWrap/>
        <w:overflowPunct/>
        <w:topLinePunct w:val="0"/>
        <w:bidi w:val="0"/>
        <w:snapToGrid/>
        <w:spacing w:line="600" w:lineRule="exact"/>
        <w:ind w:firstLine="643" w:firstLineChars="200"/>
        <w:jc w:val="both"/>
        <w:textAlignment w:val="auto"/>
        <w:outlineLvl w:val="1"/>
        <w:rPr>
          <w:rFonts w:hint="default" w:ascii="Times New Roman" w:hAnsi="Times New Roman" w:eastAsia="楷体" w:cs="Times New Roman"/>
          <w:b/>
          <w:bCs/>
          <w:sz w:val="32"/>
          <w:szCs w:val="32"/>
          <w:lang w:val="en-US" w:eastAsia="zh-CN"/>
        </w:rPr>
      </w:pPr>
      <w:bookmarkStart w:id="9" w:name="_Toc14759"/>
      <w:r>
        <w:rPr>
          <w:rFonts w:hint="default" w:ascii="Times New Roman" w:hAnsi="Times New Roman" w:eastAsia="楷体" w:cs="Times New Roman"/>
          <w:b/>
          <w:bCs/>
          <w:sz w:val="32"/>
          <w:szCs w:val="32"/>
          <w:lang w:val="en-US" w:eastAsia="zh-CN"/>
        </w:rPr>
        <w:t>（一）单位基本情况</w:t>
      </w:r>
      <w:bookmarkEnd w:id="9"/>
      <w:r>
        <w:rPr>
          <w:rFonts w:hint="default" w:ascii="Times New Roman" w:hAnsi="Times New Roman" w:eastAsia="楷体" w:cs="Times New Roman"/>
          <w:b/>
          <w:bCs/>
          <w:sz w:val="32"/>
          <w:szCs w:val="32"/>
          <w:lang w:val="en-US" w:eastAsia="zh-CN"/>
        </w:rPr>
        <w:t>。</w:t>
      </w:r>
    </w:p>
    <w:p w14:paraId="3D9829B9">
      <w:pPr>
        <w:keepNext w:val="0"/>
        <w:keepLines w:val="0"/>
        <w:pageBreakBefore w:val="0"/>
        <w:widowControl w:val="0"/>
        <w:kinsoku/>
        <w:wordWrap/>
        <w:overflowPunct/>
        <w:topLinePunct w:val="0"/>
        <w:bidi w:val="0"/>
        <w:snapToGrid/>
        <w:spacing w:line="600" w:lineRule="exact"/>
        <w:ind w:firstLine="640" w:firstLineChars="200"/>
        <w:jc w:val="both"/>
        <w:textAlignment w:val="auto"/>
        <w:outlineLvl w:val="0"/>
        <w:rPr>
          <w:rFonts w:hint="default" w:ascii="Times New Roman" w:hAnsi="Times New Roman" w:eastAsia="方正仿宋_GB2312" w:cs="Times New Roman"/>
          <w:b w:val="0"/>
          <w:bCs w:val="0"/>
          <w:sz w:val="32"/>
          <w:szCs w:val="32"/>
          <w:lang w:val="en-US" w:eastAsia="zh-CN"/>
        </w:rPr>
      </w:pPr>
      <w:bookmarkStart w:id="10" w:name="_Toc25785"/>
      <w:bookmarkStart w:id="11" w:name="_Toc32728"/>
      <w:r>
        <w:rPr>
          <w:rFonts w:hint="default" w:ascii="Times New Roman" w:hAnsi="Times New Roman" w:eastAsia="方正仿宋_GB2312" w:cs="Times New Roman"/>
          <w:b w:val="0"/>
          <w:bCs w:val="0"/>
          <w:sz w:val="32"/>
          <w:szCs w:val="32"/>
          <w:lang w:val="en-US" w:eastAsia="zh-CN"/>
        </w:rPr>
        <w:t>益阳市自然资源和规划局是市人民政府管理全市自然资源和规划工作的职能部门，包括25个科室和3个二级单位。2024年末，单位人员编制82人，实有在职人数81人，退休人员105人。</w:t>
      </w:r>
      <w:bookmarkEnd w:id="10"/>
      <w:bookmarkEnd w:id="11"/>
    </w:p>
    <w:p w14:paraId="19403C76">
      <w:pPr>
        <w:keepNext w:val="0"/>
        <w:keepLines w:val="0"/>
        <w:pageBreakBefore w:val="0"/>
        <w:widowControl w:val="0"/>
        <w:kinsoku/>
        <w:wordWrap/>
        <w:overflowPunct/>
        <w:topLinePunct w:val="0"/>
        <w:bidi w:val="0"/>
        <w:snapToGrid/>
        <w:spacing w:line="600" w:lineRule="exact"/>
        <w:ind w:firstLine="640" w:firstLineChars="200"/>
        <w:jc w:val="both"/>
        <w:textAlignment w:val="auto"/>
        <w:outlineLvl w:val="0"/>
        <w:rPr>
          <w:rFonts w:hint="default" w:ascii="Times New Roman" w:hAnsi="Times New Roman" w:eastAsia="方正仿宋_GB2312" w:cs="Times New Roman"/>
          <w:b w:val="0"/>
          <w:bCs w:val="0"/>
          <w:sz w:val="32"/>
          <w:szCs w:val="32"/>
          <w:lang w:val="en-US" w:eastAsia="zh-CN"/>
        </w:rPr>
      </w:pPr>
      <w:bookmarkStart w:id="12" w:name="_Toc14102"/>
      <w:bookmarkStart w:id="13" w:name="_Toc6831"/>
      <w:r>
        <w:rPr>
          <w:rFonts w:hint="default" w:ascii="Times New Roman" w:hAnsi="Times New Roman" w:eastAsia="方正仿宋_GB2312" w:cs="Times New Roman"/>
          <w:b w:val="0"/>
          <w:bCs w:val="0"/>
          <w:sz w:val="32"/>
          <w:szCs w:val="32"/>
          <w:lang w:val="en-US" w:eastAsia="zh-CN"/>
        </w:rPr>
        <w:t>职责职能：依法履行全民所有土地、矿产、森林、草原、湿地、水等自然资源资产所有者职责和国土空间用途管制职责；拟订自然资源和国土空间规划及测绘政策并组织实施；负责自然资源调查监测评价；负责自然资源统一确权登记工作；负责自然资源资产有偿使用工作；负责自然资源的合理开发利用；负责建立空间规划体系并监督实施；负责统筹国土空间生态修复；负责组织实施最严格的耕地保护制度；负责管理地质勘查行业和全市地质工作；负责地质灾害预防和治理；负责矿产资源管理工作；负责测绘地理信息管理工作；负责集体土地征收、房屋拆迁和安置补偿管理；根据授权对区县（市）政府及相关部门落实关于自然资源和国土空间规划的重大政策、决策部署及法律法规执行情况进行督察，查处自然资源开发利用、国土空间规划及测绘违法案件；完成市委、市政府交办的其他任务。</w:t>
      </w:r>
      <w:bookmarkEnd w:id="12"/>
      <w:bookmarkEnd w:id="13"/>
    </w:p>
    <w:p w14:paraId="56A5033D">
      <w:pPr>
        <w:keepNext w:val="0"/>
        <w:keepLines w:val="0"/>
        <w:pageBreakBefore w:val="0"/>
        <w:widowControl w:val="0"/>
        <w:kinsoku/>
        <w:wordWrap/>
        <w:overflowPunct/>
        <w:topLinePunct w:val="0"/>
        <w:bidi w:val="0"/>
        <w:snapToGrid/>
        <w:spacing w:line="600" w:lineRule="exact"/>
        <w:ind w:firstLine="643" w:firstLineChars="200"/>
        <w:jc w:val="both"/>
        <w:textAlignment w:val="auto"/>
        <w:outlineLvl w:val="1"/>
        <w:rPr>
          <w:rFonts w:hint="default" w:ascii="Times New Roman" w:hAnsi="Times New Roman" w:eastAsia="楷体" w:cs="Times New Roman"/>
          <w:b/>
          <w:bCs/>
          <w:sz w:val="32"/>
          <w:szCs w:val="32"/>
          <w:lang w:val="en-US" w:eastAsia="zh-CN"/>
        </w:rPr>
      </w:pPr>
      <w:bookmarkStart w:id="14" w:name="_Toc16890"/>
      <w:r>
        <w:rPr>
          <w:rFonts w:hint="default" w:ascii="Times New Roman" w:hAnsi="Times New Roman" w:eastAsia="楷体" w:cs="Times New Roman"/>
          <w:b/>
          <w:bCs/>
          <w:sz w:val="32"/>
          <w:szCs w:val="32"/>
          <w:lang w:val="en-US" w:eastAsia="zh-CN"/>
        </w:rPr>
        <w:t>（二）项目立项背景</w:t>
      </w:r>
      <w:bookmarkEnd w:id="14"/>
      <w:r>
        <w:rPr>
          <w:rFonts w:hint="default" w:ascii="Times New Roman" w:hAnsi="Times New Roman" w:eastAsia="楷体" w:cs="Times New Roman"/>
          <w:b/>
          <w:bCs/>
          <w:sz w:val="32"/>
          <w:szCs w:val="32"/>
          <w:lang w:val="en-US" w:eastAsia="zh-CN"/>
        </w:rPr>
        <w:t>。</w:t>
      </w:r>
    </w:p>
    <w:p w14:paraId="2B118289">
      <w:pPr>
        <w:keepNext w:val="0"/>
        <w:keepLines w:val="0"/>
        <w:pageBreakBefore w:val="0"/>
        <w:widowControl w:val="0"/>
        <w:kinsoku/>
        <w:wordWrap/>
        <w:overflowPunct/>
        <w:topLinePunct w:val="0"/>
        <w:bidi w:val="0"/>
        <w:snapToGrid/>
        <w:spacing w:line="600" w:lineRule="exact"/>
        <w:ind w:firstLine="640" w:firstLineChars="200"/>
        <w:jc w:val="both"/>
        <w:textAlignment w:val="auto"/>
        <w:outlineLvl w:val="0"/>
        <w:rPr>
          <w:rFonts w:hint="default" w:ascii="Times New Roman" w:hAnsi="Times New Roman" w:eastAsia="方正仿宋_GB2312" w:cs="Times New Roman"/>
          <w:b w:val="0"/>
          <w:bCs w:val="0"/>
          <w:sz w:val="32"/>
          <w:szCs w:val="32"/>
          <w:lang w:val="en-US" w:eastAsia="zh-CN"/>
        </w:rPr>
      </w:pPr>
      <w:bookmarkStart w:id="15" w:name="_Toc25731"/>
      <w:bookmarkStart w:id="16" w:name="_Toc6074"/>
      <w:r>
        <w:rPr>
          <w:rFonts w:hint="default" w:ascii="Times New Roman" w:hAnsi="Times New Roman" w:eastAsia="方正仿宋_GB2312" w:cs="Times New Roman"/>
          <w:b w:val="0"/>
          <w:bCs w:val="0"/>
          <w:sz w:val="32"/>
          <w:szCs w:val="32"/>
          <w:lang w:val="en-US" w:eastAsia="zh-CN"/>
        </w:rPr>
        <w:t>国土空间规划是国家空间发展的指南、可持续发展的空间蓝图，是各类开发保护建设活动的基本依据，事关重大、事关全局、事关长远、事关高质量发展。根据《中共中央 国务院关于建立国土空间规划体系并监督实施的若干意见》（中发〔2019〕18 号）、《自然资源部办公厅关于加强国土空间规划监督管理的通知》（自然资办发〔2020〕27号）、《湖南省自然资源厅办公室关于转发自然资源部关于加强国土空间详细规划工作的通知》（中发〔2023〕43 号）、《湖南省自然资源厅办公室关于开展2022年度国土空间规划城市体检评估工作的通知》《益阳市人民政府办公室关于印发益阳市村庄规划编制工作方案（2021—2023年）的通知》（益政办函〔2021〕32号）等文件精神，按照国家、省自然资源主管部门和市委、市政府的工作部署要求，益阳市自然资源和规划局全面启动推进全市2024年国土空间规划项目。</w:t>
      </w:r>
      <w:bookmarkEnd w:id="15"/>
      <w:bookmarkEnd w:id="16"/>
    </w:p>
    <w:p w14:paraId="03A74260">
      <w:pPr>
        <w:keepNext w:val="0"/>
        <w:keepLines w:val="0"/>
        <w:pageBreakBefore w:val="0"/>
        <w:widowControl w:val="0"/>
        <w:numPr>
          <w:ilvl w:val="0"/>
          <w:numId w:val="0"/>
        </w:numPr>
        <w:kinsoku/>
        <w:wordWrap/>
        <w:overflowPunct/>
        <w:topLinePunct w:val="0"/>
        <w:bidi w:val="0"/>
        <w:snapToGrid/>
        <w:spacing w:line="600" w:lineRule="exact"/>
        <w:ind w:firstLine="643" w:firstLineChars="200"/>
        <w:jc w:val="both"/>
        <w:textAlignment w:val="auto"/>
        <w:outlineLvl w:val="1"/>
        <w:rPr>
          <w:rFonts w:hint="default" w:ascii="Times New Roman" w:hAnsi="Times New Roman" w:eastAsia="楷体" w:cs="Times New Roman"/>
          <w:b/>
          <w:bCs/>
          <w:sz w:val="32"/>
          <w:szCs w:val="32"/>
          <w:lang w:val="en-US" w:eastAsia="zh-CN"/>
        </w:rPr>
      </w:pPr>
      <w:bookmarkStart w:id="17" w:name="_Toc6104"/>
      <w:r>
        <w:rPr>
          <w:rFonts w:hint="default" w:ascii="Times New Roman" w:hAnsi="Times New Roman" w:eastAsia="楷体" w:cs="Times New Roman"/>
          <w:b/>
          <w:bCs/>
          <w:sz w:val="32"/>
          <w:szCs w:val="32"/>
          <w:lang w:val="en-US" w:eastAsia="zh-CN"/>
        </w:rPr>
        <w:t>（三）项目主要内容</w:t>
      </w:r>
      <w:bookmarkEnd w:id="17"/>
      <w:r>
        <w:rPr>
          <w:rFonts w:hint="default" w:ascii="Times New Roman" w:hAnsi="Times New Roman" w:eastAsia="楷体" w:cs="Times New Roman"/>
          <w:b/>
          <w:bCs/>
          <w:sz w:val="32"/>
          <w:szCs w:val="32"/>
          <w:lang w:val="en-US" w:eastAsia="zh-CN"/>
        </w:rPr>
        <w:t>。</w:t>
      </w:r>
    </w:p>
    <w:p w14:paraId="4045CD8E">
      <w:pPr>
        <w:keepNext w:val="0"/>
        <w:keepLines w:val="0"/>
        <w:pageBreakBefore w:val="0"/>
        <w:widowControl w:val="0"/>
        <w:numPr>
          <w:ilvl w:val="0"/>
          <w:numId w:val="0"/>
        </w:numPr>
        <w:kinsoku/>
        <w:wordWrap/>
        <w:overflowPunct/>
        <w:topLinePunct w:val="0"/>
        <w:bidi w:val="0"/>
        <w:snapToGrid/>
        <w:spacing w:line="600" w:lineRule="exact"/>
        <w:ind w:firstLine="640"/>
        <w:jc w:val="both"/>
        <w:textAlignment w:val="auto"/>
        <w:outlineLvl w:val="0"/>
        <w:rPr>
          <w:rFonts w:hint="default" w:ascii="Times New Roman" w:hAnsi="Times New Roman" w:eastAsia="方正仿宋_GB2312" w:cs="Times New Roman"/>
          <w:b w:val="0"/>
          <w:bCs w:val="0"/>
          <w:sz w:val="32"/>
          <w:szCs w:val="32"/>
          <w:lang w:val="en-US" w:eastAsia="zh-CN"/>
        </w:rPr>
      </w:pPr>
      <w:bookmarkStart w:id="18" w:name="_Toc11132"/>
      <w:bookmarkStart w:id="19" w:name="_Toc16510"/>
      <w:r>
        <w:rPr>
          <w:rFonts w:hint="default" w:ascii="Times New Roman" w:hAnsi="Times New Roman" w:eastAsia="方正仿宋_GB2312" w:cs="Times New Roman"/>
          <w:b w:val="0"/>
          <w:bCs w:val="0"/>
          <w:sz w:val="32"/>
          <w:szCs w:val="32"/>
          <w:lang w:val="en-US" w:eastAsia="zh-CN"/>
        </w:rPr>
        <w:t>项目主要包括全市国土空间规划的编制、评估、审查、宣传以及全市国土空间规划“一张图”系统更新维护等。</w:t>
      </w:r>
      <w:bookmarkEnd w:id="18"/>
      <w:bookmarkEnd w:id="19"/>
    </w:p>
    <w:p w14:paraId="5A39817B">
      <w:pPr>
        <w:keepNext w:val="0"/>
        <w:keepLines w:val="0"/>
        <w:pageBreakBefore w:val="0"/>
        <w:widowControl w:val="0"/>
        <w:kinsoku/>
        <w:wordWrap/>
        <w:overflowPunct/>
        <w:topLinePunct w:val="0"/>
        <w:bidi w:val="0"/>
        <w:snapToGrid/>
        <w:spacing w:line="600" w:lineRule="exact"/>
        <w:ind w:firstLine="643" w:firstLineChars="200"/>
        <w:jc w:val="both"/>
        <w:textAlignment w:val="auto"/>
        <w:outlineLvl w:val="1"/>
        <w:rPr>
          <w:rFonts w:hint="default" w:ascii="Times New Roman" w:hAnsi="Times New Roman" w:eastAsia="楷体" w:cs="Times New Roman"/>
          <w:b/>
          <w:bCs/>
          <w:sz w:val="32"/>
          <w:szCs w:val="32"/>
          <w:lang w:val="en-US" w:eastAsia="zh-CN"/>
        </w:rPr>
      </w:pPr>
      <w:bookmarkStart w:id="20" w:name="_Toc1099"/>
      <w:bookmarkStart w:id="21" w:name="_Toc598"/>
      <w:r>
        <w:rPr>
          <w:rFonts w:hint="default" w:ascii="Times New Roman" w:hAnsi="Times New Roman" w:eastAsia="楷体" w:cs="Times New Roman"/>
          <w:b/>
          <w:bCs/>
          <w:sz w:val="32"/>
          <w:szCs w:val="32"/>
          <w:lang w:val="en-US" w:eastAsia="zh-CN"/>
        </w:rPr>
        <w:t>（四）专项资金管理、安排、到位、使用及结余情况</w:t>
      </w:r>
      <w:bookmarkEnd w:id="20"/>
      <w:bookmarkEnd w:id="21"/>
      <w:r>
        <w:rPr>
          <w:rFonts w:hint="default" w:ascii="Times New Roman" w:hAnsi="Times New Roman" w:eastAsia="楷体" w:cs="Times New Roman"/>
          <w:b/>
          <w:bCs/>
          <w:sz w:val="32"/>
          <w:szCs w:val="32"/>
          <w:lang w:val="en-US" w:eastAsia="zh-CN"/>
        </w:rPr>
        <w:t>。</w:t>
      </w:r>
    </w:p>
    <w:p w14:paraId="5D5AE811">
      <w:pPr>
        <w:keepNext w:val="0"/>
        <w:keepLines w:val="0"/>
        <w:pageBreakBefore w:val="0"/>
        <w:widowControl w:val="0"/>
        <w:kinsoku/>
        <w:wordWrap/>
        <w:overflowPunct/>
        <w:topLinePunct w:val="0"/>
        <w:bidi w:val="0"/>
        <w:snapToGrid/>
        <w:spacing w:line="600" w:lineRule="exact"/>
        <w:ind w:firstLine="643" w:firstLineChars="200"/>
        <w:jc w:val="both"/>
        <w:textAlignment w:val="auto"/>
        <w:outlineLvl w:val="1"/>
        <w:rPr>
          <w:rFonts w:hint="default" w:ascii="Times New Roman" w:hAnsi="Times New Roman" w:eastAsia="方正仿宋_GB2312" w:cs="Times New Roman"/>
          <w:b w:val="0"/>
          <w:bCs w:val="0"/>
          <w:sz w:val="32"/>
          <w:szCs w:val="32"/>
          <w:lang w:val="en-US" w:eastAsia="zh-CN"/>
        </w:rPr>
      </w:pPr>
      <w:bookmarkStart w:id="22" w:name="_Toc15276"/>
      <w:bookmarkStart w:id="23" w:name="_Toc11927"/>
      <w:r>
        <w:rPr>
          <w:rFonts w:hint="default" w:ascii="Times New Roman" w:hAnsi="Times New Roman" w:eastAsia="方正仿宋_GB2312" w:cs="Times New Roman"/>
          <w:b/>
          <w:bCs/>
          <w:sz w:val="32"/>
          <w:szCs w:val="32"/>
          <w:lang w:val="en-US" w:eastAsia="zh-CN"/>
        </w:rPr>
        <w:t>1.专项资金管理情况。</w:t>
      </w:r>
      <w:r>
        <w:rPr>
          <w:rFonts w:hint="default" w:ascii="Times New Roman" w:hAnsi="Times New Roman" w:eastAsia="方正仿宋_GB2312" w:cs="Times New Roman"/>
          <w:b w:val="0"/>
          <w:bCs w:val="0"/>
          <w:sz w:val="32"/>
          <w:szCs w:val="32"/>
          <w:lang w:val="en-US" w:eastAsia="zh-CN"/>
        </w:rPr>
        <w:t>专项资金由市自然资源和规划局和市财政局共同管理。市自然资源和规划局负责国土空间规划专项资金年度预算编制；按照财务制度、专项资金管理制度的要求，以“量入为出、专款专用、专项核算、专项结报”的原则，对专项资金严格审核并及时支付；配合市财政局做好资金监管、绩效评价工作。市财政局根据项目实施进度以及市自然资源和规划局的申请在年度预算内及时、足额安排资金；对专项资金的使用情况进行监督管理、绩效评价。</w:t>
      </w:r>
      <w:bookmarkEnd w:id="22"/>
      <w:bookmarkEnd w:id="23"/>
    </w:p>
    <w:p w14:paraId="53DE97A2">
      <w:pPr>
        <w:keepNext w:val="0"/>
        <w:keepLines w:val="0"/>
        <w:pageBreakBefore w:val="0"/>
        <w:widowControl w:val="0"/>
        <w:kinsoku/>
        <w:wordWrap/>
        <w:overflowPunct/>
        <w:topLinePunct w:val="0"/>
        <w:bidi w:val="0"/>
        <w:snapToGrid/>
        <w:spacing w:after="79" w:afterLines="25" w:line="600" w:lineRule="exact"/>
        <w:ind w:firstLine="643" w:firstLineChars="200"/>
        <w:jc w:val="both"/>
        <w:textAlignment w:val="auto"/>
        <w:outlineLvl w:val="1"/>
        <w:rPr>
          <w:rFonts w:hint="default" w:ascii="Times New Roman" w:hAnsi="Times New Roman" w:eastAsia="方正仿宋_GB2312" w:cs="Times New Roman"/>
          <w:b w:val="0"/>
          <w:bCs w:val="0"/>
          <w:sz w:val="32"/>
          <w:szCs w:val="32"/>
          <w:lang w:val="en-US" w:eastAsia="zh-CN"/>
        </w:rPr>
      </w:pPr>
      <w:bookmarkStart w:id="24" w:name="_Toc26649"/>
      <w:bookmarkStart w:id="25" w:name="_Toc457"/>
      <w:r>
        <w:rPr>
          <w:rFonts w:hint="default" w:ascii="Times New Roman" w:hAnsi="Times New Roman" w:eastAsia="方正仿宋_GB2312" w:cs="Times New Roman"/>
          <w:b/>
          <w:bCs/>
          <w:sz w:val="32"/>
          <w:szCs w:val="32"/>
          <w:lang w:val="en-US" w:eastAsia="zh-CN"/>
        </w:rPr>
        <w:t>2.资金安排情况。</w:t>
      </w:r>
      <w:r>
        <w:rPr>
          <w:rFonts w:hint="default" w:ascii="Times New Roman" w:hAnsi="Times New Roman" w:eastAsia="方正仿宋_GB2312" w:cs="Times New Roman"/>
          <w:b w:val="0"/>
          <w:bCs w:val="0"/>
          <w:sz w:val="32"/>
          <w:szCs w:val="32"/>
          <w:lang w:val="en-US" w:eastAsia="zh-CN"/>
        </w:rPr>
        <w:t>2024年，市财政局分5批次共安排国土空间规划专项资金</w:t>
      </w:r>
      <w:r>
        <w:rPr>
          <w:rFonts w:hint="default" w:ascii="Times New Roman" w:hAnsi="Times New Roman" w:eastAsia="方正仿宋_GB2312" w:cs="Times New Roman"/>
          <w:b w:val="0"/>
          <w:bCs w:val="0"/>
          <w:sz w:val="32"/>
          <w:szCs w:val="32"/>
          <w:vertAlign w:val="baseline"/>
          <w:lang w:val="en-US" w:eastAsia="zh-CN"/>
        </w:rPr>
        <w:t>580.44</w:t>
      </w:r>
      <w:r>
        <w:rPr>
          <w:rFonts w:hint="default" w:ascii="Times New Roman" w:hAnsi="Times New Roman" w:eastAsia="方正仿宋_GB2312" w:cs="Times New Roman"/>
          <w:b w:val="0"/>
          <w:bCs w:val="0"/>
          <w:sz w:val="32"/>
          <w:szCs w:val="32"/>
          <w:lang w:val="en-US" w:eastAsia="zh-CN"/>
        </w:rPr>
        <w:t>万元，各批次安排时间及金额具体如下表</w:t>
      </w:r>
      <w:bookmarkEnd w:id="24"/>
      <w:bookmarkEnd w:id="25"/>
      <w:r>
        <w:rPr>
          <w:rFonts w:hint="default" w:ascii="Times New Roman" w:hAnsi="Times New Roman" w:eastAsia="方正仿宋_GB2312" w:cs="Times New Roman"/>
          <w:b w:val="0"/>
          <w:bCs w:val="0"/>
          <w:sz w:val="32"/>
          <w:szCs w:val="32"/>
          <w:lang w:val="en-US"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3"/>
        <w:gridCol w:w="2761"/>
        <w:gridCol w:w="2742"/>
      </w:tblGrid>
      <w:tr w14:paraId="56B6A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40" w:type="dxa"/>
            <w:vAlign w:val="center"/>
          </w:tcPr>
          <w:p w14:paraId="03BEEA3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bCs/>
                <w:sz w:val="21"/>
                <w:szCs w:val="21"/>
                <w:vertAlign w:val="baseline"/>
                <w:lang w:val="en-US" w:eastAsia="zh-CN"/>
              </w:rPr>
            </w:pPr>
            <w:bookmarkStart w:id="26" w:name="_Toc25396"/>
            <w:bookmarkStart w:id="27" w:name="_Toc14432"/>
            <w:r>
              <w:rPr>
                <w:rFonts w:hint="default" w:ascii="Times New Roman" w:hAnsi="Times New Roman" w:eastAsia="方正仿宋_GB2312" w:cs="Times New Roman"/>
                <w:b/>
                <w:bCs/>
                <w:sz w:val="21"/>
                <w:szCs w:val="21"/>
                <w:vertAlign w:val="baseline"/>
                <w:lang w:val="en-US" w:eastAsia="zh-CN"/>
              </w:rPr>
              <w:t>资金指标文号</w:t>
            </w:r>
            <w:bookmarkEnd w:id="26"/>
            <w:bookmarkEnd w:id="27"/>
          </w:p>
        </w:tc>
        <w:tc>
          <w:tcPr>
            <w:tcW w:w="2841" w:type="dxa"/>
            <w:vAlign w:val="center"/>
          </w:tcPr>
          <w:p w14:paraId="48ECED3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bCs/>
                <w:sz w:val="21"/>
                <w:szCs w:val="21"/>
                <w:vertAlign w:val="baseline"/>
                <w:lang w:val="en-US" w:eastAsia="zh-CN"/>
              </w:rPr>
            </w:pPr>
            <w:bookmarkStart w:id="28" w:name="_Toc25522"/>
            <w:bookmarkStart w:id="29" w:name="_Toc20680"/>
            <w:r>
              <w:rPr>
                <w:rFonts w:hint="default" w:ascii="Times New Roman" w:hAnsi="Times New Roman" w:eastAsia="方正仿宋_GB2312" w:cs="Times New Roman"/>
                <w:b/>
                <w:bCs/>
                <w:sz w:val="21"/>
                <w:szCs w:val="21"/>
                <w:vertAlign w:val="baseline"/>
                <w:lang w:val="en-US" w:eastAsia="zh-CN"/>
              </w:rPr>
              <w:t>安排时间</w:t>
            </w:r>
            <w:bookmarkEnd w:id="28"/>
            <w:bookmarkEnd w:id="29"/>
          </w:p>
        </w:tc>
        <w:tc>
          <w:tcPr>
            <w:tcW w:w="2841" w:type="dxa"/>
            <w:vAlign w:val="center"/>
          </w:tcPr>
          <w:p w14:paraId="491A6D4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bCs/>
                <w:sz w:val="21"/>
                <w:szCs w:val="21"/>
                <w:vertAlign w:val="baseline"/>
                <w:lang w:val="en-US" w:eastAsia="zh-CN"/>
              </w:rPr>
            </w:pPr>
            <w:bookmarkStart w:id="30" w:name="_Toc29687"/>
            <w:bookmarkStart w:id="31" w:name="_Toc11512"/>
            <w:r>
              <w:rPr>
                <w:rFonts w:hint="default" w:ascii="Times New Roman" w:hAnsi="Times New Roman" w:eastAsia="方正仿宋_GB2312" w:cs="Times New Roman"/>
                <w:b/>
                <w:bCs/>
                <w:sz w:val="21"/>
                <w:szCs w:val="21"/>
                <w:vertAlign w:val="baseline"/>
                <w:lang w:val="en-US" w:eastAsia="zh-CN"/>
              </w:rPr>
              <w:t>安排金额（万元）</w:t>
            </w:r>
            <w:bookmarkEnd w:id="30"/>
            <w:bookmarkEnd w:id="31"/>
          </w:p>
        </w:tc>
      </w:tr>
      <w:tr w14:paraId="5FD56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40" w:type="dxa"/>
            <w:vAlign w:val="center"/>
          </w:tcPr>
          <w:p w14:paraId="767AD60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bookmarkStart w:id="32" w:name="_Toc6233"/>
            <w:bookmarkStart w:id="33" w:name="_Toc23140"/>
            <w:r>
              <w:rPr>
                <w:rFonts w:hint="default" w:ascii="Times New Roman" w:hAnsi="Times New Roman" w:eastAsia="方正仿宋_GB2312" w:cs="Times New Roman"/>
                <w:b w:val="0"/>
                <w:bCs w:val="0"/>
                <w:sz w:val="21"/>
                <w:szCs w:val="21"/>
                <w:vertAlign w:val="baseline"/>
                <w:lang w:val="en-US" w:eastAsia="zh-CN"/>
              </w:rPr>
              <w:t>2024资环指0024号</w:t>
            </w:r>
            <w:bookmarkEnd w:id="32"/>
            <w:bookmarkEnd w:id="33"/>
          </w:p>
        </w:tc>
        <w:tc>
          <w:tcPr>
            <w:tcW w:w="2841" w:type="dxa"/>
            <w:vAlign w:val="center"/>
          </w:tcPr>
          <w:p w14:paraId="7C92DDF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bookmarkStart w:id="34" w:name="_Toc19538"/>
            <w:bookmarkStart w:id="35" w:name="_Toc13724"/>
            <w:r>
              <w:rPr>
                <w:rFonts w:hint="default" w:ascii="Times New Roman" w:hAnsi="Times New Roman" w:eastAsia="方正仿宋_GB2312" w:cs="Times New Roman"/>
                <w:b w:val="0"/>
                <w:bCs w:val="0"/>
                <w:sz w:val="21"/>
                <w:szCs w:val="21"/>
                <w:vertAlign w:val="baseline"/>
                <w:lang w:val="en-US" w:eastAsia="zh-CN"/>
              </w:rPr>
              <w:t>2024-01-31</w:t>
            </w:r>
            <w:bookmarkEnd w:id="34"/>
            <w:bookmarkEnd w:id="35"/>
          </w:p>
        </w:tc>
        <w:tc>
          <w:tcPr>
            <w:tcW w:w="2841" w:type="dxa"/>
            <w:vAlign w:val="center"/>
          </w:tcPr>
          <w:p w14:paraId="1C1F858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bookmarkStart w:id="36" w:name="_Toc15661"/>
            <w:bookmarkStart w:id="37" w:name="_Toc11003"/>
            <w:r>
              <w:rPr>
                <w:rFonts w:hint="default" w:ascii="Times New Roman" w:hAnsi="Times New Roman" w:eastAsia="方正仿宋_GB2312" w:cs="Times New Roman"/>
                <w:b w:val="0"/>
                <w:bCs w:val="0"/>
                <w:sz w:val="21"/>
                <w:szCs w:val="21"/>
                <w:vertAlign w:val="baseline"/>
                <w:lang w:val="en-US" w:eastAsia="zh-CN"/>
              </w:rPr>
              <w:t>34.8</w:t>
            </w:r>
            <w:bookmarkEnd w:id="36"/>
            <w:bookmarkEnd w:id="37"/>
          </w:p>
        </w:tc>
      </w:tr>
      <w:tr w14:paraId="07D9A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40" w:type="dxa"/>
            <w:vAlign w:val="center"/>
          </w:tcPr>
          <w:p w14:paraId="0BCB583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bookmarkStart w:id="38" w:name="_Toc17782"/>
            <w:bookmarkStart w:id="39" w:name="_Toc20415"/>
            <w:r>
              <w:rPr>
                <w:rFonts w:hint="default" w:ascii="Times New Roman" w:hAnsi="Times New Roman" w:eastAsia="方正仿宋_GB2312" w:cs="Times New Roman"/>
                <w:b w:val="0"/>
                <w:bCs w:val="0"/>
                <w:sz w:val="21"/>
                <w:szCs w:val="21"/>
                <w:vertAlign w:val="baseline"/>
                <w:lang w:val="en-US" w:eastAsia="zh-CN"/>
              </w:rPr>
              <w:t>2024资环指0036号</w:t>
            </w:r>
            <w:bookmarkEnd w:id="38"/>
            <w:bookmarkEnd w:id="39"/>
          </w:p>
        </w:tc>
        <w:tc>
          <w:tcPr>
            <w:tcW w:w="2841" w:type="dxa"/>
            <w:vAlign w:val="center"/>
          </w:tcPr>
          <w:p w14:paraId="6979740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bookmarkStart w:id="40" w:name="_Toc32102"/>
            <w:bookmarkStart w:id="41" w:name="_Toc8214"/>
            <w:r>
              <w:rPr>
                <w:rFonts w:hint="default" w:ascii="Times New Roman" w:hAnsi="Times New Roman" w:eastAsia="方正仿宋_GB2312" w:cs="Times New Roman"/>
                <w:b w:val="0"/>
                <w:bCs w:val="0"/>
                <w:sz w:val="21"/>
                <w:szCs w:val="21"/>
                <w:vertAlign w:val="baseline"/>
                <w:lang w:val="en-US" w:eastAsia="zh-CN"/>
              </w:rPr>
              <w:t>2024-02-20</w:t>
            </w:r>
            <w:bookmarkEnd w:id="40"/>
            <w:bookmarkEnd w:id="41"/>
          </w:p>
        </w:tc>
        <w:tc>
          <w:tcPr>
            <w:tcW w:w="2841" w:type="dxa"/>
            <w:vAlign w:val="center"/>
          </w:tcPr>
          <w:p w14:paraId="12122B2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bookmarkStart w:id="42" w:name="_Toc24779"/>
            <w:bookmarkStart w:id="43" w:name="_Toc27054"/>
            <w:r>
              <w:rPr>
                <w:rFonts w:hint="default" w:ascii="Times New Roman" w:hAnsi="Times New Roman" w:eastAsia="方正仿宋_GB2312" w:cs="Times New Roman"/>
                <w:b w:val="0"/>
                <w:bCs w:val="0"/>
                <w:sz w:val="21"/>
                <w:szCs w:val="21"/>
                <w:vertAlign w:val="baseline"/>
                <w:lang w:val="en-US" w:eastAsia="zh-CN"/>
              </w:rPr>
              <w:t>330</w:t>
            </w:r>
            <w:bookmarkEnd w:id="42"/>
            <w:bookmarkEnd w:id="43"/>
          </w:p>
        </w:tc>
      </w:tr>
      <w:tr w14:paraId="1555F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40" w:type="dxa"/>
            <w:vAlign w:val="center"/>
          </w:tcPr>
          <w:p w14:paraId="4033121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bookmarkStart w:id="44" w:name="_Toc14699"/>
            <w:bookmarkStart w:id="45" w:name="_Toc23614"/>
            <w:r>
              <w:rPr>
                <w:rFonts w:hint="default" w:ascii="Times New Roman" w:hAnsi="Times New Roman" w:eastAsia="方正仿宋_GB2312" w:cs="Times New Roman"/>
                <w:b w:val="0"/>
                <w:bCs w:val="0"/>
                <w:sz w:val="21"/>
                <w:szCs w:val="21"/>
                <w:vertAlign w:val="baseline"/>
                <w:lang w:val="en-US" w:eastAsia="zh-CN"/>
              </w:rPr>
              <w:t>2024资环指0026号</w:t>
            </w:r>
            <w:bookmarkEnd w:id="44"/>
            <w:bookmarkEnd w:id="45"/>
          </w:p>
        </w:tc>
        <w:tc>
          <w:tcPr>
            <w:tcW w:w="2841" w:type="dxa"/>
            <w:vAlign w:val="center"/>
          </w:tcPr>
          <w:p w14:paraId="474712D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bookmarkStart w:id="46" w:name="_Toc30967"/>
            <w:bookmarkStart w:id="47" w:name="_Toc23000"/>
            <w:r>
              <w:rPr>
                <w:rFonts w:hint="default" w:ascii="Times New Roman" w:hAnsi="Times New Roman" w:eastAsia="方正仿宋_GB2312" w:cs="Times New Roman"/>
                <w:b w:val="0"/>
                <w:bCs w:val="0"/>
                <w:sz w:val="21"/>
                <w:szCs w:val="21"/>
                <w:vertAlign w:val="baseline"/>
                <w:lang w:val="en-US" w:eastAsia="zh-CN"/>
              </w:rPr>
              <w:t>2024-02-20</w:t>
            </w:r>
            <w:bookmarkEnd w:id="46"/>
            <w:bookmarkEnd w:id="47"/>
          </w:p>
        </w:tc>
        <w:tc>
          <w:tcPr>
            <w:tcW w:w="2841" w:type="dxa"/>
            <w:vAlign w:val="center"/>
          </w:tcPr>
          <w:p w14:paraId="30DF6D9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bookmarkStart w:id="48" w:name="_Toc18962"/>
            <w:bookmarkStart w:id="49" w:name="_Toc13765"/>
            <w:r>
              <w:rPr>
                <w:rFonts w:hint="default" w:ascii="Times New Roman" w:hAnsi="Times New Roman" w:eastAsia="方正仿宋_GB2312" w:cs="Times New Roman"/>
                <w:b w:val="0"/>
                <w:bCs w:val="0"/>
                <w:sz w:val="21"/>
                <w:szCs w:val="21"/>
                <w:vertAlign w:val="baseline"/>
                <w:lang w:val="en-US" w:eastAsia="zh-CN"/>
              </w:rPr>
              <w:t>81.39</w:t>
            </w:r>
            <w:bookmarkEnd w:id="48"/>
            <w:bookmarkEnd w:id="49"/>
          </w:p>
        </w:tc>
      </w:tr>
      <w:tr w14:paraId="10585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40" w:type="dxa"/>
            <w:vAlign w:val="center"/>
          </w:tcPr>
          <w:p w14:paraId="5815700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bookmarkStart w:id="50" w:name="_Toc17886"/>
            <w:bookmarkStart w:id="51" w:name="_Toc17300"/>
            <w:r>
              <w:rPr>
                <w:rFonts w:hint="default" w:ascii="Times New Roman" w:hAnsi="Times New Roman" w:eastAsia="方正仿宋_GB2312" w:cs="Times New Roman"/>
                <w:b w:val="0"/>
                <w:bCs w:val="0"/>
                <w:sz w:val="21"/>
                <w:szCs w:val="21"/>
                <w:vertAlign w:val="baseline"/>
                <w:lang w:val="en-US" w:eastAsia="zh-CN"/>
              </w:rPr>
              <w:t>2024资环指0363号</w:t>
            </w:r>
            <w:bookmarkEnd w:id="50"/>
            <w:bookmarkEnd w:id="51"/>
          </w:p>
        </w:tc>
        <w:tc>
          <w:tcPr>
            <w:tcW w:w="2841" w:type="dxa"/>
            <w:vAlign w:val="center"/>
          </w:tcPr>
          <w:p w14:paraId="085309E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bookmarkStart w:id="52" w:name="_Toc950"/>
            <w:bookmarkStart w:id="53" w:name="_Toc31853"/>
            <w:r>
              <w:rPr>
                <w:rFonts w:hint="default" w:ascii="Times New Roman" w:hAnsi="Times New Roman" w:eastAsia="方正仿宋_GB2312" w:cs="Times New Roman"/>
                <w:b w:val="0"/>
                <w:bCs w:val="0"/>
                <w:sz w:val="21"/>
                <w:szCs w:val="21"/>
                <w:vertAlign w:val="baseline"/>
                <w:lang w:val="en-US" w:eastAsia="zh-CN"/>
              </w:rPr>
              <w:t>2024-05-20</w:t>
            </w:r>
            <w:bookmarkEnd w:id="52"/>
            <w:bookmarkEnd w:id="53"/>
          </w:p>
        </w:tc>
        <w:tc>
          <w:tcPr>
            <w:tcW w:w="2841" w:type="dxa"/>
            <w:vAlign w:val="center"/>
          </w:tcPr>
          <w:p w14:paraId="4D2B2BB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bookmarkStart w:id="54" w:name="_Toc5622"/>
            <w:bookmarkStart w:id="55" w:name="_Toc31417"/>
            <w:r>
              <w:rPr>
                <w:rFonts w:hint="default" w:ascii="Times New Roman" w:hAnsi="Times New Roman" w:eastAsia="方正仿宋_GB2312" w:cs="Times New Roman"/>
                <w:b w:val="0"/>
                <w:bCs w:val="0"/>
                <w:sz w:val="21"/>
                <w:szCs w:val="21"/>
                <w:vertAlign w:val="baseline"/>
                <w:lang w:val="en-US" w:eastAsia="zh-CN"/>
              </w:rPr>
              <w:t>99.25</w:t>
            </w:r>
            <w:bookmarkEnd w:id="54"/>
            <w:bookmarkEnd w:id="55"/>
          </w:p>
        </w:tc>
      </w:tr>
      <w:tr w14:paraId="6A8AE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40" w:type="dxa"/>
            <w:vAlign w:val="center"/>
          </w:tcPr>
          <w:p w14:paraId="167C0FE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bookmarkStart w:id="56" w:name="_Toc21313"/>
            <w:bookmarkStart w:id="57" w:name="_Toc8340"/>
            <w:r>
              <w:rPr>
                <w:rFonts w:hint="default" w:ascii="Times New Roman" w:hAnsi="Times New Roman" w:eastAsia="方正仿宋_GB2312" w:cs="Times New Roman"/>
                <w:b w:val="0"/>
                <w:bCs w:val="0"/>
                <w:sz w:val="21"/>
                <w:szCs w:val="21"/>
                <w:vertAlign w:val="baseline"/>
                <w:lang w:val="en-US" w:eastAsia="zh-CN"/>
              </w:rPr>
              <w:t>2024资环指0149号</w:t>
            </w:r>
            <w:bookmarkEnd w:id="56"/>
            <w:bookmarkEnd w:id="57"/>
          </w:p>
        </w:tc>
        <w:tc>
          <w:tcPr>
            <w:tcW w:w="2841" w:type="dxa"/>
            <w:vAlign w:val="center"/>
          </w:tcPr>
          <w:p w14:paraId="7E2DBF1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bookmarkStart w:id="58" w:name="_Toc20669"/>
            <w:bookmarkStart w:id="59" w:name="_Toc25442"/>
            <w:r>
              <w:rPr>
                <w:rFonts w:hint="default" w:ascii="Times New Roman" w:hAnsi="Times New Roman" w:eastAsia="方正仿宋_GB2312" w:cs="Times New Roman"/>
                <w:b w:val="0"/>
                <w:bCs w:val="0"/>
                <w:sz w:val="21"/>
                <w:szCs w:val="21"/>
                <w:vertAlign w:val="baseline"/>
                <w:lang w:val="en-US" w:eastAsia="zh-CN"/>
              </w:rPr>
              <w:t>2024-07-17</w:t>
            </w:r>
            <w:bookmarkEnd w:id="58"/>
            <w:bookmarkEnd w:id="59"/>
          </w:p>
        </w:tc>
        <w:tc>
          <w:tcPr>
            <w:tcW w:w="2841" w:type="dxa"/>
            <w:vAlign w:val="center"/>
          </w:tcPr>
          <w:p w14:paraId="7E1048D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bookmarkStart w:id="60" w:name="_Toc11904"/>
            <w:bookmarkStart w:id="61" w:name="_Toc3879"/>
            <w:r>
              <w:rPr>
                <w:rFonts w:hint="default" w:ascii="Times New Roman" w:hAnsi="Times New Roman" w:eastAsia="方正仿宋_GB2312" w:cs="Times New Roman"/>
                <w:b w:val="0"/>
                <w:bCs w:val="0"/>
                <w:sz w:val="21"/>
                <w:szCs w:val="21"/>
                <w:vertAlign w:val="baseline"/>
                <w:lang w:val="en-US" w:eastAsia="zh-CN"/>
              </w:rPr>
              <w:t>35</w:t>
            </w:r>
            <w:bookmarkEnd w:id="60"/>
            <w:bookmarkEnd w:id="61"/>
          </w:p>
        </w:tc>
      </w:tr>
      <w:tr w14:paraId="42965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40" w:type="dxa"/>
            <w:vAlign w:val="center"/>
          </w:tcPr>
          <w:p w14:paraId="77CB631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bookmarkStart w:id="62" w:name="_Toc27235"/>
            <w:bookmarkStart w:id="63" w:name="_Toc16533"/>
            <w:r>
              <w:rPr>
                <w:rFonts w:hint="default" w:ascii="Times New Roman" w:hAnsi="Times New Roman" w:eastAsia="方正仿宋_GB2312" w:cs="Times New Roman"/>
                <w:b w:val="0"/>
                <w:bCs w:val="0"/>
                <w:sz w:val="21"/>
                <w:szCs w:val="21"/>
                <w:vertAlign w:val="baseline"/>
                <w:lang w:val="en-US" w:eastAsia="zh-CN"/>
              </w:rPr>
              <w:t>合计</w:t>
            </w:r>
            <w:bookmarkEnd w:id="62"/>
            <w:bookmarkEnd w:id="63"/>
          </w:p>
        </w:tc>
        <w:tc>
          <w:tcPr>
            <w:tcW w:w="2841" w:type="dxa"/>
            <w:vAlign w:val="center"/>
          </w:tcPr>
          <w:p w14:paraId="4DA76A9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p>
        </w:tc>
        <w:tc>
          <w:tcPr>
            <w:tcW w:w="2841" w:type="dxa"/>
            <w:vAlign w:val="center"/>
          </w:tcPr>
          <w:p w14:paraId="376FB3F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bookmarkStart w:id="64" w:name="_Toc15932"/>
            <w:bookmarkStart w:id="65" w:name="_Toc19375"/>
            <w:r>
              <w:rPr>
                <w:rFonts w:hint="default" w:ascii="Times New Roman" w:hAnsi="Times New Roman" w:eastAsia="方正仿宋_GB2312" w:cs="Times New Roman"/>
                <w:b w:val="0"/>
                <w:bCs w:val="0"/>
                <w:sz w:val="21"/>
                <w:szCs w:val="21"/>
                <w:vertAlign w:val="baseline"/>
                <w:lang w:val="en-US" w:eastAsia="zh-CN"/>
              </w:rPr>
              <w:t>580.44</w:t>
            </w:r>
            <w:bookmarkEnd w:id="64"/>
            <w:bookmarkEnd w:id="65"/>
          </w:p>
        </w:tc>
      </w:tr>
    </w:tbl>
    <w:p w14:paraId="3388DF20">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1"/>
        <w:rPr>
          <w:rFonts w:hint="default" w:ascii="Times New Roman" w:hAnsi="Times New Roman" w:eastAsia="方正仿宋_GB2312" w:cs="Times New Roman"/>
          <w:b w:val="0"/>
          <w:bCs w:val="0"/>
          <w:sz w:val="32"/>
          <w:szCs w:val="32"/>
          <w:lang w:val="en-US" w:eastAsia="zh-CN"/>
        </w:rPr>
      </w:pPr>
      <w:bookmarkStart w:id="66" w:name="_Toc16131"/>
      <w:bookmarkStart w:id="67" w:name="_Toc27518"/>
      <w:r>
        <w:rPr>
          <w:rFonts w:hint="default" w:ascii="Times New Roman" w:hAnsi="Times New Roman" w:eastAsia="方正仿宋_GB2312" w:cs="Times New Roman"/>
          <w:b/>
          <w:bCs/>
          <w:sz w:val="32"/>
          <w:szCs w:val="32"/>
          <w:lang w:val="en-US" w:eastAsia="zh-CN"/>
        </w:rPr>
        <w:t>3.资金到位情况。</w:t>
      </w:r>
      <w:r>
        <w:rPr>
          <w:rFonts w:hint="default" w:ascii="Times New Roman" w:hAnsi="Times New Roman" w:eastAsia="方正仿宋_GB2312" w:cs="Times New Roman"/>
          <w:b w:val="0"/>
          <w:bCs w:val="0"/>
          <w:sz w:val="32"/>
          <w:szCs w:val="32"/>
          <w:lang w:val="en-US" w:eastAsia="zh-CN"/>
        </w:rPr>
        <w:t>截至绩效评价日，国土空间规划专项资金应到位</w:t>
      </w:r>
      <w:r>
        <w:rPr>
          <w:rFonts w:hint="default" w:ascii="Times New Roman" w:hAnsi="Times New Roman" w:eastAsia="方正仿宋_GB2312" w:cs="Times New Roman"/>
          <w:b w:val="0"/>
          <w:bCs w:val="0"/>
          <w:sz w:val="32"/>
          <w:szCs w:val="32"/>
          <w:vertAlign w:val="baseline"/>
          <w:lang w:val="en-US" w:eastAsia="zh-CN"/>
        </w:rPr>
        <w:t>580.44</w:t>
      </w:r>
      <w:r>
        <w:rPr>
          <w:rFonts w:hint="default" w:ascii="Times New Roman" w:hAnsi="Times New Roman" w:eastAsia="方正仿宋_GB2312" w:cs="Times New Roman"/>
          <w:b w:val="0"/>
          <w:bCs w:val="0"/>
          <w:sz w:val="32"/>
          <w:szCs w:val="32"/>
          <w:lang w:val="en-US" w:eastAsia="zh-CN"/>
        </w:rPr>
        <w:t>万元，实际到位</w:t>
      </w:r>
      <w:r>
        <w:rPr>
          <w:rFonts w:hint="default" w:ascii="Times New Roman" w:hAnsi="Times New Roman" w:eastAsia="方正仿宋_GB2312" w:cs="Times New Roman"/>
          <w:b w:val="0"/>
          <w:bCs w:val="0"/>
          <w:sz w:val="32"/>
          <w:szCs w:val="32"/>
          <w:vertAlign w:val="baseline"/>
          <w:lang w:val="en-US" w:eastAsia="zh-CN"/>
        </w:rPr>
        <w:t>580.44</w:t>
      </w:r>
      <w:r>
        <w:rPr>
          <w:rFonts w:hint="default" w:ascii="Times New Roman" w:hAnsi="Times New Roman" w:eastAsia="方正仿宋_GB2312" w:cs="Times New Roman"/>
          <w:b w:val="0"/>
          <w:bCs w:val="0"/>
          <w:sz w:val="32"/>
          <w:szCs w:val="32"/>
          <w:lang w:val="en-US" w:eastAsia="zh-CN"/>
        </w:rPr>
        <w:t>万元，到位率为100%。</w:t>
      </w:r>
      <w:bookmarkEnd w:id="66"/>
      <w:bookmarkEnd w:id="67"/>
    </w:p>
    <w:p w14:paraId="2C4B2158">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1"/>
        <w:rPr>
          <w:rFonts w:hint="default" w:ascii="Times New Roman" w:hAnsi="Times New Roman" w:eastAsia="方正仿宋_GB2312" w:cs="Times New Roman"/>
          <w:b w:val="0"/>
          <w:bCs w:val="0"/>
          <w:sz w:val="32"/>
          <w:szCs w:val="32"/>
          <w:lang w:val="en-US" w:eastAsia="zh-CN"/>
        </w:rPr>
      </w:pPr>
      <w:bookmarkStart w:id="68" w:name="_Toc10987"/>
      <w:bookmarkStart w:id="69" w:name="_Toc20265"/>
      <w:r>
        <w:rPr>
          <w:rFonts w:hint="default" w:ascii="Times New Roman" w:hAnsi="Times New Roman" w:eastAsia="方正仿宋_GB2312" w:cs="Times New Roman"/>
          <w:b/>
          <w:bCs/>
          <w:sz w:val="32"/>
          <w:szCs w:val="32"/>
          <w:lang w:val="en-US" w:eastAsia="zh-CN"/>
        </w:rPr>
        <w:t>4.资金使用及结余情况。</w:t>
      </w:r>
      <w:r>
        <w:rPr>
          <w:rFonts w:hint="default" w:ascii="Times New Roman" w:hAnsi="Times New Roman" w:eastAsia="方正仿宋_GB2312" w:cs="Times New Roman"/>
          <w:b w:val="0"/>
          <w:bCs w:val="0"/>
          <w:sz w:val="32"/>
          <w:szCs w:val="32"/>
          <w:lang w:val="en-US" w:eastAsia="zh-CN"/>
        </w:rPr>
        <w:t>截至绩效评价日，国土空间规划专项资金已使用535.34万元，结余45.10万元，预算执行率为92.23%。项目资金到位、使用及结余情况见下表：</w:t>
      </w:r>
      <w:bookmarkEnd w:id="68"/>
      <w:bookmarkEnd w:id="69"/>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59"/>
        <w:gridCol w:w="1259"/>
        <w:gridCol w:w="1300"/>
        <w:gridCol w:w="1110"/>
        <w:gridCol w:w="1205"/>
      </w:tblGrid>
      <w:tr w14:paraId="44CA0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blHeader/>
          <w:jc w:val="center"/>
        </w:trPr>
        <w:tc>
          <w:tcPr>
            <w:tcW w:w="2039" w:type="pct"/>
            <w:vAlign w:val="center"/>
          </w:tcPr>
          <w:p w14:paraId="315F137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bCs/>
                <w:sz w:val="21"/>
                <w:szCs w:val="21"/>
                <w:vertAlign w:val="baseline"/>
                <w:lang w:val="en-US" w:eastAsia="zh-CN"/>
              </w:rPr>
            </w:pPr>
            <w:r>
              <w:rPr>
                <w:rFonts w:hint="default" w:ascii="Times New Roman" w:hAnsi="Times New Roman" w:eastAsia="方正仿宋_GB2312" w:cs="Times New Roman"/>
                <w:b/>
                <w:bCs/>
                <w:sz w:val="21"/>
                <w:szCs w:val="21"/>
                <w:vertAlign w:val="baseline"/>
                <w:lang w:val="en-US" w:eastAsia="zh-CN"/>
              </w:rPr>
              <w:t>项目名称</w:t>
            </w:r>
          </w:p>
        </w:tc>
        <w:tc>
          <w:tcPr>
            <w:tcW w:w="764" w:type="pct"/>
            <w:vAlign w:val="center"/>
          </w:tcPr>
          <w:p w14:paraId="09959E7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bCs/>
                <w:sz w:val="21"/>
                <w:szCs w:val="21"/>
                <w:vertAlign w:val="baseline"/>
                <w:lang w:val="en-US" w:eastAsia="zh-CN"/>
              </w:rPr>
            </w:pPr>
            <w:r>
              <w:rPr>
                <w:rFonts w:hint="default" w:ascii="Times New Roman" w:hAnsi="Times New Roman" w:eastAsia="方正仿宋_GB2312" w:cs="Times New Roman"/>
                <w:b/>
                <w:bCs/>
                <w:sz w:val="21"/>
                <w:szCs w:val="21"/>
                <w:vertAlign w:val="baseline"/>
                <w:lang w:val="en-US" w:eastAsia="zh-CN"/>
              </w:rPr>
              <w:t>到位资金</w:t>
            </w:r>
          </w:p>
          <w:p w14:paraId="23C8C46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bCs/>
                <w:sz w:val="21"/>
                <w:szCs w:val="21"/>
                <w:vertAlign w:val="baseline"/>
                <w:lang w:val="en-US" w:eastAsia="zh-CN"/>
              </w:rPr>
            </w:pPr>
            <w:r>
              <w:rPr>
                <w:rFonts w:hint="default" w:ascii="Times New Roman" w:hAnsi="Times New Roman" w:eastAsia="方正仿宋_GB2312" w:cs="Times New Roman"/>
                <w:b/>
                <w:bCs/>
                <w:sz w:val="21"/>
                <w:szCs w:val="21"/>
                <w:vertAlign w:val="baseline"/>
                <w:lang w:val="en-US" w:eastAsia="zh-CN"/>
              </w:rPr>
              <w:t>（万元）</w:t>
            </w:r>
          </w:p>
        </w:tc>
        <w:tc>
          <w:tcPr>
            <w:tcW w:w="789" w:type="pct"/>
            <w:vAlign w:val="center"/>
          </w:tcPr>
          <w:p w14:paraId="3B6835F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bCs/>
                <w:sz w:val="21"/>
                <w:szCs w:val="21"/>
                <w:vertAlign w:val="baseline"/>
                <w:lang w:val="en-US" w:eastAsia="zh-CN"/>
              </w:rPr>
            </w:pPr>
            <w:r>
              <w:rPr>
                <w:rFonts w:hint="default" w:ascii="Times New Roman" w:hAnsi="Times New Roman" w:eastAsia="方正仿宋_GB2312" w:cs="Times New Roman"/>
                <w:b/>
                <w:bCs/>
                <w:sz w:val="21"/>
                <w:szCs w:val="21"/>
                <w:vertAlign w:val="baseline"/>
                <w:lang w:val="en-US" w:eastAsia="zh-CN"/>
              </w:rPr>
              <w:t>使用资金（万元）</w:t>
            </w:r>
          </w:p>
        </w:tc>
        <w:tc>
          <w:tcPr>
            <w:tcW w:w="674" w:type="pct"/>
            <w:vAlign w:val="center"/>
          </w:tcPr>
          <w:p w14:paraId="7BD373E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bCs/>
                <w:sz w:val="21"/>
                <w:szCs w:val="21"/>
                <w:vertAlign w:val="baseline"/>
                <w:lang w:val="en-US" w:eastAsia="zh-CN"/>
              </w:rPr>
            </w:pPr>
            <w:r>
              <w:rPr>
                <w:rFonts w:hint="default" w:ascii="Times New Roman" w:hAnsi="Times New Roman" w:eastAsia="方正仿宋_GB2312" w:cs="Times New Roman"/>
                <w:b/>
                <w:bCs/>
                <w:sz w:val="21"/>
                <w:szCs w:val="21"/>
                <w:vertAlign w:val="baseline"/>
                <w:lang w:val="en-US" w:eastAsia="zh-CN"/>
              </w:rPr>
              <w:t>预算执行率（%）</w:t>
            </w:r>
          </w:p>
        </w:tc>
        <w:tc>
          <w:tcPr>
            <w:tcW w:w="731" w:type="pct"/>
            <w:vAlign w:val="center"/>
          </w:tcPr>
          <w:p w14:paraId="277FBCD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bCs/>
                <w:sz w:val="21"/>
                <w:szCs w:val="21"/>
                <w:vertAlign w:val="baseline"/>
                <w:lang w:val="en-US" w:eastAsia="zh-CN"/>
              </w:rPr>
            </w:pPr>
            <w:r>
              <w:rPr>
                <w:rFonts w:hint="default" w:ascii="Times New Roman" w:hAnsi="Times New Roman" w:eastAsia="方正仿宋_GB2312" w:cs="Times New Roman"/>
                <w:b/>
                <w:bCs/>
                <w:sz w:val="21"/>
                <w:szCs w:val="21"/>
                <w:vertAlign w:val="baseline"/>
                <w:lang w:val="en-US" w:eastAsia="zh-CN"/>
              </w:rPr>
              <w:t>结余资金（万元）</w:t>
            </w:r>
          </w:p>
        </w:tc>
      </w:tr>
      <w:tr w14:paraId="65140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039" w:type="pct"/>
            <w:shd w:val="clear" w:color="auto" w:fill="auto"/>
            <w:vAlign w:val="center"/>
          </w:tcPr>
          <w:p w14:paraId="2C2DFB8A">
            <w:pPr>
              <w:pStyle w:val="13"/>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益阳市国土空间总体规划（2020—2035年）</w:t>
            </w:r>
          </w:p>
        </w:tc>
        <w:tc>
          <w:tcPr>
            <w:tcW w:w="764" w:type="pct"/>
            <w:vAlign w:val="center"/>
          </w:tcPr>
          <w:p w14:paraId="624713D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b w:val="0"/>
                <w:bCs w:val="0"/>
                <w:sz w:val="21"/>
                <w:szCs w:val="21"/>
                <w:highlight w:val="yellow"/>
                <w:vertAlign w:val="baseline"/>
                <w:lang w:val="en-US" w:eastAsia="zh-CN"/>
              </w:rPr>
            </w:pPr>
            <w:r>
              <w:rPr>
                <w:rFonts w:hint="default" w:ascii="Times New Roman" w:hAnsi="Times New Roman" w:eastAsia="方正仿宋_GB2312" w:cs="Times New Roman"/>
                <w:sz w:val="21"/>
                <w:szCs w:val="21"/>
                <w:lang w:eastAsia="zh-CN"/>
              </w:rPr>
              <w:t>330</w:t>
            </w:r>
          </w:p>
        </w:tc>
        <w:tc>
          <w:tcPr>
            <w:tcW w:w="789" w:type="pct"/>
            <w:shd w:val="clear" w:color="auto" w:fill="auto"/>
            <w:vAlign w:val="center"/>
          </w:tcPr>
          <w:p w14:paraId="2CD29F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330</w:t>
            </w:r>
          </w:p>
        </w:tc>
        <w:tc>
          <w:tcPr>
            <w:tcW w:w="674" w:type="pct"/>
            <w:vAlign w:val="center"/>
          </w:tcPr>
          <w:p w14:paraId="470CD9C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100</w:t>
            </w:r>
          </w:p>
        </w:tc>
        <w:tc>
          <w:tcPr>
            <w:tcW w:w="731" w:type="pct"/>
            <w:vAlign w:val="center"/>
          </w:tcPr>
          <w:p w14:paraId="6428090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0</w:t>
            </w:r>
          </w:p>
        </w:tc>
      </w:tr>
      <w:tr w14:paraId="205B6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039" w:type="pct"/>
            <w:shd w:val="clear" w:color="auto" w:fill="auto"/>
            <w:vAlign w:val="center"/>
          </w:tcPr>
          <w:p w14:paraId="71A6B729">
            <w:pPr>
              <w:pStyle w:val="13"/>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益阳市国土空间总体规划专题图集制作</w:t>
            </w:r>
          </w:p>
        </w:tc>
        <w:tc>
          <w:tcPr>
            <w:tcW w:w="764" w:type="pct"/>
            <w:vAlign w:val="center"/>
          </w:tcPr>
          <w:p w14:paraId="120815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b w:val="0"/>
                <w:bCs w:val="0"/>
                <w:sz w:val="21"/>
                <w:szCs w:val="21"/>
                <w:highlight w:val="yellow"/>
                <w:vertAlign w:val="baseline"/>
                <w:lang w:val="en-US" w:eastAsia="zh-CN"/>
              </w:rPr>
            </w:pPr>
            <w:r>
              <w:rPr>
                <w:rFonts w:hint="default" w:ascii="Times New Roman" w:hAnsi="Times New Roman" w:eastAsia="方正仿宋_GB2312" w:cs="Times New Roman"/>
                <w:sz w:val="21"/>
                <w:szCs w:val="21"/>
                <w:lang w:eastAsia="zh-CN"/>
              </w:rPr>
              <w:t>19.65</w:t>
            </w:r>
          </w:p>
        </w:tc>
        <w:tc>
          <w:tcPr>
            <w:tcW w:w="789" w:type="pct"/>
            <w:shd w:val="clear" w:color="auto" w:fill="auto"/>
            <w:vAlign w:val="center"/>
          </w:tcPr>
          <w:p w14:paraId="718EA49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19.65</w:t>
            </w:r>
          </w:p>
        </w:tc>
        <w:tc>
          <w:tcPr>
            <w:tcW w:w="674" w:type="pct"/>
            <w:vAlign w:val="center"/>
          </w:tcPr>
          <w:p w14:paraId="3E5E39A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100</w:t>
            </w:r>
          </w:p>
        </w:tc>
        <w:tc>
          <w:tcPr>
            <w:tcW w:w="731" w:type="pct"/>
            <w:vAlign w:val="center"/>
          </w:tcPr>
          <w:p w14:paraId="350D6FC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0</w:t>
            </w:r>
          </w:p>
        </w:tc>
      </w:tr>
      <w:tr w14:paraId="00FCD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039" w:type="pct"/>
            <w:shd w:val="clear" w:color="auto" w:fill="auto"/>
            <w:vAlign w:val="center"/>
          </w:tcPr>
          <w:p w14:paraId="2FD58F72">
            <w:pPr>
              <w:pStyle w:val="13"/>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2022年度国土空间规划城市体检评估</w:t>
            </w:r>
          </w:p>
        </w:tc>
        <w:tc>
          <w:tcPr>
            <w:tcW w:w="764" w:type="pct"/>
            <w:vAlign w:val="center"/>
          </w:tcPr>
          <w:p w14:paraId="73B6A7A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b w:val="0"/>
                <w:bCs w:val="0"/>
                <w:sz w:val="21"/>
                <w:szCs w:val="21"/>
                <w:highlight w:val="yellow"/>
                <w:vertAlign w:val="baseline"/>
                <w:lang w:val="en-US" w:eastAsia="zh-CN"/>
              </w:rPr>
            </w:pPr>
            <w:r>
              <w:rPr>
                <w:rFonts w:hint="default" w:ascii="Times New Roman" w:hAnsi="Times New Roman" w:eastAsia="方正仿宋_GB2312" w:cs="Times New Roman"/>
                <w:sz w:val="21"/>
                <w:szCs w:val="21"/>
                <w:lang w:eastAsia="zh-CN"/>
              </w:rPr>
              <w:t>34.8</w:t>
            </w:r>
          </w:p>
        </w:tc>
        <w:tc>
          <w:tcPr>
            <w:tcW w:w="789" w:type="pct"/>
            <w:shd w:val="clear" w:color="auto" w:fill="auto"/>
            <w:vAlign w:val="center"/>
          </w:tcPr>
          <w:p w14:paraId="165F0B1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34.80</w:t>
            </w:r>
          </w:p>
        </w:tc>
        <w:tc>
          <w:tcPr>
            <w:tcW w:w="674" w:type="pct"/>
            <w:vAlign w:val="center"/>
          </w:tcPr>
          <w:p w14:paraId="245BD02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100</w:t>
            </w:r>
          </w:p>
        </w:tc>
        <w:tc>
          <w:tcPr>
            <w:tcW w:w="731" w:type="pct"/>
            <w:vAlign w:val="center"/>
          </w:tcPr>
          <w:p w14:paraId="7F2949B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0</w:t>
            </w:r>
          </w:p>
        </w:tc>
      </w:tr>
      <w:tr w14:paraId="448E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039" w:type="pct"/>
            <w:shd w:val="clear" w:color="auto" w:fill="auto"/>
            <w:vAlign w:val="center"/>
          </w:tcPr>
          <w:p w14:paraId="56C05E38">
            <w:pPr>
              <w:pStyle w:val="13"/>
              <w:keepNext w:val="0"/>
              <w:keepLines w:val="0"/>
              <w:pageBreakBefore w:val="0"/>
              <w:widowControl w:val="0"/>
              <w:kinsoku/>
              <w:wordWrap/>
              <w:overflowPunct/>
              <w:topLinePunct w:val="0"/>
              <w:autoSpaceDE/>
              <w:autoSpaceDN/>
              <w:bidi w:val="0"/>
              <w:adjustRightInd/>
              <w:snapToGrid/>
              <w:spacing w:line="240" w:lineRule="auto"/>
              <w:ind w:right="110" w:rightChars="0"/>
              <w:jc w:val="left"/>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益阳市85个乡镇国土空间规划技术审查</w:t>
            </w:r>
          </w:p>
        </w:tc>
        <w:tc>
          <w:tcPr>
            <w:tcW w:w="764" w:type="pct"/>
            <w:vAlign w:val="center"/>
          </w:tcPr>
          <w:p w14:paraId="3A0976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b w:val="0"/>
                <w:bCs w:val="0"/>
                <w:sz w:val="21"/>
                <w:szCs w:val="21"/>
                <w:highlight w:val="yellow"/>
                <w:vertAlign w:val="baseline"/>
                <w:lang w:val="en-US" w:eastAsia="zh-CN"/>
              </w:rPr>
            </w:pPr>
            <w:r>
              <w:rPr>
                <w:rFonts w:hint="default" w:ascii="Times New Roman" w:hAnsi="Times New Roman" w:eastAsia="方正仿宋_GB2312" w:cs="Times New Roman"/>
                <w:sz w:val="21"/>
                <w:szCs w:val="21"/>
                <w:lang w:eastAsia="zh-CN"/>
              </w:rPr>
              <w:t>54.80</w:t>
            </w:r>
          </w:p>
        </w:tc>
        <w:tc>
          <w:tcPr>
            <w:tcW w:w="789" w:type="pct"/>
            <w:shd w:val="clear" w:color="auto" w:fill="auto"/>
            <w:vAlign w:val="center"/>
          </w:tcPr>
          <w:p w14:paraId="623EE4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54.80</w:t>
            </w:r>
          </w:p>
        </w:tc>
        <w:tc>
          <w:tcPr>
            <w:tcW w:w="674" w:type="pct"/>
            <w:vAlign w:val="center"/>
          </w:tcPr>
          <w:p w14:paraId="60ABACB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100</w:t>
            </w:r>
          </w:p>
        </w:tc>
        <w:tc>
          <w:tcPr>
            <w:tcW w:w="731" w:type="pct"/>
            <w:vAlign w:val="center"/>
          </w:tcPr>
          <w:p w14:paraId="3BE01E0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0</w:t>
            </w:r>
          </w:p>
        </w:tc>
      </w:tr>
      <w:tr w14:paraId="03D7E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039" w:type="pct"/>
            <w:shd w:val="clear" w:color="auto" w:fill="auto"/>
            <w:vAlign w:val="center"/>
          </w:tcPr>
          <w:p w14:paraId="68C0C61C">
            <w:pPr>
              <w:pStyle w:val="13"/>
              <w:keepNext w:val="0"/>
              <w:keepLines w:val="0"/>
              <w:pageBreakBefore w:val="0"/>
              <w:widowControl w:val="0"/>
              <w:kinsoku/>
              <w:wordWrap/>
              <w:overflowPunct/>
              <w:topLinePunct w:val="0"/>
              <w:autoSpaceDE/>
              <w:autoSpaceDN/>
              <w:bidi w:val="0"/>
              <w:adjustRightInd/>
              <w:snapToGrid/>
              <w:spacing w:line="240" w:lineRule="auto"/>
              <w:ind w:left="403" w:leftChars="0" w:right="82" w:rightChars="0" w:hanging="374" w:firstLineChars="0"/>
              <w:jc w:val="left"/>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2024年村庄规划市级审查</w:t>
            </w:r>
          </w:p>
        </w:tc>
        <w:tc>
          <w:tcPr>
            <w:tcW w:w="764" w:type="pct"/>
            <w:vAlign w:val="center"/>
          </w:tcPr>
          <w:p w14:paraId="18836A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b w:val="0"/>
                <w:bCs w:val="0"/>
                <w:sz w:val="21"/>
                <w:szCs w:val="21"/>
                <w:highlight w:val="yellow"/>
                <w:vertAlign w:val="baseline"/>
                <w:lang w:val="en-US" w:eastAsia="zh-CN"/>
              </w:rPr>
            </w:pPr>
            <w:r>
              <w:rPr>
                <w:rFonts w:hint="default" w:ascii="Times New Roman" w:hAnsi="Times New Roman" w:eastAsia="方正仿宋_GB2312" w:cs="Times New Roman"/>
                <w:sz w:val="21"/>
                <w:szCs w:val="21"/>
                <w:lang w:eastAsia="zh-CN"/>
              </w:rPr>
              <w:t>35</w:t>
            </w:r>
          </w:p>
        </w:tc>
        <w:tc>
          <w:tcPr>
            <w:tcW w:w="789" w:type="pct"/>
            <w:shd w:val="clear" w:color="auto" w:fill="auto"/>
            <w:vAlign w:val="center"/>
          </w:tcPr>
          <w:p w14:paraId="0AD6AB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35</w:t>
            </w:r>
          </w:p>
        </w:tc>
        <w:tc>
          <w:tcPr>
            <w:tcW w:w="674" w:type="pct"/>
            <w:vAlign w:val="center"/>
          </w:tcPr>
          <w:p w14:paraId="1AD6A1F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100</w:t>
            </w:r>
          </w:p>
        </w:tc>
        <w:tc>
          <w:tcPr>
            <w:tcW w:w="731" w:type="pct"/>
            <w:vAlign w:val="center"/>
          </w:tcPr>
          <w:p w14:paraId="391300E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0</w:t>
            </w:r>
          </w:p>
        </w:tc>
      </w:tr>
      <w:tr w14:paraId="13AF2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039" w:type="pct"/>
            <w:shd w:val="clear" w:color="auto" w:fill="auto"/>
            <w:vAlign w:val="center"/>
          </w:tcPr>
          <w:p w14:paraId="1EAFFAF2">
            <w:pPr>
              <w:pStyle w:val="13"/>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益阳市中心城区道路复核定线（数据更新入库）</w:t>
            </w:r>
          </w:p>
        </w:tc>
        <w:tc>
          <w:tcPr>
            <w:tcW w:w="764" w:type="pct"/>
            <w:vAlign w:val="center"/>
          </w:tcPr>
          <w:p w14:paraId="7479DD1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b w:val="0"/>
                <w:bCs w:val="0"/>
                <w:sz w:val="21"/>
                <w:szCs w:val="21"/>
                <w:highlight w:val="yellow"/>
                <w:vertAlign w:val="baseline"/>
                <w:lang w:val="en-US" w:eastAsia="zh-CN"/>
              </w:rPr>
            </w:pPr>
            <w:r>
              <w:rPr>
                <w:rFonts w:hint="default" w:ascii="Times New Roman" w:hAnsi="Times New Roman" w:eastAsia="方正仿宋_GB2312" w:cs="Times New Roman"/>
                <w:sz w:val="21"/>
                <w:szCs w:val="21"/>
                <w:lang w:eastAsia="zh-CN"/>
              </w:rPr>
              <w:t>24.80</w:t>
            </w:r>
          </w:p>
        </w:tc>
        <w:tc>
          <w:tcPr>
            <w:tcW w:w="789" w:type="pct"/>
            <w:shd w:val="clear" w:color="auto" w:fill="auto"/>
            <w:vAlign w:val="center"/>
          </w:tcPr>
          <w:p w14:paraId="57CAC9C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24.80</w:t>
            </w:r>
          </w:p>
        </w:tc>
        <w:tc>
          <w:tcPr>
            <w:tcW w:w="674" w:type="pct"/>
            <w:vAlign w:val="center"/>
          </w:tcPr>
          <w:p w14:paraId="44374B3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100</w:t>
            </w:r>
          </w:p>
        </w:tc>
        <w:tc>
          <w:tcPr>
            <w:tcW w:w="731" w:type="pct"/>
            <w:vAlign w:val="center"/>
          </w:tcPr>
          <w:p w14:paraId="1069862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0</w:t>
            </w:r>
          </w:p>
        </w:tc>
      </w:tr>
      <w:tr w14:paraId="5574A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039" w:type="pct"/>
            <w:shd w:val="clear" w:color="auto" w:fill="auto"/>
            <w:vAlign w:val="center"/>
          </w:tcPr>
          <w:p w14:paraId="07ABE12F">
            <w:pPr>
              <w:pStyle w:val="13"/>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益阳市中心城区高铁片区控制性详细规划编制</w:t>
            </w:r>
          </w:p>
        </w:tc>
        <w:tc>
          <w:tcPr>
            <w:tcW w:w="764" w:type="pct"/>
            <w:vAlign w:val="center"/>
          </w:tcPr>
          <w:p w14:paraId="317D6FB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b w:val="0"/>
                <w:bCs w:val="0"/>
                <w:sz w:val="21"/>
                <w:szCs w:val="21"/>
                <w:highlight w:val="yellow"/>
                <w:vertAlign w:val="baseline"/>
                <w:lang w:val="en-US" w:eastAsia="zh-CN"/>
              </w:rPr>
            </w:pPr>
            <w:r>
              <w:rPr>
                <w:rFonts w:hint="default" w:ascii="Times New Roman" w:hAnsi="Times New Roman" w:eastAsia="方正仿宋_GB2312" w:cs="Times New Roman"/>
                <w:sz w:val="21"/>
                <w:szCs w:val="21"/>
                <w:lang w:eastAsia="zh-CN"/>
              </w:rPr>
              <w:t>81.39</w:t>
            </w:r>
          </w:p>
        </w:tc>
        <w:tc>
          <w:tcPr>
            <w:tcW w:w="789" w:type="pct"/>
            <w:shd w:val="clear" w:color="auto" w:fill="auto"/>
            <w:vAlign w:val="center"/>
          </w:tcPr>
          <w:p w14:paraId="6B03EE5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方正仿宋_GB2312" w:cs="Times New Roman"/>
                <w:kern w:val="2"/>
                <w:sz w:val="21"/>
                <w:szCs w:val="21"/>
                <w:lang w:val="en-US" w:eastAsia="zh-CN" w:bidi="ar-SA"/>
              </w:rPr>
            </w:pPr>
            <w:r>
              <w:rPr>
                <w:rFonts w:hint="default" w:ascii="Times New Roman" w:hAnsi="Times New Roman" w:eastAsia="方正仿宋_GB2312" w:cs="Times New Roman"/>
                <w:sz w:val="21"/>
                <w:szCs w:val="21"/>
                <w:lang w:eastAsia="zh-CN"/>
              </w:rPr>
              <w:t>36.29</w:t>
            </w:r>
          </w:p>
        </w:tc>
        <w:tc>
          <w:tcPr>
            <w:tcW w:w="674" w:type="pct"/>
            <w:vAlign w:val="center"/>
          </w:tcPr>
          <w:p w14:paraId="27929A2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44.6</w:t>
            </w:r>
          </w:p>
        </w:tc>
        <w:tc>
          <w:tcPr>
            <w:tcW w:w="731" w:type="pct"/>
            <w:vAlign w:val="center"/>
          </w:tcPr>
          <w:p w14:paraId="4969012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45.1</w:t>
            </w:r>
          </w:p>
        </w:tc>
      </w:tr>
      <w:tr w14:paraId="5C591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039" w:type="pct"/>
            <w:vAlign w:val="center"/>
          </w:tcPr>
          <w:p w14:paraId="12B2255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合计</w:t>
            </w:r>
          </w:p>
        </w:tc>
        <w:tc>
          <w:tcPr>
            <w:tcW w:w="764" w:type="pct"/>
            <w:vAlign w:val="center"/>
          </w:tcPr>
          <w:p w14:paraId="53E60AC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highlight w:val="yellow"/>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580.44</w:t>
            </w:r>
          </w:p>
        </w:tc>
        <w:tc>
          <w:tcPr>
            <w:tcW w:w="789" w:type="pct"/>
            <w:vAlign w:val="center"/>
          </w:tcPr>
          <w:p w14:paraId="32A74F0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535.34</w:t>
            </w:r>
          </w:p>
        </w:tc>
        <w:tc>
          <w:tcPr>
            <w:tcW w:w="674" w:type="pct"/>
            <w:vAlign w:val="center"/>
          </w:tcPr>
          <w:p w14:paraId="3F574ED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92.23</w:t>
            </w:r>
          </w:p>
        </w:tc>
        <w:tc>
          <w:tcPr>
            <w:tcW w:w="731" w:type="pct"/>
            <w:vAlign w:val="center"/>
          </w:tcPr>
          <w:p w14:paraId="3D94417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Times New Roman" w:hAnsi="Times New Roman" w:eastAsia="方正仿宋_GB2312" w:cs="Times New Roman"/>
                <w:b w:val="0"/>
                <w:bCs w:val="0"/>
                <w:sz w:val="21"/>
                <w:szCs w:val="21"/>
                <w:vertAlign w:val="baseline"/>
                <w:lang w:val="en-US" w:eastAsia="zh-CN"/>
              </w:rPr>
            </w:pPr>
            <w:r>
              <w:rPr>
                <w:rFonts w:hint="default" w:ascii="Times New Roman" w:hAnsi="Times New Roman" w:eastAsia="方正仿宋_GB2312" w:cs="Times New Roman"/>
                <w:b w:val="0"/>
                <w:bCs w:val="0"/>
                <w:sz w:val="21"/>
                <w:szCs w:val="21"/>
                <w:vertAlign w:val="baseline"/>
                <w:lang w:val="en-US" w:eastAsia="zh-CN"/>
              </w:rPr>
              <w:t>45.1</w:t>
            </w:r>
          </w:p>
        </w:tc>
      </w:tr>
    </w:tbl>
    <w:p w14:paraId="3927B1DC">
      <w:pPr>
        <w:keepNext w:val="0"/>
        <w:keepLines w:val="0"/>
        <w:pageBreakBefore w:val="0"/>
        <w:widowControl w:val="0"/>
        <w:kinsoku/>
        <w:wordWrap/>
        <w:overflowPunct/>
        <w:topLinePunct w:val="0"/>
        <w:bidi w:val="0"/>
        <w:snapToGrid/>
        <w:spacing w:line="600" w:lineRule="exact"/>
        <w:ind w:firstLine="643" w:firstLineChars="200"/>
        <w:jc w:val="both"/>
        <w:textAlignment w:val="auto"/>
        <w:outlineLvl w:val="1"/>
        <w:rPr>
          <w:rFonts w:hint="default" w:ascii="Times New Roman" w:hAnsi="Times New Roman" w:eastAsia="楷体" w:cs="Times New Roman"/>
          <w:b/>
          <w:bCs/>
          <w:sz w:val="32"/>
          <w:szCs w:val="32"/>
          <w:lang w:val="en-US" w:eastAsia="zh-CN"/>
        </w:rPr>
      </w:pPr>
      <w:bookmarkStart w:id="70" w:name="_Toc24573"/>
      <w:r>
        <w:rPr>
          <w:rFonts w:hint="default" w:ascii="Times New Roman" w:hAnsi="Times New Roman" w:eastAsia="楷体" w:cs="Times New Roman"/>
          <w:b/>
          <w:bCs/>
          <w:sz w:val="32"/>
          <w:szCs w:val="32"/>
          <w:lang w:val="en-US" w:eastAsia="zh-CN"/>
        </w:rPr>
        <w:t>（五）项目绩效目标</w:t>
      </w:r>
      <w:bookmarkEnd w:id="70"/>
      <w:r>
        <w:rPr>
          <w:rFonts w:hint="default" w:ascii="Times New Roman" w:hAnsi="Times New Roman" w:eastAsia="楷体" w:cs="Times New Roman"/>
          <w:b/>
          <w:bCs/>
          <w:sz w:val="32"/>
          <w:szCs w:val="32"/>
          <w:lang w:val="en-US" w:eastAsia="zh-CN"/>
        </w:rPr>
        <w:t>。</w:t>
      </w:r>
    </w:p>
    <w:p w14:paraId="67821235">
      <w:pPr>
        <w:keepNext w:val="0"/>
        <w:keepLines w:val="0"/>
        <w:pageBreakBefore w:val="0"/>
        <w:widowControl w:val="0"/>
        <w:numPr>
          <w:ilvl w:val="0"/>
          <w:numId w:val="0"/>
        </w:numPr>
        <w:kinsoku/>
        <w:wordWrap/>
        <w:overflowPunct/>
        <w:topLinePunct w:val="0"/>
        <w:bidi w:val="0"/>
        <w:snapToGrid/>
        <w:spacing w:line="600" w:lineRule="exact"/>
        <w:ind w:firstLine="643" w:firstLineChars="200"/>
        <w:jc w:val="both"/>
        <w:textAlignment w:val="auto"/>
        <w:outlineLvl w:val="0"/>
        <w:rPr>
          <w:rFonts w:hint="default" w:ascii="Times New Roman" w:hAnsi="Times New Roman" w:eastAsia="方正仿宋_GB2312" w:cs="Times New Roman"/>
          <w:b w:val="0"/>
          <w:bCs w:val="0"/>
          <w:sz w:val="32"/>
          <w:szCs w:val="32"/>
          <w:lang w:val="en-US" w:eastAsia="zh-CN"/>
        </w:rPr>
      </w:pPr>
      <w:bookmarkStart w:id="71" w:name="_Toc32269"/>
      <w:bookmarkStart w:id="72" w:name="_Toc18612"/>
      <w:r>
        <w:rPr>
          <w:rFonts w:hint="default" w:ascii="Times New Roman" w:hAnsi="Times New Roman" w:eastAsia="方正仿宋_GB2312" w:cs="Times New Roman"/>
          <w:b/>
          <w:bCs/>
          <w:sz w:val="32"/>
          <w:szCs w:val="32"/>
          <w:lang w:val="en-US" w:eastAsia="zh-CN"/>
        </w:rPr>
        <w:t>1.总目标。</w:t>
      </w:r>
      <w:r>
        <w:rPr>
          <w:rFonts w:hint="default" w:ascii="Times New Roman" w:hAnsi="Times New Roman" w:eastAsia="方正仿宋_GB2312" w:cs="Times New Roman"/>
          <w:b w:val="0"/>
          <w:bCs w:val="0"/>
          <w:sz w:val="32"/>
          <w:szCs w:val="32"/>
          <w:lang w:val="en-US" w:eastAsia="zh-CN"/>
        </w:rPr>
        <w:t>科学编制全市国土空间规划，精准评价全市国土空间开发适宜性，全面调查评估国土空间开发、保护、整治现状，落实国家、省、市战略部署，围绕优化国土空间开发保护格局、合理配置各类自然资源、全面开展国土整治与生态修复，提出全市国土空间开发、利用、保护和整治的战略目标、主要任务和政策措施。</w:t>
      </w:r>
      <w:bookmarkEnd w:id="71"/>
      <w:bookmarkEnd w:id="72"/>
    </w:p>
    <w:p w14:paraId="3247C41D">
      <w:pPr>
        <w:keepNext w:val="0"/>
        <w:keepLines w:val="0"/>
        <w:pageBreakBefore w:val="0"/>
        <w:widowControl w:val="0"/>
        <w:numPr>
          <w:ilvl w:val="0"/>
          <w:numId w:val="0"/>
        </w:numPr>
        <w:kinsoku/>
        <w:wordWrap/>
        <w:overflowPunct/>
        <w:topLinePunct w:val="0"/>
        <w:bidi w:val="0"/>
        <w:snapToGrid/>
        <w:spacing w:line="600" w:lineRule="exact"/>
        <w:ind w:firstLine="643" w:firstLineChars="200"/>
        <w:jc w:val="both"/>
        <w:textAlignment w:val="auto"/>
        <w:outlineLvl w:val="0"/>
        <w:rPr>
          <w:rFonts w:hint="default" w:ascii="Times New Roman" w:hAnsi="Times New Roman" w:eastAsia="方正仿宋_GB2312" w:cs="Times New Roman"/>
          <w:b/>
          <w:bCs/>
          <w:sz w:val="32"/>
          <w:szCs w:val="32"/>
          <w:lang w:val="en-US" w:eastAsia="zh-CN"/>
        </w:rPr>
      </w:pPr>
      <w:bookmarkStart w:id="73" w:name="_Toc5611"/>
      <w:bookmarkStart w:id="74" w:name="_Toc24218"/>
      <w:r>
        <w:rPr>
          <w:rFonts w:hint="default" w:ascii="Times New Roman" w:hAnsi="Times New Roman" w:eastAsia="方正仿宋_GB2312" w:cs="Times New Roman"/>
          <w:b/>
          <w:bCs/>
          <w:sz w:val="32"/>
          <w:szCs w:val="32"/>
          <w:lang w:val="en-US" w:eastAsia="zh-CN"/>
        </w:rPr>
        <w:t>2.年度目标</w:t>
      </w:r>
      <w:bookmarkEnd w:id="73"/>
      <w:bookmarkEnd w:id="74"/>
      <w:r>
        <w:rPr>
          <w:rFonts w:hint="default" w:ascii="Times New Roman" w:hAnsi="Times New Roman" w:eastAsia="方正仿宋_GB2312" w:cs="Times New Roman"/>
          <w:b/>
          <w:bCs/>
          <w:sz w:val="32"/>
          <w:szCs w:val="32"/>
          <w:lang w:val="en-US" w:eastAsia="zh-CN"/>
        </w:rPr>
        <w:t>。</w:t>
      </w:r>
    </w:p>
    <w:p w14:paraId="5DD77BFD">
      <w:pPr>
        <w:keepNext w:val="0"/>
        <w:keepLines w:val="0"/>
        <w:pageBreakBefore w:val="0"/>
        <w:widowControl w:val="0"/>
        <w:numPr>
          <w:ilvl w:val="0"/>
          <w:numId w:val="0"/>
        </w:numPr>
        <w:kinsoku/>
        <w:wordWrap/>
        <w:overflowPunct/>
        <w:topLinePunct w:val="0"/>
        <w:bidi w:val="0"/>
        <w:snapToGrid/>
        <w:spacing w:line="600" w:lineRule="exact"/>
        <w:ind w:firstLine="640" w:firstLineChars="200"/>
        <w:jc w:val="both"/>
        <w:textAlignment w:val="auto"/>
        <w:outlineLvl w:val="0"/>
        <w:rPr>
          <w:rFonts w:hint="default" w:ascii="Times New Roman" w:hAnsi="Times New Roman" w:eastAsia="方正仿宋_GB2312" w:cs="Times New Roman"/>
          <w:b w:val="0"/>
          <w:bCs w:val="0"/>
          <w:sz w:val="32"/>
          <w:szCs w:val="32"/>
          <w:lang w:val="en-US" w:eastAsia="zh-CN"/>
        </w:rPr>
      </w:pPr>
      <w:bookmarkStart w:id="75" w:name="_Toc9481"/>
      <w:bookmarkStart w:id="76" w:name="_Toc779"/>
      <w:r>
        <w:rPr>
          <w:rFonts w:hint="default" w:ascii="Times New Roman" w:hAnsi="Times New Roman" w:eastAsia="方正仿宋_GB2312" w:cs="Times New Roman"/>
          <w:b w:val="0"/>
          <w:bCs w:val="0"/>
          <w:sz w:val="32"/>
          <w:szCs w:val="32"/>
          <w:lang w:val="en-US" w:eastAsia="zh-CN"/>
        </w:rPr>
        <w:t>（1）完成益阳市国土空间总体规划（2021—2035年）项目验收；</w:t>
      </w:r>
      <w:bookmarkEnd w:id="75"/>
      <w:bookmarkEnd w:id="76"/>
    </w:p>
    <w:p w14:paraId="44AE0AD5">
      <w:pPr>
        <w:keepNext w:val="0"/>
        <w:keepLines w:val="0"/>
        <w:pageBreakBefore w:val="0"/>
        <w:widowControl w:val="0"/>
        <w:numPr>
          <w:ilvl w:val="0"/>
          <w:numId w:val="0"/>
        </w:numPr>
        <w:kinsoku/>
        <w:wordWrap/>
        <w:overflowPunct/>
        <w:topLinePunct w:val="0"/>
        <w:bidi w:val="0"/>
        <w:snapToGrid/>
        <w:spacing w:line="600" w:lineRule="exact"/>
        <w:ind w:firstLine="640" w:firstLineChars="200"/>
        <w:jc w:val="both"/>
        <w:textAlignment w:val="auto"/>
        <w:outlineLvl w:val="0"/>
        <w:rPr>
          <w:rFonts w:hint="default" w:ascii="Times New Roman" w:hAnsi="Times New Roman" w:eastAsia="方正仿宋_GB2312" w:cs="Times New Roman"/>
          <w:b w:val="0"/>
          <w:bCs w:val="0"/>
          <w:sz w:val="32"/>
          <w:szCs w:val="32"/>
          <w:lang w:val="en-US" w:eastAsia="zh-CN"/>
        </w:rPr>
      </w:pPr>
      <w:bookmarkStart w:id="77" w:name="_Toc17760"/>
      <w:bookmarkStart w:id="78" w:name="_Toc14378"/>
      <w:r>
        <w:rPr>
          <w:rFonts w:hint="default" w:ascii="Times New Roman" w:hAnsi="Times New Roman" w:eastAsia="方正仿宋_GB2312" w:cs="Times New Roman"/>
          <w:b w:val="0"/>
          <w:bCs w:val="0"/>
          <w:sz w:val="32"/>
          <w:szCs w:val="32"/>
          <w:lang w:val="en-US" w:eastAsia="zh-CN"/>
        </w:rPr>
        <w:t>（2）完成益阳市85个乡镇国土空间规划技术审查；</w:t>
      </w:r>
      <w:bookmarkEnd w:id="77"/>
      <w:bookmarkEnd w:id="78"/>
    </w:p>
    <w:p w14:paraId="62E43363">
      <w:pPr>
        <w:keepNext w:val="0"/>
        <w:keepLines w:val="0"/>
        <w:pageBreakBefore w:val="0"/>
        <w:widowControl w:val="0"/>
        <w:numPr>
          <w:ilvl w:val="0"/>
          <w:numId w:val="0"/>
        </w:numPr>
        <w:kinsoku/>
        <w:wordWrap/>
        <w:overflowPunct/>
        <w:topLinePunct w:val="0"/>
        <w:bidi w:val="0"/>
        <w:snapToGrid/>
        <w:spacing w:line="600" w:lineRule="exact"/>
        <w:ind w:firstLine="640" w:firstLineChars="200"/>
        <w:jc w:val="both"/>
        <w:textAlignment w:val="auto"/>
        <w:outlineLvl w:val="0"/>
        <w:rPr>
          <w:rFonts w:hint="default" w:ascii="Times New Roman" w:hAnsi="Times New Roman" w:eastAsia="方正仿宋_GB2312" w:cs="Times New Roman"/>
          <w:b w:val="0"/>
          <w:bCs w:val="0"/>
          <w:sz w:val="32"/>
          <w:szCs w:val="32"/>
          <w:lang w:val="en-US" w:eastAsia="zh-CN"/>
        </w:rPr>
      </w:pPr>
      <w:bookmarkStart w:id="79" w:name="_Toc10647"/>
      <w:bookmarkStart w:id="80" w:name="_Toc13576"/>
      <w:r>
        <w:rPr>
          <w:rFonts w:hint="default" w:ascii="Times New Roman" w:hAnsi="Times New Roman" w:eastAsia="方正仿宋_GB2312" w:cs="Times New Roman"/>
          <w:b w:val="0"/>
          <w:bCs w:val="0"/>
          <w:sz w:val="32"/>
          <w:szCs w:val="32"/>
          <w:lang w:val="en-US" w:eastAsia="zh-CN"/>
        </w:rPr>
        <w:t>（3）完成益阳市190个村庄规划质量提升审查；</w:t>
      </w:r>
      <w:bookmarkEnd w:id="79"/>
      <w:bookmarkEnd w:id="80"/>
    </w:p>
    <w:p w14:paraId="4E673168">
      <w:pPr>
        <w:keepNext w:val="0"/>
        <w:keepLines w:val="0"/>
        <w:pageBreakBefore w:val="0"/>
        <w:widowControl w:val="0"/>
        <w:numPr>
          <w:ilvl w:val="0"/>
          <w:numId w:val="0"/>
        </w:numPr>
        <w:kinsoku/>
        <w:wordWrap/>
        <w:overflowPunct/>
        <w:topLinePunct w:val="0"/>
        <w:bidi w:val="0"/>
        <w:snapToGrid/>
        <w:spacing w:line="600" w:lineRule="exact"/>
        <w:ind w:firstLine="640" w:firstLineChars="200"/>
        <w:jc w:val="both"/>
        <w:textAlignment w:val="auto"/>
        <w:outlineLvl w:val="0"/>
        <w:rPr>
          <w:rFonts w:hint="default" w:ascii="Times New Roman" w:hAnsi="Times New Roman" w:eastAsia="方正仿宋_GB2312" w:cs="Times New Roman"/>
          <w:b w:val="0"/>
          <w:bCs w:val="0"/>
          <w:sz w:val="32"/>
          <w:szCs w:val="32"/>
          <w:lang w:val="en-US" w:eastAsia="zh-CN"/>
        </w:rPr>
      </w:pPr>
      <w:bookmarkStart w:id="81" w:name="_Toc3264"/>
      <w:bookmarkStart w:id="82" w:name="_Toc29851"/>
      <w:r>
        <w:rPr>
          <w:rFonts w:hint="default" w:ascii="Times New Roman" w:hAnsi="Times New Roman" w:eastAsia="方正仿宋_GB2312" w:cs="Times New Roman"/>
          <w:b w:val="0"/>
          <w:bCs w:val="0"/>
          <w:sz w:val="32"/>
          <w:szCs w:val="32"/>
          <w:lang w:val="en-US" w:eastAsia="zh-CN"/>
        </w:rPr>
        <w:t>（4）完成2022年度国土空间规划城市体检评估；</w:t>
      </w:r>
      <w:bookmarkEnd w:id="81"/>
      <w:bookmarkEnd w:id="82"/>
    </w:p>
    <w:p w14:paraId="62A6D451">
      <w:pPr>
        <w:keepNext w:val="0"/>
        <w:keepLines w:val="0"/>
        <w:pageBreakBefore w:val="0"/>
        <w:widowControl w:val="0"/>
        <w:numPr>
          <w:ilvl w:val="0"/>
          <w:numId w:val="0"/>
        </w:numPr>
        <w:kinsoku/>
        <w:wordWrap/>
        <w:overflowPunct/>
        <w:topLinePunct w:val="0"/>
        <w:bidi w:val="0"/>
        <w:snapToGrid/>
        <w:spacing w:line="600" w:lineRule="exact"/>
        <w:ind w:firstLine="640" w:firstLineChars="200"/>
        <w:jc w:val="both"/>
        <w:textAlignment w:val="auto"/>
        <w:outlineLvl w:val="0"/>
        <w:rPr>
          <w:rFonts w:hint="default" w:ascii="Times New Roman" w:hAnsi="Times New Roman" w:eastAsia="方正仿宋_GB2312" w:cs="Times New Roman"/>
          <w:b w:val="0"/>
          <w:bCs w:val="0"/>
          <w:sz w:val="32"/>
          <w:szCs w:val="32"/>
          <w:lang w:val="en-US" w:eastAsia="zh-CN"/>
        </w:rPr>
      </w:pPr>
      <w:bookmarkStart w:id="83" w:name="_Toc18576"/>
      <w:bookmarkStart w:id="84" w:name="_Toc16264"/>
      <w:r>
        <w:rPr>
          <w:rFonts w:hint="default" w:ascii="Times New Roman" w:hAnsi="Times New Roman" w:eastAsia="方正仿宋_GB2312" w:cs="Times New Roman"/>
          <w:b w:val="0"/>
          <w:bCs w:val="0"/>
          <w:sz w:val="32"/>
          <w:szCs w:val="32"/>
          <w:lang w:val="en-US" w:eastAsia="zh-CN"/>
        </w:rPr>
        <w:t>（5）完成益阳市国土空间总体规划专题图集制作；</w:t>
      </w:r>
      <w:bookmarkEnd w:id="83"/>
      <w:bookmarkEnd w:id="84"/>
    </w:p>
    <w:p w14:paraId="03E9CCB6">
      <w:pPr>
        <w:keepNext w:val="0"/>
        <w:keepLines w:val="0"/>
        <w:pageBreakBefore w:val="0"/>
        <w:widowControl w:val="0"/>
        <w:numPr>
          <w:ilvl w:val="0"/>
          <w:numId w:val="0"/>
        </w:numPr>
        <w:kinsoku/>
        <w:wordWrap/>
        <w:overflowPunct/>
        <w:topLinePunct w:val="0"/>
        <w:bidi w:val="0"/>
        <w:snapToGrid/>
        <w:spacing w:line="600" w:lineRule="exact"/>
        <w:ind w:firstLine="640" w:firstLineChars="200"/>
        <w:jc w:val="both"/>
        <w:textAlignment w:val="auto"/>
        <w:outlineLvl w:val="0"/>
        <w:rPr>
          <w:rFonts w:hint="default" w:ascii="Times New Roman" w:hAnsi="Times New Roman" w:eastAsia="方正仿宋_GB2312" w:cs="Times New Roman"/>
          <w:b w:val="0"/>
          <w:bCs w:val="0"/>
          <w:sz w:val="32"/>
          <w:szCs w:val="32"/>
          <w:lang w:val="en-US" w:eastAsia="zh-CN"/>
        </w:rPr>
      </w:pPr>
      <w:bookmarkStart w:id="85" w:name="_Toc13592"/>
      <w:bookmarkStart w:id="86" w:name="_Toc12121"/>
      <w:r>
        <w:rPr>
          <w:rFonts w:hint="default" w:ascii="Times New Roman" w:hAnsi="Times New Roman" w:eastAsia="方正仿宋_GB2312" w:cs="Times New Roman"/>
          <w:b w:val="0"/>
          <w:bCs w:val="0"/>
          <w:sz w:val="32"/>
          <w:szCs w:val="32"/>
          <w:lang w:val="en-US" w:eastAsia="zh-CN"/>
        </w:rPr>
        <w:t>（6）完成益阳市中心城区控规道路复核定线工作；</w:t>
      </w:r>
      <w:bookmarkEnd w:id="85"/>
      <w:bookmarkEnd w:id="86"/>
    </w:p>
    <w:p w14:paraId="7AC90D61">
      <w:pPr>
        <w:keepNext w:val="0"/>
        <w:keepLines w:val="0"/>
        <w:pageBreakBefore w:val="0"/>
        <w:widowControl w:val="0"/>
        <w:numPr>
          <w:ilvl w:val="0"/>
          <w:numId w:val="0"/>
        </w:numPr>
        <w:kinsoku/>
        <w:wordWrap/>
        <w:overflowPunct/>
        <w:topLinePunct w:val="0"/>
        <w:bidi w:val="0"/>
        <w:snapToGrid/>
        <w:spacing w:line="600" w:lineRule="exact"/>
        <w:ind w:firstLine="640" w:firstLineChars="200"/>
        <w:jc w:val="both"/>
        <w:textAlignment w:val="auto"/>
        <w:outlineLvl w:val="0"/>
        <w:rPr>
          <w:rFonts w:hint="default" w:ascii="Times New Roman" w:hAnsi="Times New Roman" w:eastAsia="方正仿宋_GB2312" w:cs="Times New Roman"/>
          <w:b w:val="0"/>
          <w:bCs w:val="0"/>
          <w:sz w:val="32"/>
          <w:szCs w:val="32"/>
          <w:lang w:val="en-US" w:eastAsia="zh-CN"/>
        </w:rPr>
      </w:pPr>
      <w:bookmarkStart w:id="87" w:name="_Toc12445"/>
      <w:bookmarkStart w:id="88" w:name="_Toc5368"/>
      <w:r>
        <w:rPr>
          <w:rFonts w:hint="default" w:ascii="Times New Roman" w:hAnsi="Times New Roman" w:eastAsia="方正仿宋_GB2312" w:cs="Times New Roman"/>
          <w:b w:val="0"/>
          <w:bCs w:val="0"/>
          <w:sz w:val="32"/>
          <w:szCs w:val="32"/>
          <w:lang w:val="en-US" w:eastAsia="zh-CN"/>
        </w:rPr>
        <w:t>（7）启动编制益阳市高铁片区控制性详细规划。</w:t>
      </w:r>
      <w:bookmarkEnd w:id="87"/>
      <w:bookmarkEnd w:id="88"/>
    </w:p>
    <w:p w14:paraId="56F8AD36">
      <w:pPr>
        <w:keepNext w:val="0"/>
        <w:keepLines w:val="0"/>
        <w:pageBreakBefore w:val="0"/>
        <w:widowControl w:val="0"/>
        <w:numPr>
          <w:ilvl w:val="0"/>
          <w:numId w:val="0"/>
        </w:numPr>
        <w:kinsoku/>
        <w:wordWrap/>
        <w:overflowPunct/>
        <w:topLinePunct w:val="0"/>
        <w:bidi w:val="0"/>
        <w:snapToGrid/>
        <w:spacing w:line="600" w:lineRule="exact"/>
        <w:ind w:firstLine="640"/>
        <w:jc w:val="both"/>
        <w:textAlignment w:val="auto"/>
        <w:outlineLvl w:val="0"/>
        <w:rPr>
          <w:rFonts w:hint="default" w:ascii="Times New Roman" w:hAnsi="Times New Roman" w:eastAsia="黑体" w:cs="Times New Roman"/>
          <w:b w:val="0"/>
          <w:bCs w:val="0"/>
          <w:sz w:val="32"/>
          <w:szCs w:val="32"/>
          <w:lang w:val="en-US" w:eastAsia="zh-CN"/>
        </w:rPr>
      </w:pPr>
      <w:bookmarkStart w:id="89" w:name="_Toc10464"/>
      <w:r>
        <w:rPr>
          <w:rFonts w:hint="default" w:ascii="Times New Roman" w:hAnsi="Times New Roman" w:eastAsia="黑体" w:cs="Times New Roman"/>
          <w:b w:val="0"/>
          <w:bCs w:val="0"/>
          <w:sz w:val="32"/>
          <w:szCs w:val="32"/>
          <w:lang w:val="en-US" w:eastAsia="zh-CN"/>
        </w:rPr>
        <w:t>二、项目组织实施情况</w:t>
      </w:r>
      <w:bookmarkEnd w:id="89"/>
    </w:p>
    <w:p w14:paraId="07B87218">
      <w:pPr>
        <w:keepNext w:val="0"/>
        <w:keepLines w:val="0"/>
        <w:pageBreakBefore w:val="0"/>
        <w:widowControl w:val="0"/>
        <w:numPr>
          <w:ilvl w:val="0"/>
          <w:numId w:val="0"/>
        </w:numPr>
        <w:kinsoku/>
        <w:wordWrap/>
        <w:overflowPunct/>
        <w:topLinePunct w:val="0"/>
        <w:bidi w:val="0"/>
        <w:snapToGrid/>
        <w:spacing w:line="600" w:lineRule="exact"/>
        <w:ind w:firstLine="640"/>
        <w:jc w:val="both"/>
        <w:textAlignment w:val="auto"/>
        <w:outlineLvl w:val="1"/>
        <w:rPr>
          <w:rFonts w:hint="default" w:ascii="Times New Roman" w:hAnsi="Times New Roman" w:eastAsia="楷体" w:cs="Times New Roman"/>
          <w:b/>
          <w:bCs/>
          <w:sz w:val="32"/>
          <w:szCs w:val="32"/>
          <w:lang w:val="en-US" w:eastAsia="zh-CN"/>
        </w:rPr>
      </w:pPr>
      <w:bookmarkStart w:id="90" w:name="_Toc9922"/>
      <w:r>
        <w:rPr>
          <w:rFonts w:hint="default" w:ascii="Times New Roman" w:hAnsi="Times New Roman" w:eastAsia="楷体" w:cs="Times New Roman"/>
          <w:b/>
          <w:bCs/>
          <w:sz w:val="32"/>
          <w:szCs w:val="32"/>
          <w:lang w:val="en-US" w:eastAsia="zh-CN"/>
        </w:rPr>
        <w:t>（一）组织情况</w:t>
      </w:r>
      <w:bookmarkEnd w:id="90"/>
      <w:r>
        <w:rPr>
          <w:rFonts w:hint="default" w:ascii="Times New Roman" w:hAnsi="Times New Roman" w:eastAsia="楷体" w:cs="Times New Roman"/>
          <w:b/>
          <w:bCs/>
          <w:sz w:val="32"/>
          <w:szCs w:val="32"/>
          <w:lang w:val="en-US" w:eastAsia="zh-CN"/>
        </w:rPr>
        <w:t>。</w:t>
      </w:r>
    </w:p>
    <w:p w14:paraId="1E259470">
      <w:pPr>
        <w:keepNext w:val="0"/>
        <w:keepLines w:val="0"/>
        <w:pageBreakBefore w:val="0"/>
        <w:widowControl w:val="0"/>
        <w:numPr>
          <w:ilvl w:val="0"/>
          <w:numId w:val="0"/>
        </w:numPr>
        <w:kinsoku/>
        <w:wordWrap/>
        <w:overflowPunct/>
        <w:topLinePunct w:val="0"/>
        <w:bidi w:val="0"/>
        <w:snapToGrid/>
        <w:spacing w:line="600" w:lineRule="exact"/>
        <w:ind w:firstLine="640" w:firstLineChars="200"/>
        <w:jc w:val="both"/>
        <w:textAlignment w:val="auto"/>
        <w:outlineLvl w:val="0"/>
        <w:rPr>
          <w:rFonts w:hint="default" w:ascii="Times New Roman" w:hAnsi="Times New Roman" w:eastAsia="方正仿宋_GB2312" w:cs="Times New Roman"/>
          <w:b w:val="0"/>
          <w:bCs w:val="0"/>
          <w:sz w:val="32"/>
          <w:szCs w:val="32"/>
          <w:lang w:val="en-US" w:eastAsia="zh-CN"/>
        </w:rPr>
      </w:pPr>
      <w:bookmarkStart w:id="91" w:name="_Toc17341"/>
      <w:bookmarkStart w:id="92" w:name="_Toc21276"/>
      <w:r>
        <w:rPr>
          <w:rFonts w:hint="default" w:ascii="Times New Roman" w:hAnsi="Times New Roman" w:eastAsia="方正仿宋_GB2312" w:cs="Times New Roman"/>
          <w:b w:val="0"/>
          <w:bCs w:val="0"/>
          <w:sz w:val="32"/>
          <w:szCs w:val="32"/>
          <w:lang w:val="en-US" w:eastAsia="zh-CN"/>
        </w:rPr>
        <w:t>国土空间规划项目由市委市人民政府总领，市自然资源和规划局牵头、其他部门协同共同组织实施。其中市自然资源和规划局负责项目立项、预算编制、工作方案制定、项目的具体实施、成果交接和验收等工作；市委市人民政府负责对项目立项、工作方案的审批，协调各部门的工作；市财政局负责项目资金的安排、拨付、监督管理和绩效评价工作。</w:t>
      </w:r>
      <w:bookmarkEnd w:id="91"/>
      <w:bookmarkEnd w:id="92"/>
    </w:p>
    <w:p w14:paraId="6849CDC7">
      <w:pPr>
        <w:keepNext w:val="0"/>
        <w:keepLines w:val="0"/>
        <w:pageBreakBefore w:val="0"/>
        <w:widowControl w:val="0"/>
        <w:numPr>
          <w:ilvl w:val="0"/>
          <w:numId w:val="0"/>
        </w:numPr>
        <w:kinsoku/>
        <w:wordWrap/>
        <w:overflowPunct/>
        <w:topLinePunct w:val="0"/>
        <w:bidi w:val="0"/>
        <w:snapToGrid/>
        <w:spacing w:line="600" w:lineRule="exact"/>
        <w:ind w:firstLine="640"/>
        <w:jc w:val="both"/>
        <w:textAlignment w:val="auto"/>
        <w:outlineLvl w:val="1"/>
        <w:rPr>
          <w:rFonts w:hint="default" w:ascii="Times New Roman" w:hAnsi="Times New Roman" w:eastAsia="楷体" w:cs="Times New Roman"/>
          <w:b/>
          <w:bCs/>
          <w:sz w:val="32"/>
          <w:szCs w:val="32"/>
          <w:lang w:val="en-US" w:eastAsia="zh-CN"/>
        </w:rPr>
      </w:pPr>
      <w:bookmarkStart w:id="93" w:name="_Toc7830"/>
      <w:bookmarkStart w:id="94" w:name="_Toc12913"/>
      <w:r>
        <w:rPr>
          <w:rFonts w:hint="default" w:ascii="Times New Roman" w:hAnsi="Times New Roman" w:eastAsia="楷体" w:cs="Times New Roman"/>
          <w:b/>
          <w:bCs/>
          <w:sz w:val="32"/>
          <w:szCs w:val="32"/>
          <w:lang w:val="en-US" w:eastAsia="zh-CN"/>
        </w:rPr>
        <w:t>（二）实施情况</w:t>
      </w:r>
      <w:bookmarkEnd w:id="93"/>
      <w:bookmarkEnd w:id="94"/>
      <w:r>
        <w:rPr>
          <w:rFonts w:hint="default" w:ascii="Times New Roman" w:hAnsi="Times New Roman" w:eastAsia="楷体" w:cs="Times New Roman"/>
          <w:b/>
          <w:bCs/>
          <w:sz w:val="32"/>
          <w:szCs w:val="32"/>
          <w:lang w:val="en-US" w:eastAsia="zh-CN"/>
        </w:rPr>
        <w:t>。</w:t>
      </w:r>
    </w:p>
    <w:p w14:paraId="7DB29123">
      <w:pPr>
        <w:keepNext w:val="0"/>
        <w:keepLines w:val="0"/>
        <w:pageBreakBefore w:val="0"/>
        <w:widowControl w:val="0"/>
        <w:numPr>
          <w:ilvl w:val="0"/>
          <w:numId w:val="0"/>
        </w:numPr>
        <w:kinsoku/>
        <w:wordWrap/>
        <w:overflowPunct/>
        <w:topLinePunct w:val="0"/>
        <w:bidi w:val="0"/>
        <w:snapToGrid/>
        <w:spacing w:line="600" w:lineRule="exact"/>
        <w:ind w:firstLine="640"/>
        <w:jc w:val="both"/>
        <w:textAlignment w:val="auto"/>
        <w:outlineLvl w:val="0"/>
        <w:rPr>
          <w:rFonts w:hint="default" w:ascii="Times New Roman" w:hAnsi="Times New Roman" w:eastAsia="方正仿宋_GB2312" w:cs="Times New Roman"/>
          <w:b w:val="0"/>
          <w:bCs w:val="0"/>
          <w:sz w:val="32"/>
          <w:szCs w:val="32"/>
          <w:lang w:val="en-US" w:eastAsia="zh-CN"/>
        </w:rPr>
      </w:pPr>
      <w:bookmarkStart w:id="95" w:name="_Toc22428"/>
      <w:bookmarkStart w:id="96" w:name="_Toc31879"/>
      <w:r>
        <w:rPr>
          <w:rFonts w:hint="default" w:ascii="Times New Roman" w:hAnsi="Times New Roman" w:eastAsia="方正仿宋_GB2312" w:cs="Times New Roman"/>
          <w:b/>
          <w:bCs/>
          <w:sz w:val="32"/>
          <w:szCs w:val="32"/>
          <w:lang w:val="en-US" w:eastAsia="zh-CN"/>
        </w:rPr>
        <w:t>1.项目立项。</w:t>
      </w:r>
      <w:r>
        <w:rPr>
          <w:rFonts w:hint="default" w:ascii="Times New Roman" w:hAnsi="Times New Roman" w:eastAsia="方正仿宋_GB2312" w:cs="Times New Roman"/>
          <w:b w:val="0"/>
          <w:bCs w:val="0"/>
          <w:sz w:val="32"/>
          <w:szCs w:val="32"/>
          <w:lang w:val="en-US" w:eastAsia="zh-CN"/>
        </w:rPr>
        <w:t>市自然资源和规划局按照国家、省、市国土空间规划工作安排申报项目，编制项目预算，经过充分论证项目可行性和风险后，与市财政局协商资金安排，报请局党组会议审议，最终报市人民政府同意后立项。</w:t>
      </w:r>
      <w:bookmarkEnd w:id="95"/>
      <w:bookmarkEnd w:id="96"/>
    </w:p>
    <w:p w14:paraId="4276C2DB">
      <w:pPr>
        <w:keepNext w:val="0"/>
        <w:keepLines w:val="0"/>
        <w:pageBreakBefore w:val="0"/>
        <w:widowControl w:val="0"/>
        <w:numPr>
          <w:ilvl w:val="0"/>
          <w:numId w:val="0"/>
        </w:numPr>
        <w:kinsoku/>
        <w:wordWrap/>
        <w:overflowPunct/>
        <w:topLinePunct w:val="0"/>
        <w:bidi w:val="0"/>
        <w:snapToGrid/>
        <w:spacing w:line="600" w:lineRule="exact"/>
        <w:ind w:firstLine="640"/>
        <w:jc w:val="both"/>
        <w:textAlignment w:val="auto"/>
        <w:outlineLvl w:val="0"/>
        <w:rPr>
          <w:rFonts w:hint="default" w:ascii="Times New Roman" w:hAnsi="Times New Roman" w:eastAsia="方正仿宋_GB2312" w:cs="Times New Roman"/>
          <w:b w:val="0"/>
          <w:bCs w:val="0"/>
          <w:sz w:val="32"/>
          <w:szCs w:val="32"/>
          <w:lang w:val="en-US" w:eastAsia="zh-CN"/>
        </w:rPr>
      </w:pPr>
      <w:bookmarkStart w:id="97" w:name="_Toc28595"/>
      <w:bookmarkStart w:id="98" w:name="_Toc29451"/>
      <w:r>
        <w:rPr>
          <w:rFonts w:hint="default" w:ascii="Times New Roman" w:hAnsi="Times New Roman" w:eastAsia="方正仿宋_GB2312" w:cs="Times New Roman"/>
          <w:b/>
          <w:bCs/>
          <w:sz w:val="32"/>
          <w:szCs w:val="32"/>
          <w:lang w:val="en-US" w:eastAsia="zh-CN"/>
        </w:rPr>
        <w:t>2.项目采购。</w:t>
      </w:r>
      <w:r>
        <w:rPr>
          <w:rFonts w:hint="default" w:ascii="Times New Roman" w:hAnsi="Times New Roman" w:eastAsia="方正仿宋_GB2312" w:cs="Times New Roman"/>
          <w:b w:val="0"/>
          <w:bCs w:val="0"/>
          <w:sz w:val="32"/>
          <w:szCs w:val="32"/>
          <w:lang w:val="en-US" w:eastAsia="zh-CN"/>
        </w:rPr>
        <w:t>市自然资源和规划局严格按照《政府采购货物和服务招标投标管理办法》对市政府批准的项目进行采购；公平公正地选定具有相应资质的第三方机构承担规划编制、审查、评估等工作。</w:t>
      </w:r>
      <w:bookmarkEnd w:id="97"/>
      <w:bookmarkEnd w:id="98"/>
    </w:p>
    <w:p w14:paraId="517F8E47">
      <w:pPr>
        <w:keepNext w:val="0"/>
        <w:keepLines w:val="0"/>
        <w:pageBreakBefore w:val="0"/>
        <w:widowControl w:val="0"/>
        <w:numPr>
          <w:ilvl w:val="0"/>
          <w:numId w:val="0"/>
        </w:numPr>
        <w:kinsoku/>
        <w:wordWrap/>
        <w:overflowPunct/>
        <w:topLinePunct w:val="0"/>
        <w:bidi w:val="0"/>
        <w:snapToGrid/>
        <w:spacing w:line="600" w:lineRule="exact"/>
        <w:ind w:firstLine="643" w:firstLineChars="200"/>
        <w:jc w:val="both"/>
        <w:textAlignment w:val="auto"/>
        <w:outlineLvl w:val="0"/>
        <w:rPr>
          <w:rFonts w:hint="default" w:ascii="Times New Roman" w:hAnsi="Times New Roman" w:eastAsia="方正仿宋_GB2312" w:cs="Times New Roman"/>
          <w:b w:val="0"/>
          <w:bCs w:val="0"/>
          <w:sz w:val="32"/>
          <w:szCs w:val="32"/>
          <w:lang w:val="en-US" w:eastAsia="zh-CN"/>
        </w:rPr>
      </w:pPr>
      <w:bookmarkStart w:id="99" w:name="_Toc17625"/>
      <w:bookmarkStart w:id="100" w:name="_Toc9126"/>
      <w:r>
        <w:rPr>
          <w:rFonts w:hint="default" w:ascii="Times New Roman" w:hAnsi="Times New Roman" w:eastAsia="方正仿宋_GB2312" w:cs="Times New Roman"/>
          <w:b/>
          <w:bCs/>
          <w:sz w:val="32"/>
          <w:szCs w:val="32"/>
          <w:lang w:val="en-US" w:eastAsia="zh-CN"/>
        </w:rPr>
        <w:t>3.项目实施。</w:t>
      </w:r>
      <w:r>
        <w:rPr>
          <w:rFonts w:hint="default" w:ascii="Times New Roman" w:hAnsi="Times New Roman" w:eastAsia="方正仿宋_GB2312" w:cs="Times New Roman"/>
          <w:b w:val="0"/>
          <w:bCs w:val="0"/>
          <w:sz w:val="32"/>
          <w:szCs w:val="32"/>
          <w:lang w:val="en-US" w:eastAsia="zh-CN"/>
        </w:rPr>
        <w:t>第三方机构根据相关技术规范及与市自然资源和规划局签订的服务合同开展规划编制、审查、评估等工作，市自然资源和规划局规划科全程跟踪指导、监督第三方机构的工作，以确保项目质量，在合同约定的时间内提交初步工作成果。</w:t>
      </w:r>
      <w:bookmarkEnd w:id="99"/>
      <w:bookmarkEnd w:id="100"/>
    </w:p>
    <w:p w14:paraId="11B9BD0F">
      <w:pPr>
        <w:keepNext w:val="0"/>
        <w:keepLines w:val="0"/>
        <w:pageBreakBefore w:val="0"/>
        <w:widowControl w:val="0"/>
        <w:numPr>
          <w:ilvl w:val="0"/>
          <w:numId w:val="0"/>
        </w:numPr>
        <w:kinsoku/>
        <w:wordWrap/>
        <w:overflowPunct/>
        <w:topLinePunct w:val="0"/>
        <w:bidi w:val="0"/>
        <w:snapToGrid/>
        <w:spacing w:line="600" w:lineRule="exact"/>
        <w:ind w:firstLine="643" w:firstLineChars="200"/>
        <w:jc w:val="both"/>
        <w:textAlignment w:val="auto"/>
        <w:outlineLvl w:val="0"/>
        <w:rPr>
          <w:rFonts w:hint="default" w:ascii="Times New Roman" w:hAnsi="Times New Roman" w:eastAsia="方正仿宋_GB2312" w:cs="Times New Roman"/>
          <w:b w:val="0"/>
          <w:bCs w:val="0"/>
          <w:sz w:val="32"/>
          <w:szCs w:val="32"/>
          <w:lang w:val="en-US" w:eastAsia="zh-CN"/>
        </w:rPr>
      </w:pPr>
      <w:bookmarkStart w:id="101" w:name="_Toc4244"/>
      <w:bookmarkStart w:id="102" w:name="_Toc17871"/>
      <w:r>
        <w:rPr>
          <w:rFonts w:hint="default" w:ascii="Times New Roman" w:hAnsi="Times New Roman" w:eastAsia="方正仿宋_GB2312" w:cs="Times New Roman"/>
          <w:b/>
          <w:bCs/>
          <w:sz w:val="32"/>
          <w:szCs w:val="32"/>
          <w:lang w:val="en-US" w:eastAsia="zh-CN"/>
        </w:rPr>
        <w:t>4.咨询论证。</w:t>
      </w:r>
      <w:r>
        <w:rPr>
          <w:rFonts w:hint="default" w:ascii="Times New Roman" w:hAnsi="Times New Roman" w:eastAsia="方正仿宋_GB2312" w:cs="Times New Roman"/>
          <w:b w:val="0"/>
          <w:bCs w:val="0"/>
          <w:sz w:val="32"/>
          <w:szCs w:val="32"/>
          <w:lang w:val="en-US" w:eastAsia="zh-CN"/>
        </w:rPr>
        <w:t>项目完成初步成果编制后，由编制主体牵头，会同相关部门，组织成果咨询论证会议。邀请行业专家（不少于三位），相关职能部门，必要时还须邀请规划地段利害关系人到场参会。采用宣传栏、网络等方式，针对规划主要内容，广泛听取社会各方意见和建议，充分论证完善规划方案成果。</w:t>
      </w:r>
      <w:bookmarkEnd w:id="101"/>
      <w:bookmarkEnd w:id="102"/>
    </w:p>
    <w:p w14:paraId="480BE8B6">
      <w:pPr>
        <w:keepNext w:val="0"/>
        <w:keepLines w:val="0"/>
        <w:pageBreakBefore w:val="0"/>
        <w:widowControl w:val="0"/>
        <w:numPr>
          <w:ilvl w:val="0"/>
          <w:numId w:val="0"/>
        </w:numPr>
        <w:kinsoku/>
        <w:wordWrap/>
        <w:overflowPunct/>
        <w:topLinePunct w:val="0"/>
        <w:bidi w:val="0"/>
        <w:snapToGrid/>
        <w:spacing w:line="600" w:lineRule="exact"/>
        <w:ind w:firstLine="643" w:firstLineChars="200"/>
        <w:jc w:val="both"/>
        <w:textAlignment w:val="auto"/>
        <w:outlineLvl w:val="0"/>
        <w:rPr>
          <w:rFonts w:hint="default" w:ascii="Times New Roman" w:hAnsi="Times New Roman" w:eastAsia="方正仿宋_GB2312" w:cs="Times New Roman"/>
          <w:b w:val="0"/>
          <w:bCs w:val="0"/>
          <w:sz w:val="32"/>
          <w:szCs w:val="32"/>
          <w:lang w:val="en-US" w:eastAsia="zh-CN"/>
        </w:rPr>
      </w:pPr>
      <w:bookmarkStart w:id="103" w:name="_Toc19798"/>
      <w:bookmarkStart w:id="104" w:name="_Toc1616"/>
      <w:r>
        <w:rPr>
          <w:rFonts w:hint="default" w:ascii="Times New Roman" w:hAnsi="Times New Roman" w:eastAsia="方正仿宋_GB2312" w:cs="Times New Roman"/>
          <w:b/>
          <w:bCs/>
          <w:sz w:val="32"/>
          <w:szCs w:val="32"/>
          <w:lang w:val="en-US" w:eastAsia="zh-CN"/>
        </w:rPr>
        <w:t>5.审查审议。</w:t>
      </w:r>
      <w:r>
        <w:rPr>
          <w:rFonts w:hint="default" w:ascii="Times New Roman" w:hAnsi="Times New Roman" w:eastAsia="方正仿宋_GB2312" w:cs="Times New Roman"/>
          <w:b w:val="0"/>
          <w:bCs w:val="0"/>
          <w:sz w:val="32"/>
          <w:szCs w:val="32"/>
          <w:lang w:val="en-US" w:eastAsia="zh-CN"/>
        </w:rPr>
        <w:t>编制主体将修改完善后的规划成果，以会议或文函形式，征求相关部门意见，充分对接法律法规、政策要求等，对规划方案组织行政性审查，必要时报市国土空间规划委员会或市政府常务会议等会议审议，由技术单位再次修改完善。</w:t>
      </w:r>
      <w:bookmarkEnd w:id="103"/>
      <w:bookmarkEnd w:id="104"/>
    </w:p>
    <w:p w14:paraId="73F47368">
      <w:pPr>
        <w:keepNext w:val="0"/>
        <w:keepLines w:val="0"/>
        <w:pageBreakBefore w:val="0"/>
        <w:widowControl w:val="0"/>
        <w:numPr>
          <w:ilvl w:val="0"/>
          <w:numId w:val="0"/>
        </w:numPr>
        <w:kinsoku/>
        <w:wordWrap/>
        <w:overflowPunct/>
        <w:topLinePunct w:val="0"/>
        <w:bidi w:val="0"/>
        <w:snapToGrid/>
        <w:spacing w:line="600" w:lineRule="exact"/>
        <w:ind w:firstLine="640"/>
        <w:jc w:val="both"/>
        <w:textAlignment w:val="auto"/>
        <w:outlineLvl w:val="0"/>
        <w:rPr>
          <w:rFonts w:hint="default" w:ascii="Times New Roman" w:hAnsi="Times New Roman" w:eastAsia="方正仿宋_GB2312" w:cs="Times New Roman"/>
          <w:b w:val="0"/>
          <w:bCs w:val="0"/>
          <w:sz w:val="32"/>
          <w:szCs w:val="32"/>
          <w:lang w:val="en-US" w:eastAsia="zh-CN"/>
        </w:rPr>
      </w:pPr>
      <w:bookmarkStart w:id="105" w:name="_Toc11013"/>
      <w:bookmarkStart w:id="106" w:name="_Toc3816"/>
      <w:r>
        <w:rPr>
          <w:rFonts w:hint="default" w:ascii="Times New Roman" w:hAnsi="Times New Roman" w:eastAsia="方正仿宋_GB2312" w:cs="Times New Roman"/>
          <w:b/>
          <w:bCs/>
          <w:sz w:val="32"/>
          <w:szCs w:val="32"/>
          <w:lang w:val="en-US" w:eastAsia="zh-CN"/>
        </w:rPr>
        <w:t>6.成果审批。</w:t>
      </w:r>
      <w:r>
        <w:rPr>
          <w:rFonts w:hint="default" w:ascii="Times New Roman" w:hAnsi="Times New Roman" w:eastAsia="方正仿宋_GB2312" w:cs="Times New Roman"/>
          <w:b w:val="0"/>
          <w:bCs w:val="0"/>
          <w:sz w:val="32"/>
          <w:szCs w:val="32"/>
          <w:lang w:val="en-US" w:eastAsia="zh-CN"/>
        </w:rPr>
        <w:t>益阳市国土空间总体规划（2021—2035年）将文本、图件、附件材料等规划成果报省人民政府审批；2022年度国土空间规划城市体检评估报市人民政府审批；其他常规项目由市自然资源和规划局组织项目验收会进行验收。</w:t>
      </w:r>
      <w:bookmarkEnd w:id="105"/>
      <w:bookmarkEnd w:id="106"/>
    </w:p>
    <w:p w14:paraId="58D863B5">
      <w:pPr>
        <w:keepNext w:val="0"/>
        <w:keepLines w:val="0"/>
        <w:pageBreakBefore w:val="0"/>
        <w:widowControl w:val="0"/>
        <w:numPr>
          <w:ilvl w:val="0"/>
          <w:numId w:val="0"/>
        </w:numPr>
        <w:kinsoku/>
        <w:wordWrap/>
        <w:overflowPunct/>
        <w:topLinePunct w:val="0"/>
        <w:bidi w:val="0"/>
        <w:snapToGrid/>
        <w:spacing w:line="600" w:lineRule="exact"/>
        <w:ind w:firstLine="643" w:firstLineChars="200"/>
        <w:jc w:val="both"/>
        <w:textAlignment w:val="auto"/>
        <w:outlineLvl w:val="0"/>
        <w:rPr>
          <w:rFonts w:hint="default" w:ascii="Times New Roman" w:hAnsi="Times New Roman" w:eastAsia="方正仿宋_GB2312" w:cs="Times New Roman"/>
          <w:b w:val="0"/>
          <w:bCs w:val="0"/>
          <w:sz w:val="32"/>
          <w:szCs w:val="32"/>
          <w:lang w:val="en-US" w:eastAsia="zh-CN"/>
        </w:rPr>
      </w:pPr>
      <w:bookmarkStart w:id="107" w:name="_Toc6956"/>
      <w:bookmarkStart w:id="108" w:name="_Toc14614"/>
      <w:r>
        <w:rPr>
          <w:rFonts w:hint="default" w:ascii="Times New Roman" w:hAnsi="Times New Roman" w:eastAsia="方正仿宋_GB2312" w:cs="Times New Roman"/>
          <w:b/>
          <w:bCs/>
          <w:sz w:val="32"/>
          <w:szCs w:val="32"/>
          <w:lang w:val="en-US" w:eastAsia="zh-CN"/>
        </w:rPr>
        <w:t>7.成果验收。</w:t>
      </w:r>
      <w:r>
        <w:rPr>
          <w:rFonts w:hint="default" w:ascii="Times New Roman" w:hAnsi="Times New Roman" w:eastAsia="方正仿宋_GB2312" w:cs="Times New Roman"/>
          <w:b w:val="0"/>
          <w:bCs w:val="0"/>
          <w:sz w:val="32"/>
          <w:szCs w:val="32"/>
          <w:lang w:val="en-US" w:eastAsia="zh-CN"/>
        </w:rPr>
        <w:t>成果获批或验收完成后30日内将成果提交至市自然资源和规划局。实行电子与纸质双套存档，电子档案含原始数据及签章版，存至局信息中心并异地备份；纸质档装订后专柜保管，永久保存备查。</w:t>
      </w:r>
      <w:bookmarkEnd w:id="107"/>
      <w:bookmarkEnd w:id="108"/>
    </w:p>
    <w:p w14:paraId="48A28452">
      <w:pPr>
        <w:pStyle w:val="15"/>
        <w:keepNext w:val="0"/>
        <w:keepLines w:val="0"/>
        <w:pageBreakBefore w:val="0"/>
        <w:widowControl w:val="0"/>
        <w:kinsoku/>
        <w:wordWrap/>
        <w:overflowPunct/>
        <w:topLinePunct w:val="0"/>
        <w:bidi w:val="0"/>
        <w:snapToGrid/>
        <w:spacing w:line="600" w:lineRule="exact"/>
        <w:ind w:firstLine="640" w:firstLineChars="200"/>
        <w:jc w:val="both"/>
        <w:textAlignment w:val="auto"/>
        <w:outlineLvl w:val="0"/>
        <w:rPr>
          <w:rFonts w:hint="default" w:ascii="Times New Roman" w:hAnsi="Times New Roman" w:eastAsia="黑体" w:cs="Times New Roman"/>
          <w:color w:val="auto"/>
          <w:kern w:val="2"/>
          <w:sz w:val="32"/>
          <w:szCs w:val="32"/>
          <w:lang w:val="en-US" w:eastAsia="zh-CN" w:bidi="ar-SA"/>
        </w:rPr>
      </w:pPr>
      <w:bookmarkStart w:id="109" w:name="_Toc13200"/>
      <w:bookmarkStart w:id="110" w:name="_Toc14117"/>
      <w:r>
        <w:rPr>
          <w:rFonts w:hint="default" w:ascii="Times New Roman" w:hAnsi="Times New Roman" w:eastAsia="黑体" w:cs="Times New Roman"/>
          <w:color w:val="auto"/>
          <w:kern w:val="2"/>
          <w:sz w:val="32"/>
          <w:szCs w:val="32"/>
          <w:lang w:val="en-US" w:eastAsia="zh-CN" w:bidi="ar-SA"/>
        </w:rPr>
        <w:t>三、绩效评价实施情况</w:t>
      </w:r>
      <w:bookmarkEnd w:id="109"/>
      <w:bookmarkEnd w:id="110"/>
    </w:p>
    <w:p w14:paraId="077327BB">
      <w:pPr>
        <w:keepNext w:val="0"/>
        <w:keepLines w:val="0"/>
        <w:pageBreakBefore w:val="0"/>
        <w:widowControl w:val="0"/>
        <w:kinsoku/>
        <w:wordWrap/>
        <w:overflowPunct/>
        <w:topLinePunct w:val="0"/>
        <w:bidi w:val="0"/>
        <w:snapToGrid/>
        <w:spacing w:line="600" w:lineRule="exact"/>
        <w:ind w:firstLine="643" w:firstLineChars="200"/>
        <w:jc w:val="both"/>
        <w:textAlignment w:val="auto"/>
        <w:outlineLvl w:val="1"/>
        <w:rPr>
          <w:rFonts w:hint="default" w:ascii="Times New Roman" w:hAnsi="Times New Roman" w:eastAsia="楷体" w:cs="Times New Roman"/>
          <w:b/>
          <w:bCs/>
          <w:sz w:val="32"/>
          <w:szCs w:val="32"/>
          <w:lang w:val="en-US" w:eastAsia="zh-CN"/>
        </w:rPr>
      </w:pPr>
      <w:bookmarkStart w:id="111" w:name="_Toc17146"/>
      <w:bookmarkStart w:id="112" w:name="_Toc28432"/>
      <w:r>
        <w:rPr>
          <w:rFonts w:hint="default" w:ascii="Times New Roman" w:hAnsi="Times New Roman" w:eastAsia="楷体" w:cs="Times New Roman"/>
          <w:b/>
          <w:bCs/>
          <w:sz w:val="32"/>
          <w:szCs w:val="32"/>
          <w:lang w:val="en-US" w:eastAsia="zh-CN"/>
        </w:rPr>
        <w:t>（一）评价对象</w:t>
      </w:r>
      <w:bookmarkEnd w:id="111"/>
      <w:bookmarkEnd w:id="112"/>
      <w:r>
        <w:rPr>
          <w:rFonts w:hint="default" w:ascii="Times New Roman" w:hAnsi="Times New Roman" w:eastAsia="楷体" w:cs="Times New Roman"/>
          <w:b/>
          <w:bCs/>
          <w:sz w:val="32"/>
          <w:szCs w:val="32"/>
          <w:lang w:val="en-US" w:eastAsia="zh-CN"/>
        </w:rPr>
        <w:t>。</w:t>
      </w:r>
    </w:p>
    <w:p w14:paraId="57E1CBA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本次绩效评价涉及项目7个、资金580.44万元，现场评价项目7个、资金580.44万元，评价项目、资金率均为100%。</w:t>
      </w:r>
    </w:p>
    <w:p w14:paraId="5B69693E">
      <w:pPr>
        <w:keepNext w:val="0"/>
        <w:keepLines w:val="0"/>
        <w:pageBreakBefore w:val="0"/>
        <w:widowControl w:val="0"/>
        <w:kinsoku/>
        <w:wordWrap/>
        <w:overflowPunct/>
        <w:topLinePunct w:val="0"/>
        <w:bidi w:val="0"/>
        <w:snapToGrid/>
        <w:spacing w:line="600" w:lineRule="exact"/>
        <w:ind w:firstLine="643" w:firstLineChars="200"/>
        <w:jc w:val="both"/>
        <w:textAlignment w:val="auto"/>
        <w:outlineLvl w:val="1"/>
        <w:rPr>
          <w:rFonts w:hint="default" w:ascii="Times New Roman" w:hAnsi="Times New Roman" w:eastAsia="楷体" w:cs="Times New Roman"/>
          <w:b/>
          <w:bCs/>
          <w:sz w:val="32"/>
          <w:szCs w:val="32"/>
          <w:lang w:val="en-US" w:eastAsia="zh-CN"/>
        </w:rPr>
      </w:pPr>
      <w:bookmarkStart w:id="113" w:name="_Toc24741"/>
      <w:bookmarkStart w:id="114" w:name="_Toc7230"/>
      <w:r>
        <w:rPr>
          <w:rFonts w:hint="default" w:ascii="Times New Roman" w:hAnsi="Times New Roman" w:eastAsia="楷体" w:cs="Times New Roman"/>
          <w:b/>
          <w:bCs/>
          <w:sz w:val="32"/>
          <w:szCs w:val="32"/>
          <w:lang w:val="en-US" w:eastAsia="zh-CN"/>
        </w:rPr>
        <w:t>（二）评价目的</w:t>
      </w:r>
      <w:bookmarkEnd w:id="113"/>
      <w:bookmarkEnd w:id="114"/>
      <w:r>
        <w:rPr>
          <w:rFonts w:hint="default" w:ascii="Times New Roman" w:hAnsi="Times New Roman" w:eastAsia="楷体" w:cs="Times New Roman"/>
          <w:b/>
          <w:bCs/>
          <w:sz w:val="32"/>
          <w:szCs w:val="32"/>
          <w:lang w:val="en-US" w:eastAsia="zh-CN"/>
        </w:rPr>
        <w:t>。</w:t>
      </w:r>
    </w:p>
    <w:p w14:paraId="185B3933">
      <w:pPr>
        <w:pStyle w:val="15"/>
        <w:keepNext w:val="0"/>
        <w:keepLines w:val="0"/>
        <w:pageBreakBefore w:val="0"/>
        <w:widowControl w:val="0"/>
        <w:kinsoku/>
        <w:wordWrap/>
        <w:overflowPunct/>
        <w:topLinePunct w:val="0"/>
        <w:bidi w:val="0"/>
        <w:snapToGrid/>
        <w:spacing w:line="600" w:lineRule="exact"/>
        <w:ind w:firstLine="64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通过绩效评价全面分析项目资金使用、管理和项目实施情况，进一步规范专项资金的使用，强化财政资金支出绩效理念，切实提高财政资金使用效益。</w:t>
      </w:r>
    </w:p>
    <w:p w14:paraId="6AA6C3A2">
      <w:pPr>
        <w:keepNext w:val="0"/>
        <w:keepLines w:val="0"/>
        <w:pageBreakBefore w:val="0"/>
        <w:widowControl w:val="0"/>
        <w:kinsoku/>
        <w:wordWrap/>
        <w:overflowPunct/>
        <w:topLinePunct w:val="0"/>
        <w:bidi w:val="0"/>
        <w:snapToGrid/>
        <w:spacing w:line="600" w:lineRule="exact"/>
        <w:ind w:firstLine="643" w:firstLineChars="200"/>
        <w:jc w:val="both"/>
        <w:textAlignment w:val="auto"/>
        <w:outlineLvl w:val="1"/>
        <w:rPr>
          <w:rFonts w:hint="default" w:ascii="Times New Roman" w:hAnsi="Times New Roman" w:eastAsia="楷体" w:cs="Times New Roman"/>
          <w:b/>
          <w:bCs/>
          <w:sz w:val="32"/>
          <w:szCs w:val="32"/>
          <w:lang w:val="en-US" w:eastAsia="zh-CN"/>
        </w:rPr>
      </w:pPr>
      <w:bookmarkStart w:id="115" w:name="_Toc6549"/>
      <w:bookmarkStart w:id="116" w:name="_Toc31068"/>
      <w:r>
        <w:rPr>
          <w:rFonts w:hint="default" w:ascii="Times New Roman" w:hAnsi="Times New Roman" w:eastAsia="楷体" w:cs="Times New Roman"/>
          <w:b/>
          <w:bCs/>
          <w:sz w:val="32"/>
          <w:szCs w:val="32"/>
          <w:lang w:val="en-US" w:eastAsia="zh-CN"/>
        </w:rPr>
        <w:t>（三）评价依据</w:t>
      </w:r>
      <w:bookmarkEnd w:id="115"/>
      <w:bookmarkEnd w:id="116"/>
      <w:r>
        <w:rPr>
          <w:rFonts w:hint="default" w:ascii="Times New Roman" w:hAnsi="Times New Roman" w:eastAsia="楷体" w:cs="Times New Roman"/>
          <w:b/>
          <w:bCs/>
          <w:sz w:val="32"/>
          <w:szCs w:val="32"/>
          <w:lang w:val="en-US" w:eastAsia="zh-CN"/>
        </w:rPr>
        <w:t>。</w:t>
      </w:r>
    </w:p>
    <w:p w14:paraId="620F5CA0">
      <w:pPr>
        <w:pStyle w:val="15"/>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1.《中华人民共和国预算法》；</w:t>
      </w:r>
    </w:p>
    <w:p w14:paraId="475FC5CD">
      <w:pPr>
        <w:pStyle w:val="15"/>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2.《中共中央 国务院关于全面实施预算绩效管理的意见》（中发〔2018〕34号）；</w:t>
      </w:r>
    </w:p>
    <w:p w14:paraId="1658ED9E">
      <w:pPr>
        <w:pStyle w:val="15"/>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3.《中共湖南省委办公厅 湖南省人民政府办公厅关于全面实施预算绩效管理的实施意见》（湘办发〔2019〕10号）；</w:t>
      </w:r>
    </w:p>
    <w:p w14:paraId="14FF0155">
      <w:pPr>
        <w:pStyle w:val="15"/>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4.《益阳市预算支出绩效评价结果应用管理办法》（益 财绩〔2022〕274号）；</w:t>
      </w:r>
    </w:p>
    <w:p w14:paraId="3E278ABF">
      <w:pPr>
        <w:pStyle w:val="15"/>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5.《益阳市预算支出绩效评价管理办法》（益财绩〔2022〕405号）；</w:t>
      </w:r>
    </w:p>
    <w:p w14:paraId="3330EE3A">
      <w:pPr>
        <w:pStyle w:val="15"/>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6.《中共中央 国务院关于建立国土空间规划体系并监督实施的若干意见》（中发〔2019〕18号）；</w:t>
      </w:r>
    </w:p>
    <w:p w14:paraId="0BDDA5D0">
      <w:pPr>
        <w:pStyle w:val="15"/>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7.《自然资源部办公厅关于加强国土空间规划监督管理的通知》（自然资办发〔2020〕27号）；</w:t>
      </w:r>
    </w:p>
    <w:p w14:paraId="08A9885D">
      <w:pPr>
        <w:pStyle w:val="15"/>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8.《湖南省自然资源厅办公室关于转发自然资源部关于加强国土空间详细规划工作的通知》（中发〔2023〕43号）；</w:t>
      </w:r>
    </w:p>
    <w:p w14:paraId="3C5FE996">
      <w:pPr>
        <w:pStyle w:val="15"/>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9.《湖南省自然资源厅办公室关于开展2022年度国土空间规划城市体检评估工作的通知》；</w:t>
      </w:r>
    </w:p>
    <w:p w14:paraId="3736F565">
      <w:pPr>
        <w:pStyle w:val="15"/>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10.《益阳市人民政府办公室关于印发益阳市村庄规划编制工作方案（2021—2023年）的通知》（益政办函〔2021〕32号）；</w:t>
      </w:r>
    </w:p>
    <w:p w14:paraId="71D6E77D">
      <w:pPr>
        <w:pStyle w:val="15"/>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11.其他相关政策法规；</w:t>
      </w:r>
    </w:p>
    <w:p w14:paraId="5A9BE9BD">
      <w:pPr>
        <w:pStyle w:val="15"/>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12.益阳市自然资源和规划局提供的内控制度、账簿、财务凭证、绩效自评情况等资料。</w:t>
      </w:r>
    </w:p>
    <w:p w14:paraId="05BB04A5">
      <w:pPr>
        <w:pStyle w:val="15"/>
        <w:keepNext w:val="0"/>
        <w:keepLines w:val="0"/>
        <w:pageBreakBefore w:val="0"/>
        <w:widowControl w:val="0"/>
        <w:kinsoku/>
        <w:wordWrap/>
        <w:overflowPunct/>
        <w:topLinePunct w:val="0"/>
        <w:bidi w:val="0"/>
        <w:snapToGrid/>
        <w:spacing w:line="600" w:lineRule="exact"/>
        <w:ind w:firstLine="643" w:firstLineChars="200"/>
        <w:textAlignment w:val="auto"/>
        <w:outlineLvl w:val="1"/>
        <w:rPr>
          <w:rFonts w:hint="default" w:ascii="Times New Roman" w:hAnsi="Times New Roman" w:eastAsia="楷体" w:cs="Times New Roman"/>
          <w:b/>
          <w:bCs/>
          <w:color w:val="auto"/>
          <w:kern w:val="2"/>
          <w:sz w:val="32"/>
          <w:szCs w:val="32"/>
          <w:lang w:val="en-US" w:eastAsia="zh-CN" w:bidi="ar-SA"/>
        </w:rPr>
      </w:pPr>
      <w:bookmarkStart w:id="117" w:name="_Toc22320"/>
      <w:bookmarkStart w:id="118" w:name="_Toc6122"/>
      <w:r>
        <w:rPr>
          <w:rFonts w:hint="default" w:ascii="Times New Roman" w:hAnsi="Times New Roman" w:eastAsia="楷体" w:cs="Times New Roman"/>
          <w:b/>
          <w:bCs/>
          <w:color w:val="auto"/>
          <w:kern w:val="2"/>
          <w:sz w:val="32"/>
          <w:szCs w:val="32"/>
          <w:lang w:val="en-US" w:eastAsia="zh-CN" w:bidi="ar-SA"/>
        </w:rPr>
        <w:t>（四）评价方法和标准</w:t>
      </w:r>
      <w:bookmarkEnd w:id="117"/>
      <w:bookmarkEnd w:id="118"/>
      <w:r>
        <w:rPr>
          <w:rFonts w:hint="default" w:ascii="Times New Roman" w:hAnsi="Times New Roman" w:eastAsia="楷体" w:cs="Times New Roman"/>
          <w:b/>
          <w:bCs/>
          <w:color w:val="auto"/>
          <w:kern w:val="2"/>
          <w:sz w:val="32"/>
          <w:szCs w:val="32"/>
          <w:lang w:val="en-US" w:eastAsia="zh-CN" w:bidi="ar-SA"/>
        </w:rPr>
        <w:t>。</w:t>
      </w:r>
    </w:p>
    <w:p w14:paraId="11796D13">
      <w:pPr>
        <w:pStyle w:val="15"/>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评价采用比较法、因素分析法、成本法，以预先设定的目标作为评价标准，将绩效目标与其实际所产生的效益进行对比分析，作出全面评价。</w:t>
      </w:r>
    </w:p>
    <w:p w14:paraId="67C2B158">
      <w:pPr>
        <w:pStyle w:val="15"/>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绩效评分的结果采取评分和评级相结合的方式，90（含）-100分为优、80（含）-90分为良、60（含）-80分为较差、60分以下为差。</w:t>
      </w:r>
    </w:p>
    <w:p w14:paraId="3D26430B">
      <w:pPr>
        <w:keepNext w:val="0"/>
        <w:keepLines w:val="0"/>
        <w:pageBreakBefore w:val="0"/>
        <w:widowControl w:val="0"/>
        <w:kinsoku/>
        <w:wordWrap/>
        <w:overflowPunct/>
        <w:topLinePunct w:val="0"/>
        <w:bidi w:val="0"/>
        <w:snapToGrid/>
        <w:spacing w:line="600" w:lineRule="exact"/>
        <w:ind w:firstLine="643" w:firstLineChars="200"/>
        <w:jc w:val="both"/>
        <w:textAlignment w:val="auto"/>
        <w:outlineLvl w:val="1"/>
        <w:rPr>
          <w:rFonts w:hint="default" w:ascii="Times New Roman" w:hAnsi="Times New Roman" w:eastAsia="楷体" w:cs="Times New Roman"/>
          <w:b/>
          <w:bCs/>
          <w:sz w:val="32"/>
          <w:szCs w:val="32"/>
          <w:lang w:val="en-US" w:eastAsia="zh-CN"/>
        </w:rPr>
      </w:pPr>
      <w:bookmarkStart w:id="119" w:name="_Toc27375"/>
      <w:bookmarkStart w:id="120" w:name="_Toc3673"/>
      <w:r>
        <w:rPr>
          <w:rFonts w:hint="default" w:ascii="Times New Roman" w:hAnsi="Times New Roman" w:eastAsia="楷体" w:cs="Times New Roman"/>
          <w:b/>
          <w:bCs/>
          <w:sz w:val="32"/>
          <w:szCs w:val="32"/>
          <w:lang w:val="en-US" w:eastAsia="zh-CN"/>
        </w:rPr>
        <w:t>（五）评价工作过程</w:t>
      </w:r>
      <w:bookmarkEnd w:id="119"/>
      <w:bookmarkEnd w:id="120"/>
      <w:r>
        <w:rPr>
          <w:rFonts w:hint="default" w:ascii="Times New Roman" w:hAnsi="Times New Roman" w:eastAsia="楷体" w:cs="Times New Roman"/>
          <w:b/>
          <w:bCs/>
          <w:sz w:val="32"/>
          <w:szCs w:val="32"/>
          <w:lang w:val="en-US" w:eastAsia="zh-CN"/>
        </w:rPr>
        <w:t>。</w:t>
      </w:r>
    </w:p>
    <w:p w14:paraId="2C1445EA">
      <w:pPr>
        <w:pStyle w:val="15"/>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根据《益阳市财政局关于开展2025年财政绩效评价工作的通知》（益财绩〔2025〕163号）要求，我所按下列步骤开展了绩效评价工作：</w:t>
      </w:r>
    </w:p>
    <w:p w14:paraId="63196E37">
      <w:pPr>
        <w:pStyle w:val="15"/>
        <w:keepNext w:val="0"/>
        <w:keepLines w:val="0"/>
        <w:pageBreakBefore w:val="0"/>
        <w:widowControl w:val="0"/>
        <w:kinsoku/>
        <w:wordWrap/>
        <w:overflowPunct/>
        <w:topLinePunct w:val="0"/>
        <w:bidi w:val="0"/>
        <w:snapToGrid/>
        <w:spacing w:line="600" w:lineRule="exact"/>
        <w:ind w:firstLine="643"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b/>
          <w:bCs/>
          <w:color w:val="auto"/>
          <w:kern w:val="2"/>
          <w:sz w:val="32"/>
          <w:szCs w:val="32"/>
          <w:lang w:val="en-US" w:eastAsia="zh-CN" w:bidi="ar-SA"/>
        </w:rPr>
        <w:t>1.做好前期准备。</w:t>
      </w:r>
      <w:r>
        <w:rPr>
          <w:rFonts w:hint="default" w:ascii="Times New Roman" w:hAnsi="Times New Roman" w:eastAsia="方正仿宋_GB2312" w:cs="Times New Roman"/>
          <w:color w:val="auto"/>
          <w:kern w:val="2"/>
          <w:sz w:val="32"/>
          <w:szCs w:val="32"/>
          <w:lang w:val="en-US" w:eastAsia="zh-CN" w:bidi="ar-SA"/>
        </w:rPr>
        <w:t>我所抽调专人成立了绩效评价工作组，明确了工作职责，制定了现场评价方案，设计了相关表格，与被评单位进行充分沟通，确定了实施时间。</w:t>
      </w:r>
    </w:p>
    <w:p w14:paraId="6C309DF2">
      <w:pPr>
        <w:pStyle w:val="15"/>
        <w:keepNext w:val="0"/>
        <w:keepLines w:val="0"/>
        <w:pageBreakBefore w:val="0"/>
        <w:widowControl w:val="0"/>
        <w:kinsoku/>
        <w:wordWrap/>
        <w:overflowPunct/>
        <w:topLinePunct w:val="0"/>
        <w:bidi w:val="0"/>
        <w:snapToGrid/>
        <w:spacing w:line="600" w:lineRule="exact"/>
        <w:ind w:firstLine="643" w:firstLineChars="200"/>
        <w:jc w:val="both"/>
        <w:textAlignment w:val="auto"/>
        <w:rPr>
          <w:rFonts w:hint="default" w:ascii="Times New Roman" w:hAnsi="Times New Roman" w:eastAsia="方正仿宋_GB2312" w:cs="Times New Roman"/>
          <w:b/>
          <w:bCs/>
          <w:color w:val="auto"/>
          <w:kern w:val="2"/>
          <w:sz w:val="32"/>
          <w:szCs w:val="32"/>
          <w:lang w:val="en-US" w:eastAsia="zh-CN" w:bidi="ar-SA"/>
        </w:rPr>
      </w:pPr>
      <w:r>
        <w:rPr>
          <w:rFonts w:hint="default" w:ascii="Times New Roman" w:hAnsi="Times New Roman" w:eastAsia="方正仿宋_GB2312" w:cs="Times New Roman"/>
          <w:b/>
          <w:bCs/>
          <w:color w:val="auto"/>
          <w:kern w:val="2"/>
          <w:sz w:val="32"/>
          <w:szCs w:val="32"/>
          <w:lang w:val="en-US" w:eastAsia="zh-CN" w:bidi="ar-SA"/>
        </w:rPr>
        <w:t>2.评价工作步骤</w:t>
      </w:r>
      <w:r>
        <w:rPr>
          <w:rFonts w:hint="eastAsia" w:ascii="Times New Roman" w:hAnsi="Times New Roman" w:eastAsia="方正仿宋_GB2312" w:cs="Times New Roman"/>
          <w:b/>
          <w:bCs/>
          <w:color w:val="auto"/>
          <w:kern w:val="2"/>
          <w:sz w:val="32"/>
          <w:szCs w:val="32"/>
          <w:lang w:val="en-US" w:eastAsia="zh-CN" w:bidi="ar-SA"/>
        </w:rPr>
        <w:t>。</w:t>
      </w:r>
    </w:p>
    <w:p w14:paraId="6D3CD4A2">
      <w:pPr>
        <w:pStyle w:val="15"/>
        <w:keepNext w:val="0"/>
        <w:keepLines w:val="0"/>
        <w:pageBreakBefore w:val="0"/>
        <w:widowControl w:val="0"/>
        <w:kinsoku/>
        <w:wordWrap/>
        <w:overflowPunct/>
        <w:topLinePunct w:val="0"/>
        <w:autoSpaceDE/>
        <w:autoSpaceDN/>
        <w:bidi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（1）召开座谈会。组织项目单位管理层、责任人员及相关代表召开座谈会，听取项目有关资金使用管理及项目组织实施管理等情况介绍，了解资金使用取得的成效、存在的问题及建议等。</w:t>
      </w:r>
    </w:p>
    <w:p w14:paraId="3F0EDEB3">
      <w:pPr>
        <w:pStyle w:val="15"/>
        <w:keepNext w:val="0"/>
        <w:keepLines w:val="0"/>
        <w:pageBreakBefore w:val="0"/>
        <w:widowControl w:val="0"/>
        <w:kinsoku/>
        <w:wordWrap/>
        <w:overflowPunct/>
        <w:topLinePunct w:val="0"/>
        <w:autoSpaceDE/>
        <w:autoSpaceDN/>
        <w:bidi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（2）收集核查资料。收集该项目相关文件和项目单位相关制度等资料；核查相关制度是否完善，项目支出是否合规，资金拨付是否及时、手续是否齐全，是否存在截留、挪用等情况。</w:t>
      </w:r>
    </w:p>
    <w:p w14:paraId="38E5A3C1">
      <w:pPr>
        <w:pStyle w:val="15"/>
        <w:keepNext w:val="0"/>
        <w:keepLines w:val="0"/>
        <w:pageBreakBefore w:val="0"/>
        <w:widowControl w:val="0"/>
        <w:kinsoku/>
        <w:wordWrap/>
        <w:overflowPunct/>
        <w:topLinePunct w:val="0"/>
        <w:autoSpaceDE/>
        <w:autoSpaceDN/>
        <w:bidi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（3）现场查看。进入实地查看，拍照取证，调查走访，发放问卷调查。</w:t>
      </w:r>
    </w:p>
    <w:p w14:paraId="4DCBE9B8">
      <w:pPr>
        <w:pStyle w:val="15"/>
        <w:keepNext w:val="0"/>
        <w:keepLines w:val="0"/>
        <w:pageBreakBefore w:val="0"/>
        <w:widowControl w:val="0"/>
        <w:kinsoku/>
        <w:wordWrap/>
        <w:overflowPunct/>
        <w:topLinePunct w:val="0"/>
        <w:bidi w:val="0"/>
        <w:snapToGrid/>
        <w:spacing w:line="600" w:lineRule="exact"/>
        <w:ind w:firstLine="64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（4）归纳汇总。根据被评单位提供的材料及自评报告，结合现场评价情况进行综合分析、归纳汇总。</w:t>
      </w:r>
    </w:p>
    <w:p w14:paraId="5375BAB8">
      <w:pPr>
        <w:pStyle w:val="15"/>
        <w:keepNext w:val="0"/>
        <w:keepLines w:val="0"/>
        <w:pageBreakBefore w:val="0"/>
        <w:widowControl w:val="0"/>
        <w:kinsoku/>
        <w:wordWrap/>
        <w:overflowPunct/>
        <w:topLinePunct w:val="0"/>
        <w:bidi w:val="0"/>
        <w:snapToGrid/>
        <w:spacing w:line="600" w:lineRule="exact"/>
        <w:ind w:firstLine="64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（5）得出评价结论，形成绩效评价报告。</w:t>
      </w:r>
    </w:p>
    <w:p w14:paraId="597B7B76">
      <w:pPr>
        <w:pStyle w:val="15"/>
        <w:keepNext w:val="0"/>
        <w:keepLines w:val="0"/>
        <w:pageBreakBefore w:val="0"/>
        <w:widowControl w:val="0"/>
        <w:kinsoku/>
        <w:wordWrap/>
        <w:overflowPunct/>
        <w:topLinePunct w:val="0"/>
        <w:bidi w:val="0"/>
        <w:snapToGrid/>
        <w:spacing w:line="600" w:lineRule="exact"/>
        <w:ind w:firstLine="640"/>
        <w:jc w:val="left"/>
        <w:textAlignment w:val="auto"/>
        <w:outlineLvl w:val="0"/>
        <w:rPr>
          <w:rFonts w:hint="default" w:ascii="Times New Roman" w:hAnsi="Times New Roman" w:eastAsia="黑体" w:cs="Times New Roman"/>
          <w:color w:val="auto"/>
          <w:kern w:val="2"/>
          <w:sz w:val="32"/>
          <w:szCs w:val="32"/>
          <w:lang w:val="en-US" w:eastAsia="zh-CN" w:bidi="ar-SA"/>
        </w:rPr>
      </w:pPr>
      <w:bookmarkStart w:id="121" w:name="_Toc9825"/>
      <w:bookmarkStart w:id="122" w:name="_Toc27522"/>
      <w:r>
        <w:rPr>
          <w:rFonts w:hint="default" w:ascii="Times New Roman" w:hAnsi="Times New Roman" w:eastAsia="黑体" w:cs="Times New Roman"/>
          <w:color w:val="auto"/>
          <w:kern w:val="2"/>
          <w:sz w:val="32"/>
          <w:szCs w:val="32"/>
          <w:lang w:val="en-US" w:eastAsia="zh-CN" w:bidi="ar-SA"/>
        </w:rPr>
        <w:t>四、项目取得的主要</w:t>
      </w:r>
      <w:bookmarkEnd w:id="121"/>
      <w:r>
        <w:rPr>
          <w:rFonts w:hint="default" w:ascii="Times New Roman" w:hAnsi="Times New Roman" w:eastAsia="黑体" w:cs="Times New Roman"/>
          <w:color w:val="auto"/>
          <w:kern w:val="2"/>
          <w:sz w:val="32"/>
          <w:szCs w:val="32"/>
          <w:lang w:val="en-US" w:eastAsia="zh-CN" w:bidi="ar-SA"/>
        </w:rPr>
        <w:t>绩效</w:t>
      </w:r>
    </w:p>
    <w:p w14:paraId="57CF2989">
      <w:pPr>
        <w:pStyle w:val="15"/>
        <w:keepNext w:val="0"/>
        <w:keepLines w:val="0"/>
        <w:pageBreakBefore w:val="0"/>
        <w:widowControl w:val="0"/>
        <w:kinsoku/>
        <w:wordWrap/>
        <w:overflowPunct/>
        <w:topLinePunct w:val="0"/>
        <w:bidi w:val="0"/>
        <w:snapToGrid/>
        <w:spacing w:line="600" w:lineRule="exact"/>
        <w:ind w:firstLine="640"/>
        <w:jc w:val="both"/>
        <w:textAlignment w:val="auto"/>
        <w:outlineLvl w:val="1"/>
        <w:rPr>
          <w:rFonts w:hint="default" w:ascii="Times New Roman" w:hAnsi="Times New Roman" w:eastAsia="楷体" w:cs="Times New Roman"/>
          <w:b/>
          <w:bCs/>
          <w:color w:val="auto"/>
          <w:kern w:val="2"/>
          <w:sz w:val="32"/>
          <w:szCs w:val="32"/>
          <w:lang w:val="en-US" w:eastAsia="zh-CN" w:bidi="ar-SA"/>
        </w:rPr>
      </w:pPr>
      <w:bookmarkStart w:id="123" w:name="_Toc22390"/>
      <w:r>
        <w:rPr>
          <w:rFonts w:hint="default" w:ascii="Times New Roman" w:hAnsi="Times New Roman" w:eastAsia="楷体" w:cs="Times New Roman"/>
          <w:b/>
          <w:bCs/>
          <w:color w:val="auto"/>
          <w:kern w:val="2"/>
          <w:sz w:val="32"/>
          <w:szCs w:val="32"/>
          <w:lang w:val="en-US" w:eastAsia="zh-CN" w:bidi="ar-SA"/>
        </w:rPr>
        <w:t>（一）国土空间规划成效初显，体系更趋完善</w:t>
      </w:r>
      <w:bookmarkEnd w:id="123"/>
      <w:r>
        <w:rPr>
          <w:rFonts w:hint="default" w:ascii="Times New Roman" w:hAnsi="Times New Roman" w:eastAsia="楷体" w:cs="Times New Roman"/>
          <w:b/>
          <w:bCs/>
          <w:color w:val="auto"/>
          <w:kern w:val="2"/>
          <w:sz w:val="32"/>
          <w:szCs w:val="32"/>
          <w:lang w:val="en-US" w:eastAsia="zh-CN" w:bidi="ar-SA"/>
        </w:rPr>
        <w:t>。</w:t>
      </w:r>
    </w:p>
    <w:p w14:paraId="32A564DA">
      <w:pPr>
        <w:pStyle w:val="15"/>
        <w:keepNext w:val="0"/>
        <w:keepLines w:val="0"/>
        <w:pageBreakBefore w:val="0"/>
        <w:widowControl w:val="0"/>
        <w:kinsoku/>
        <w:wordWrap/>
        <w:overflowPunct/>
        <w:topLinePunct w:val="0"/>
        <w:bidi w:val="0"/>
        <w:snapToGrid/>
        <w:spacing w:line="600" w:lineRule="exact"/>
        <w:ind w:firstLine="640"/>
        <w:jc w:val="both"/>
        <w:textAlignment w:val="auto"/>
        <w:outlineLvl w:val="0"/>
        <w:rPr>
          <w:rFonts w:hint="default" w:ascii="Times New Roman" w:hAnsi="Times New Roman" w:eastAsia="方正仿宋_GB2312" w:cs="Times New Roman"/>
          <w:color w:val="auto"/>
          <w:kern w:val="2"/>
          <w:sz w:val="32"/>
          <w:szCs w:val="32"/>
          <w:lang w:val="en-US" w:eastAsia="zh-CN" w:bidi="ar-SA"/>
        </w:rPr>
      </w:pPr>
      <w:bookmarkStart w:id="124" w:name="_Toc923"/>
      <w:bookmarkStart w:id="125" w:name="_Toc24192"/>
      <w:r>
        <w:rPr>
          <w:rFonts w:hint="default" w:ascii="Times New Roman" w:hAnsi="Times New Roman" w:eastAsia="方正仿宋_GB2312" w:cs="Times New Roman"/>
          <w:color w:val="auto"/>
          <w:kern w:val="2"/>
          <w:sz w:val="32"/>
          <w:szCs w:val="32"/>
          <w:lang w:val="en-US" w:eastAsia="zh-CN" w:bidi="ar-SA"/>
        </w:rPr>
        <w:t>完成了《益阳市国土空间总体规划（2021—2035年）》项目验收，形成了1套主体成果、12个专题研究报告、2个专项规划，为编制县级国土空间总体规划、乡镇规划、详细规划、相关专项规划和开展各类开发保护建设活动、实施国土空间用途管制提供基本依据，全市国土空间规划体系更趋完善并取得较好的成效，2024年荣获全省国土空间规划优秀案例和规划设计一等奖。完成了益阳市国土空间总体规划专题图集制作，印刷了专题图集100套、绢制图100件，为全市国土空间保护、开发和利用提供更直观的地图服务。</w:t>
      </w:r>
      <w:bookmarkEnd w:id="124"/>
      <w:bookmarkEnd w:id="125"/>
    </w:p>
    <w:p w14:paraId="2BDBAAD2">
      <w:pPr>
        <w:pStyle w:val="15"/>
        <w:keepNext w:val="0"/>
        <w:keepLines w:val="0"/>
        <w:pageBreakBefore w:val="0"/>
        <w:widowControl w:val="0"/>
        <w:kinsoku/>
        <w:wordWrap/>
        <w:overflowPunct/>
        <w:topLinePunct w:val="0"/>
        <w:bidi w:val="0"/>
        <w:snapToGrid/>
        <w:spacing w:line="600" w:lineRule="exact"/>
        <w:ind w:firstLine="640"/>
        <w:jc w:val="both"/>
        <w:textAlignment w:val="auto"/>
        <w:outlineLvl w:val="1"/>
        <w:rPr>
          <w:rFonts w:hint="default" w:ascii="Times New Roman" w:hAnsi="Times New Roman" w:eastAsia="楷体" w:cs="Times New Roman"/>
          <w:b/>
          <w:bCs/>
          <w:color w:val="auto"/>
          <w:kern w:val="2"/>
          <w:sz w:val="32"/>
          <w:szCs w:val="32"/>
          <w:lang w:val="en-US" w:eastAsia="zh-CN" w:bidi="ar-SA"/>
        </w:rPr>
      </w:pPr>
      <w:bookmarkStart w:id="126" w:name="_Toc42"/>
      <w:r>
        <w:rPr>
          <w:rFonts w:hint="default" w:ascii="Times New Roman" w:hAnsi="Times New Roman" w:eastAsia="楷体" w:cs="Times New Roman"/>
          <w:b/>
          <w:bCs/>
          <w:color w:val="auto"/>
          <w:kern w:val="2"/>
          <w:sz w:val="32"/>
          <w:szCs w:val="32"/>
          <w:lang w:val="en-US" w:eastAsia="zh-CN" w:bidi="ar-SA"/>
        </w:rPr>
        <w:t>（二）加速推进乡镇规划和村庄规划编制，助力乡村振兴</w:t>
      </w:r>
      <w:bookmarkEnd w:id="126"/>
      <w:r>
        <w:rPr>
          <w:rFonts w:hint="default" w:ascii="Times New Roman" w:hAnsi="Times New Roman" w:eastAsia="楷体" w:cs="Times New Roman"/>
          <w:b/>
          <w:bCs/>
          <w:color w:val="auto"/>
          <w:kern w:val="2"/>
          <w:sz w:val="32"/>
          <w:szCs w:val="32"/>
          <w:lang w:val="en-US" w:eastAsia="zh-CN" w:bidi="ar-SA"/>
        </w:rPr>
        <w:t>。</w:t>
      </w:r>
    </w:p>
    <w:p w14:paraId="1D34CE55">
      <w:pPr>
        <w:pStyle w:val="15"/>
        <w:keepNext w:val="0"/>
        <w:keepLines w:val="0"/>
        <w:pageBreakBefore w:val="0"/>
        <w:widowControl w:val="0"/>
        <w:kinsoku/>
        <w:wordWrap/>
        <w:overflowPunct/>
        <w:topLinePunct w:val="0"/>
        <w:bidi w:val="0"/>
        <w:snapToGrid/>
        <w:spacing w:line="600" w:lineRule="exact"/>
        <w:ind w:firstLine="640"/>
        <w:jc w:val="both"/>
        <w:textAlignment w:val="auto"/>
        <w:outlineLvl w:val="0"/>
        <w:rPr>
          <w:rFonts w:hint="default" w:ascii="Times New Roman" w:hAnsi="Times New Roman" w:eastAsia="方正仿宋_GB2312" w:cs="Times New Roman"/>
          <w:color w:val="auto"/>
          <w:kern w:val="2"/>
          <w:sz w:val="32"/>
          <w:szCs w:val="32"/>
          <w:lang w:val="en-US" w:eastAsia="zh-CN" w:bidi="ar-SA"/>
        </w:rPr>
      </w:pPr>
      <w:bookmarkStart w:id="127" w:name="_Toc16303"/>
      <w:bookmarkStart w:id="128" w:name="_Toc2548"/>
      <w:r>
        <w:rPr>
          <w:rFonts w:hint="default" w:ascii="Times New Roman" w:hAnsi="Times New Roman" w:eastAsia="方正仿宋_GB2312" w:cs="Times New Roman"/>
          <w:color w:val="auto"/>
          <w:kern w:val="2"/>
          <w:sz w:val="32"/>
          <w:szCs w:val="32"/>
          <w:lang w:val="en-US" w:eastAsia="zh-CN" w:bidi="ar-SA"/>
        </w:rPr>
        <w:t>完成了85个乡镇国土空间规划技术审查，提升了规划的科学性和可操作性，为推进编制村庄规划提供更科学的依据。完成了190个村庄规划审查，落实了省委、省政府湖湘“五千工程”建设“和美乡村”目标任务，提升了村庄规划的整体质量，促使规划设计更好地指导村庄的建设和发展，推动乡村振兴战略实施。2024年优秀国土空间规划案例评选中益阳市谢林港镇清溪村、马路镇马路溪村村庄规划获一等奖，沅江市黄茅洲镇国土空间规划获二等奖。</w:t>
      </w:r>
      <w:bookmarkEnd w:id="127"/>
      <w:bookmarkEnd w:id="128"/>
    </w:p>
    <w:p w14:paraId="6FF07E44">
      <w:pPr>
        <w:pStyle w:val="15"/>
        <w:keepNext w:val="0"/>
        <w:keepLines w:val="0"/>
        <w:pageBreakBefore w:val="0"/>
        <w:widowControl w:val="0"/>
        <w:kinsoku/>
        <w:wordWrap/>
        <w:overflowPunct/>
        <w:topLinePunct w:val="0"/>
        <w:bidi w:val="0"/>
        <w:snapToGrid/>
        <w:spacing w:line="600" w:lineRule="exact"/>
        <w:ind w:firstLine="640"/>
        <w:jc w:val="both"/>
        <w:textAlignment w:val="auto"/>
        <w:outlineLvl w:val="1"/>
        <w:rPr>
          <w:rFonts w:hint="default" w:ascii="Times New Roman" w:hAnsi="Times New Roman" w:eastAsia="楷体" w:cs="Times New Roman"/>
          <w:b/>
          <w:bCs/>
          <w:color w:val="auto"/>
          <w:kern w:val="2"/>
          <w:sz w:val="32"/>
          <w:szCs w:val="32"/>
          <w:lang w:val="en-US" w:eastAsia="zh-CN" w:bidi="ar-SA"/>
        </w:rPr>
      </w:pPr>
      <w:bookmarkStart w:id="129" w:name="_Toc9954"/>
      <w:r>
        <w:rPr>
          <w:rFonts w:hint="default" w:ascii="Times New Roman" w:hAnsi="Times New Roman" w:eastAsia="楷体" w:cs="Times New Roman"/>
          <w:b/>
          <w:bCs/>
          <w:color w:val="auto"/>
          <w:kern w:val="2"/>
          <w:sz w:val="32"/>
          <w:szCs w:val="32"/>
          <w:lang w:val="en-US" w:eastAsia="zh-CN" w:bidi="ar-SA"/>
        </w:rPr>
        <w:t>（三）</w:t>
      </w:r>
      <w:bookmarkEnd w:id="129"/>
      <w:r>
        <w:rPr>
          <w:rFonts w:hint="default" w:ascii="Times New Roman" w:hAnsi="Times New Roman" w:eastAsia="楷体" w:cs="Times New Roman"/>
          <w:b/>
          <w:bCs/>
          <w:color w:val="auto"/>
          <w:kern w:val="2"/>
          <w:sz w:val="32"/>
          <w:szCs w:val="32"/>
          <w:lang w:val="en-US" w:eastAsia="zh-CN" w:bidi="ar-SA"/>
        </w:rPr>
        <w:t>强力推进详细规划编制试点，全市国土空间详细规划覆盖率得到提升。</w:t>
      </w:r>
    </w:p>
    <w:p w14:paraId="55D5553D">
      <w:pPr>
        <w:pStyle w:val="15"/>
        <w:keepNext w:val="0"/>
        <w:keepLines w:val="0"/>
        <w:pageBreakBefore w:val="0"/>
        <w:widowControl w:val="0"/>
        <w:kinsoku/>
        <w:wordWrap/>
        <w:overflowPunct/>
        <w:topLinePunct w:val="0"/>
        <w:bidi w:val="0"/>
        <w:snapToGrid/>
        <w:spacing w:line="600" w:lineRule="exact"/>
        <w:ind w:firstLine="640"/>
        <w:jc w:val="both"/>
        <w:textAlignment w:val="auto"/>
        <w:outlineLvl w:val="0"/>
        <w:rPr>
          <w:rFonts w:hint="default" w:ascii="Times New Roman" w:hAnsi="Times New Roman" w:eastAsia="方正仿宋_GB2312" w:cs="Times New Roman"/>
          <w:color w:val="auto"/>
          <w:kern w:val="2"/>
          <w:sz w:val="32"/>
          <w:szCs w:val="32"/>
          <w:lang w:val="en-US" w:eastAsia="zh-CN" w:bidi="ar-SA"/>
        </w:rPr>
      </w:pPr>
      <w:bookmarkStart w:id="130" w:name="_Toc14115"/>
      <w:bookmarkStart w:id="131" w:name="_Toc4995"/>
      <w:r>
        <w:rPr>
          <w:rFonts w:hint="default" w:ascii="Times New Roman" w:hAnsi="Times New Roman" w:eastAsia="方正仿宋_GB2312" w:cs="Times New Roman"/>
          <w:color w:val="auto"/>
          <w:kern w:val="2"/>
          <w:sz w:val="32"/>
          <w:szCs w:val="32"/>
          <w:lang w:val="en-US" w:eastAsia="zh-CN" w:bidi="ar-SA"/>
        </w:rPr>
        <w:t>2024年，市自然资源和规划局强力推进详细规划编制试点工作，启动了益阳市中心城区高铁片区控制性详细规划编制，该规划将于2025年10月份完成。详细规划的推进将在开展国土空间开发保护活动、实施国土空间用途管制中的作用得到有效发挥，全市国土空间详细规划覆盖率将得到进一步提升。</w:t>
      </w:r>
      <w:bookmarkEnd w:id="130"/>
      <w:bookmarkEnd w:id="131"/>
    </w:p>
    <w:p w14:paraId="2750516A">
      <w:pPr>
        <w:pStyle w:val="15"/>
        <w:keepNext w:val="0"/>
        <w:keepLines w:val="0"/>
        <w:pageBreakBefore w:val="0"/>
        <w:widowControl w:val="0"/>
        <w:kinsoku/>
        <w:wordWrap/>
        <w:overflowPunct/>
        <w:topLinePunct w:val="0"/>
        <w:autoSpaceDE/>
        <w:autoSpaceDN/>
        <w:bidi w:val="0"/>
        <w:snapToGrid/>
        <w:spacing w:line="600" w:lineRule="exact"/>
        <w:ind w:firstLine="643" w:firstLineChars="200"/>
        <w:jc w:val="both"/>
        <w:textAlignment w:val="auto"/>
        <w:outlineLvl w:val="1"/>
        <w:rPr>
          <w:rFonts w:hint="default" w:ascii="Times New Roman" w:hAnsi="Times New Roman" w:eastAsia="楷体" w:cs="Times New Roman"/>
          <w:b/>
          <w:bCs/>
          <w:color w:val="auto"/>
          <w:kern w:val="2"/>
          <w:sz w:val="32"/>
          <w:szCs w:val="32"/>
          <w:lang w:val="en-US" w:eastAsia="zh-CN" w:bidi="ar-SA"/>
        </w:rPr>
      </w:pPr>
      <w:bookmarkStart w:id="132" w:name="_Toc20340"/>
      <w:r>
        <w:rPr>
          <w:rFonts w:hint="default" w:ascii="Times New Roman" w:hAnsi="Times New Roman" w:eastAsia="楷体" w:cs="Times New Roman"/>
          <w:b/>
          <w:bCs/>
          <w:color w:val="auto"/>
          <w:kern w:val="2"/>
          <w:sz w:val="32"/>
          <w:szCs w:val="32"/>
          <w:lang w:val="en-US" w:eastAsia="zh-CN" w:bidi="ar-SA"/>
        </w:rPr>
        <w:t>（四）</w:t>
      </w:r>
      <w:bookmarkEnd w:id="132"/>
      <w:r>
        <w:rPr>
          <w:rFonts w:hint="default" w:ascii="Times New Roman" w:hAnsi="Times New Roman" w:eastAsia="楷体" w:cs="Times New Roman"/>
          <w:b/>
          <w:bCs/>
          <w:color w:val="auto"/>
          <w:kern w:val="2"/>
          <w:sz w:val="32"/>
          <w:szCs w:val="32"/>
          <w:lang w:val="en-US" w:eastAsia="zh-CN" w:bidi="ar-SA"/>
        </w:rPr>
        <w:t>持续完善国土空间规划“一张图”系统，为科学全面决策提供了信息支撑。</w:t>
      </w:r>
    </w:p>
    <w:p w14:paraId="0882085B">
      <w:pPr>
        <w:pStyle w:val="15"/>
        <w:keepNext w:val="0"/>
        <w:keepLines w:val="0"/>
        <w:pageBreakBefore w:val="0"/>
        <w:widowControl w:val="0"/>
        <w:kinsoku/>
        <w:wordWrap/>
        <w:overflowPunct/>
        <w:topLinePunct w:val="0"/>
        <w:autoSpaceDE/>
        <w:autoSpaceDN/>
        <w:bidi w:val="0"/>
        <w:snapToGrid/>
        <w:spacing w:line="600" w:lineRule="exact"/>
        <w:ind w:firstLine="640" w:firstLineChars="200"/>
        <w:jc w:val="both"/>
        <w:textAlignment w:val="auto"/>
        <w:outlineLvl w:val="0"/>
        <w:rPr>
          <w:rFonts w:hint="default" w:ascii="Times New Roman" w:hAnsi="Times New Roman" w:eastAsia="方正仿宋_GB2312" w:cs="Times New Roman"/>
          <w:color w:val="auto"/>
          <w:kern w:val="2"/>
          <w:sz w:val="32"/>
          <w:szCs w:val="32"/>
          <w:lang w:val="en-US" w:eastAsia="zh-CN" w:bidi="ar-SA"/>
        </w:rPr>
      </w:pPr>
      <w:bookmarkStart w:id="133" w:name="_Toc1353"/>
      <w:bookmarkStart w:id="134" w:name="_Toc28857"/>
      <w:r>
        <w:rPr>
          <w:rFonts w:hint="default" w:ascii="Times New Roman" w:hAnsi="Times New Roman" w:eastAsia="方正仿宋_GB2312" w:cs="Times New Roman"/>
          <w:color w:val="auto"/>
          <w:kern w:val="2"/>
          <w:sz w:val="32"/>
          <w:szCs w:val="32"/>
          <w:lang w:val="en-US" w:eastAsia="zh-CN" w:bidi="ar-SA"/>
        </w:rPr>
        <w:t>完成了2022年度国土空间规划城市体检评估，形成了城市体检评估数据库，为益阳市政府及各部门的决策提供科学依据，促进了城市的可持续和健康发展。完成了中心城区控规道路复核定线工作，将中心城区所有现状道路及规划道路坐标、线形、宽度进行复核并录入数据库，形成准确的路网“一张图 ”。</w:t>
      </w:r>
      <w:bookmarkEnd w:id="133"/>
      <w:bookmarkEnd w:id="134"/>
    </w:p>
    <w:p w14:paraId="58EA27F7">
      <w:pPr>
        <w:pStyle w:val="15"/>
        <w:keepNext w:val="0"/>
        <w:keepLines w:val="0"/>
        <w:pageBreakBefore w:val="0"/>
        <w:widowControl w:val="0"/>
        <w:kinsoku/>
        <w:wordWrap/>
        <w:overflowPunct/>
        <w:topLinePunct w:val="0"/>
        <w:bidi w:val="0"/>
        <w:snapToGrid/>
        <w:spacing w:line="600" w:lineRule="exact"/>
        <w:ind w:firstLine="640"/>
        <w:jc w:val="left"/>
        <w:textAlignment w:val="auto"/>
        <w:outlineLvl w:val="0"/>
        <w:rPr>
          <w:rFonts w:hint="default" w:ascii="Times New Roman" w:hAnsi="Times New Roman" w:eastAsia="黑体" w:cs="Times New Roman"/>
          <w:color w:val="auto"/>
          <w:kern w:val="2"/>
          <w:sz w:val="32"/>
          <w:szCs w:val="32"/>
          <w:lang w:val="en-US" w:eastAsia="zh-CN" w:bidi="ar-SA"/>
        </w:rPr>
      </w:pPr>
      <w:bookmarkStart w:id="135" w:name="_Toc15857"/>
      <w:r>
        <w:rPr>
          <w:rFonts w:hint="default" w:ascii="Times New Roman" w:hAnsi="Times New Roman" w:eastAsia="黑体" w:cs="Times New Roman"/>
          <w:color w:val="auto"/>
          <w:kern w:val="2"/>
          <w:sz w:val="32"/>
          <w:szCs w:val="32"/>
          <w:lang w:val="en-US" w:eastAsia="zh-CN" w:bidi="ar-SA"/>
        </w:rPr>
        <w:t>五、绩效评价结论及指标分析</w:t>
      </w:r>
      <w:bookmarkEnd w:id="122"/>
      <w:bookmarkEnd w:id="135"/>
    </w:p>
    <w:p w14:paraId="5A17CB9A">
      <w:pPr>
        <w:keepNext w:val="0"/>
        <w:keepLines w:val="0"/>
        <w:pageBreakBefore w:val="0"/>
        <w:widowControl w:val="0"/>
        <w:kinsoku/>
        <w:wordWrap/>
        <w:overflowPunct/>
        <w:topLinePunct w:val="0"/>
        <w:bidi w:val="0"/>
        <w:snapToGrid/>
        <w:spacing w:line="600" w:lineRule="exact"/>
        <w:ind w:firstLine="643" w:firstLineChars="200"/>
        <w:jc w:val="both"/>
        <w:textAlignment w:val="auto"/>
        <w:outlineLvl w:val="1"/>
        <w:rPr>
          <w:rFonts w:hint="default" w:ascii="Times New Roman" w:hAnsi="Times New Roman" w:eastAsia="方正仿宋_GB2312" w:cs="Times New Roman"/>
          <w:color w:val="auto"/>
          <w:kern w:val="2"/>
          <w:sz w:val="32"/>
          <w:szCs w:val="32"/>
          <w:lang w:val="en-US" w:eastAsia="zh-CN" w:bidi="ar-SA"/>
        </w:rPr>
      </w:pPr>
      <w:bookmarkStart w:id="136" w:name="_Toc13347"/>
      <w:bookmarkStart w:id="137" w:name="_Toc4568"/>
      <w:r>
        <w:rPr>
          <w:rFonts w:hint="default" w:ascii="Times New Roman" w:hAnsi="Times New Roman" w:eastAsia="楷体" w:cs="Times New Roman"/>
          <w:b/>
          <w:bCs/>
          <w:sz w:val="32"/>
          <w:szCs w:val="32"/>
          <w:lang w:val="en-US" w:eastAsia="zh-CN"/>
        </w:rPr>
        <w:t>（一）得分情况</w:t>
      </w:r>
      <w:bookmarkEnd w:id="136"/>
      <w:bookmarkEnd w:id="137"/>
      <w:r>
        <w:rPr>
          <w:rFonts w:hint="default" w:ascii="Times New Roman" w:hAnsi="Times New Roman" w:eastAsia="楷体" w:cs="Times New Roman"/>
          <w:b/>
          <w:bCs/>
          <w:sz w:val="32"/>
          <w:szCs w:val="32"/>
          <w:lang w:val="en-US" w:eastAsia="zh-CN"/>
        </w:rPr>
        <w:t>。</w:t>
      </w:r>
    </w:p>
    <w:p w14:paraId="0579BE83">
      <w:pPr>
        <w:pStyle w:val="15"/>
        <w:keepNext w:val="0"/>
        <w:keepLines w:val="0"/>
        <w:pageBreakBefore w:val="0"/>
        <w:widowControl w:val="0"/>
        <w:kinsoku/>
        <w:wordWrap/>
        <w:overflowPunct/>
        <w:topLinePunct w:val="0"/>
        <w:autoSpaceDE/>
        <w:autoSpaceDN/>
        <w:bidi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按照绩效评价指标评分表，我们从决策、过程、产出、效益四方面对专项资金进行绩效评价打分，最后</w:t>
      </w:r>
      <w:r>
        <w:rPr>
          <w:rFonts w:hint="default" w:ascii="Times New Roman" w:hAnsi="Times New Roman" w:eastAsia="方正仿宋_GB2312" w:cs="Times New Roman"/>
          <w:color w:val="auto"/>
          <w:kern w:val="2"/>
          <w:sz w:val="32"/>
          <w:szCs w:val="32"/>
          <w:highlight w:val="none"/>
          <w:lang w:val="en-US" w:eastAsia="zh-CN" w:bidi="ar-SA"/>
        </w:rPr>
        <w:t>得分为90.34分，</w:t>
      </w:r>
      <w:r>
        <w:rPr>
          <w:rFonts w:hint="default" w:ascii="Times New Roman" w:hAnsi="Times New Roman" w:eastAsia="方正仿宋_GB2312" w:cs="Times New Roman"/>
          <w:color w:val="auto"/>
          <w:kern w:val="2"/>
          <w:sz w:val="32"/>
          <w:szCs w:val="32"/>
          <w:lang w:val="en-US" w:eastAsia="zh-CN" w:bidi="ar-SA"/>
        </w:rPr>
        <w:t>评价等级为“优”。具体评分情况见附件3。</w:t>
      </w:r>
    </w:p>
    <w:p w14:paraId="72D05136">
      <w:pPr>
        <w:keepNext w:val="0"/>
        <w:keepLines w:val="0"/>
        <w:pageBreakBefore w:val="0"/>
        <w:widowControl w:val="0"/>
        <w:kinsoku/>
        <w:wordWrap/>
        <w:overflowPunct/>
        <w:topLinePunct w:val="0"/>
        <w:bidi w:val="0"/>
        <w:snapToGrid/>
        <w:spacing w:line="600" w:lineRule="exact"/>
        <w:ind w:firstLine="643" w:firstLineChars="200"/>
        <w:jc w:val="both"/>
        <w:textAlignment w:val="auto"/>
        <w:outlineLvl w:val="1"/>
        <w:rPr>
          <w:rFonts w:hint="default" w:ascii="Times New Roman" w:hAnsi="Times New Roman" w:eastAsia="楷体" w:cs="Times New Roman"/>
          <w:b/>
          <w:bCs/>
          <w:sz w:val="32"/>
          <w:szCs w:val="32"/>
          <w:lang w:val="en-US" w:eastAsia="zh-CN"/>
        </w:rPr>
      </w:pPr>
      <w:bookmarkStart w:id="138" w:name="_Toc9519"/>
      <w:bookmarkStart w:id="139" w:name="_Toc10201"/>
      <w:r>
        <w:rPr>
          <w:rFonts w:hint="default" w:ascii="Times New Roman" w:hAnsi="Times New Roman" w:eastAsia="楷体" w:cs="Times New Roman"/>
          <w:b/>
          <w:bCs/>
          <w:sz w:val="32"/>
          <w:szCs w:val="32"/>
          <w:lang w:val="en-US" w:eastAsia="zh-CN"/>
        </w:rPr>
        <w:t>（二）指标分析</w:t>
      </w:r>
      <w:bookmarkEnd w:id="138"/>
      <w:bookmarkEnd w:id="139"/>
      <w:r>
        <w:rPr>
          <w:rFonts w:hint="default" w:ascii="Times New Roman" w:hAnsi="Times New Roman" w:eastAsia="楷体" w:cs="Times New Roman"/>
          <w:b/>
          <w:bCs/>
          <w:sz w:val="32"/>
          <w:szCs w:val="32"/>
          <w:lang w:val="en-US" w:eastAsia="zh-CN"/>
        </w:rPr>
        <w:t>。</w:t>
      </w:r>
    </w:p>
    <w:p w14:paraId="6B82C5DE">
      <w:pPr>
        <w:pStyle w:val="15"/>
        <w:keepNext w:val="0"/>
        <w:keepLines w:val="0"/>
        <w:pageBreakBefore w:val="0"/>
        <w:widowControl w:val="0"/>
        <w:kinsoku/>
        <w:wordWrap/>
        <w:overflowPunct/>
        <w:topLinePunct w:val="0"/>
        <w:autoSpaceDE/>
        <w:autoSpaceDN/>
        <w:bidi w:val="0"/>
        <w:snapToGrid/>
        <w:spacing w:line="600" w:lineRule="exact"/>
        <w:ind w:firstLine="640" w:firstLineChars="20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专项资金绩效评价指标体系包括决策、过程、产出、效益四项指标，其中决策15分、过程25分、产出40分、效益20分。具体评分情况如下：</w:t>
      </w:r>
    </w:p>
    <w:p w14:paraId="025F6A85">
      <w:pPr>
        <w:keepNext w:val="0"/>
        <w:keepLines w:val="0"/>
        <w:pageBreakBefore w:val="0"/>
        <w:widowControl w:val="0"/>
        <w:kinsoku/>
        <w:wordWrap/>
        <w:overflowPunct/>
        <w:topLinePunct w:val="0"/>
        <w:bidi w:val="0"/>
        <w:snapToGrid/>
        <w:spacing w:line="600" w:lineRule="exact"/>
        <w:ind w:firstLine="643" w:firstLineChars="200"/>
        <w:jc w:val="both"/>
        <w:textAlignment w:val="auto"/>
        <w:outlineLvl w:val="1"/>
        <w:rPr>
          <w:rFonts w:hint="default" w:ascii="Times New Roman" w:hAnsi="Times New Roman" w:eastAsia="方正仿宋_GB2312" w:cs="Times New Roman"/>
          <w:b w:val="0"/>
          <w:bCs w:val="0"/>
          <w:sz w:val="32"/>
          <w:szCs w:val="32"/>
          <w:lang w:val="en-US" w:eastAsia="zh-CN"/>
        </w:rPr>
      </w:pPr>
      <w:bookmarkStart w:id="140" w:name="_Toc24278"/>
      <w:bookmarkStart w:id="141" w:name="_Toc20369"/>
      <w:r>
        <w:rPr>
          <w:rFonts w:hint="default" w:ascii="Times New Roman" w:hAnsi="Times New Roman" w:eastAsia="方正仿宋_GB2312" w:cs="Times New Roman"/>
          <w:b/>
          <w:bCs/>
          <w:sz w:val="32"/>
          <w:szCs w:val="32"/>
          <w:lang w:val="en-US" w:eastAsia="zh-CN"/>
        </w:rPr>
        <w:t>1.决策。</w:t>
      </w:r>
      <w:r>
        <w:rPr>
          <w:rFonts w:hint="default" w:ascii="Times New Roman" w:hAnsi="Times New Roman" w:eastAsia="方正仿宋_GB2312" w:cs="Times New Roman"/>
          <w:b w:val="0"/>
          <w:bCs w:val="0"/>
          <w:sz w:val="32"/>
          <w:szCs w:val="32"/>
          <w:lang w:val="en-US" w:eastAsia="zh-CN"/>
        </w:rPr>
        <w:t>总分15分，扣0.5分，得14.5分。中心城区高铁片区控制性详细规划编制项目预算编制不准确，预算执行率仅为44.6%、偏低，扣0.5分。</w:t>
      </w:r>
      <w:bookmarkEnd w:id="140"/>
      <w:bookmarkEnd w:id="141"/>
    </w:p>
    <w:p w14:paraId="092F79F5">
      <w:pPr>
        <w:keepNext w:val="0"/>
        <w:keepLines w:val="0"/>
        <w:pageBreakBefore w:val="0"/>
        <w:widowControl w:val="0"/>
        <w:kinsoku/>
        <w:wordWrap/>
        <w:overflowPunct/>
        <w:topLinePunct w:val="0"/>
        <w:bidi w:val="0"/>
        <w:snapToGrid/>
        <w:spacing w:line="600" w:lineRule="exact"/>
        <w:ind w:firstLine="643" w:firstLineChars="200"/>
        <w:jc w:val="both"/>
        <w:textAlignment w:val="auto"/>
        <w:outlineLvl w:val="1"/>
        <w:rPr>
          <w:rFonts w:hint="default" w:ascii="Times New Roman" w:hAnsi="Times New Roman" w:eastAsia="方正仿宋_GB2312" w:cs="Times New Roman"/>
          <w:b w:val="0"/>
          <w:bCs w:val="0"/>
          <w:sz w:val="32"/>
          <w:szCs w:val="32"/>
          <w:lang w:val="en-US" w:eastAsia="zh-CN"/>
        </w:rPr>
      </w:pPr>
      <w:bookmarkStart w:id="142" w:name="_Toc7953"/>
      <w:bookmarkStart w:id="143" w:name="_Toc11913"/>
      <w:r>
        <w:rPr>
          <w:rFonts w:hint="default" w:ascii="Times New Roman" w:hAnsi="Times New Roman" w:eastAsia="方正仿宋_GB2312" w:cs="Times New Roman"/>
          <w:b/>
          <w:bCs/>
          <w:sz w:val="32"/>
          <w:szCs w:val="32"/>
          <w:lang w:val="en-US" w:eastAsia="zh-CN"/>
        </w:rPr>
        <w:t>2.过程。</w:t>
      </w:r>
      <w:r>
        <w:rPr>
          <w:rFonts w:hint="default" w:ascii="Times New Roman" w:hAnsi="Times New Roman" w:eastAsia="方正仿宋_GB2312" w:cs="Times New Roman"/>
          <w:b w:val="0"/>
          <w:bCs w:val="0"/>
          <w:sz w:val="32"/>
          <w:szCs w:val="32"/>
          <w:lang w:val="en-US" w:eastAsia="zh-CN"/>
        </w:rPr>
        <w:t>总分25分，扣6.16分，得18.84分。其中：项目总预算执行率为92.23%，扣0.16分。2024年3月14日记账-0008凭证，发票未到就开始了资金支付审批程序，2025年3月25日付村庄规划市级审查项目尾款、2024年2月18日记账-0014凭证付市中心城区高铁片区控制性详细规划编制项目费36.29万元均未在合同规定的时间内支付，扣2分。存在验收资料不齐全、验收程序不合规、招投标不规范的情况，扣4分。</w:t>
      </w:r>
      <w:bookmarkEnd w:id="142"/>
      <w:bookmarkEnd w:id="143"/>
    </w:p>
    <w:p w14:paraId="50513C93">
      <w:pPr>
        <w:keepNext w:val="0"/>
        <w:keepLines w:val="0"/>
        <w:pageBreakBefore w:val="0"/>
        <w:widowControl w:val="0"/>
        <w:kinsoku/>
        <w:wordWrap/>
        <w:overflowPunct/>
        <w:topLinePunct w:val="0"/>
        <w:bidi w:val="0"/>
        <w:snapToGrid/>
        <w:spacing w:line="600" w:lineRule="exact"/>
        <w:ind w:firstLine="643" w:firstLineChars="200"/>
        <w:jc w:val="both"/>
        <w:textAlignment w:val="auto"/>
        <w:outlineLvl w:val="1"/>
        <w:rPr>
          <w:rFonts w:hint="default" w:ascii="Times New Roman" w:hAnsi="Times New Roman" w:eastAsia="方正仿宋_GB2312" w:cs="Times New Roman"/>
          <w:b w:val="0"/>
          <w:bCs w:val="0"/>
          <w:sz w:val="32"/>
          <w:szCs w:val="32"/>
          <w:lang w:val="en-US" w:eastAsia="zh-CN"/>
        </w:rPr>
      </w:pPr>
      <w:bookmarkStart w:id="144" w:name="_Toc8844"/>
      <w:bookmarkStart w:id="145" w:name="_Toc13111"/>
      <w:r>
        <w:rPr>
          <w:rFonts w:hint="default" w:ascii="Times New Roman" w:hAnsi="Times New Roman" w:eastAsia="方正仿宋_GB2312" w:cs="Times New Roman"/>
          <w:b/>
          <w:bCs/>
          <w:sz w:val="32"/>
          <w:szCs w:val="32"/>
          <w:lang w:val="en-US" w:eastAsia="zh-CN"/>
        </w:rPr>
        <w:t>3.产出。</w:t>
      </w:r>
      <w:r>
        <w:rPr>
          <w:rFonts w:hint="default" w:ascii="Times New Roman" w:hAnsi="Times New Roman" w:eastAsia="方正仿宋_GB2312" w:cs="Times New Roman"/>
          <w:b w:val="0"/>
          <w:bCs w:val="0"/>
          <w:sz w:val="32"/>
          <w:szCs w:val="32"/>
          <w:lang w:val="en-US" w:eastAsia="zh-CN"/>
        </w:rPr>
        <w:t>总分40分，扣3分，得37分。其中：益阳市国土空间总体规划（2020—2035年）未按期完成验收，扣3分。</w:t>
      </w:r>
      <w:bookmarkEnd w:id="144"/>
      <w:bookmarkEnd w:id="145"/>
    </w:p>
    <w:p w14:paraId="51A37C24">
      <w:pPr>
        <w:keepNext w:val="0"/>
        <w:keepLines w:val="0"/>
        <w:pageBreakBefore w:val="0"/>
        <w:widowControl w:val="0"/>
        <w:kinsoku/>
        <w:wordWrap/>
        <w:overflowPunct/>
        <w:topLinePunct w:val="0"/>
        <w:bidi w:val="0"/>
        <w:snapToGrid/>
        <w:spacing w:line="600" w:lineRule="exact"/>
        <w:ind w:firstLine="643" w:firstLineChars="200"/>
        <w:jc w:val="both"/>
        <w:textAlignment w:val="auto"/>
        <w:outlineLvl w:val="1"/>
        <w:rPr>
          <w:rFonts w:hint="default" w:ascii="Times New Roman" w:hAnsi="Times New Roman" w:eastAsia="方正仿宋_GB2312" w:cs="Times New Roman"/>
          <w:b w:val="0"/>
          <w:bCs w:val="0"/>
          <w:sz w:val="32"/>
          <w:szCs w:val="32"/>
          <w:lang w:val="en-US" w:eastAsia="zh-CN"/>
        </w:rPr>
      </w:pPr>
      <w:bookmarkStart w:id="146" w:name="_Toc10245"/>
      <w:bookmarkStart w:id="147" w:name="_Toc19614"/>
      <w:r>
        <w:rPr>
          <w:rFonts w:hint="default" w:ascii="Times New Roman" w:hAnsi="Times New Roman" w:eastAsia="方正仿宋_GB2312" w:cs="Times New Roman"/>
          <w:b/>
          <w:bCs/>
          <w:sz w:val="32"/>
          <w:szCs w:val="32"/>
          <w:lang w:val="en-US" w:eastAsia="zh-CN"/>
        </w:rPr>
        <w:t>4.效益。</w:t>
      </w:r>
      <w:r>
        <w:rPr>
          <w:rFonts w:hint="default" w:ascii="Times New Roman" w:hAnsi="Times New Roman" w:eastAsia="方正仿宋_GB2312" w:cs="Times New Roman"/>
          <w:b w:val="0"/>
          <w:bCs w:val="0"/>
          <w:sz w:val="32"/>
          <w:szCs w:val="32"/>
          <w:lang w:val="en-US" w:eastAsia="zh-CN"/>
        </w:rPr>
        <w:t>总分20分，得20分。</w:t>
      </w:r>
      <w:bookmarkEnd w:id="146"/>
      <w:bookmarkEnd w:id="147"/>
    </w:p>
    <w:p w14:paraId="7F35594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黑体" w:cs="Times New Roman"/>
          <w:b w:val="0"/>
          <w:bCs w:val="0"/>
          <w:sz w:val="32"/>
          <w:szCs w:val="32"/>
          <w:lang w:val="en-US" w:eastAsia="zh-CN"/>
        </w:rPr>
      </w:pPr>
      <w:bookmarkStart w:id="148" w:name="_Toc9607"/>
      <w:r>
        <w:rPr>
          <w:rFonts w:hint="default" w:ascii="Times New Roman" w:hAnsi="Times New Roman" w:eastAsia="黑体" w:cs="Times New Roman"/>
          <w:b w:val="0"/>
          <w:bCs w:val="0"/>
          <w:sz w:val="32"/>
          <w:szCs w:val="32"/>
          <w:lang w:val="en-US" w:eastAsia="zh-CN"/>
        </w:rPr>
        <w:t>六、存在的主要问题</w:t>
      </w:r>
      <w:bookmarkEnd w:id="148"/>
    </w:p>
    <w:p w14:paraId="2AA754B5">
      <w:pPr>
        <w:spacing w:line="600" w:lineRule="exact"/>
        <w:ind w:firstLine="643" w:firstLineChars="200"/>
        <w:outlineLvl w:val="1"/>
        <w:rPr>
          <w:rFonts w:hint="default" w:ascii="Times New Roman" w:hAnsi="Times New Roman" w:eastAsia="楷体" w:cs="Times New Roman"/>
          <w:b/>
          <w:bCs/>
          <w:sz w:val="32"/>
          <w:szCs w:val="32"/>
          <w:lang w:val="en-US" w:eastAsia="zh-CN"/>
        </w:rPr>
      </w:pPr>
      <w:bookmarkStart w:id="149" w:name="_Toc14936"/>
      <w:r>
        <w:rPr>
          <w:rFonts w:hint="default" w:ascii="Times New Roman" w:hAnsi="Times New Roman" w:eastAsia="楷体" w:cs="Times New Roman"/>
          <w:b/>
          <w:bCs/>
          <w:sz w:val="32"/>
          <w:szCs w:val="32"/>
          <w:lang w:val="en-US" w:eastAsia="zh-CN"/>
        </w:rPr>
        <w:t>（一）项目管理</w:t>
      </w:r>
      <w:bookmarkEnd w:id="149"/>
      <w:r>
        <w:rPr>
          <w:rFonts w:hint="default" w:ascii="Times New Roman" w:hAnsi="Times New Roman" w:eastAsia="楷体" w:cs="Times New Roman"/>
          <w:b/>
          <w:bCs/>
          <w:sz w:val="32"/>
          <w:szCs w:val="32"/>
          <w:lang w:val="en-US" w:eastAsia="zh-CN"/>
        </w:rPr>
        <w:t>待加强。</w:t>
      </w:r>
    </w:p>
    <w:p w14:paraId="2A091C51">
      <w:pPr>
        <w:spacing w:line="600" w:lineRule="exact"/>
        <w:ind w:firstLine="643" w:firstLineChars="200"/>
        <w:rPr>
          <w:rFonts w:hint="default" w:ascii="Times New Roman" w:hAnsi="Times New Roman" w:eastAsia="方正仿宋_GB2312" w:cs="Times New Roman"/>
          <w:b/>
          <w:bCs/>
          <w:sz w:val="32"/>
          <w:szCs w:val="32"/>
          <w:lang w:val="en-US" w:eastAsia="zh-CN"/>
        </w:rPr>
      </w:pPr>
      <w:r>
        <w:rPr>
          <w:rFonts w:hint="default" w:ascii="Times New Roman" w:hAnsi="Times New Roman" w:eastAsia="方正仿宋_GB2312" w:cs="Times New Roman"/>
          <w:b/>
          <w:bCs/>
          <w:sz w:val="32"/>
          <w:szCs w:val="32"/>
          <w:lang w:val="en-US" w:eastAsia="zh-CN"/>
        </w:rPr>
        <w:t>1.招投标管理不到位。</w:t>
      </w:r>
    </w:p>
    <w:p w14:paraId="21AFAC47">
      <w:pPr>
        <w:spacing w:line="600" w:lineRule="exact"/>
        <w:ind w:firstLine="643"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bCs/>
          <w:sz w:val="32"/>
          <w:szCs w:val="32"/>
          <w:lang w:val="en-US" w:eastAsia="zh-CN"/>
        </w:rPr>
        <w:t>（1）中标公告不规范，部分项目公告内容之间存在相冲突的情况。</w:t>
      </w:r>
      <w:r>
        <w:rPr>
          <w:rFonts w:hint="default" w:ascii="Times New Roman" w:hAnsi="Times New Roman" w:eastAsia="方正仿宋_GB2312" w:cs="Times New Roman"/>
          <w:b w:val="0"/>
          <w:bCs w:val="0"/>
          <w:sz w:val="32"/>
          <w:szCs w:val="32"/>
          <w:lang w:val="en-US" w:eastAsia="zh-CN"/>
        </w:rPr>
        <w:t>益阳市国土空间总体规划（2020—2035年）（一包）、益阳市中心城区高铁片区控制性详细规划编制项目，项目中标公告中质疑期限为7个工作日，公告期限为1个工作日，质疑期限长于公告期限，如果公告期满至质疑期间发出了中标通知书，而期间发生了质疑事项导致废标，招标人将承担违约责任。</w:t>
      </w:r>
    </w:p>
    <w:p w14:paraId="101A9B3C">
      <w:pPr>
        <w:spacing w:line="600" w:lineRule="exact"/>
        <w:ind w:firstLine="640"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val="0"/>
          <w:bCs w:val="0"/>
          <w:sz w:val="32"/>
          <w:szCs w:val="32"/>
          <w:lang w:val="en-US" w:eastAsia="zh-CN"/>
        </w:rPr>
        <w:t>上述行为违反了《政府采购货物和服务招标投标管理办法》（中华人民共和国财政部令第87号）“第六十九条……中标结果公告内容应当包括采购人及其委托的采购代理机构的名称、地址、联系方式，项目名称和项目编号，中标人名称、地址和中标金额，主要中标标的的名称、规格型号、数量、单价、服务要求，中标公告期限以及评审专家名单。中标公告期限为1个工作日。……”的规定。</w:t>
      </w:r>
    </w:p>
    <w:p w14:paraId="2694FD21">
      <w:pPr>
        <w:spacing w:line="600" w:lineRule="exact"/>
        <w:ind w:firstLine="643"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bCs/>
          <w:sz w:val="32"/>
          <w:szCs w:val="32"/>
          <w:lang w:val="en-US" w:eastAsia="zh-CN"/>
        </w:rPr>
        <w:t>（2）个别项目未在中标通知书发出后30天内签订合同。</w:t>
      </w:r>
      <w:r>
        <w:rPr>
          <w:rFonts w:hint="default" w:ascii="Times New Roman" w:hAnsi="Times New Roman" w:eastAsia="方正仿宋_GB2312" w:cs="Times New Roman"/>
          <w:b w:val="0"/>
          <w:bCs w:val="0"/>
          <w:sz w:val="32"/>
          <w:szCs w:val="32"/>
          <w:lang w:val="en-US" w:eastAsia="zh-CN"/>
        </w:rPr>
        <w:t>益阳市国土空间总体规划（2020—2035年）（一包）中标通知书发出时间为2020年9月30日，而合同签订时间为2020年12月4日。</w:t>
      </w:r>
    </w:p>
    <w:p w14:paraId="7E644C32">
      <w:pPr>
        <w:spacing w:line="600" w:lineRule="exact"/>
        <w:ind w:firstLine="640"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val="0"/>
          <w:bCs w:val="0"/>
          <w:sz w:val="32"/>
          <w:szCs w:val="32"/>
          <w:lang w:val="en-US" w:eastAsia="zh-CN"/>
        </w:rPr>
        <w:t>上述行为违反了《政府采购货物和服务招标投标管理办法》（中华人民共和国财政部令第87号）“第七十一条 采购人应当自中标通知书发出之日起30日内，按照招标文件和中标人投标文件的规定，与中标人签订书面合同。……”的规定。</w:t>
      </w:r>
    </w:p>
    <w:p w14:paraId="32B2CB4E">
      <w:pPr>
        <w:ind w:firstLine="643"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bCs/>
          <w:sz w:val="32"/>
          <w:szCs w:val="32"/>
          <w:lang w:val="en-US" w:eastAsia="zh-CN"/>
        </w:rPr>
        <w:t>（3）个别项目中标公告期未满就发出了中标通知书。</w:t>
      </w:r>
      <w:r>
        <w:rPr>
          <w:rFonts w:hint="default" w:ascii="Times New Roman" w:hAnsi="Times New Roman" w:eastAsia="方正仿宋_GB2312" w:cs="Times New Roman"/>
          <w:b w:val="0"/>
          <w:bCs w:val="0"/>
          <w:sz w:val="32"/>
          <w:szCs w:val="32"/>
          <w:lang w:val="en-US" w:eastAsia="zh-CN"/>
        </w:rPr>
        <w:t>益阳市国土空间总体规划（2020—2035年）（一包）中标（成交）公告日期为2020年9月30日，公告期限为1个工作日，中标通知书发出日期为2020年9月30日。</w:t>
      </w:r>
    </w:p>
    <w:p w14:paraId="41D4BFFF">
      <w:pPr>
        <w:ind w:firstLine="640"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val="0"/>
          <w:bCs w:val="0"/>
          <w:sz w:val="32"/>
          <w:szCs w:val="32"/>
          <w:lang w:val="en-US" w:eastAsia="zh-CN"/>
        </w:rPr>
        <w:t>上述行为违反了《政府采购货物和服务招标投标管理办法》（中华人民共和国财政部令第87号）“第六十九条……中标公告期限为1个工作日。……”的规定。</w:t>
      </w:r>
    </w:p>
    <w:p w14:paraId="6D143048">
      <w:pPr>
        <w:ind w:firstLine="643"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bCs/>
          <w:sz w:val="32"/>
          <w:szCs w:val="32"/>
          <w:lang w:val="en-US" w:eastAsia="zh-CN"/>
        </w:rPr>
        <w:t>2.合同签订不规范，部分合同要素不齐全。</w:t>
      </w:r>
      <w:r>
        <w:rPr>
          <w:rFonts w:hint="default" w:ascii="Times New Roman" w:hAnsi="Times New Roman" w:eastAsia="方正仿宋_GB2312" w:cs="Times New Roman"/>
          <w:b w:val="0"/>
          <w:bCs w:val="0"/>
          <w:sz w:val="32"/>
          <w:szCs w:val="32"/>
          <w:lang w:val="en-US" w:eastAsia="zh-CN"/>
        </w:rPr>
        <w:t>如2022年度益阳市国土空间规划城市体检评估合同书日期未填写；2024年12月19日记账-0102凭证</w:t>
      </w:r>
      <w:r>
        <w:rPr>
          <w:rFonts w:hint="eastAsia" w:ascii="Times New Roman" w:hAnsi="Times New Roman" w:eastAsia="方正仿宋_GB2312" w:cs="Times New Roman"/>
          <w:b w:val="0"/>
          <w:bCs w:val="0"/>
          <w:sz w:val="32"/>
          <w:szCs w:val="32"/>
          <w:lang w:val="en-US" w:eastAsia="zh-CN"/>
        </w:rPr>
        <w:t>，支</w:t>
      </w:r>
      <w:r>
        <w:rPr>
          <w:rFonts w:hint="default" w:ascii="Times New Roman" w:hAnsi="Times New Roman" w:eastAsia="方正仿宋_GB2312" w:cs="Times New Roman"/>
          <w:b w:val="0"/>
          <w:bCs w:val="0"/>
          <w:sz w:val="32"/>
          <w:szCs w:val="32"/>
          <w:lang w:val="en-US" w:eastAsia="zh-CN"/>
        </w:rPr>
        <w:t>付益阳市国土空间总体规划一包项目费54.3万元，所附政府采购项目委托代理协议书乙方未填写签约时间，益阳市国土空间总体规划（2020</w:t>
      </w:r>
      <w:r>
        <w:rPr>
          <w:rFonts w:hint="eastAsia" w:ascii="Times New Roman" w:hAnsi="Times New Roman" w:eastAsia="方正仿宋_GB2312" w:cs="Times New Roman"/>
          <w:b w:val="0"/>
          <w:bCs w:val="0"/>
          <w:sz w:val="32"/>
          <w:szCs w:val="32"/>
          <w:lang w:val="en-US" w:eastAsia="zh-CN"/>
        </w:rPr>
        <w:t>—</w:t>
      </w:r>
      <w:r>
        <w:rPr>
          <w:rFonts w:hint="default" w:ascii="Times New Roman" w:hAnsi="Times New Roman" w:eastAsia="方正仿宋_GB2312" w:cs="Times New Roman"/>
          <w:b w:val="0"/>
          <w:bCs w:val="0"/>
          <w:sz w:val="32"/>
          <w:szCs w:val="32"/>
          <w:lang w:val="en-US" w:eastAsia="zh-CN"/>
        </w:rPr>
        <w:t>2035年）（一包）项目技术承包合同甲方及2个乙方未填写签约时间，补充协议乙方均未填写签约时间；2024年2月18日记账-0014凭证付市中心城区高铁片区控制性详细规划编制项目费36.29万元，所附政府采购委托代理协议、益阳市中心城区高铁片区控制性详细规划编制项目合同书均未填写签约时间。</w:t>
      </w:r>
    </w:p>
    <w:p w14:paraId="349FA880">
      <w:pPr>
        <w:ind w:firstLine="640"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val="0"/>
          <w:bCs w:val="0"/>
          <w:sz w:val="32"/>
          <w:szCs w:val="32"/>
          <w:lang w:val="en-US" w:eastAsia="zh-CN"/>
        </w:rPr>
        <w:t>上述行为违反了《中华人民共和国民法典》“第四百七十条　合同的内容由当事人约定，一般包括下列条款：……（六）履行期限、地点和方式；……”的规定。</w:t>
      </w:r>
    </w:p>
    <w:p w14:paraId="6753B7E8">
      <w:pPr>
        <w:ind w:firstLine="643" w:firstLineChars="200"/>
        <w:rPr>
          <w:rFonts w:hint="default" w:ascii="Times New Roman" w:hAnsi="Times New Roman" w:eastAsia="方正仿宋_GB2312" w:cs="Times New Roman"/>
          <w:b/>
          <w:bCs/>
          <w:sz w:val="32"/>
          <w:szCs w:val="32"/>
          <w:lang w:val="en-US" w:eastAsia="zh-CN"/>
        </w:rPr>
      </w:pPr>
      <w:r>
        <w:rPr>
          <w:rFonts w:hint="default" w:ascii="Times New Roman" w:hAnsi="Times New Roman" w:eastAsia="方正仿宋_GB2312" w:cs="Times New Roman"/>
          <w:b/>
          <w:bCs/>
          <w:sz w:val="32"/>
          <w:szCs w:val="32"/>
          <w:lang w:val="en-US" w:eastAsia="zh-CN"/>
        </w:rPr>
        <w:t>3.项目验收不规范。</w:t>
      </w:r>
    </w:p>
    <w:p w14:paraId="1981A7C6">
      <w:pPr>
        <w:ind w:firstLine="643"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bCs/>
          <w:sz w:val="32"/>
          <w:szCs w:val="32"/>
          <w:lang w:val="en-US" w:eastAsia="zh-CN"/>
        </w:rPr>
        <w:t>（1）部分项目验收手续未到位。</w:t>
      </w:r>
      <w:r>
        <w:rPr>
          <w:rFonts w:hint="default" w:ascii="Times New Roman" w:hAnsi="Times New Roman" w:eastAsia="方正仿宋_GB2312" w:cs="Times New Roman"/>
          <w:b w:val="0"/>
          <w:bCs w:val="0"/>
          <w:sz w:val="32"/>
          <w:szCs w:val="32"/>
          <w:lang w:val="en-US" w:eastAsia="zh-CN"/>
        </w:rPr>
        <w:t>如2024年12月18日记账-0117凭证，付益阳市中心城区道路复核定线项目费24.8万元，项目验收资料无验收日期、验收单位未盖章、未签署验收意见。2024年8月22日记账-0060凭证，付2022年益阳市国土空间规划体检评估费用34.8万元，验收单未填写验收日期、未签署验收意见。2024年2月18日记账-0014凭证付市中心城区高铁片区控制性详细规划编制项目费36.29万元，验收单未填写验收日期、验收单位未盖章、未填写验收日期。</w:t>
      </w:r>
    </w:p>
    <w:p w14:paraId="17AB9886">
      <w:pPr>
        <w:ind w:firstLine="643"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bCs/>
          <w:sz w:val="32"/>
          <w:szCs w:val="32"/>
          <w:lang w:val="en-US" w:eastAsia="zh-CN"/>
        </w:rPr>
        <w:t>（2）验收资料不齐全。</w:t>
      </w:r>
      <w:r>
        <w:rPr>
          <w:rFonts w:hint="default" w:ascii="Times New Roman" w:hAnsi="Times New Roman" w:eastAsia="方正仿宋_GB2312" w:cs="Times New Roman"/>
          <w:b w:val="0"/>
          <w:bCs w:val="0"/>
          <w:sz w:val="32"/>
          <w:szCs w:val="32"/>
          <w:lang w:val="en-US" w:eastAsia="zh-CN"/>
        </w:rPr>
        <w:t>现场评价的7个项目中已完成验收的6个项目验收资料中均未见验收会议通知、会议议程、验收现场照片、验收成果照片等，部分项目验收资料中未附验收</w:t>
      </w:r>
      <w:r>
        <w:rPr>
          <w:rFonts w:hint="eastAsia" w:ascii="Times New Roman" w:hAnsi="Times New Roman" w:eastAsia="方正仿宋_GB2312" w:cs="Times New Roman"/>
          <w:b w:val="0"/>
          <w:bCs w:val="0"/>
          <w:sz w:val="32"/>
          <w:szCs w:val="32"/>
          <w:lang w:val="en-US" w:eastAsia="zh-CN"/>
        </w:rPr>
        <w:t>会议</w:t>
      </w:r>
      <w:r>
        <w:rPr>
          <w:rFonts w:hint="default" w:ascii="Times New Roman" w:hAnsi="Times New Roman" w:eastAsia="方正仿宋_GB2312" w:cs="Times New Roman"/>
          <w:b w:val="0"/>
          <w:bCs w:val="0"/>
          <w:sz w:val="32"/>
          <w:szCs w:val="32"/>
          <w:lang w:val="en-US" w:eastAsia="zh-CN"/>
        </w:rPr>
        <w:t>签到表。</w:t>
      </w:r>
    </w:p>
    <w:p w14:paraId="502A6C9C">
      <w:pPr>
        <w:ind w:firstLine="643"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bCs/>
          <w:sz w:val="32"/>
          <w:szCs w:val="32"/>
          <w:lang w:val="en-US" w:eastAsia="zh-CN"/>
        </w:rPr>
        <w:t>4.个别项目未按期完工。</w:t>
      </w:r>
      <w:r>
        <w:rPr>
          <w:rFonts w:hint="default" w:ascii="Times New Roman" w:hAnsi="Times New Roman" w:eastAsia="方正仿宋_GB2312" w:cs="Times New Roman"/>
          <w:b w:val="0"/>
          <w:bCs w:val="0"/>
          <w:sz w:val="32"/>
          <w:szCs w:val="32"/>
          <w:lang w:val="en-US" w:eastAsia="zh-CN"/>
        </w:rPr>
        <w:t>根据益阳市国土空间总体规划（2020</w:t>
      </w:r>
      <w:r>
        <w:rPr>
          <w:rFonts w:hint="eastAsia" w:ascii="Times New Roman" w:hAnsi="Times New Roman" w:eastAsia="方正仿宋_GB2312" w:cs="Times New Roman"/>
          <w:b w:val="0"/>
          <w:bCs w:val="0"/>
          <w:sz w:val="32"/>
          <w:szCs w:val="32"/>
          <w:lang w:val="en-US" w:eastAsia="zh-CN"/>
        </w:rPr>
        <w:t>—</w:t>
      </w:r>
      <w:r>
        <w:rPr>
          <w:rFonts w:hint="default" w:ascii="Times New Roman" w:hAnsi="Times New Roman" w:eastAsia="方正仿宋_GB2312" w:cs="Times New Roman"/>
          <w:b w:val="0"/>
          <w:bCs w:val="0"/>
          <w:sz w:val="32"/>
          <w:szCs w:val="32"/>
          <w:lang w:val="en-US" w:eastAsia="zh-CN"/>
        </w:rPr>
        <w:t>2035年）（一包）项目技术承包补充协议约定，项目总体完工时间为2023年6月底，但项目至2024年12月9日才完成验收。</w:t>
      </w:r>
    </w:p>
    <w:p w14:paraId="6B74CC36">
      <w:pPr>
        <w:ind w:firstLine="643" w:firstLineChars="200"/>
        <w:outlineLvl w:val="1"/>
        <w:rPr>
          <w:rFonts w:hint="default" w:ascii="Times New Roman" w:hAnsi="Times New Roman" w:eastAsia="楷体" w:cs="Times New Roman"/>
          <w:b/>
          <w:bCs/>
          <w:sz w:val="32"/>
          <w:szCs w:val="32"/>
          <w:lang w:val="en-US" w:eastAsia="zh-CN"/>
        </w:rPr>
      </w:pPr>
      <w:bookmarkStart w:id="150" w:name="_Toc15839"/>
      <w:r>
        <w:rPr>
          <w:rFonts w:hint="default" w:ascii="Times New Roman" w:hAnsi="Times New Roman" w:eastAsia="楷体" w:cs="Times New Roman"/>
          <w:b/>
          <w:bCs/>
          <w:sz w:val="32"/>
          <w:szCs w:val="32"/>
          <w:lang w:val="en-US" w:eastAsia="zh-CN"/>
        </w:rPr>
        <w:t>（二）资金管理需规范</w:t>
      </w:r>
      <w:bookmarkEnd w:id="150"/>
      <w:r>
        <w:rPr>
          <w:rFonts w:hint="default" w:ascii="Times New Roman" w:hAnsi="Times New Roman" w:eastAsia="楷体" w:cs="Times New Roman"/>
          <w:b/>
          <w:bCs/>
          <w:sz w:val="32"/>
          <w:szCs w:val="32"/>
          <w:lang w:val="en-US" w:eastAsia="zh-CN"/>
        </w:rPr>
        <w:t>。</w:t>
      </w:r>
    </w:p>
    <w:p w14:paraId="21DD22E5">
      <w:pPr>
        <w:ind w:firstLine="643"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bCs/>
          <w:sz w:val="32"/>
          <w:szCs w:val="32"/>
          <w:lang w:val="en-US" w:eastAsia="zh-CN"/>
        </w:rPr>
        <w:t>1.个别资金支付审核程序倒置，存在未提供发票就开始资金支付审核的情况。</w:t>
      </w:r>
      <w:r>
        <w:rPr>
          <w:rFonts w:hint="default" w:ascii="Times New Roman" w:hAnsi="Times New Roman" w:eastAsia="方正仿宋_GB2312" w:cs="Times New Roman"/>
          <w:b w:val="0"/>
          <w:bCs w:val="0"/>
          <w:sz w:val="32"/>
          <w:szCs w:val="32"/>
          <w:lang w:val="en-US" w:eastAsia="zh-CN"/>
        </w:rPr>
        <w:t>2024年3月14日记账-0008凭证，付益阳市国土空间总体规划一包项目设计服务费165万元，费用报销审批单及会审联签汇总单日期为2024年1月31日，而所附3张发票中湖南城市学院设计研究院有限公司提供的发票66.4万元、益阳市自然资源规划勘测设计研究院有限公司提供的发票54.3万元开票日期为2024年2月2日，晚于费用报销审批程序开始日期。</w:t>
      </w:r>
    </w:p>
    <w:p w14:paraId="1657C0E6">
      <w:pPr>
        <w:ind w:firstLine="643"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bCs/>
          <w:sz w:val="32"/>
          <w:szCs w:val="32"/>
          <w:lang w:val="en-US" w:eastAsia="zh-CN"/>
        </w:rPr>
        <w:t>2.部分资金支付不及时，存在超合同约定期限支付项目款的情况。</w:t>
      </w:r>
      <w:r>
        <w:rPr>
          <w:rFonts w:hint="default" w:ascii="Times New Roman" w:hAnsi="Times New Roman" w:eastAsia="方正仿宋_GB2312" w:cs="Times New Roman"/>
          <w:b w:val="0"/>
          <w:bCs w:val="0"/>
          <w:sz w:val="32"/>
          <w:szCs w:val="32"/>
          <w:lang w:val="en-US" w:eastAsia="zh-CN"/>
        </w:rPr>
        <w:t>根据2024年村庄规划市级审查项目合同书约定项目通过验收后支付合同总价款的60%即21万元，该项目于2024年12月9日通过验收，但该笔款项于2025年3月25日才支付。2024年2月18日记账-0014凭证付市中心城区高铁片区控制性详细规划编制项目费36.29万元，根据益阳市中心城区高铁片区控制性详细规划编制项目合同书合同总价款及支付方式约定，第一期款为项目签订合同后30天内支付，合同签订日期为2024年1月18日，而该笔款项支付日期为2024年2月18日。</w:t>
      </w:r>
    </w:p>
    <w:p w14:paraId="78A69575">
      <w:pPr>
        <w:ind w:firstLine="643" w:firstLineChars="200"/>
        <w:rPr>
          <w:rFonts w:hint="default" w:ascii="Times New Roman" w:hAnsi="Times New Roman" w:eastAsia="方正仿宋_GB2312" w:cs="Times New Roman"/>
          <w:b w:val="0"/>
          <w:bCs w:val="0"/>
          <w:sz w:val="32"/>
          <w:szCs w:val="32"/>
          <w:highlight w:val="none"/>
          <w:lang w:val="en-US" w:eastAsia="zh-CN"/>
        </w:rPr>
      </w:pPr>
      <w:r>
        <w:rPr>
          <w:rFonts w:hint="default" w:ascii="Times New Roman" w:hAnsi="Times New Roman" w:eastAsia="方正仿宋_GB2312" w:cs="Times New Roman"/>
          <w:b/>
          <w:bCs/>
          <w:sz w:val="32"/>
          <w:szCs w:val="32"/>
          <w:highlight w:val="none"/>
          <w:lang w:val="en-US" w:eastAsia="zh-CN"/>
        </w:rPr>
        <w:t>3.个别项目预算执行率偏低。</w:t>
      </w:r>
      <w:r>
        <w:rPr>
          <w:rFonts w:hint="default" w:ascii="Times New Roman" w:hAnsi="Times New Roman" w:eastAsia="方正仿宋_GB2312" w:cs="Times New Roman"/>
          <w:b w:val="0"/>
          <w:bCs w:val="0"/>
          <w:sz w:val="32"/>
          <w:szCs w:val="32"/>
          <w:highlight w:val="none"/>
          <w:lang w:val="en-US" w:eastAsia="zh-CN"/>
        </w:rPr>
        <w:t>截至绩效评价日，益阳市中心城区高铁片区控制性详细规划编制项目资金到位81.39万元，使用3</w:t>
      </w:r>
      <w:r>
        <w:rPr>
          <w:rFonts w:hint="eastAsia" w:ascii="Times New Roman" w:hAnsi="Times New Roman" w:eastAsia="方正仿宋_GB2312" w:cs="Times New Roman"/>
          <w:b w:val="0"/>
          <w:bCs w:val="0"/>
          <w:sz w:val="32"/>
          <w:szCs w:val="32"/>
          <w:highlight w:val="none"/>
          <w:lang w:val="en-US" w:eastAsia="zh-CN"/>
        </w:rPr>
        <w:t>6</w:t>
      </w:r>
      <w:r>
        <w:rPr>
          <w:rFonts w:hint="default" w:ascii="Times New Roman" w:hAnsi="Times New Roman" w:eastAsia="方正仿宋_GB2312" w:cs="Times New Roman"/>
          <w:b w:val="0"/>
          <w:bCs w:val="0"/>
          <w:sz w:val="32"/>
          <w:szCs w:val="32"/>
          <w:highlight w:val="none"/>
          <w:lang w:val="en-US" w:eastAsia="zh-CN"/>
        </w:rPr>
        <w:t>.29万元，结余45.1万元，预算执行率为44.6%。</w:t>
      </w:r>
    </w:p>
    <w:p w14:paraId="72AC76DB">
      <w:pPr>
        <w:ind w:firstLine="643" w:firstLineChars="200"/>
        <w:outlineLvl w:val="1"/>
        <w:rPr>
          <w:rFonts w:hint="default" w:ascii="Times New Roman" w:hAnsi="Times New Roman" w:eastAsia="楷体" w:cs="Times New Roman"/>
          <w:b/>
          <w:bCs/>
          <w:sz w:val="32"/>
          <w:szCs w:val="32"/>
          <w:lang w:val="en-US" w:eastAsia="zh-CN"/>
        </w:rPr>
      </w:pPr>
      <w:r>
        <w:rPr>
          <w:rFonts w:hint="default" w:ascii="Times New Roman" w:hAnsi="Times New Roman" w:eastAsia="楷体" w:cs="Times New Roman"/>
          <w:b/>
          <w:bCs/>
          <w:sz w:val="32"/>
          <w:szCs w:val="32"/>
          <w:lang w:val="en-US" w:eastAsia="zh-CN"/>
        </w:rPr>
        <w:t>（三）个别项目绩效未达预期。</w:t>
      </w:r>
    </w:p>
    <w:p w14:paraId="478DD88A">
      <w:pPr>
        <w:ind w:firstLine="640"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val="0"/>
          <w:bCs w:val="0"/>
          <w:sz w:val="32"/>
          <w:szCs w:val="32"/>
          <w:lang w:val="en-US" w:eastAsia="zh-CN"/>
        </w:rPr>
        <w:t>据现场勘察，目前益阳市中心城区高铁片区由于高铁车次少、人流量不大，商业辐射能力有限，片区国土空间开发利用积极性不高。 由此，为提高国土空间详细规划覆盖率而推出的益阳市中心城区高铁片区控制性详细规划编制项目，对高铁片区国土空间开发利用的现实指导意义有限。</w:t>
      </w:r>
    </w:p>
    <w:p w14:paraId="48DAA671">
      <w:pPr>
        <w:ind w:firstLine="640" w:firstLineChars="200"/>
        <w:outlineLvl w:val="0"/>
        <w:rPr>
          <w:rFonts w:hint="default" w:ascii="Times New Roman" w:hAnsi="Times New Roman" w:eastAsia="黑体" w:cs="Times New Roman"/>
          <w:b w:val="0"/>
          <w:bCs w:val="0"/>
          <w:sz w:val="32"/>
          <w:szCs w:val="32"/>
          <w:lang w:val="en-US" w:eastAsia="zh-CN"/>
        </w:rPr>
      </w:pPr>
      <w:bookmarkStart w:id="151" w:name="_Toc11280"/>
      <w:r>
        <w:rPr>
          <w:rFonts w:hint="default" w:ascii="Times New Roman" w:hAnsi="Times New Roman" w:eastAsia="黑体" w:cs="Times New Roman"/>
          <w:b w:val="0"/>
          <w:bCs w:val="0"/>
          <w:sz w:val="32"/>
          <w:szCs w:val="32"/>
          <w:lang w:val="en-US" w:eastAsia="zh-CN"/>
        </w:rPr>
        <w:t>七、相关建议</w:t>
      </w:r>
      <w:bookmarkEnd w:id="151"/>
    </w:p>
    <w:p w14:paraId="1E5C6CC3">
      <w:pPr>
        <w:ind w:firstLine="643" w:firstLineChars="200"/>
        <w:outlineLvl w:val="1"/>
        <w:rPr>
          <w:rFonts w:hint="default" w:ascii="Times New Roman" w:hAnsi="Times New Roman" w:eastAsia="楷体" w:cs="Times New Roman"/>
          <w:b/>
          <w:bCs/>
          <w:sz w:val="32"/>
          <w:szCs w:val="32"/>
          <w:lang w:val="en-US" w:eastAsia="zh-CN"/>
        </w:rPr>
      </w:pPr>
      <w:bookmarkStart w:id="152" w:name="_Toc28489"/>
      <w:r>
        <w:rPr>
          <w:rFonts w:hint="default" w:ascii="Times New Roman" w:hAnsi="Times New Roman" w:eastAsia="楷体" w:cs="Times New Roman"/>
          <w:b/>
          <w:bCs/>
          <w:sz w:val="32"/>
          <w:szCs w:val="32"/>
          <w:lang w:val="en-US" w:eastAsia="zh-CN"/>
        </w:rPr>
        <w:t>（一）加强项目管理</w:t>
      </w:r>
      <w:bookmarkEnd w:id="152"/>
      <w:r>
        <w:rPr>
          <w:rFonts w:hint="default" w:ascii="Times New Roman" w:hAnsi="Times New Roman" w:eastAsia="楷体" w:cs="Times New Roman"/>
          <w:b/>
          <w:bCs/>
          <w:sz w:val="32"/>
          <w:szCs w:val="32"/>
          <w:lang w:val="en-US" w:eastAsia="zh-CN"/>
        </w:rPr>
        <w:t>。</w:t>
      </w:r>
    </w:p>
    <w:p w14:paraId="46CF2CF5">
      <w:pPr>
        <w:ind w:firstLine="643"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bCs/>
          <w:sz w:val="32"/>
          <w:szCs w:val="32"/>
          <w:lang w:val="en-US" w:eastAsia="zh-CN"/>
        </w:rPr>
        <w:t>1.严格执行招投标相关规定。</w:t>
      </w:r>
      <w:r>
        <w:rPr>
          <w:rFonts w:hint="default" w:ascii="Times New Roman" w:hAnsi="Times New Roman" w:eastAsia="方正仿宋_GB2312" w:cs="Times New Roman"/>
          <w:b w:val="0"/>
          <w:bCs w:val="0"/>
          <w:sz w:val="32"/>
          <w:szCs w:val="32"/>
          <w:lang w:val="en-US" w:eastAsia="zh-CN"/>
        </w:rPr>
        <w:t>建议市自然资源和规划局加强对招投标代理机构的监督与管理。对中标公告内容不合规的情形，根据2017年10月1日起执行的《政府采购货物和服务招标投标管理办法》，中标公告内容未含质疑项，今后公告内容将质疑项删除，以免出现质疑期限与公告期限相冲突的情形。严格执行《政府采购货物和服务招标投标管理办法</w:t>
      </w:r>
      <w:r>
        <w:rPr>
          <w:rFonts w:hint="eastAsia" w:ascii="Times New Roman" w:hAnsi="Times New Roman" w:eastAsia="方正仿宋_GB2312" w:cs="Times New Roman"/>
          <w:b w:val="0"/>
          <w:bCs w:val="0"/>
          <w:sz w:val="32"/>
          <w:szCs w:val="32"/>
          <w:lang w:val="en-US" w:eastAsia="zh-CN"/>
        </w:rPr>
        <w:t>》等</w:t>
      </w:r>
      <w:r>
        <w:rPr>
          <w:rFonts w:hint="default" w:ascii="Times New Roman" w:hAnsi="Times New Roman" w:eastAsia="方正仿宋_GB2312" w:cs="Times New Roman"/>
          <w:b w:val="0"/>
          <w:bCs w:val="0"/>
          <w:sz w:val="32"/>
          <w:szCs w:val="32"/>
          <w:lang w:val="en-US" w:eastAsia="zh-CN"/>
        </w:rPr>
        <w:t>相关规定，今后合同必须在中标通知书发出30天内签订、中标公告期限满后才可发出中标通知书。</w:t>
      </w:r>
    </w:p>
    <w:p w14:paraId="1075841E">
      <w:pPr>
        <w:ind w:firstLine="643"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bCs/>
          <w:sz w:val="32"/>
          <w:szCs w:val="32"/>
          <w:lang w:val="en-US" w:eastAsia="zh-CN"/>
        </w:rPr>
        <w:t>2.加强合同管理。</w:t>
      </w:r>
      <w:r>
        <w:rPr>
          <w:rFonts w:hint="default" w:ascii="Times New Roman" w:hAnsi="Times New Roman" w:eastAsia="方正仿宋_GB2312" w:cs="Times New Roman"/>
          <w:b w:val="0"/>
          <w:bCs w:val="0"/>
          <w:sz w:val="32"/>
          <w:szCs w:val="32"/>
          <w:lang w:val="en-US" w:eastAsia="zh-CN"/>
        </w:rPr>
        <w:t>建议市自然资源和规划局按要求补齐合同缺失的要素，今后严格执行《中华人民共和国民法典》关于合同的相关规定，不得再次出现合同要素不齐的情形。</w:t>
      </w:r>
    </w:p>
    <w:p w14:paraId="669BD22C">
      <w:pPr>
        <w:ind w:firstLine="643"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bCs/>
          <w:sz w:val="32"/>
          <w:szCs w:val="32"/>
          <w:lang w:val="en-US" w:eastAsia="zh-CN"/>
        </w:rPr>
        <w:t>3.强化验收管理。</w:t>
      </w:r>
      <w:r>
        <w:rPr>
          <w:rFonts w:hint="default" w:ascii="Times New Roman" w:hAnsi="Times New Roman" w:eastAsia="方正仿宋_GB2312" w:cs="Times New Roman"/>
          <w:b w:val="0"/>
          <w:bCs w:val="0"/>
          <w:sz w:val="32"/>
          <w:szCs w:val="32"/>
          <w:lang w:val="en-US" w:eastAsia="zh-CN"/>
        </w:rPr>
        <w:t>建议市自然资源和规划局对项目验收手续不到位的情况按要求补齐相关手续，如验收单加盖单位公章、补填验收日期、签署验收意见等；对验收资料不齐全的问题，要求今后留存验收全过程资料，并归档管理。</w:t>
      </w:r>
    </w:p>
    <w:p w14:paraId="3C1F53CE">
      <w:pPr>
        <w:ind w:firstLine="643"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bCs/>
          <w:sz w:val="32"/>
          <w:szCs w:val="32"/>
          <w:lang w:val="en-US" w:eastAsia="zh-CN"/>
        </w:rPr>
        <w:t>4.加强项目进度管理。</w:t>
      </w:r>
      <w:r>
        <w:rPr>
          <w:rFonts w:hint="default" w:ascii="Times New Roman" w:hAnsi="Times New Roman" w:eastAsia="方正仿宋_GB2312" w:cs="Times New Roman"/>
          <w:b w:val="0"/>
          <w:bCs w:val="0"/>
          <w:sz w:val="32"/>
          <w:szCs w:val="32"/>
          <w:lang w:val="en-US" w:eastAsia="zh-CN"/>
        </w:rPr>
        <w:t>建议市自然资源和规划局加强对第三方机构的管理和监督，及时掌握项目推进进度，发现问题及时纠偏，确保项目按质、按量、按期完工。</w:t>
      </w:r>
    </w:p>
    <w:p w14:paraId="68AB438B">
      <w:pPr>
        <w:ind w:firstLine="643" w:firstLineChars="200"/>
        <w:outlineLvl w:val="1"/>
        <w:rPr>
          <w:rFonts w:hint="default" w:ascii="Times New Roman" w:hAnsi="Times New Roman" w:eastAsia="楷体" w:cs="Times New Roman"/>
          <w:b/>
          <w:bCs/>
          <w:sz w:val="32"/>
          <w:szCs w:val="32"/>
          <w:lang w:val="en-US" w:eastAsia="zh-CN"/>
        </w:rPr>
      </w:pPr>
      <w:bookmarkStart w:id="153" w:name="_Toc14017"/>
      <w:r>
        <w:rPr>
          <w:rFonts w:hint="default" w:ascii="Times New Roman" w:hAnsi="Times New Roman" w:eastAsia="楷体" w:cs="Times New Roman"/>
          <w:b/>
          <w:bCs/>
          <w:sz w:val="32"/>
          <w:szCs w:val="32"/>
          <w:lang w:val="en-US" w:eastAsia="zh-CN"/>
        </w:rPr>
        <w:t>（二）规范资金管理</w:t>
      </w:r>
      <w:bookmarkEnd w:id="153"/>
      <w:r>
        <w:rPr>
          <w:rFonts w:hint="default" w:ascii="Times New Roman" w:hAnsi="Times New Roman" w:eastAsia="楷体" w:cs="Times New Roman"/>
          <w:b/>
          <w:bCs/>
          <w:sz w:val="32"/>
          <w:szCs w:val="32"/>
          <w:lang w:val="en-US" w:eastAsia="zh-CN"/>
        </w:rPr>
        <w:t>。</w:t>
      </w:r>
    </w:p>
    <w:p w14:paraId="5DB104EF">
      <w:pPr>
        <w:ind w:firstLine="643"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bCs/>
          <w:sz w:val="32"/>
          <w:szCs w:val="32"/>
          <w:lang w:val="en-US" w:eastAsia="zh-CN"/>
        </w:rPr>
        <w:t>1.规范资金支付审核程序。</w:t>
      </w:r>
      <w:r>
        <w:rPr>
          <w:rFonts w:hint="default" w:ascii="Times New Roman" w:hAnsi="Times New Roman" w:eastAsia="方正仿宋_GB2312" w:cs="Times New Roman"/>
          <w:b w:val="0"/>
          <w:bCs w:val="0"/>
          <w:sz w:val="32"/>
          <w:szCs w:val="32"/>
          <w:lang w:val="en-US" w:eastAsia="zh-CN"/>
        </w:rPr>
        <w:t>建议市自然资源和规划局严格按照财务制度要求审批资金支付，今后不得再次发生发票未到就开始资金支付审批的情形。</w:t>
      </w:r>
    </w:p>
    <w:p w14:paraId="5277E950">
      <w:pPr>
        <w:ind w:firstLine="643"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bCs/>
          <w:sz w:val="32"/>
          <w:szCs w:val="32"/>
          <w:lang w:val="en-US" w:eastAsia="zh-CN"/>
        </w:rPr>
        <w:t>2.按合同约定及时支付资金。</w:t>
      </w:r>
      <w:r>
        <w:rPr>
          <w:rFonts w:hint="default" w:ascii="Times New Roman" w:hAnsi="Times New Roman" w:eastAsia="方正仿宋_GB2312" w:cs="Times New Roman"/>
          <w:b w:val="0"/>
          <w:bCs w:val="0"/>
          <w:sz w:val="32"/>
          <w:szCs w:val="32"/>
          <w:lang w:val="en-US" w:eastAsia="zh-CN"/>
        </w:rPr>
        <w:t>建议市自然资源和规划局今后提前谋划、早作安排，积极筹措项目资金，确保按合同约定及时支付资金。</w:t>
      </w:r>
    </w:p>
    <w:p w14:paraId="10758101">
      <w:pPr>
        <w:ind w:firstLine="643" w:firstLineChars="200"/>
        <w:rPr>
          <w:rFonts w:hint="default" w:ascii="Times New Roman" w:hAnsi="Times New Roman" w:eastAsia="方正仿宋_GB2312" w:cs="Times New Roman"/>
          <w:b w:val="0"/>
          <w:bCs w:val="0"/>
          <w:sz w:val="32"/>
          <w:szCs w:val="32"/>
          <w:lang w:val="en-US" w:eastAsia="zh-CN"/>
        </w:rPr>
      </w:pPr>
      <w:r>
        <w:rPr>
          <w:rFonts w:hint="default" w:ascii="Times New Roman" w:hAnsi="Times New Roman" w:eastAsia="方正仿宋_GB2312" w:cs="Times New Roman"/>
          <w:b/>
          <w:bCs/>
          <w:sz w:val="32"/>
          <w:szCs w:val="32"/>
          <w:lang w:val="en-US" w:eastAsia="zh-CN"/>
        </w:rPr>
        <w:t>3.科学、精准编制项目预算，提升预算执行率。</w:t>
      </w:r>
      <w:r>
        <w:rPr>
          <w:rFonts w:hint="default" w:ascii="Times New Roman" w:hAnsi="Times New Roman" w:eastAsia="方正仿宋_GB2312" w:cs="Times New Roman"/>
          <w:b w:val="0"/>
          <w:bCs w:val="0"/>
          <w:sz w:val="32"/>
          <w:szCs w:val="32"/>
          <w:lang w:val="en-US" w:eastAsia="zh-CN"/>
        </w:rPr>
        <w:t>建议市自然资源和规划局今后加强项目预算编制前的调研，根据项目实施计划、历年资金使用情况、市场价格变动趋势等科学、精准编制项目预算，以提高项目预算执行率。</w:t>
      </w:r>
    </w:p>
    <w:p w14:paraId="2F1F16A2">
      <w:pPr>
        <w:ind w:firstLine="643" w:firstLineChars="200"/>
        <w:outlineLvl w:val="1"/>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楷体" w:cs="Times New Roman"/>
          <w:b/>
          <w:bCs/>
          <w:sz w:val="32"/>
          <w:szCs w:val="32"/>
          <w:lang w:val="en-US" w:eastAsia="zh-CN"/>
        </w:rPr>
        <w:t>（三）加强前期调研评估，提升项目绩效。</w:t>
      </w:r>
    </w:p>
    <w:p w14:paraId="7E44FF69">
      <w:pPr>
        <w:pStyle w:val="15"/>
        <w:keepNext w:val="0"/>
        <w:keepLines w:val="0"/>
        <w:pageBreakBefore w:val="0"/>
        <w:widowControl w:val="0"/>
        <w:kinsoku/>
        <w:wordWrap/>
        <w:overflowPunct/>
        <w:topLinePunct w:val="0"/>
        <w:bidi w:val="0"/>
        <w:snapToGrid/>
        <w:spacing w:line="600" w:lineRule="exact"/>
        <w:ind w:firstLine="64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建议市自然资源和规划局今后推出项目时要加强项目前期调研，全面评估项目实施的绩效，把资金用在刀刃上，提高资金使用效益。</w:t>
      </w:r>
    </w:p>
    <w:p w14:paraId="693D5340">
      <w:pPr>
        <w:pStyle w:val="15"/>
        <w:keepNext w:val="0"/>
        <w:keepLines w:val="0"/>
        <w:pageBreakBefore w:val="0"/>
        <w:widowControl w:val="0"/>
        <w:kinsoku/>
        <w:wordWrap/>
        <w:overflowPunct/>
        <w:topLinePunct w:val="0"/>
        <w:bidi w:val="0"/>
        <w:snapToGrid/>
        <w:spacing w:line="600" w:lineRule="exact"/>
        <w:ind w:firstLine="64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附件</w:t>
      </w:r>
      <w:r>
        <w:rPr>
          <w:rFonts w:hint="eastAsia" w:ascii="Times New Roman" w:hAnsi="Times New Roman" w:eastAsia="方正仿宋_GB2312" w:cs="Times New Roman"/>
          <w:color w:val="auto"/>
          <w:kern w:val="2"/>
          <w:sz w:val="32"/>
          <w:szCs w:val="32"/>
          <w:lang w:val="en-US" w:eastAsia="zh-CN" w:bidi="ar-SA"/>
        </w:rPr>
        <w:t>1</w:t>
      </w:r>
      <w:r>
        <w:rPr>
          <w:rFonts w:hint="default" w:ascii="Times New Roman" w:hAnsi="Times New Roman" w:eastAsia="方正仿宋_GB2312" w:cs="Times New Roman"/>
          <w:color w:val="auto"/>
          <w:kern w:val="2"/>
          <w:sz w:val="32"/>
          <w:szCs w:val="32"/>
          <w:lang w:val="en-US" w:eastAsia="zh-CN" w:bidi="ar-SA"/>
        </w:rPr>
        <w:t>:2024年益阳市国土空间规划专项资金绩效评价指标评分表</w:t>
      </w:r>
    </w:p>
    <w:p w14:paraId="52FDFB2F">
      <w:pPr>
        <w:pStyle w:val="15"/>
        <w:keepNext w:val="0"/>
        <w:keepLines w:val="0"/>
        <w:pageBreakBefore w:val="0"/>
        <w:widowControl w:val="0"/>
        <w:kinsoku/>
        <w:wordWrap/>
        <w:overflowPunct/>
        <w:topLinePunct w:val="0"/>
        <w:bidi w:val="0"/>
        <w:snapToGrid/>
        <w:spacing w:line="600" w:lineRule="exact"/>
        <w:ind w:firstLine="640"/>
        <w:jc w:val="both"/>
        <w:textAlignment w:val="auto"/>
        <w:rPr>
          <w:rFonts w:hint="default" w:ascii="Times New Roman" w:hAnsi="Times New Roman" w:eastAsia="方正仿宋_GB2312" w:cs="Times New Roman"/>
          <w:color w:val="auto"/>
          <w:kern w:val="2"/>
          <w:sz w:val="32"/>
          <w:szCs w:val="32"/>
          <w:lang w:val="en-US" w:eastAsia="zh-CN" w:bidi="ar-SA"/>
        </w:rPr>
      </w:pPr>
      <w:r>
        <w:rPr>
          <w:rFonts w:hint="default" w:ascii="Times New Roman" w:hAnsi="Times New Roman" w:eastAsia="方正仿宋_GB2312" w:cs="Times New Roman"/>
          <w:color w:val="auto"/>
          <w:kern w:val="2"/>
          <w:sz w:val="32"/>
          <w:szCs w:val="32"/>
          <w:lang w:val="en-US" w:eastAsia="zh-CN" w:bidi="ar-SA"/>
        </w:rPr>
        <w:t>附件</w:t>
      </w:r>
      <w:r>
        <w:rPr>
          <w:rFonts w:hint="eastAsia" w:ascii="Times New Roman" w:hAnsi="Times New Roman" w:eastAsia="方正仿宋_GB2312" w:cs="Times New Roman"/>
          <w:color w:val="auto"/>
          <w:kern w:val="2"/>
          <w:sz w:val="32"/>
          <w:szCs w:val="32"/>
          <w:lang w:val="en-US" w:eastAsia="zh-CN" w:bidi="ar-SA"/>
        </w:rPr>
        <w:t>2</w:t>
      </w:r>
      <w:r>
        <w:rPr>
          <w:rFonts w:hint="default" w:ascii="Times New Roman" w:hAnsi="Times New Roman" w:eastAsia="方正仿宋_GB2312" w:cs="Times New Roman"/>
          <w:color w:val="auto"/>
          <w:kern w:val="2"/>
          <w:sz w:val="32"/>
          <w:szCs w:val="32"/>
          <w:lang w:val="en-US" w:eastAsia="zh-CN" w:bidi="ar-SA"/>
        </w:rPr>
        <w:t>:2024年益阳市国土空间规划专项资金绩效评价问题清单</w:t>
      </w:r>
    </w:p>
    <w:p w14:paraId="2B3CB531">
      <w:pPr>
        <w:widowControl/>
        <w:jc w:val="left"/>
        <w:rPr>
          <w:rFonts w:hint="default" w:ascii="Times New Roman" w:hAnsi="Times New Roman" w:eastAsia="黑体" w:cs="Times New Roman"/>
          <w:sz w:val="22"/>
          <w:szCs w:val="22"/>
        </w:rPr>
      </w:pPr>
      <w:bookmarkStart w:id="154" w:name="_GoBack"/>
      <w:bookmarkEnd w:id="154"/>
    </w:p>
    <w:p w14:paraId="71F59234">
      <w:pPr>
        <w:widowControl/>
        <w:jc w:val="left"/>
        <w:rPr>
          <w:rFonts w:hint="default" w:ascii="Times New Roman" w:hAnsi="Times New Roman" w:eastAsia="黑体" w:cs="Times New Roman"/>
          <w:sz w:val="22"/>
          <w:szCs w:val="22"/>
        </w:rPr>
      </w:pPr>
    </w:p>
    <w:p w14:paraId="2EA2B28A">
      <w:pPr>
        <w:rPr>
          <w:rFonts w:hint="default" w:ascii="Times New Roman" w:hAnsi="Times New Roman" w:eastAsia="方正仿宋_GB18030" w:cs="Times New Roman"/>
          <w:b w:val="0"/>
          <w:bCs w:val="0"/>
          <w:sz w:val="32"/>
          <w:szCs w:val="32"/>
        </w:rPr>
      </w:pPr>
      <w:r>
        <w:rPr>
          <w:rFonts w:hint="default" w:ascii="Times New Roman" w:hAnsi="Times New Roman" w:eastAsia="方正仿宋_GB18030" w:cs="Times New Roman"/>
          <w:b w:val="0"/>
          <w:bCs w:val="0"/>
          <w:sz w:val="32"/>
          <w:szCs w:val="32"/>
        </w:rPr>
        <w:t>湖南宏达会计师事务所有限责任</w:t>
      </w:r>
      <w:r>
        <w:rPr>
          <w:rFonts w:hint="default" w:ascii="Times New Roman" w:hAnsi="Times New Roman" w:eastAsia="方正仿宋_GB18030" w:cs="Times New Roman"/>
          <w:b w:val="0"/>
          <w:bCs w:val="0"/>
          <w:sz w:val="32"/>
          <w:szCs w:val="32"/>
          <w:lang w:val="en-US" w:eastAsia="zh-CN"/>
        </w:rPr>
        <w:t>公司</w:t>
      </w:r>
      <w:r>
        <w:rPr>
          <w:rFonts w:hint="eastAsia" w:ascii="Times New Roman" w:hAnsi="Times New Roman" w:eastAsia="方正仿宋_GB18030" w:cs="Times New Roman"/>
          <w:b w:val="0"/>
          <w:bCs w:val="0"/>
          <w:sz w:val="32"/>
          <w:szCs w:val="32"/>
          <w:lang w:val="en-US" w:eastAsia="zh-CN"/>
        </w:rPr>
        <w:t xml:space="preserve">  </w:t>
      </w:r>
      <w:r>
        <w:rPr>
          <w:rFonts w:hint="default" w:ascii="Times New Roman" w:hAnsi="Times New Roman" w:eastAsia="方正仿宋_GB18030" w:cs="Times New Roman"/>
          <w:b w:val="0"/>
          <w:bCs w:val="0"/>
          <w:sz w:val="32"/>
          <w:szCs w:val="32"/>
          <w:lang w:val="en-US" w:eastAsia="zh-CN"/>
        </w:rPr>
        <w:t>主评人</w:t>
      </w:r>
      <w:r>
        <w:rPr>
          <w:rFonts w:hint="default" w:ascii="Times New Roman" w:hAnsi="Times New Roman" w:eastAsia="方正仿宋_GB18030" w:cs="Times New Roman"/>
          <w:b w:val="0"/>
          <w:bCs w:val="0"/>
          <w:sz w:val="32"/>
          <w:szCs w:val="32"/>
        </w:rPr>
        <w:t xml:space="preserve">： </w:t>
      </w:r>
    </w:p>
    <w:p w14:paraId="74B5E541">
      <w:pPr>
        <w:spacing w:line="360" w:lineRule="auto"/>
        <w:ind w:firstLine="1280" w:firstLineChars="400"/>
        <w:jc w:val="both"/>
        <w:rPr>
          <w:rFonts w:hint="default" w:ascii="Times New Roman" w:hAnsi="Times New Roman" w:eastAsia="方正仿宋_GB18030" w:cs="Times New Roman"/>
          <w:b w:val="0"/>
          <w:bCs w:val="0"/>
          <w:sz w:val="32"/>
          <w:szCs w:val="32"/>
        </w:rPr>
      </w:pPr>
      <w:r>
        <w:rPr>
          <w:rFonts w:hint="default" w:ascii="Times New Roman" w:hAnsi="Times New Roman" w:eastAsia="方正仿宋_GB18030" w:cs="Times New Roman"/>
          <w:b w:val="0"/>
          <w:bCs w:val="0"/>
          <w:sz w:val="32"/>
          <w:szCs w:val="32"/>
        </w:rPr>
        <w:t xml:space="preserve">中国   长沙      </w:t>
      </w:r>
      <w:r>
        <w:rPr>
          <w:rFonts w:hint="eastAsia" w:eastAsia="方正仿宋_GB18030" w:cs="Times New Roman"/>
          <w:b w:val="0"/>
          <w:bCs w:val="0"/>
          <w:sz w:val="32"/>
          <w:szCs w:val="32"/>
          <w:lang w:val="en-US" w:eastAsia="zh-CN"/>
        </w:rPr>
        <w:t xml:space="preserve">            </w:t>
      </w:r>
      <w:r>
        <w:rPr>
          <w:rFonts w:hint="default" w:ascii="Times New Roman" w:hAnsi="Times New Roman" w:eastAsia="方正仿宋_GB18030" w:cs="Times New Roman"/>
          <w:b w:val="0"/>
          <w:bCs w:val="0"/>
          <w:sz w:val="32"/>
          <w:szCs w:val="32"/>
          <w:lang w:val="en-US" w:eastAsia="zh-CN"/>
        </w:rPr>
        <w:t>主评人</w:t>
      </w:r>
      <w:r>
        <w:rPr>
          <w:rFonts w:hint="default" w:ascii="Times New Roman" w:hAnsi="Times New Roman" w:eastAsia="方正仿宋_GB18030" w:cs="Times New Roman"/>
          <w:b w:val="0"/>
          <w:bCs w:val="0"/>
          <w:sz w:val="32"/>
          <w:szCs w:val="32"/>
        </w:rPr>
        <w:t>：</w:t>
      </w:r>
    </w:p>
    <w:p w14:paraId="105F7585">
      <w:pPr>
        <w:pStyle w:val="8"/>
        <w:keepNext w:val="0"/>
        <w:keepLines w:val="0"/>
        <w:pageBreakBefore w:val="0"/>
        <w:widowControl w:val="0"/>
        <w:kinsoku/>
        <w:wordWrap/>
        <w:overflowPunct/>
        <w:topLinePunct w:val="0"/>
        <w:autoSpaceDE/>
        <w:autoSpaceDN/>
        <w:bidi w:val="0"/>
        <w:adjustRightInd/>
        <w:snapToGrid/>
        <w:spacing w:before="79" w:beforeLines="25" w:beforeAutospacing="0" w:after="79" w:afterLines="25" w:afterAutospacing="0" w:line="360" w:lineRule="auto"/>
        <w:ind w:firstLine="4800" w:firstLineChars="1500"/>
        <w:textAlignment w:val="auto"/>
        <w:rPr>
          <w:rFonts w:hint="default" w:ascii="Times New Roman" w:hAnsi="Times New Roman" w:eastAsia="方正仿宋_GB2312" w:cs="Times New Roman"/>
          <w:color w:val="000000"/>
          <w:kern w:val="2"/>
          <w:sz w:val="32"/>
          <w:szCs w:val="32"/>
          <w:lang w:val="en-US" w:eastAsia="zh-CN" w:bidi="ar-SA"/>
        </w:rPr>
        <w:sectPr>
          <w:footerReference r:id="rId8" w:type="default"/>
          <w:pgSz w:w="11906" w:h="16838"/>
          <w:pgMar w:top="1440" w:right="2086" w:bottom="1440" w:left="1800" w:header="851" w:footer="992" w:gutter="0"/>
          <w:pgNumType w:fmt="decimal" w:start="1"/>
          <w:cols w:space="425" w:num="1"/>
          <w:docGrid w:type="lines" w:linePitch="312" w:charSpace="0"/>
        </w:sectPr>
      </w:pPr>
      <w:r>
        <w:rPr>
          <w:rFonts w:hint="default" w:ascii="Times New Roman" w:hAnsi="Times New Roman" w:eastAsia="方正仿宋_GB2312" w:cs="Times New Roman"/>
          <w:kern w:val="2"/>
          <w:sz w:val="32"/>
          <w:szCs w:val="32"/>
          <w:lang w:val="en-US" w:eastAsia="zh-CN" w:bidi="ar-SA"/>
        </w:rPr>
        <w:t>202</w:t>
      </w:r>
      <w:r>
        <w:rPr>
          <w:rFonts w:hint="eastAsia" w:ascii="Times New Roman" w:hAnsi="Times New Roman" w:eastAsia="方正仿宋_GB2312" w:cs="Times New Roman"/>
          <w:kern w:val="2"/>
          <w:sz w:val="32"/>
          <w:szCs w:val="32"/>
          <w:lang w:val="en-US" w:eastAsia="zh-CN" w:bidi="ar-SA"/>
        </w:rPr>
        <w:t>5</w:t>
      </w:r>
      <w:r>
        <w:rPr>
          <w:rFonts w:hint="default" w:ascii="Times New Roman" w:hAnsi="Times New Roman" w:eastAsia="方正仿宋_GB2312" w:cs="Times New Roman"/>
          <w:kern w:val="2"/>
          <w:sz w:val="32"/>
          <w:szCs w:val="32"/>
          <w:lang w:val="en-US" w:eastAsia="zh-CN" w:bidi="ar-SA"/>
        </w:rPr>
        <w:t>年</w:t>
      </w:r>
      <w:r>
        <w:rPr>
          <w:rFonts w:hint="eastAsia" w:ascii="Times New Roman" w:hAnsi="Times New Roman" w:eastAsia="方正仿宋_GB2312" w:cs="Times New Roman"/>
          <w:kern w:val="2"/>
          <w:sz w:val="32"/>
          <w:szCs w:val="32"/>
          <w:lang w:val="en-US" w:eastAsia="zh-CN" w:bidi="ar-SA"/>
        </w:rPr>
        <w:t>9</w:t>
      </w:r>
      <w:r>
        <w:rPr>
          <w:rFonts w:hint="default" w:ascii="Times New Roman" w:hAnsi="Times New Roman" w:eastAsia="方正仿宋_GB2312" w:cs="Times New Roman"/>
          <w:kern w:val="2"/>
          <w:sz w:val="32"/>
          <w:szCs w:val="32"/>
          <w:lang w:val="en-US" w:eastAsia="zh-CN" w:bidi="ar-SA"/>
        </w:rPr>
        <w:t>月</w:t>
      </w:r>
      <w:r>
        <w:rPr>
          <w:rFonts w:hint="eastAsia" w:ascii="Times New Roman" w:hAnsi="Times New Roman" w:eastAsia="方正仿宋_GB2312" w:cs="Times New Roman"/>
          <w:kern w:val="2"/>
          <w:sz w:val="32"/>
          <w:szCs w:val="32"/>
          <w:lang w:val="en-US" w:eastAsia="zh-CN" w:bidi="ar-SA"/>
        </w:rPr>
        <w:t>30</w:t>
      </w:r>
      <w:r>
        <w:rPr>
          <w:rFonts w:hint="default" w:ascii="Times New Roman" w:hAnsi="Times New Roman" w:eastAsia="方正仿宋_GB2312" w:cs="Times New Roman"/>
          <w:color w:val="000000"/>
          <w:kern w:val="2"/>
          <w:sz w:val="32"/>
          <w:szCs w:val="32"/>
          <w:lang w:val="en-US" w:eastAsia="zh-CN" w:bidi="ar-SA"/>
        </w:rPr>
        <w:t>日</w:t>
      </w:r>
    </w:p>
    <w:p w14:paraId="039D05C2">
      <w:pPr>
        <w:widowControl/>
        <w:spacing w:before="0" w:line="240" w:lineRule="auto"/>
        <w:jc w:val="left"/>
        <w:rPr>
          <w:rFonts w:hint="default" w:ascii="Times New Roman" w:hAnsi="Times New Roman" w:eastAsia="方正仿宋_GB2312" w:cs="Times New Roman"/>
          <w:b/>
          <w:bCs/>
          <w:spacing w:val="0"/>
          <w:sz w:val="24"/>
          <w:szCs w:val="24"/>
          <w:lang w:val="en-US" w:eastAsia="zh-CN"/>
        </w:rPr>
      </w:pPr>
      <w:r>
        <w:rPr>
          <w:rFonts w:hint="default" w:ascii="Times New Roman" w:hAnsi="Times New Roman" w:eastAsia="方正仿宋_GB2312" w:cs="Times New Roman"/>
          <w:b/>
          <w:bCs/>
          <w:spacing w:val="0"/>
          <w:sz w:val="24"/>
          <w:szCs w:val="24"/>
          <w:lang w:val="en-US" w:eastAsia="zh-CN"/>
        </w:rPr>
        <w:t>附件</w:t>
      </w:r>
      <w:r>
        <w:rPr>
          <w:rFonts w:hint="eastAsia" w:ascii="Times New Roman" w:hAnsi="Times New Roman" w:eastAsia="方正仿宋_GB2312" w:cs="Times New Roman"/>
          <w:b/>
          <w:bCs/>
          <w:spacing w:val="0"/>
          <w:sz w:val="24"/>
          <w:szCs w:val="24"/>
          <w:lang w:val="en-US" w:eastAsia="zh-CN"/>
        </w:rPr>
        <w:t>1</w:t>
      </w:r>
    </w:p>
    <w:p w14:paraId="6AF5BF43">
      <w:pPr>
        <w:widowControl/>
        <w:spacing w:before="93" w:line="222" w:lineRule="auto"/>
        <w:jc w:val="center"/>
        <w:rPr>
          <w:rFonts w:hint="default" w:ascii="Times New Roman" w:hAnsi="Times New Roman" w:eastAsia="方正仿宋_GB2312" w:cs="Times New Roman"/>
          <w:b/>
          <w:bCs/>
          <w:spacing w:val="4"/>
          <w:sz w:val="28"/>
          <w:szCs w:val="28"/>
          <w:lang w:val="en-US" w:eastAsia="zh-CN"/>
        </w:rPr>
      </w:pPr>
      <w:r>
        <w:rPr>
          <w:rFonts w:hint="default" w:ascii="Times New Roman" w:hAnsi="Times New Roman" w:eastAsia="方正仿宋_GB2312" w:cs="Times New Roman"/>
          <w:b/>
          <w:bCs/>
          <w:spacing w:val="4"/>
          <w:sz w:val="28"/>
          <w:szCs w:val="28"/>
          <w:lang w:val="en-US" w:eastAsia="zh-CN"/>
        </w:rPr>
        <w:t>2024年益阳市国土空间规划专项资金绩效评价指标评分表</w:t>
      </w:r>
    </w:p>
    <w:tbl>
      <w:tblPr>
        <w:tblStyle w:val="9"/>
        <w:tblW w:w="14054"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6"/>
        <w:gridCol w:w="1148"/>
        <w:gridCol w:w="1212"/>
        <w:gridCol w:w="2680"/>
        <w:gridCol w:w="4904"/>
        <w:gridCol w:w="746"/>
        <w:gridCol w:w="2218"/>
      </w:tblGrid>
      <w:tr w14:paraId="25D36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20584">
            <w:pPr>
              <w:keepNext w:val="0"/>
              <w:keepLines w:val="0"/>
              <w:widowControl/>
              <w:suppressLineNumbers w:val="0"/>
              <w:jc w:val="center"/>
              <w:textAlignment w:val="center"/>
              <w:rPr>
                <w:rFonts w:hint="default" w:ascii="Times New Roman" w:hAnsi="Times New Roman" w:eastAsia="方正仿宋_GB2312" w:cs="Times New Roman"/>
                <w:b/>
                <w:bCs/>
                <w:i w:val="0"/>
                <w:iCs w:val="0"/>
                <w:color w:val="000000"/>
                <w:sz w:val="21"/>
                <w:szCs w:val="21"/>
                <w:u w:val="none"/>
              </w:rPr>
            </w:pPr>
            <w:r>
              <w:rPr>
                <w:rFonts w:hint="default" w:ascii="Times New Roman" w:hAnsi="Times New Roman" w:eastAsia="方正仿宋_GB2312" w:cs="Times New Roman"/>
                <w:b/>
                <w:bCs/>
                <w:i w:val="0"/>
                <w:iCs w:val="0"/>
                <w:color w:val="000000"/>
                <w:kern w:val="0"/>
                <w:sz w:val="21"/>
                <w:szCs w:val="21"/>
                <w:u w:val="none"/>
                <w:lang w:val="en-US" w:eastAsia="zh-CN" w:bidi="ar"/>
              </w:rPr>
              <w:t>一级指标</w:t>
            </w: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619C0">
            <w:pPr>
              <w:keepNext w:val="0"/>
              <w:keepLines w:val="0"/>
              <w:widowControl/>
              <w:suppressLineNumbers w:val="0"/>
              <w:jc w:val="center"/>
              <w:textAlignment w:val="center"/>
              <w:rPr>
                <w:rFonts w:hint="default" w:ascii="Times New Roman" w:hAnsi="Times New Roman" w:eastAsia="方正仿宋_GB2312" w:cs="Times New Roman"/>
                <w:b/>
                <w:bCs/>
                <w:i w:val="0"/>
                <w:iCs w:val="0"/>
                <w:color w:val="000000"/>
                <w:sz w:val="21"/>
                <w:szCs w:val="21"/>
                <w:u w:val="none"/>
              </w:rPr>
            </w:pPr>
            <w:r>
              <w:rPr>
                <w:rFonts w:hint="default" w:ascii="Times New Roman" w:hAnsi="Times New Roman" w:eastAsia="方正仿宋_GB2312" w:cs="Times New Roman"/>
                <w:b/>
                <w:bCs/>
                <w:i w:val="0"/>
                <w:iCs w:val="0"/>
                <w:color w:val="000000"/>
                <w:kern w:val="0"/>
                <w:sz w:val="21"/>
                <w:szCs w:val="21"/>
                <w:u w:val="none"/>
                <w:lang w:val="en-US" w:eastAsia="zh-CN" w:bidi="ar"/>
              </w:rPr>
              <w:t>二级指标</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019C4">
            <w:pPr>
              <w:keepNext w:val="0"/>
              <w:keepLines w:val="0"/>
              <w:widowControl/>
              <w:suppressLineNumbers w:val="0"/>
              <w:jc w:val="center"/>
              <w:textAlignment w:val="center"/>
              <w:rPr>
                <w:rFonts w:hint="default" w:ascii="Times New Roman" w:hAnsi="Times New Roman" w:eastAsia="方正仿宋_GB2312" w:cs="Times New Roman"/>
                <w:b/>
                <w:bCs/>
                <w:i w:val="0"/>
                <w:iCs w:val="0"/>
                <w:color w:val="000000"/>
                <w:sz w:val="21"/>
                <w:szCs w:val="21"/>
                <w:u w:val="none"/>
              </w:rPr>
            </w:pPr>
            <w:r>
              <w:rPr>
                <w:rFonts w:hint="default" w:ascii="Times New Roman" w:hAnsi="Times New Roman" w:eastAsia="方正仿宋_GB2312" w:cs="Times New Roman"/>
                <w:b/>
                <w:bCs/>
                <w:i w:val="0"/>
                <w:iCs w:val="0"/>
                <w:color w:val="000000"/>
                <w:kern w:val="0"/>
                <w:sz w:val="21"/>
                <w:szCs w:val="21"/>
                <w:u w:val="none"/>
                <w:lang w:val="en-US" w:eastAsia="zh-CN" w:bidi="ar"/>
              </w:rPr>
              <w:t>三级指标</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9B181">
            <w:pPr>
              <w:keepNext w:val="0"/>
              <w:keepLines w:val="0"/>
              <w:widowControl/>
              <w:suppressLineNumbers w:val="0"/>
              <w:jc w:val="center"/>
              <w:textAlignment w:val="center"/>
              <w:rPr>
                <w:rFonts w:hint="default" w:ascii="Times New Roman" w:hAnsi="Times New Roman" w:eastAsia="方正仿宋_GB2312" w:cs="Times New Roman"/>
                <w:b/>
                <w:bCs/>
                <w:i w:val="0"/>
                <w:iCs w:val="0"/>
                <w:color w:val="000000"/>
                <w:sz w:val="21"/>
                <w:szCs w:val="21"/>
                <w:u w:val="none"/>
              </w:rPr>
            </w:pPr>
            <w:r>
              <w:rPr>
                <w:rFonts w:hint="default" w:ascii="Times New Roman" w:hAnsi="Times New Roman" w:eastAsia="方正仿宋_GB2312" w:cs="Times New Roman"/>
                <w:b/>
                <w:bCs/>
                <w:i w:val="0"/>
                <w:iCs w:val="0"/>
                <w:color w:val="000000"/>
                <w:kern w:val="0"/>
                <w:sz w:val="21"/>
                <w:szCs w:val="21"/>
                <w:u w:val="none"/>
                <w:lang w:val="en-US" w:eastAsia="zh-CN" w:bidi="ar"/>
              </w:rPr>
              <w:t>指标解释</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89DE4">
            <w:pPr>
              <w:keepNext w:val="0"/>
              <w:keepLines w:val="0"/>
              <w:widowControl/>
              <w:suppressLineNumbers w:val="0"/>
              <w:jc w:val="center"/>
              <w:textAlignment w:val="center"/>
              <w:rPr>
                <w:rFonts w:hint="default" w:ascii="Times New Roman" w:hAnsi="Times New Roman" w:eastAsia="方正仿宋_GB2312" w:cs="Times New Roman"/>
                <w:b/>
                <w:bCs/>
                <w:i w:val="0"/>
                <w:iCs w:val="0"/>
                <w:color w:val="000000"/>
                <w:sz w:val="21"/>
                <w:szCs w:val="21"/>
                <w:u w:val="none"/>
              </w:rPr>
            </w:pPr>
            <w:r>
              <w:rPr>
                <w:rFonts w:hint="default" w:ascii="Times New Roman" w:hAnsi="Times New Roman" w:eastAsia="方正仿宋_GB2312" w:cs="Times New Roman"/>
                <w:b/>
                <w:bCs/>
                <w:i w:val="0"/>
                <w:iCs w:val="0"/>
                <w:color w:val="000000"/>
                <w:kern w:val="0"/>
                <w:sz w:val="21"/>
                <w:szCs w:val="21"/>
                <w:u w:val="none"/>
                <w:lang w:val="en-US" w:eastAsia="zh-CN" w:bidi="ar"/>
              </w:rPr>
              <w:t>评 价 标 准</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EA1B9">
            <w:pPr>
              <w:keepNext w:val="0"/>
              <w:keepLines w:val="0"/>
              <w:widowControl/>
              <w:suppressLineNumbers w:val="0"/>
              <w:jc w:val="center"/>
              <w:textAlignment w:val="center"/>
              <w:rPr>
                <w:rFonts w:hint="default" w:ascii="Times New Roman" w:hAnsi="Times New Roman" w:eastAsia="方正仿宋_GB2312" w:cs="Times New Roman"/>
                <w:b/>
                <w:bCs/>
                <w:i w:val="0"/>
                <w:iCs w:val="0"/>
                <w:color w:val="000000"/>
                <w:sz w:val="21"/>
                <w:szCs w:val="21"/>
                <w:u w:val="none"/>
              </w:rPr>
            </w:pPr>
            <w:r>
              <w:rPr>
                <w:rFonts w:hint="default" w:ascii="Times New Roman" w:hAnsi="Times New Roman" w:eastAsia="方正仿宋_GB2312" w:cs="Times New Roman"/>
                <w:b/>
                <w:bCs/>
                <w:i w:val="0"/>
                <w:iCs w:val="0"/>
                <w:color w:val="000000"/>
                <w:kern w:val="0"/>
                <w:sz w:val="21"/>
                <w:szCs w:val="21"/>
                <w:u w:val="none"/>
                <w:lang w:val="en-US" w:eastAsia="zh-CN" w:bidi="ar"/>
              </w:rPr>
              <w:t>得分</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A7E20">
            <w:pPr>
              <w:keepNext w:val="0"/>
              <w:keepLines w:val="0"/>
              <w:widowControl/>
              <w:suppressLineNumbers w:val="0"/>
              <w:jc w:val="center"/>
              <w:textAlignment w:val="center"/>
              <w:rPr>
                <w:rFonts w:hint="default" w:ascii="Times New Roman" w:hAnsi="Times New Roman" w:eastAsia="方正仿宋_GB2312" w:cs="Times New Roman"/>
                <w:b/>
                <w:bCs/>
                <w:i w:val="0"/>
                <w:iCs w:val="0"/>
                <w:color w:val="000000"/>
                <w:sz w:val="21"/>
                <w:szCs w:val="21"/>
                <w:u w:val="none"/>
              </w:rPr>
            </w:pPr>
            <w:r>
              <w:rPr>
                <w:rFonts w:hint="default" w:ascii="Times New Roman" w:hAnsi="Times New Roman" w:eastAsia="方正仿宋_GB2312" w:cs="Times New Roman"/>
                <w:b/>
                <w:bCs/>
                <w:i w:val="0"/>
                <w:iCs w:val="0"/>
                <w:color w:val="000000"/>
                <w:kern w:val="0"/>
                <w:sz w:val="21"/>
                <w:szCs w:val="21"/>
                <w:u w:val="none"/>
                <w:lang w:val="en-US" w:eastAsia="zh-CN" w:bidi="ar"/>
              </w:rPr>
              <w:t>扣分原因</w:t>
            </w:r>
          </w:p>
        </w:tc>
      </w:tr>
      <w:tr w14:paraId="5CCD1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F0F43A">
            <w:pPr>
              <w:keepNext w:val="0"/>
              <w:keepLines w:val="0"/>
              <w:widowControl/>
              <w:suppressLineNumbers w:val="0"/>
              <w:jc w:val="center"/>
              <w:textAlignment w:val="center"/>
              <w:rPr>
                <w:rFonts w:hint="default" w:ascii="Times New Roman" w:hAnsi="Times New Roman" w:eastAsia="方正仿宋_GB2312" w:cs="Times New Roman"/>
                <w:b/>
                <w:bCs/>
                <w:i w:val="0"/>
                <w:iCs w:val="0"/>
                <w:color w:val="000000"/>
                <w:sz w:val="21"/>
                <w:szCs w:val="21"/>
                <w:u w:val="none"/>
              </w:rPr>
            </w:pPr>
            <w:r>
              <w:rPr>
                <w:rFonts w:hint="default" w:ascii="Times New Roman" w:hAnsi="Times New Roman" w:eastAsia="方正仿宋_GB2312" w:cs="Times New Roman"/>
                <w:b/>
                <w:bCs/>
                <w:i w:val="0"/>
                <w:iCs w:val="0"/>
                <w:color w:val="000000"/>
                <w:kern w:val="0"/>
                <w:sz w:val="21"/>
                <w:szCs w:val="21"/>
                <w:u w:val="none"/>
                <w:lang w:val="en-US" w:eastAsia="zh-CN" w:bidi="ar"/>
              </w:rPr>
              <w:t>决 策</w:t>
            </w:r>
            <w:r>
              <w:rPr>
                <w:rFonts w:hint="default" w:ascii="Times New Roman" w:hAnsi="Times New Roman" w:eastAsia="方正仿宋_GB2312" w:cs="Times New Roman"/>
                <w:b/>
                <w:bCs/>
                <w:i w:val="0"/>
                <w:iCs w:val="0"/>
                <w:color w:val="000000"/>
                <w:kern w:val="0"/>
                <w:sz w:val="21"/>
                <w:szCs w:val="21"/>
                <w:u w:val="none"/>
                <w:lang w:val="en-US" w:eastAsia="zh-CN" w:bidi="ar"/>
              </w:rPr>
              <w:br w:type="textWrapping"/>
            </w:r>
            <w:r>
              <w:rPr>
                <w:rFonts w:hint="default" w:ascii="Times New Roman" w:hAnsi="Times New Roman" w:eastAsia="方正仿宋_GB2312" w:cs="Times New Roman"/>
                <w:b/>
                <w:bCs/>
                <w:i w:val="0"/>
                <w:iCs w:val="0"/>
                <w:color w:val="000000"/>
                <w:kern w:val="0"/>
                <w:sz w:val="21"/>
                <w:szCs w:val="21"/>
                <w:u w:val="none"/>
                <w:lang w:val="en-US" w:eastAsia="zh-CN" w:bidi="ar"/>
              </w:rPr>
              <w:t>（15分）</w:t>
            </w:r>
          </w:p>
        </w:tc>
        <w:tc>
          <w:tcPr>
            <w:tcW w:w="11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726F0E">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项目立项</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（4分）</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7A058">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设立依据充分性</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（2分）</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A7670">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专项资金设立是否符合法律法规、相关政策、发展规划以及部门职责，用以反映和考核专项资金设立的依据情况。</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1AE29">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①是否符合法律法规、相关政策、发展规划要求（1分）；②是否与部门职责范围相符（0.5分）；③是否与相关部门同类预算支出或部门内部相关预算支出重复（0.5分）。</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50E4A">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2</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8CCEE">
            <w:pPr>
              <w:jc w:val="left"/>
              <w:rPr>
                <w:rFonts w:hint="default" w:ascii="Times New Roman" w:hAnsi="Times New Roman" w:eastAsia="方正仿宋_GB2312" w:cs="Times New Roman"/>
                <w:i w:val="0"/>
                <w:iCs w:val="0"/>
                <w:color w:val="000000"/>
                <w:sz w:val="21"/>
                <w:szCs w:val="21"/>
                <w:u w:val="none"/>
              </w:rPr>
            </w:pPr>
          </w:p>
        </w:tc>
      </w:tr>
      <w:tr w14:paraId="2FB50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56024">
            <w:pPr>
              <w:jc w:val="center"/>
              <w:rPr>
                <w:rFonts w:hint="default" w:ascii="Times New Roman" w:hAnsi="Times New Roman" w:eastAsia="方正仿宋_GB2312" w:cs="Times New Roman"/>
                <w:b/>
                <w:bCs/>
                <w:i w:val="0"/>
                <w:iCs w:val="0"/>
                <w:color w:val="000000"/>
                <w:sz w:val="21"/>
                <w:szCs w:val="21"/>
                <w:u w:val="none"/>
              </w:rPr>
            </w:pPr>
          </w:p>
        </w:tc>
        <w:tc>
          <w:tcPr>
            <w:tcW w:w="11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C7923">
            <w:pPr>
              <w:jc w:val="center"/>
              <w:rPr>
                <w:rFonts w:hint="default" w:ascii="Times New Roman" w:hAnsi="Times New Roman" w:eastAsia="方正仿宋_GB2312" w:cs="Times New Roman"/>
                <w:i w:val="0"/>
                <w:iCs w:val="0"/>
                <w:color w:val="000000"/>
                <w:sz w:val="21"/>
                <w:szCs w:val="21"/>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A4F7E">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设立程序规范性</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（2分）</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6B8CC">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专项资金设立程序是否规范，申报是否符合要求，用以反映和考核设立程序的规范情况。</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8F583">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①专项资金是否按规定程序申请设立（0.5分）；②项目单位申报资料是否真实、完整和规范（1分）；③事前是否经过必要的可行性研究、专家论证、风险评估、绩效评估、集体决策等（0.5分）</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7ABDF">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2</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B9BAA">
            <w:pPr>
              <w:jc w:val="left"/>
              <w:rPr>
                <w:rFonts w:hint="default" w:ascii="Times New Roman" w:hAnsi="Times New Roman" w:eastAsia="方正仿宋_GB2312" w:cs="Times New Roman"/>
                <w:i w:val="0"/>
                <w:iCs w:val="0"/>
                <w:color w:val="000000"/>
                <w:sz w:val="21"/>
                <w:szCs w:val="21"/>
                <w:u w:val="none"/>
              </w:rPr>
            </w:pPr>
          </w:p>
        </w:tc>
      </w:tr>
      <w:tr w14:paraId="36903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738A3">
            <w:pPr>
              <w:jc w:val="center"/>
              <w:rPr>
                <w:rFonts w:hint="default" w:ascii="Times New Roman" w:hAnsi="Times New Roman" w:eastAsia="方正仿宋_GB2312" w:cs="Times New Roman"/>
                <w:b/>
                <w:bCs/>
                <w:i w:val="0"/>
                <w:iCs w:val="0"/>
                <w:color w:val="000000"/>
                <w:sz w:val="21"/>
                <w:szCs w:val="21"/>
                <w:u w:val="none"/>
              </w:rPr>
            </w:pPr>
          </w:p>
        </w:tc>
        <w:tc>
          <w:tcPr>
            <w:tcW w:w="11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C644E0">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绩效目标</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（6分）</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6A910">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绩效目标合理性</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（3分）</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FD99C">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项目设定的绩效目标是否依据充分，是否符合客观实际，用以反映和考核项目绩效目标与项目实施的相符情况。</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1E36C">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①是否及时编制绩效目标（1分）；②绩效目标是否符合部门发展规划和年度工作计划（1分）；③项目申报预期产出效益和效果是否符合正常的业绩水平（1分）。</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8DFFD">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3</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14A56">
            <w:pPr>
              <w:jc w:val="left"/>
              <w:rPr>
                <w:rFonts w:hint="default" w:ascii="Times New Roman" w:hAnsi="Times New Roman" w:eastAsia="方正仿宋_GB2312" w:cs="Times New Roman"/>
                <w:i w:val="0"/>
                <w:iCs w:val="0"/>
                <w:color w:val="000000"/>
                <w:sz w:val="21"/>
                <w:szCs w:val="21"/>
                <w:u w:val="none"/>
              </w:rPr>
            </w:pPr>
          </w:p>
        </w:tc>
      </w:tr>
      <w:tr w14:paraId="04203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7DCA2">
            <w:pPr>
              <w:jc w:val="center"/>
              <w:rPr>
                <w:rFonts w:hint="default" w:ascii="Times New Roman" w:hAnsi="Times New Roman" w:eastAsia="方正仿宋_GB2312" w:cs="Times New Roman"/>
                <w:b/>
                <w:bCs/>
                <w:i w:val="0"/>
                <w:iCs w:val="0"/>
                <w:color w:val="000000"/>
                <w:sz w:val="21"/>
                <w:szCs w:val="21"/>
                <w:u w:val="none"/>
              </w:rPr>
            </w:pPr>
          </w:p>
        </w:tc>
        <w:tc>
          <w:tcPr>
            <w:tcW w:w="11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82C3C">
            <w:pPr>
              <w:jc w:val="center"/>
              <w:rPr>
                <w:rFonts w:hint="default" w:ascii="Times New Roman" w:hAnsi="Times New Roman" w:eastAsia="方正仿宋_GB2312" w:cs="Times New Roman"/>
                <w:i w:val="0"/>
                <w:iCs w:val="0"/>
                <w:color w:val="000000"/>
                <w:sz w:val="21"/>
                <w:szCs w:val="21"/>
                <w:u w:val="none"/>
              </w:rPr>
            </w:pP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338468">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绩效指标明确性</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（3分）</w:t>
            </w:r>
          </w:p>
        </w:tc>
        <w:tc>
          <w:tcPr>
            <w:tcW w:w="2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940188">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依据绩效目标设定的绩效指标是否清晰、细化、可衡量等，用以反映和考核项目绩效目标的细化情况。</w:t>
            </w:r>
          </w:p>
        </w:tc>
        <w:tc>
          <w:tcPr>
            <w:tcW w:w="4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E2A4FA">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①是否将绩效目标细化分解为具体的绩效指标（1分）；②是否通过清晰、可衡量的指标值予以体现，目标明确，细化量化良好（1分）；③是否与预算支出目标任务数或计划数相对应（1分）。</w:t>
            </w:r>
          </w:p>
        </w:tc>
        <w:tc>
          <w:tcPr>
            <w:tcW w:w="74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B6EBC">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3</w:t>
            </w:r>
          </w:p>
        </w:tc>
        <w:tc>
          <w:tcPr>
            <w:tcW w:w="22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E1C775">
            <w:pPr>
              <w:jc w:val="left"/>
              <w:rPr>
                <w:rFonts w:hint="default" w:ascii="Times New Roman" w:hAnsi="Times New Roman" w:eastAsia="方正仿宋_GB2312" w:cs="Times New Roman"/>
                <w:i w:val="0"/>
                <w:iCs w:val="0"/>
                <w:color w:val="000000"/>
                <w:sz w:val="21"/>
                <w:szCs w:val="21"/>
                <w:u w:val="none"/>
              </w:rPr>
            </w:pPr>
          </w:p>
        </w:tc>
      </w:tr>
      <w:tr w14:paraId="0F0D0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41057">
            <w:pPr>
              <w:jc w:val="center"/>
              <w:rPr>
                <w:rFonts w:hint="default" w:ascii="Times New Roman" w:hAnsi="Times New Roman" w:eastAsia="方正仿宋_GB2312" w:cs="Times New Roman"/>
                <w:b/>
                <w:bCs/>
                <w:i w:val="0"/>
                <w:iCs w:val="0"/>
                <w:color w:val="000000"/>
                <w:sz w:val="21"/>
                <w:szCs w:val="21"/>
                <w:u w:val="none"/>
              </w:rPr>
            </w:pPr>
          </w:p>
        </w:tc>
        <w:tc>
          <w:tcPr>
            <w:tcW w:w="11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E94E8">
            <w:pPr>
              <w:jc w:val="center"/>
              <w:rPr>
                <w:rFonts w:hint="default" w:ascii="Times New Roman" w:hAnsi="Times New Roman" w:eastAsia="方正仿宋_GB2312" w:cs="Times New Roman"/>
                <w:i w:val="0"/>
                <w:iCs w:val="0"/>
                <w:color w:val="000000"/>
                <w:sz w:val="21"/>
                <w:szCs w:val="21"/>
                <w:u w:val="none"/>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29F25">
            <w:pPr>
              <w:jc w:val="center"/>
              <w:rPr>
                <w:rFonts w:hint="default" w:ascii="Times New Roman" w:hAnsi="Times New Roman" w:eastAsia="方正仿宋_GB2312" w:cs="Times New Roman"/>
                <w:i w:val="0"/>
                <w:iCs w:val="0"/>
                <w:color w:val="000000"/>
                <w:sz w:val="21"/>
                <w:szCs w:val="21"/>
                <w:u w:val="none"/>
              </w:rPr>
            </w:pPr>
          </w:p>
        </w:tc>
        <w:tc>
          <w:tcPr>
            <w:tcW w:w="2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64925">
            <w:pPr>
              <w:jc w:val="left"/>
              <w:rPr>
                <w:rFonts w:hint="default" w:ascii="Times New Roman" w:hAnsi="Times New Roman" w:eastAsia="方正仿宋_GB2312" w:cs="Times New Roman"/>
                <w:i w:val="0"/>
                <w:iCs w:val="0"/>
                <w:color w:val="000000"/>
                <w:sz w:val="21"/>
                <w:szCs w:val="21"/>
                <w:u w:val="none"/>
              </w:rPr>
            </w:pPr>
          </w:p>
        </w:tc>
        <w:tc>
          <w:tcPr>
            <w:tcW w:w="4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596D3">
            <w:pPr>
              <w:jc w:val="left"/>
              <w:rPr>
                <w:rFonts w:hint="default" w:ascii="Times New Roman" w:hAnsi="Times New Roman" w:eastAsia="方正仿宋_GB2312" w:cs="Times New Roman"/>
                <w:i w:val="0"/>
                <w:iCs w:val="0"/>
                <w:color w:val="000000"/>
                <w:sz w:val="21"/>
                <w:szCs w:val="21"/>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928E5">
            <w:pPr>
              <w:jc w:val="center"/>
              <w:rPr>
                <w:rFonts w:hint="default" w:ascii="Times New Roman" w:hAnsi="Times New Roman" w:eastAsia="方正仿宋_GB2312" w:cs="Times New Roman"/>
                <w:i w:val="0"/>
                <w:iCs w:val="0"/>
                <w:color w:val="000000"/>
                <w:sz w:val="21"/>
                <w:szCs w:val="21"/>
                <w:u w:val="none"/>
              </w:rPr>
            </w:pPr>
          </w:p>
        </w:tc>
        <w:tc>
          <w:tcPr>
            <w:tcW w:w="22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CBE87">
            <w:pPr>
              <w:jc w:val="left"/>
              <w:rPr>
                <w:rFonts w:hint="default" w:ascii="Times New Roman" w:hAnsi="Times New Roman" w:eastAsia="方正仿宋_GB2312" w:cs="Times New Roman"/>
                <w:i w:val="0"/>
                <w:iCs w:val="0"/>
                <w:color w:val="000000"/>
                <w:sz w:val="21"/>
                <w:szCs w:val="21"/>
                <w:u w:val="none"/>
              </w:rPr>
            </w:pPr>
          </w:p>
        </w:tc>
      </w:tr>
      <w:tr w14:paraId="66AAB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2"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C3C22">
            <w:pPr>
              <w:jc w:val="center"/>
              <w:rPr>
                <w:rFonts w:hint="default" w:ascii="Times New Roman" w:hAnsi="Times New Roman" w:eastAsia="方正仿宋_GB2312" w:cs="Times New Roman"/>
                <w:b/>
                <w:bCs/>
                <w:i w:val="0"/>
                <w:iCs w:val="0"/>
                <w:color w:val="000000"/>
                <w:sz w:val="21"/>
                <w:szCs w:val="21"/>
                <w:u w:val="none"/>
              </w:rPr>
            </w:pPr>
          </w:p>
        </w:tc>
        <w:tc>
          <w:tcPr>
            <w:tcW w:w="1148" w:type="dxa"/>
            <w:vMerge w:val="restart"/>
            <w:tcBorders>
              <w:top w:val="single" w:color="000000" w:sz="4" w:space="0"/>
              <w:left w:val="single" w:color="000000" w:sz="4" w:space="0"/>
              <w:bottom w:val="nil"/>
              <w:right w:val="single" w:color="000000" w:sz="4" w:space="0"/>
            </w:tcBorders>
            <w:shd w:val="clear" w:color="auto" w:fill="auto"/>
            <w:vAlign w:val="center"/>
          </w:tcPr>
          <w:p w14:paraId="5509EE9D">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资金投入</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（5分）</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FFC39">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预算编制科学性</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（2分）</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B580D">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预算编制依据充分、有明确标准，符合零基预算要求，资金额度与年度目标是否相适应，用以反映和考核项目预算编制的规范性、合理性情况。</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124CF">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①预算编制是否经过科学论证（0.5分）；②预算额度测算依据是否充分（0.5分）；③预算内容与支出内容是否匹配（0.5分）；④预算确定的预算支出投资额或资金量是否与工作任务相匹配（0.5分）。</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95472">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1.5</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D2A5B">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益阳市中心城区高铁片区控制性详细规划编制项目预算编制不科学，预算执行率为44.6%，执行率偏低，扣0.5分。</w:t>
            </w:r>
          </w:p>
        </w:tc>
      </w:tr>
      <w:tr w14:paraId="402C7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E3EAF">
            <w:pPr>
              <w:jc w:val="center"/>
              <w:rPr>
                <w:rFonts w:hint="default" w:ascii="Times New Roman" w:hAnsi="Times New Roman" w:eastAsia="方正仿宋_GB2312" w:cs="Times New Roman"/>
                <w:b/>
                <w:bCs/>
                <w:i w:val="0"/>
                <w:iCs w:val="0"/>
                <w:color w:val="000000"/>
                <w:sz w:val="21"/>
                <w:szCs w:val="21"/>
                <w:u w:val="none"/>
              </w:rPr>
            </w:pPr>
          </w:p>
        </w:tc>
        <w:tc>
          <w:tcPr>
            <w:tcW w:w="1148" w:type="dxa"/>
            <w:vMerge w:val="continue"/>
            <w:tcBorders>
              <w:top w:val="single" w:color="000000" w:sz="4" w:space="0"/>
              <w:left w:val="single" w:color="000000" w:sz="4" w:space="0"/>
              <w:bottom w:val="nil"/>
              <w:right w:val="single" w:color="000000" w:sz="4" w:space="0"/>
            </w:tcBorders>
            <w:shd w:val="clear" w:color="auto" w:fill="auto"/>
            <w:vAlign w:val="center"/>
          </w:tcPr>
          <w:p w14:paraId="6DB386F1">
            <w:pPr>
              <w:jc w:val="center"/>
              <w:rPr>
                <w:rFonts w:hint="default" w:ascii="Times New Roman" w:hAnsi="Times New Roman" w:eastAsia="方正仿宋_GB2312" w:cs="Times New Roman"/>
                <w:i w:val="0"/>
                <w:iCs w:val="0"/>
                <w:color w:val="000000"/>
                <w:sz w:val="21"/>
                <w:szCs w:val="21"/>
                <w:u w:val="none"/>
              </w:rPr>
            </w:pP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727AD">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资金分配合理性</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（3分）</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B6BFB">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资金分配依据充分，运用绩效评价结果，分配额度合理，用以反映和考核项目资金分配的合规性、合理性。</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81238">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①预算资金分配依据是否充分（0.5分）；②是否运用绩效评价结果（0.5分）；③分配额度是否合理，与项目实际相适应（1分）；④是否存在与该专项资金无关的分配事项（1分），发现一处扣0.5分。</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E302C">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3</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F02A6">
            <w:pPr>
              <w:jc w:val="left"/>
              <w:rPr>
                <w:rFonts w:hint="default" w:ascii="Times New Roman" w:hAnsi="Times New Roman" w:eastAsia="方正仿宋_GB2312" w:cs="Times New Roman"/>
                <w:i w:val="0"/>
                <w:iCs w:val="0"/>
                <w:color w:val="000000"/>
                <w:sz w:val="21"/>
                <w:szCs w:val="21"/>
                <w:u w:val="none"/>
              </w:rPr>
            </w:pPr>
          </w:p>
        </w:tc>
      </w:tr>
      <w:tr w14:paraId="76ED9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0" w:hRule="atLeast"/>
        </w:trPr>
        <w:tc>
          <w:tcPr>
            <w:tcW w:w="1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6779CB">
            <w:pPr>
              <w:keepNext w:val="0"/>
              <w:keepLines w:val="0"/>
              <w:widowControl/>
              <w:suppressLineNumbers w:val="0"/>
              <w:jc w:val="center"/>
              <w:textAlignment w:val="center"/>
              <w:rPr>
                <w:rFonts w:hint="default" w:ascii="Times New Roman" w:hAnsi="Times New Roman" w:eastAsia="方正仿宋_GB2312" w:cs="Times New Roman"/>
                <w:b/>
                <w:bCs/>
                <w:i w:val="0"/>
                <w:iCs w:val="0"/>
                <w:color w:val="000000"/>
                <w:sz w:val="21"/>
                <w:szCs w:val="21"/>
                <w:u w:val="none"/>
              </w:rPr>
            </w:pPr>
            <w:r>
              <w:rPr>
                <w:rFonts w:hint="default" w:ascii="Times New Roman" w:hAnsi="Times New Roman" w:eastAsia="方正仿宋_GB2312" w:cs="Times New Roman"/>
                <w:b/>
                <w:bCs/>
                <w:i w:val="0"/>
                <w:iCs w:val="0"/>
                <w:color w:val="000000"/>
                <w:kern w:val="0"/>
                <w:sz w:val="21"/>
                <w:szCs w:val="21"/>
                <w:u w:val="none"/>
                <w:lang w:val="en-US" w:eastAsia="zh-CN" w:bidi="ar"/>
              </w:rPr>
              <w:t>过 程</w:t>
            </w:r>
            <w:r>
              <w:rPr>
                <w:rFonts w:hint="default" w:ascii="Times New Roman" w:hAnsi="Times New Roman" w:eastAsia="方正仿宋_GB2312" w:cs="Times New Roman"/>
                <w:b/>
                <w:bCs/>
                <w:i w:val="0"/>
                <w:iCs w:val="0"/>
                <w:color w:val="000000"/>
                <w:kern w:val="0"/>
                <w:sz w:val="21"/>
                <w:szCs w:val="21"/>
                <w:u w:val="none"/>
                <w:lang w:val="en-US" w:eastAsia="zh-CN" w:bidi="ar"/>
              </w:rPr>
              <w:br w:type="textWrapping"/>
            </w:r>
            <w:r>
              <w:rPr>
                <w:rFonts w:hint="default" w:ascii="Times New Roman" w:hAnsi="Times New Roman" w:eastAsia="方正仿宋_GB2312" w:cs="Times New Roman"/>
                <w:b/>
                <w:bCs/>
                <w:i w:val="0"/>
                <w:iCs w:val="0"/>
                <w:color w:val="000000"/>
                <w:kern w:val="0"/>
                <w:sz w:val="21"/>
                <w:szCs w:val="21"/>
                <w:u w:val="none"/>
                <w:lang w:val="en-US" w:eastAsia="zh-CN" w:bidi="ar"/>
              </w:rPr>
              <w:t>（25分）</w:t>
            </w:r>
          </w:p>
        </w:tc>
        <w:tc>
          <w:tcPr>
            <w:tcW w:w="11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0EA29D">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资金管理</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（10分）</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40705">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资金到位率（2分）</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F2CA1">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实际到位资金与预算资金的比率，用以反映和考核资金落实情况对项目实施的总体保障程度。</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E49EA">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资金到位率=（实际落实到位的资金/预算安排资金）×100%。得分=资金到位率×3，否则抽查发现项目专项资金至评价日没有到位比例5%以下，扣0.3分；5%～10%扣0.3-0.7分；10%～20%扣0.7-1.2分；超过20%扣2分。</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1560A">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2</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3024D">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资金到位率100%</w:t>
            </w:r>
          </w:p>
        </w:tc>
      </w:tr>
      <w:tr w14:paraId="3898F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30907">
            <w:pPr>
              <w:jc w:val="center"/>
              <w:rPr>
                <w:rFonts w:hint="default" w:ascii="Times New Roman" w:hAnsi="Times New Roman" w:eastAsia="方正仿宋_GB2312" w:cs="Times New Roman"/>
                <w:b/>
                <w:bCs/>
                <w:i w:val="0"/>
                <w:iCs w:val="0"/>
                <w:color w:val="000000"/>
                <w:sz w:val="21"/>
                <w:szCs w:val="21"/>
                <w:u w:val="none"/>
              </w:rPr>
            </w:pPr>
          </w:p>
        </w:tc>
        <w:tc>
          <w:tcPr>
            <w:tcW w:w="11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56DBB">
            <w:pPr>
              <w:jc w:val="center"/>
              <w:rPr>
                <w:rFonts w:hint="default" w:ascii="Times New Roman" w:hAnsi="Times New Roman" w:eastAsia="方正仿宋_GB2312" w:cs="Times New Roman"/>
                <w:i w:val="0"/>
                <w:iCs w:val="0"/>
                <w:color w:val="000000"/>
                <w:sz w:val="21"/>
                <w:szCs w:val="21"/>
                <w:u w:val="none"/>
              </w:rPr>
            </w:pP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BD7AF6">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预算执行率（2分）</w:t>
            </w:r>
          </w:p>
        </w:tc>
        <w:tc>
          <w:tcPr>
            <w:tcW w:w="2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840526">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预算资金按照计划执行，用以反映和考核项目预算执行情况。</w:t>
            </w:r>
          </w:p>
        </w:tc>
        <w:tc>
          <w:tcPr>
            <w:tcW w:w="4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724DED">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预算执行率=（实际支出资金/实际到位资金）×100%。</w:t>
            </w:r>
          </w:p>
        </w:tc>
        <w:tc>
          <w:tcPr>
            <w:tcW w:w="74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1EC59">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 xml:space="preserve">1.84 </w:t>
            </w:r>
          </w:p>
        </w:tc>
        <w:tc>
          <w:tcPr>
            <w:tcW w:w="22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8494B">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预算执行率为92.23%，扣0.16分。</w:t>
            </w:r>
          </w:p>
        </w:tc>
      </w:tr>
      <w:tr w14:paraId="3A40D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70BCC">
            <w:pPr>
              <w:jc w:val="center"/>
              <w:rPr>
                <w:rFonts w:hint="default" w:ascii="Times New Roman" w:hAnsi="Times New Roman" w:eastAsia="方正仿宋_GB2312" w:cs="Times New Roman"/>
                <w:b/>
                <w:bCs/>
                <w:i w:val="0"/>
                <w:iCs w:val="0"/>
                <w:color w:val="000000"/>
                <w:sz w:val="21"/>
                <w:szCs w:val="21"/>
                <w:u w:val="none"/>
              </w:rPr>
            </w:pPr>
          </w:p>
        </w:tc>
        <w:tc>
          <w:tcPr>
            <w:tcW w:w="11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49ED7">
            <w:pPr>
              <w:jc w:val="center"/>
              <w:rPr>
                <w:rFonts w:hint="default" w:ascii="Times New Roman" w:hAnsi="Times New Roman" w:eastAsia="方正仿宋_GB2312" w:cs="Times New Roman"/>
                <w:i w:val="0"/>
                <w:iCs w:val="0"/>
                <w:color w:val="000000"/>
                <w:sz w:val="21"/>
                <w:szCs w:val="21"/>
                <w:u w:val="none"/>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D8EDE">
            <w:pPr>
              <w:jc w:val="center"/>
              <w:rPr>
                <w:rFonts w:hint="default" w:ascii="Times New Roman" w:hAnsi="Times New Roman" w:eastAsia="方正仿宋_GB2312" w:cs="Times New Roman"/>
                <w:i w:val="0"/>
                <w:iCs w:val="0"/>
                <w:color w:val="000000"/>
                <w:sz w:val="21"/>
                <w:szCs w:val="21"/>
                <w:u w:val="none"/>
              </w:rPr>
            </w:pPr>
          </w:p>
        </w:tc>
        <w:tc>
          <w:tcPr>
            <w:tcW w:w="2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448DB">
            <w:pPr>
              <w:jc w:val="left"/>
              <w:rPr>
                <w:rFonts w:hint="default" w:ascii="Times New Roman" w:hAnsi="Times New Roman" w:eastAsia="方正仿宋_GB2312" w:cs="Times New Roman"/>
                <w:i w:val="0"/>
                <w:iCs w:val="0"/>
                <w:color w:val="000000"/>
                <w:sz w:val="21"/>
                <w:szCs w:val="21"/>
                <w:u w:val="none"/>
              </w:rPr>
            </w:pPr>
          </w:p>
        </w:tc>
        <w:tc>
          <w:tcPr>
            <w:tcW w:w="4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0B9DC">
            <w:pPr>
              <w:jc w:val="left"/>
              <w:rPr>
                <w:rFonts w:hint="default" w:ascii="Times New Roman" w:hAnsi="Times New Roman" w:eastAsia="方正仿宋_GB2312" w:cs="Times New Roman"/>
                <w:i w:val="0"/>
                <w:iCs w:val="0"/>
                <w:color w:val="000000"/>
                <w:sz w:val="21"/>
                <w:szCs w:val="21"/>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63B2D">
            <w:pPr>
              <w:jc w:val="center"/>
              <w:rPr>
                <w:rFonts w:hint="default" w:ascii="Times New Roman" w:hAnsi="Times New Roman" w:eastAsia="方正仿宋_GB2312" w:cs="Times New Roman"/>
                <w:i w:val="0"/>
                <w:iCs w:val="0"/>
                <w:color w:val="000000"/>
                <w:sz w:val="21"/>
                <w:szCs w:val="21"/>
                <w:u w:val="none"/>
              </w:rPr>
            </w:pPr>
          </w:p>
        </w:tc>
        <w:tc>
          <w:tcPr>
            <w:tcW w:w="22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45CBB">
            <w:pPr>
              <w:jc w:val="left"/>
              <w:rPr>
                <w:rFonts w:hint="default" w:ascii="Times New Roman" w:hAnsi="Times New Roman" w:eastAsia="方正仿宋_GB2312" w:cs="Times New Roman"/>
                <w:i w:val="0"/>
                <w:iCs w:val="0"/>
                <w:color w:val="000000"/>
                <w:sz w:val="21"/>
                <w:szCs w:val="21"/>
                <w:u w:val="none"/>
              </w:rPr>
            </w:pPr>
          </w:p>
        </w:tc>
      </w:tr>
      <w:tr w14:paraId="27F41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0"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70F84">
            <w:pPr>
              <w:jc w:val="center"/>
              <w:rPr>
                <w:rFonts w:hint="default" w:ascii="Times New Roman" w:hAnsi="Times New Roman" w:eastAsia="方正仿宋_GB2312" w:cs="Times New Roman"/>
                <w:b/>
                <w:bCs/>
                <w:i w:val="0"/>
                <w:iCs w:val="0"/>
                <w:color w:val="000000"/>
                <w:sz w:val="21"/>
                <w:szCs w:val="21"/>
                <w:u w:val="none"/>
              </w:rPr>
            </w:pPr>
          </w:p>
        </w:tc>
        <w:tc>
          <w:tcPr>
            <w:tcW w:w="11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A6A663">
            <w:pPr>
              <w:jc w:val="center"/>
              <w:rPr>
                <w:rFonts w:hint="default" w:ascii="Times New Roman" w:hAnsi="Times New Roman" w:eastAsia="方正仿宋_GB2312" w:cs="Times New Roman"/>
                <w:i w:val="0"/>
                <w:iCs w:val="0"/>
                <w:color w:val="000000"/>
                <w:sz w:val="21"/>
                <w:szCs w:val="21"/>
                <w:u w:val="none"/>
              </w:rPr>
            </w:pP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A18496">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资金使用合规性</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（6分）</w:t>
            </w:r>
          </w:p>
        </w:tc>
        <w:tc>
          <w:tcPr>
            <w:tcW w:w="2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C6BD72">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预算资金使用符合相关的财务管理制度规定，用以反映和考核预算资金使用的合法性、合规性情况。</w:t>
            </w:r>
          </w:p>
        </w:tc>
        <w:tc>
          <w:tcPr>
            <w:tcW w:w="4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7DC81E">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①是否符合国家财经法规、财务管理制度以及专项资金管理制度的规定，资金专账核算且规范，得1分，否则视情况扣分；②资金的支付是否有完整的审批程序和手续，项目单位资金审批程序和手续合规，原始凭证合规充分，得2分，发现一例不合规扣1分，扣完为止；③是否按预算批复或合同规定的用途和时间支付资金，资金使用符合预算批复用途并按时支付的，得2分，发现一例不合规扣1分，扣完为止；④是否存在截留、挤占、挪用、虚列支出等情况，不存在截留、挤占、挪用、虚列支出等情况，得2分，否则抽查发现一处扣1分，扣完为止。</w:t>
            </w:r>
          </w:p>
        </w:tc>
        <w:tc>
          <w:tcPr>
            <w:tcW w:w="74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0738C">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4</w:t>
            </w:r>
          </w:p>
        </w:tc>
        <w:tc>
          <w:tcPr>
            <w:tcW w:w="22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20AEF6">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2024年3月14日记账-0008凭证，发票未到就开始了资金支付审批程序，2025年3月25日付村庄规划市级审查项目尾款、2024年2月18日记账-0014凭证付市中心城区高铁片区控制性详细规划编制项目费36.29万元未在合同规定的时间内支付，扣2分。</w:t>
            </w:r>
          </w:p>
        </w:tc>
      </w:tr>
      <w:tr w14:paraId="4D898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2"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DB079">
            <w:pPr>
              <w:jc w:val="center"/>
              <w:rPr>
                <w:rFonts w:hint="default" w:ascii="Times New Roman" w:hAnsi="Times New Roman" w:eastAsia="方正仿宋_GB2312" w:cs="Times New Roman"/>
                <w:b/>
                <w:bCs/>
                <w:i w:val="0"/>
                <w:iCs w:val="0"/>
                <w:color w:val="000000"/>
                <w:sz w:val="21"/>
                <w:szCs w:val="21"/>
                <w:u w:val="none"/>
              </w:rPr>
            </w:pPr>
          </w:p>
        </w:tc>
        <w:tc>
          <w:tcPr>
            <w:tcW w:w="1148"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55DF282">
            <w:pPr>
              <w:jc w:val="center"/>
              <w:rPr>
                <w:rFonts w:hint="default" w:ascii="Times New Roman" w:hAnsi="Times New Roman" w:eastAsia="方正仿宋_GB2312" w:cs="Times New Roman"/>
                <w:i w:val="0"/>
                <w:iCs w:val="0"/>
                <w:color w:val="000000"/>
                <w:sz w:val="21"/>
                <w:szCs w:val="21"/>
                <w:u w:val="none"/>
              </w:rPr>
            </w:pPr>
          </w:p>
        </w:tc>
        <w:tc>
          <w:tcPr>
            <w:tcW w:w="1212"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957E70E">
            <w:pPr>
              <w:jc w:val="center"/>
              <w:rPr>
                <w:rFonts w:hint="default" w:ascii="Times New Roman" w:hAnsi="Times New Roman" w:eastAsia="方正仿宋_GB2312" w:cs="Times New Roman"/>
                <w:i w:val="0"/>
                <w:iCs w:val="0"/>
                <w:color w:val="000000"/>
                <w:sz w:val="21"/>
                <w:szCs w:val="21"/>
                <w:u w:val="none"/>
              </w:rPr>
            </w:pPr>
          </w:p>
        </w:tc>
        <w:tc>
          <w:tcPr>
            <w:tcW w:w="268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CC11322">
            <w:pPr>
              <w:jc w:val="left"/>
              <w:rPr>
                <w:rFonts w:hint="default" w:ascii="Times New Roman" w:hAnsi="Times New Roman" w:eastAsia="方正仿宋_GB2312" w:cs="Times New Roman"/>
                <w:i w:val="0"/>
                <w:iCs w:val="0"/>
                <w:color w:val="000000"/>
                <w:sz w:val="21"/>
                <w:szCs w:val="21"/>
                <w:u w:val="none"/>
              </w:rPr>
            </w:pPr>
          </w:p>
        </w:tc>
        <w:tc>
          <w:tcPr>
            <w:tcW w:w="490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49BE1BD1">
            <w:pPr>
              <w:jc w:val="left"/>
              <w:rPr>
                <w:rFonts w:hint="default" w:ascii="Times New Roman" w:hAnsi="Times New Roman" w:eastAsia="方正仿宋_GB2312" w:cs="Times New Roman"/>
                <w:i w:val="0"/>
                <w:iCs w:val="0"/>
                <w:color w:val="000000"/>
                <w:sz w:val="21"/>
                <w:szCs w:val="21"/>
                <w:u w:val="none"/>
              </w:rPr>
            </w:pPr>
          </w:p>
        </w:tc>
        <w:tc>
          <w:tcPr>
            <w:tcW w:w="746"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2D4DD78C">
            <w:pPr>
              <w:jc w:val="center"/>
              <w:rPr>
                <w:rFonts w:hint="default" w:ascii="Times New Roman" w:hAnsi="Times New Roman" w:eastAsia="方正仿宋_GB2312" w:cs="Times New Roman"/>
                <w:i w:val="0"/>
                <w:iCs w:val="0"/>
                <w:color w:val="000000"/>
                <w:sz w:val="21"/>
                <w:szCs w:val="21"/>
                <w:u w:val="none"/>
              </w:rPr>
            </w:pPr>
          </w:p>
        </w:tc>
        <w:tc>
          <w:tcPr>
            <w:tcW w:w="2218"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2CD48C2">
            <w:pPr>
              <w:jc w:val="left"/>
              <w:rPr>
                <w:rFonts w:hint="default" w:ascii="Times New Roman" w:hAnsi="Times New Roman" w:eastAsia="方正仿宋_GB2312" w:cs="Times New Roman"/>
                <w:i w:val="0"/>
                <w:iCs w:val="0"/>
                <w:color w:val="000000"/>
                <w:sz w:val="21"/>
                <w:szCs w:val="21"/>
                <w:u w:val="none"/>
              </w:rPr>
            </w:pPr>
          </w:p>
        </w:tc>
      </w:tr>
      <w:tr w14:paraId="517B3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14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46D962A">
            <w:pPr>
              <w:jc w:val="center"/>
              <w:rPr>
                <w:rFonts w:hint="default" w:ascii="Times New Roman" w:hAnsi="Times New Roman" w:eastAsia="方正仿宋_GB2312" w:cs="Times New Roman"/>
                <w:b/>
                <w:bCs/>
                <w:i w:val="0"/>
                <w:iCs w:val="0"/>
                <w:color w:val="000000"/>
                <w:sz w:val="21"/>
                <w:szCs w:val="21"/>
                <w:u w:val="none"/>
              </w:rPr>
            </w:pPr>
          </w:p>
        </w:tc>
        <w:tc>
          <w:tcPr>
            <w:tcW w:w="11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5C0D28">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组织实施（15分）</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0C836D36">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组织机构（1分）</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3CE028D8">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用以反映和考核单位是否机构健全、分工明确</w:t>
            </w:r>
          </w:p>
        </w:tc>
        <w:tc>
          <w:tcPr>
            <w:tcW w:w="4904" w:type="dxa"/>
            <w:tcBorders>
              <w:top w:val="single" w:color="auto" w:sz="4" w:space="0"/>
              <w:left w:val="single" w:color="auto" w:sz="4" w:space="0"/>
              <w:bottom w:val="single" w:color="auto" w:sz="4" w:space="0"/>
              <w:right w:val="single" w:color="auto" w:sz="4" w:space="0"/>
            </w:tcBorders>
            <w:shd w:val="clear" w:color="auto" w:fill="auto"/>
            <w:vAlign w:val="center"/>
          </w:tcPr>
          <w:p w14:paraId="27A74CA4">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单位是否机构健全、分工明确 （1分）</w:t>
            </w:r>
          </w:p>
        </w:tc>
        <w:tc>
          <w:tcPr>
            <w:tcW w:w="7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CB5368">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1</w:t>
            </w:r>
          </w:p>
        </w:tc>
        <w:tc>
          <w:tcPr>
            <w:tcW w:w="2218" w:type="dxa"/>
            <w:tcBorders>
              <w:top w:val="single" w:color="auto" w:sz="4" w:space="0"/>
              <w:left w:val="single" w:color="auto" w:sz="4" w:space="0"/>
              <w:bottom w:val="single" w:color="auto" w:sz="4" w:space="0"/>
              <w:right w:val="single" w:color="auto" w:sz="4" w:space="0"/>
            </w:tcBorders>
            <w:shd w:val="clear" w:color="auto" w:fill="auto"/>
            <w:vAlign w:val="center"/>
          </w:tcPr>
          <w:p w14:paraId="72A8D7C2">
            <w:pPr>
              <w:jc w:val="left"/>
              <w:rPr>
                <w:rFonts w:hint="default" w:ascii="Times New Roman" w:hAnsi="Times New Roman" w:eastAsia="方正仿宋_GB2312" w:cs="Times New Roman"/>
                <w:i w:val="0"/>
                <w:iCs w:val="0"/>
                <w:color w:val="000000"/>
                <w:sz w:val="21"/>
                <w:szCs w:val="21"/>
                <w:u w:val="none"/>
              </w:rPr>
            </w:pPr>
          </w:p>
        </w:tc>
      </w:tr>
      <w:tr w14:paraId="5B660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114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2FE10EEF">
            <w:pPr>
              <w:jc w:val="center"/>
              <w:rPr>
                <w:rFonts w:hint="default" w:ascii="Times New Roman" w:hAnsi="Times New Roman" w:eastAsia="方正仿宋_GB2312" w:cs="Times New Roman"/>
                <w:b/>
                <w:bCs/>
                <w:i w:val="0"/>
                <w:iCs w:val="0"/>
                <w:color w:val="000000"/>
                <w:sz w:val="21"/>
                <w:szCs w:val="21"/>
                <w:u w:val="none"/>
              </w:rPr>
            </w:pPr>
          </w:p>
        </w:tc>
        <w:tc>
          <w:tcPr>
            <w:tcW w:w="114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2E71BF">
            <w:pPr>
              <w:jc w:val="center"/>
              <w:rPr>
                <w:rFonts w:hint="default" w:ascii="Times New Roman" w:hAnsi="Times New Roman" w:eastAsia="方正仿宋_GB2312" w:cs="Times New Roman"/>
                <w:i w:val="0"/>
                <w:iCs w:val="0"/>
                <w:color w:val="000000"/>
                <w:sz w:val="21"/>
                <w:szCs w:val="21"/>
                <w:u w:val="none"/>
              </w:rPr>
            </w:pPr>
          </w:p>
        </w:tc>
        <w:tc>
          <w:tcPr>
            <w:tcW w:w="121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D6AA08">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管理制度健全性</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（4分）</w:t>
            </w:r>
          </w:p>
        </w:tc>
        <w:tc>
          <w:tcPr>
            <w:tcW w:w="26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9AB800">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主管部门财务、专项资金管理制度及业务制度健全，用以反映和考核财务和业务管理制度对项目顺利实施的保障情况。</w:t>
            </w:r>
          </w:p>
        </w:tc>
        <w:tc>
          <w:tcPr>
            <w:tcW w:w="49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25F789">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①是否已制定或具有相应的财务管理制度、专项资金管理制度、业务管理制度（3分），制定了制度且制度健全的得3分，否则视情况扣分；②财务制度、专项资金资金管理制度和业务管理制度是否合法、合规、完整，且在有效期内（1分），不符合的视情况扣分。</w:t>
            </w:r>
          </w:p>
        </w:tc>
        <w:tc>
          <w:tcPr>
            <w:tcW w:w="74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390A768">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4</w:t>
            </w:r>
          </w:p>
        </w:tc>
        <w:tc>
          <w:tcPr>
            <w:tcW w:w="22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E845D2">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p>
        </w:tc>
      </w:tr>
      <w:tr w14:paraId="74967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14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3019D21B">
            <w:pPr>
              <w:jc w:val="center"/>
              <w:rPr>
                <w:rFonts w:hint="default" w:ascii="Times New Roman" w:hAnsi="Times New Roman" w:eastAsia="方正仿宋_GB2312" w:cs="Times New Roman"/>
                <w:b/>
                <w:bCs/>
                <w:i w:val="0"/>
                <w:iCs w:val="0"/>
                <w:color w:val="000000"/>
                <w:sz w:val="21"/>
                <w:szCs w:val="21"/>
                <w:u w:val="none"/>
              </w:rPr>
            </w:pPr>
          </w:p>
        </w:tc>
        <w:tc>
          <w:tcPr>
            <w:tcW w:w="1148"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395BB023">
            <w:pPr>
              <w:jc w:val="center"/>
              <w:rPr>
                <w:rFonts w:hint="default" w:ascii="Times New Roman" w:hAnsi="Times New Roman" w:eastAsia="方正仿宋_GB2312" w:cs="Times New Roman"/>
                <w:i w:val="0"/>
                <w:iCs w:val="0"/>
                <w:color w:val="000000"/>
                <w:sz w:val="21"/>
                <w:szCs w:val="21"/>
                <w:u w:val="none"/>
              </w:rPr>
            </w:pPr>
          </w:p>
        </w:tc>
        <w:tc>
          <w:tcPr>
            <w:tcW w:w="121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1EF7987">
            <w:pPr>
              <w:jc w:val="center"/>
              <w:rPr>
                <w:rFonts w:hint="default" w:ascii="Times New Roman" w:hAnsi="Times New Roman" w:eastAsia="方正仿宋_GB2312" w:cs="Times New Roman"/>
                <w:i w:val="0"/>
                <w:iCs w:val="0"/>
                <w:color w:val="000000"/>
                <w:sz w:val="21"/>
                <w:szCs w:val="21"/>
                <w:u w:val="none"/>
              </w:rPr>
            </w:pPr>
          </w:p>
        </w:tc>
        <w:tc>
          <w:tcPr>
            <w:tcW w:w="268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3C8474F">
            <w:pPr>
              <w:jc w:val="left"/>
              <w:rPr>
                <w:rFonts w:hint="default" w:ascii="Times New Roman" w:hAnsi="Times New Roman" w:eastAsia="方正仿宋_GB2312" w:cs="Times New Roman"/>
                <w:i w:val="0"/>
                <w:iCs w:val="0"/>
                <w:color w:val="000000"/>
                <w:sz w:val="21"/>
                <w:szCs w:val="21"/>
                <w:u w:val="none"/>
              </w:rPr>
            </w:pPr>
          </w:p>
        </w:tc>
        <w:tc>
          <w:tcPr>
            <w:tcW w:w="490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8F1609E">
            <w:pPr>
              <w:jc w:val="left"/>
              <w:rPr>
                <w:rFonts w:hint="default" w:ascii="Times New Roman" w:hAnsi="Times New Roman" w:eastAsia="方正仿宋_GB2312" w:cs="Times New Roman"/>
                <w:i w:val="0"/>
                <w:iCs w:val="0"/>
                <w:color w:val="000000"/>
                <w:sz w:val="21"/>
                <w:szCs w:val="21"/>
                <w:u w:val="none"/>
              </w:rPr>
            </w:pPr>
          </w:p>
        </w:tc>
        <w:tc>
          <w:tcPr>
            <w:tcW w:w="746" w:type="dxa"/>
            <w:vMerge w:val="continue"/>
            <w:tcBorders>
              <w:top w:val="single" w:color="auto" w:sz="4" w:space="0"/>
              <w:left w:val="single" w:color="000000" w:sz="4" w:space="0"/>
              <w:bottom w:val="single" w:color="auto" w:sz="4" w:space="0"/>
              <w:right w:val="single" w:color="000000" w:sz="4" w:space="0"/>
            </w:tcBorders>
            <w:shd w:val="clear" w:color="auto" w:fill="auto"/>
            <w:noWrap/>
            <w:vAlign w:val="center"/>
          </w:tcPr>
          <w:p w14:paraId="1D01E772">
            <w:pPr>
              <w:jc w:val="center"/>
              <w:rPr>
                <w:rFonts w:hint="default" w:ascii="Times New Roman" w:hAnsi="Times New Roman" w:eastAsia="方正仿宋_GB2312" w:cs="Times New Roman"/>
                <w:i w:val="0"/>
                <w:iCs w:val="0"/>
                <w:color w:val="000000"/>
                <w:sz w:val="21"/>
                <w:szCs w:val="21"/>
                <w:u w:val="none"/>
              </w:rPr>
            </w:pPr>
          </w:p>
        </w:tc>
        <w:tc>
          <w:tcPr>
            <w:tcW w:w="2218"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5E25C83F">
            <w:pPr>
              <w:jc w:val="left"/>
              <w:rPr>
                <w:rFonts w:hint="default" w:ascii="Times New Roman" w:hAnsi="Times New Roman" w:eastAsia="方正仿宋_GB2312" w:cs="Times New Roman"/>
                <w:i w:val="0"/>
                <w:iCs w:val="0"/>
                <w:color w:val="000000"/>
                <w:sz w:val="21"/>
                <w:szCs w:val="21"/>
                <w:u w:val="none"/>
              </w:rPr>
            </w:pPr>
          </w:p>
        </w:tc>
      </w:tr>
      <w:tr w14:paraId="538B6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0" w:hRule="atLeast"/>
        </w:trPr>
        <w:tc>
          <w:tcPr>
            <w:tcW w:w="114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158E9A94">
            <w:pPr>
              <w:jc w:val="center"/>
              <w:rPr>
                <w:rFonts w:hint="default" w:ascii="Times New Roman" w:hAnsi="Times New Roman" w:eastAsia="方正仿宋_GB2312" w:cs="Times New Roman"/>
                <w:b/>
                <w:bCs/>
                <w:i w:val="0"/>
                <w:iCs w:val="0"/>
                <w:color w:val="000000"/>
                <w:sz w:val="21"/>
                <w:szCs w:val="21"/>
                <w:u w:val="none"/>
              </w:rPr>
            </w:pPr>
          </w:p>
        </w:tc>
        <w:tc>
          <w:tcPr>
            <w:tcW w:w="1148" w:type="dxa"/>
            <w:vMerge w:val="continue"/>
            <w:tcBorders>
              <w:top w:val="single" w:color="auto" w:sz="4" w:space="0"/>
              <w:left w:val="single" w:color="auto" w:sz="4" w:space="0"/>
              <w:bottom w:val="nil"/>
              <w:right w:val="single" w:color="000000" w:sz="4" w:space="0"/>
            </w:tcBorders>
            <w:shd w:val="clear" w:color="auto" w:fill="auto"/>
            <w:vAlign w:val="center"/>
          </w:tcPr>
          <w:p w14:paraId="33A7B1A7">
            <w:pPr>
              <w:jc w:val="center"/>
              <w:rPr>
                <w:rFonts w:hint="default" w:ascii="Times New Roman" w:hAnsi="Times New Roman" w:eastAsia="方正仿宋_GB2312" w:cs="Times New Roman"/>
                <w:i w:val="0"/>
                <w:iCs w:val="0"/>
                <w:color w:val="000000"/>
                <w:sz w:val="21"/>
                <w:szCs w:val="21"/>
                <w:u w:val="none"/>
              </w:rPr>
            </w:pPr>
          </w:p>
        </w:tc>
        <w:tc>
          <w:tcPr>
            <w:tcW w:w="1212" w:type="dxa"/>
            <w:tcBorders>
              <w:top w:val="single" w:color="auto" w:sz="4" w:space="0"/>
              <w:left w:val="single" w:color="000000" w:sz="4" w:space="0"/>
              <w:bottom w:val="nil"/>
              <w:right w:val="single" w:color="000000" w:sz="4" w:space="0"/>
            </w:tcBorders>
            <w:shd w:val="clear" w:color="auto" w:fill="auto"/>
            <w:vAlign w:val="center"/>
          </w:tcPr>
          <w:p w14:paraId="5FE3C7B5">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制度执行有效性</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（10分）</w:t>
            </w:r>
          </w:p>
        </w:tc>
        <w:tc>
          <w:tcPr>
            <w:tcW w:w="2680" w:type="dxa"/>
            <w:tcBorders>
              <w:top w:val="single" w:color="auto" w:sz="4" w:space="0"/>
              <w:left w:val="single" w:color="000000" w:sz="4" w:space="0"/>
              <w:bottom w:val="single" w:color="000000" w:sz="4" w:space="0"/>
              <w:right w:val="single" w:color="000000" w:sz="4" w:space="0"/>
            </w:tcBorders>
            <w:shd w:val="clear" w:color="auto" w:fill="auto"/>
            <w:vAlign w:val="center"/>
          </w:tcPr>
          <w:p w14:paraId="2709D883">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项目实施符合相关业务管理规定，用以反映和考核业务管理制度的有效执行情况。</w:t>
            </w:r>
          </w:p>
        </w:tc>
        <w:tc>
          <w:tcPr>
            <w:tcW w:w="4904" w:type="dxa"/>
            <w:tcBorders>
              <w:top w:val="single" w:color="auto" w:sz="4" w:space="0"/>
              <w:left w:val="single" w:color="000000" w:sz="4" w:space="0"/>
              <w:bottom w:val="single" w:color="000000" w:sz="4" w:space="0"/>
              <w:right w:val="single" w:color="000000" w:sz="4" w:space="0"/>
            </w:tcBorders>
            <w:shd w:val="clear" w:color="auto" w:fill="auto"/>
            <w:vAlign w:val="center"/>
          </w:tcPr>
          <w:p w14:paraId="143D75C1">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①项目单位申报材料、验收材料等资料是否齐全并及时归档，资料齐全并及时归档，得4分，发现一例不合规扣1分，扣完为止；②主管部门对项目管理系统是否实行专人管理，主管部门对项目管理系统实行专人管理，得1分，否则0分；③专项资金项目申报、评审、公示、验收各环节是否符合相关规定，各环节符合相关规定的得4分，发现一例不合规扣1分，扣完为止；④主管部门是否按财政部门要求组织开展绩效评价，主管部门按财政部门要求组织开展了该专项资金绩效评价，且效果较好，得1分，否则视情况扣分。</w:t>
            </w:r>
          </w:p>
        </w:tc>
        <w:tc>
          <w:tcPr>
            <w:tcW w:w="746"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4DFC54EC">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6</w:t>
            </w:r>
          </w:p>
        </w:tc>
        <w:tc>
          <w:tcPr>
            <w:tcW w:w="2218" w:type="dxa"/>
            <w:tcBorders>
              <w:top w:val="single" w:color="auto" w:sz="4" w:space="0"/>
              <w:left w:val="single" w:color="000000" w:sz="4" w:space="0"/>
              <w:bottom w:val="nil"/>
              <w:right w:val="single" w:color="000000" w:sz="4" w:space="0"/>
            </w:tcBorders>
            <w:shd w:val="clear" w:color="auto" w:fill="auto"/>
            <w:vAlign w:val="center"/>
          </w:tcPr>
          <w:p w14:paraId="09903379">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存在验收资料不齐全、验收程序不合规、招投标不规范的情况，扣4分。</w:t>
            </w:r>
          </w:p>
        </w:tc>
      </w:tr>
      <w:tr w14:paraId="0A0D4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9CE779">
            <w:pPr>
              <w:keepNext w:val="0"/>
              <w:keepLines w:val="0"/>
              <w:widowControl/>
              <w:suppressLineNumbers w:val="0"/>
              <w:jc w:val="center"/>
              <w:textAlignment w:val="center"/>
              <w:rPr>
                <w:rFonts w:hint="default" w:ascii="Times New Roman" w:hAnsi="Times New Roman" w:eastAsia="方正仿宋_GB2312" w:cs="Times New Roman"/>
                <w:b/>
                <w:bCs/>
                <w:i w:val="0"/>
                <w:iCs w:val="0"/>
                <w:color w:val="000000"/>
                <w:sz w:val="21"/>
                <w:szCs w:val="21"/>
                <w:u w:val="none"/>
              </w:rPr>
            </w:pPr>
            <w:r>
              <w:rPr>
                <w:rFonts w:hint="default" w:ascii="Times New Roman" w:hAnsi="Times New Roman" w:eastAsia="方正仿宋_GB2312" w:cs="Times New Roman"/>
                <w:b/>
                <w:bCs/>
                <w:i w:val="0"/>
                <w:iCs w:val="0"/>
                <w:color w:val="000000"/>
                <w:kern w:val="0"/>
                <w:sz w:val="21"/>
                <w:szCs w:val="21"/>
                <w:u w:val="none"/>
                <w:lang w:val="en-US" w:eastAsia="zh-CN" w:bidi="ar"/>
              </w:rPr>
              <w:t>产出</w:t>
            </w:r>
            <w:r>
              <w:rPr>
                <w:rFonts w:hint="default" w:ascii="Times New Roman" w:hAnsi="Times New Roman" w:eastAsia="方正仿宋_GB2312" w:cs="Times New Roman"/>
                <w:b/>
                <w:bCs/>
                <w:i w:val="0"/>
                <w:iCs w:val="0"/>
                <w:color w:val="000000"/>
                <w:kern w:val="0"/>
                <w:sz w:val="21"/>
                <w:szCs w:val="21"/>
                <w:u w:val="none"/>
                <w:lang w:val="en-US" w:eastAsia="zh-CN" w:bidi="ar"/>
              </w:rPr>
              <w:br w:type="textWrapping"/>
            </w:r>
            <w:r>
              <w:rPr>
                <w:rFonts w:hint="default" w:ascii="Times New Roman" w:hAnsi="Times New Roman" w:eastAsia="方正仿宋_GB2312" w:cs="Times New Roman"/>
                <w:b/>
                <w:bCs/>
                <w:i w:val="0"/>
                <w:iCs w:val="0"/>
                <w:color w:val="000000"/>
                <w:kern w:val="0"/>
                <w:sz w:val="21"/>
                <w:szCs w:val="21"/>
                <w:u w:val="none"/>
                <w:lang w:val="en-US" w:eastAsia="zh-CN" w:bidi="ar"/>
              </w:rPr>
              <w:t>（40分）</w:t>
            </w:r>
          </w:p>
        </w:tc>
        <w:tc>
          <w:tcPr>
            <w:tcW w:w="11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5D5C87">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数量指标</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（14分）</w:t>
            </w: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6FCB7D">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项目完成数量</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（14分）</w:t>
            </w:r>
          </w:p>
        </w:tc>
        <w:tc>
          <w:tcPr>
            <w:tcW w:w="2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CE2197">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反映国土空间规划项目完成情况。</w:t>
            </w:r>
          </w:p>
        </w:tc>
        <w:tc>
          <w:tcPr>
            <w:tcW w:w="4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D179DC">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完成益阳市国土空间总体规划项目验收；完成益阳市85个乡镇国土空间规划技术审查和190个村庄规划质量提升审查；完成益阳市2022年度城市体检评估报告、益阳市国土空间总体规划专题图集制作和中心城区控规道路复核定线工作；启动编制益阳市高铁片区控制性详细规划；按合同要求完成了的得14分，发现一个项目未按计划完成扣2分，扣完为止。</w:t>
            </w:r>
          </w:p>
        </w:tc>
        <w:tc>
          <w:tcPr>
            <w:tcW w:w="7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2020E8">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12</w:t>
            </w:r>
          </w:p>
        </w:tc>
        <w:tc>
          <w:tcPr>
            <w:tcW w:w="22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CE3A29">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益阳市国土空间总体规划（2020</w:t>
            </w:r>
            <w:r>
              <w:rPr>
                <w:rFonts w:hint="eastAsia" w:ascii="Times New Roman" w:hAnsi="Times New Roman" w:eastAsia="方正仿宋_GB2312" w:cs="Times New Roman"/>
                <w:i w:val="0"/>
                <w:iCs w:val="0"/>
                <w:color w:val="000000"/>
                <w:kern w:val="0"/>
                <w:sz w:val="21"/>
                <w:szCs w:val="21"/>
                <w:u w:val="none"/>
                <w:lang w:val="en-US" w:eastAsia="zh-CN" w:bidi="ar"/>
              </w:rPr>
              <w:t>—</w:t>
            </w:r>
            <w:r>
              <w:rPr>
                <w:rFonts w:hint="default" w:ascii="Times New Roman" w:hAnsi="Times New Roman" w:eastAsia="方正仿宋_GB2312" w:cs="Times New Roman"/>
                <w:i w:val="0"/>
                <w:iCs w:val="0"/>
                <w:color w:val="000000"/>
                <w:kern w:val="0"/>
                <w:sz w:val="21"/>
                <w:szCs w:val="21"/>
                <w:u w:val="none"/>
                <w:lang w:val="en-US" w:eastAsia="zh-CN" w:bidi="ar"/>
              </w:rPr>
              <w:t>2035年）未按期完成验收，扣2分。</w:t>
            </w:r>
          </w:p>
        </w:tc>
      </w:tr>
      <w:tr w14:paraId="4B74E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63158">
            <w:pPr>
              <w:jc w:val="center"/>
              <w:rPr>
                <w:rFonts w:hint="default" w:ascii="Times New Roman" w:hAnsi="Times New Roman" w:eastAsia="方正仿宋_GB2312" w:cs="Times New Roman"/>
                <w:b/>
                <w:bCs/>
                <w:i w:val="0"/>
                <w:iCs w:val="0"/>
                <w:color w:val="000000"/>
                <w:sz w:val="21"/>
                <w:szCs w:val="21"/>
                <w:u w:val="none"/>
              </w:rPr>
            </w:pPr>
          </w:p>
        </w:tc>
        <w:tc>
          <w:tcPr>
            <w:tcW w:w="11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8CCC1">
            <w:pPr>
              <w:jc w:val="center"/>
              <w:rPr>
                <w:rFonts w:hint="default" w:ascii="Times New Roman" w:hAnsi="Times New Roman" w:eastAsia="方正仿宋_GB2312" w:cs="Times New Roman"/>
                <w:i w:val="0"/>
                <w:iCs w:val="0"/>
                <w:color w:val="000000"/>
                <w:sz w:val="21"/>
                <w:szCs w:val="21"/>
                <w:u w:val="none"/>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58115">
            <w:pPr>
              <w:jc w:val="center"/>
              <w:rPr>
                <w:rFonts w:hint="default" w:ascii="Times New Roman" w:hAnsi="Times New Roman" w:eastAsia="方正仿宋_GB2312" w:cs="Times New Roman"/>
                <w:i w:val="0"/>
                <w:iCs w:val="0"/>
                <w:color w:val="000000"/>
                <w:sz w:val="21"/>
                <w:szCs w:val="21"/>
                <w:u w:val="none"/>
              </w:rPr>
            </w:pPr>
          </w:p>
        </w:tc>
        <w:tc>
          <w:tcPr>
            <w:tcW w:w="2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BE0C9">
            <w:pPr>
              <w:jc w:val="left"/>
              <w:rPr>
                <w:rFonts w:hint="default" w:ascii="Times New Roman" w:hAnsi="Times New Roman" w:eastAsia="方正仿宋_GB2312" w:cs="Times New Roman"/>
                <w:i w:val="0"/>
                <w:iCs w:val="0"/>
                <w:color w:val="000000"/>
                <w:sz w:val="21"/>
                <w:szCs w:val="21"/>
                <w:u w:val="none"/>
              </w:rPr>
            </w:pPr>
          </w:p>
        </w:tc>
        <w:tc>
          <w:tcPr>
            <w:tcW w:w="4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4B163">
            <w:pPr>
              <w:jc w:val="left"/>
              <w:rPr>
                <w:rFonts w:hint="default" w:ascii="Times New Roman" w:hAnsi="Times New Roman" w:eastAsia="方正仿宋_GB2312" w:cs="Times New Roman"/>
                <w:i w:val="0"/>
                <w:iCs w:val="0"/>
                <w:color w:val="000000"/>
                <w:sz w:val="21"/>
                <w:szCs w:val="21"/>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C159D">
            <w:pPr>
              <w:jc w:val="center"/>
              <w:rPr>
                <w:rFonts w:hint="default" w:ascii="Times New Roman" w:hAnsi="Times New Roman" w:eastAsia="方正仿宋_GB2312" w:cs="Times New Roman"/>
                <w:i w:val="0"/>
                <w:iCs w:val="0"/>
                <w:color w:val="000000"/>
                <w:sz w:val="21"/>
                <w:szCs w:val="21"/>
                <w:u w:val="none"/>
              </w:rPr>
            </w:pPr>
          </w:p>
        </w:tc>
        <w:tc>
          <w:tcPr>
            <w:tcW w:w="22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C098C">
            <w:pPr>
              <w:jc w:val="left"/>
              <w:rPr>
                <w:rFonts w:hint="default" w:ascii="Times New Roman" w:hAnsi="Times New Roman" w:eastAsia="方正仿宋_GB2312" w:cs="Times New Roman"/>
                <w:i w:val="0"/>
                <w:iCs w:val="0"/>
                <w:color w:val="000000"/>
                <w:sz w:val="21"/>
                <w:szCs w:val="21"/>
                <w:u w:val="none"/>
              </w:rPr>
            </w:pPr>
          </w:p>
        </w:tc>
      </w:tr>
      <w:tr w14:paraId="27AF7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6F62C">
            <w:pPr>
              <w:jc w:val="center"/>
              <w:rPr>
                <w:rFonts w:hint="default" w:ascii="Times New Roman" w:hAnsi="Times New Roman" w:eastAsia="方正仿宋_GB2312" w:cs="Times New Roman"/>
                <w:b/>
                <w:bCs/>
                <w:i w:val="0"/>
                <w:iCs w:val="0"/>
                <w:color w:val="000000"/>
                <w:sz w:val="21"/>
                <w:szCs w:val="21"/>
                <w:u w:val="none"/>
              </w:rPr>
            </w:pPr>
          </w:p>
        </w:tc>
        <w:tc>
          <w:tcPr>
            <w:tcW w:w="11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529245">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质量指标</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（14分）</w:t>
            </w: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D21793">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项目完成质量</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（14分）</w:t>
            </w:r>
          </w:p>
        </w:tc>
        <w:tc>
          <w:tcPr>
            <w:tcW w:w="2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FC35CC">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反映国土空间规划项目质量控制情况。</w:t>
            </w:r>
          </w:p>
        </w:tc>
        <w:tc>
          <w:tcPr>
            <w:tcW w:w="4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AF891E">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完成的项目验收通过的得14分，发现1个项目验收未通过的扣2分，扣完为止。</w:t>
            </w:r>
          </w:p>
        </w:tc>
        <w:tc>
          <w:tcPr>
            <w:tcW w:w="7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A3DB90">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14</w:t>
            </w:r>
          </w:p>
        </w:tc>
        <w:tc>
          <w:tcPr>
            <w:tcW w:w="22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72ED84">
            <w:pPr>
              <w:jc w:val="left"/>
              <w:rPr>
                <w:rFonts w:hint="default" w:ascii="Times New Roman" w:hAnsi="Times New Roman" w:eastAsia="方正仿宋_GB2312" w:cs="Times New Roman"/>
                <w:i w:val="0"/>
                <w:iCs w:val="0"/>
                <w:color w:val="000000"/>
                <w:sz w:val="21"/>
                <w:szCs w:val="21"/>
                <w:u w:val="none"/>
              </w:rPr>
            </w:pPr>
          </w:p>
        </w:tc>
      </w:tr>
      <w:tr w14:paraId="48D0E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51E9B">
            <w:pPr>
              <w:jc w:val="center"/>
              <w:rPr>
                <w:rFonts w:hint="default" w:ascii="Times New Roman" w:hAnsi="Times New Roman" w:eastAsia="方正仿宋_GB2312" w:cs="Times New Roman"/>
                <w:b/>
                <w:bCs/>
                <w:i w:val="0"/>
                <w:iCs w:val="0"/>
                <w:color w:val="000000"/>
                <w:sz w:val="21"/>
                <w:szCs w:val="21"/>
                <w:u w:val="none"/>
              </w:rPr>
            </w:pPr>
          </w:p>
        </w:tc>
        <w:tc>
          <w:tcPr>
            <w:tcW w:w="1148"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AC4795D">
            <w:pPr>
              <w:jc w:val="center"/>
              <w:rPr>
                <w:rFonts w:hint="default" w:ascii="Times New Roman" w:hAnsi="Times New Roman" w:eastAsia="方正仿宋_GB2312" w:cs="Times New Roman"/>
                <w:i w:val="0"/>
                <w:iCs w:val="0"/>
                <w:color w:val="000000"/>
                <w:sz w:val="21"/>
                <w:szCs w:val="21"/>
                <w:u w:val="none"/>
              </w:rPr>
            </w:pPr>
          </w:p>
        </w:tc>
        <w:tc>
          <w:tcPr>
            <w:tcW w:w="1212"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7377B0D">
            <w:pPr>
              <w:jc w:val="center"/>
              <w:rPr>
                <w:rFonts w:hint="default" w:ascii="Times New Roman" w:hAnsi="Times New Roman" w:eastAsia="方正仿宋_GB2312" w:cs="Times New Roman"/>
                <w:i w:val="0"/>
                <w:iCs w:val="0"/>
                <w:color w:val="000000"/>
                <w:sz w:val="21"/>
                <w:szCs w:val="21"/>
                <w:u w:val="none"/>
              </w:rPr>
            </w:pPr>
          </w:p>
        </w:tc>
        <w:tc>
          <w:tcPr>
            <w:tcW w:w="268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09BBAFA">
            <w:pPr>
              <w:jc w:val="left"/>
              <w:rPr>
                <w:rFonts w:hint="default" w:ascii="Times New Roman" w:hAnsi="Times New Roman" w:eastAsia="方正仿宋_GB2312" w:cs="Times New Roman"/>
                <w:i w:val="0"/>
                <w:iCs w:val="0"/>
                <w:color w:val="000000"/>
                <w:sz w:val="21"/>
                <w:szCs w:val="21"/>
                <w:u w:val="none"/>
              </w:rPr>
            </w:pPr>
          </w:p>
        </w:tc>
        <w:tc>
          <w:tcPr>
            <w:tcW w:w="490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429D82C8">
            <w:pPr>
              <w:jc w:val="left"/>
              <w:rPr>
                <w:rFonts w:hint="default" w:ascii="Times New Roman" w:hAnsi="Times New Roman" w:eastAsia="方正仿宋_GB2312" w:cs="Times New Roman"/>
                <w:i w:val="0"/>
                <w:iCs w:val="0"/>
                <w:color w:val="000000"/>
                <w:sz w:val="21"/>
                <w:szCs w:val="21"/>
                <w:u w:val="none"/>
              </w:rPr>
            </w:pPr>
          </w:p>
        </w:tc>
        <w:tc>
          <w:tcPr>
            <w:tcW w:w="74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06602CD">
            <w:pPr>
              <w:jc w:val="center"/>
              <w:rPr>
                <w:rFonts w:hint="default" w:ascii="Times New Roman" w:hAnsi="Times New Roman" w:eastAsia="方正仿宋_GB2312" w:cs="Times New Roman"/>
                <w:i w:val="0"/>
                <w:iCs w:val="0"/>
                <w:color w:val="000000"/>
                <w:sz w:val="21"/>
                <w:szCs w:val="21"/>
                <w:u w:val="none"/>
              </w:rPr>
            </w:pPr>
          </w:p>
        </w:tc>
        <w:tc>
          <w:tcPr>
            <w:tcW w:w="2218"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67EC3B0">
            <w:pPr>
              <w:jc w:val="left"/>
              <w:rPr>
                <w:rFonts w:hint="default" w:ascii="Times New Roman" w:hAnsi="Times New Roman" w:eastAsia="方正仿宋_GB2312" w:cs="Times New Roman"/>
                <w:i w:val="0"/>
                <w:iCs w:val="0"/>
                <w:color w:val="000000"/>
                <w:sz w:val="21"/>
                <w:szCs w:val="21"/>
                <w:u w:val="none"/>
              </w:rPr>
            </w:pPr>
          </w:p>
        </w:tc>
      </w:tr>
      <w:tr w14:paraId="6C423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146"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7138FA53">
            <w:pPr>
              <w:jc w:val="center"/>
              <w:rPr>
                <w:rFonts w:hint="default" w:ascii="Times New Roman" w:hAnsi="Times New Roman" w:eastAsia="方正仿宋_GB2312" w:cs="Times New Roman"/>
                <w:b/>
                <w:bCs/>
                <w:i w:val="0"/>
                <w:iCs w:val="0"/>
                <w:color w:val="000000"/>
                <w:sz w:val="21"/>
                <w:szCs w:val="21"/>
                <w:u w:val="none"/>
              </w:rPr>
            </w:pP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14:paraId="58392131">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成本指标</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（6）</w:t>
            </w:r>
          </w:p>
        </w:tc>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14:paraId="7304C529">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项目成本控制情况</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（6分）</w:t>
            </w:r>
          </w:p>
        </w:tc>
        <w:tc>
          <w:tcPr>
            <w:tcW w:w="2680" w:type="dxa"/>
            <w:tcBorders>
              <w:top w:val="single" w:color="auto" w:sz="4" w:space="0"/>
              <w:left w:val="single" w:color="auto" w:sz="4" w:space="0"/>
              <w:bottom w:val="single" w:color="auto" w:sz="4" w:space="0"/>
              <w:right w:val="single" w:color="auto" w:sz="4" w:space="0"/>
            </w:tcBorders>
            <w:shd w:val="clear" w:color="auto" w:fill="auto"/>
            <w:vAlign w:val="center"/>
          </w:tcPr>
          <w:p w14:paraId="16BD0106">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反映国土空间规划项目成本控制情况</w:t>
            </w:r>
          </w:p>
        </w:tc>
        <w:tc>
          <w:tcPr>
            <w:tcW w:w="4904" w:type="dxa"/>
            <w:tcBorders>
              <w:top w:val="single" w:color="auto" w:sz="4" w:space="0"/>
              <w:left w:val="single" w:color="auto" w:sz="4" w:space="0"/>
              <w:bottom w:val="single" w:color="auto" w:sz="4" w:space="0"/>
              <w:right w:val="single" w:color="auto" w:sz="4" w:space="0"/>
            </w:tcBorders>
            <w:shd w:val="clear" w:color="auto" w:fill="auto"/>
            <w:vAlign w:val="center"/>
          </w:tcPr>
          <w:p w14:paraId="62575C33">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项目决算支出未超预算的得8分，发现一个项目超预算扣1分，扣完为止。</w:t>
            </w:r>
          </w:p>
        </w:tc>
        <w:tc>
          <w:tcPr>
            <w:tcW w:w="746" w:type="dxa"/>
            <w:tcBorders>
              <w:top w:val="single" w:color="auto" w:sz="4" w:space="0"/>
              <w:left w:val="single" w:color="auto" w:sz="4" w:space="0"/>
              <w:bottom w:val="single" w:color="auto" w:sz="4" w:space="0"/>
              <w:right w:val="single" w:color="auto" w:sz="4" w:space="0"/>
            </w:tcBorders>
            <w:shd w:val="clear" w:color="auto" w:fill="auto"/>
            <w:vAlign w:val="center"/>
          </w:tcPr>
          <w:p w14:paraId="21EE90A6">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6</w:t>
            </w:r>
          </w:p>
        </w:tc>
        <w:tc>
          <w:tcPr>
            <w:tcW w:w="2218" w:type="dxa"/>
            <w:tcBorders>
              <w:top w:val="single" w:color="auto" w:sz="4" w:space="0"/>
              <w:left w:val="single" w:color="auto" w:sz="4" w:space="0"/>
              <w:bottom w:val="single" w:color="auto" w:sz="4" w:space="0"/>
              <w:right w:val="single" w:color="auto" w:sz="4" w:space="0"/>
            </w:tcBorders>
            <w:shd w:val="clear" w:color="auto" w:fill="auto"/>
            <w:vAlign w:val="center"/>
          </w:tcPr>
          <w:p w14:paraId="7932C05C">
            <w:pPr>
              <w:jc w:val="left"/>
              <w:rPr>
                <w:rFonts w:hint="default" w:ascii="Times New Roman" w:hAnsi="Times New Roman" w:eastAsia="方正仿宋_GB2312" w:cs="Times New Roman"/>
                <w:i w:val="0"/>
                <w:iCs w:val="0"/>
                <w:color w:val="000000"/>
                <w:sz w:val="21"/>
                <w:szCs w:val="21"/>
                <w:u w:val="none"/>
              </w:rPr>
            </w:pPr>
          </w:p>
        </w:tc>
      </w:tr>
      <w:tr w14:paraId="21AA0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9BF80">
            <w:pPr>
              <w:jc w:val="center"/>
              <w:rPr>
                <w:rFonts w:hint="default" w:ascii="Times New Roman" w:hAnsi="Times New Roman" w:eastAsia="方正仿宋_GB2312" w:cs="Times New Roman"/>
                <w:b/>
                <w:bCs/>
                <w:i w:val="0"/>
                <w:iCs w:val="0"/>
                <w:color w:val="000000"/>
                <w:sz w:val="21"/>
                <w:szCs w:val="21"/>
                <w:u w:val="none"/>
              </w:rPr>
            </w:pPr>
          </w:p>
        </w:tc>
        <w:tc>
          <w:tcPr>
            <w:tcW w:w="114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C5B1015">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时效指标</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（6分）</w:t>
            </w:r>
          </w:p>
        </w:tc>
        <w:tc>
          <w:tcPr>
            <w:tcW w:w="121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1CE970D">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项目完工及时性（6分）</w:t>
            </w:r>
          </w:p>
        </w:tc>
        <w:tc>
          <w:tcPr>
            <w:tcW w:w="268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E75C265">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反映国土空间规划项目完成的时效性</w:t>
            </w:r>
          </w:p>
        </w:tc>
        <w:tc>
          <w:tcPr>
            <w:tcW w:w="490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3CA7249">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项目在合同约定的时间内完成的得6分，发现一个项目未按合同要求完工的扣1分，扣完为止。</w:t>
            </w:r>
          </w:p>
        </w:tc>
        <w:tc>
          <w:tcPr>
            <w:tcW w:w="74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65EAF29">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5</w:t>
            </w:r>
          </w:p>
        </w:tc>
        <w:tc>
          <w:tcPr>
            <w:tcW w:w="221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9DA3A6E">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益阳市国土空间总体规划（2020</w:t>
            </w:r>
            <w:r>
              <w:rPr>
                <w:rFonts w:hint="eastAsia" w:ascii="Times New Roman" w:hAnsi="Times New Roman" w:eastAsia="方正仿宋_GB2312" w:cs="Times New Roman"/>
                <w:i w:val="0"/>
                <w:iCs w:val="0"/>
                <w:color w:val="000000"/>
                <w:kern w:val="0"/>
                <w:sz w:val="21"/>
                <w:szCs w:val="21"/>
                <w:u w:val="none"/>
                <w:lang w:val="en-US" w:eastAsia="zh-CN" w:bidi="ar"/>
              </w:rPr>
              <w:t>—</w:t>
            </w:r>
            <w:r>
              <w:rPr>
                <w:rFonts w:hint="default" w:ascii="Times New Roman" w:hAnsi="Times New Roman" w:eastAsia="方正仿宋_GB2312" w:cs="Times New Roman"/>
                <w:i w:val="0"/>
                <w:iCs w:val="0"/>
                <w:color w:val="000000"/>
                <w:kern w:val="0"/>
                <w:sz w:val="21"/>
                <w:szCs w:val="21"/>
                <w:u w:val="none"/>
                <w:lang w:val="en-US" w:eastAsia="zh-CN" w:bidi="ar"/>
              </w:rPr>
              <w:t>2035年）未按期完成验收，扣1分。</w:t>
            </w:r>
          </w:p>
        </w:tc>
      </w:tr>
      <w:tr w14:paraId="77A06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0"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F4BC5">
            <w:pPr>
              <w:jc w:val="center"/>
              <w:rPr>
                <w:rFonts w:hint="default" w:ascii="Times New Roman" w:hAnsi="Times New Roman" w:eastAsia="方正仿宋_GB2312" w:cs="Times New Roman"/>
                <w:b/>
                <w:bCs/>
                <w:i w:val="0"/>
                <w:iCs w:val="0"/>
                <w:color w:val="000000"/>
                <w:sz w:val="21"/>
                <w:szCs w:val="21"/>
                <w:u w:val="none"/>
              </w:rPr>
            </w:pPr>
          </w:p>
        </w:tc>
        <w:tc>
          <w:tcPr>
            <w:tcW w:w="114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5FEEF2E">
            <w:pPr>
              <w:jc w:val="center"/>
              <w:rPr>
                <w:rFonts w:hint="default" w:ascii="Times New Roman" w:hAnsi="Times New Roman" w:eastAsia="方正仿宋_GB2312" w:cs="Times New Roman"/>
                <w:i w:val="0"/>
                <w:iCs w:val="0"/>
                <w:color w:val="000000"/>
                <w:sz w:val="21"/>
                <w:szCs w:val="21"/>
                <w:u w:val="none"/>
              </w:rPr>
            </w:pPr>
          </w:p>
        </w:tc>
        <w:tc>
          <w:tcPr>
            <w:tcW w:w="121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857BD69">
            <w:pPr>
              <w:jc w:val="center"/>
              <w:rPr>
                <w:rFonts w:hint="default" w:ascii="Times New Roman" w:hAnsi="Times New Roman" w:eastAsia="方正仿宋_GB2312" w:cs="Times New Roman"/>
                <w:i w:val="0"/>
                <w:iCs w:val="0"/>
                <w:color w:val="000000"/>
                <w:sz w:val="21"/>
                <w:szCs w:val="21"/>
                <w:u w:val="none"/>
              </w:rPr>
            </w:pPr>
          </w:p>
        </w:tc>
        <w:tc>
          <w:tcPr>
            <w:tcW w:w="268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28D926A">
            <w:pPr>
              <w:jc w:val="left"/>
              <w:rPr>
                <w:rFonts w:hint="default" w:ascii="Times New Roman" w:hAnsi="Times New Roman" w:eastAsia="方正仿宋_GB2312" w:cs="Times New Roman"/>
                <w:i w:val="0"/>
                <w:iCs w:val="0"/>
                <w:color w:val="000000"/>
                <w:sz w:val="21"/>
                <w:szCs w:val="21"/>
                <w:u w:val="none"/>
              </w:rPr>
            </w:pPr>
          </w:p>
        </w:tc>
        <w:tc>
          <w:tcPr>
            <w:tcW w:w="490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113F321">
            <w:pPr>
              <w:jc w:val="left"/>
              <w:rPr>
                <w:rFonts w:hint="default" w:ascii="Times New Roman" w:hAnsi="Times New Roman" w:eastAsia="方正仿宋_GB2312" w:cs="Times New Roman"/>
                <w:i w:val="0"/>
                <w:iCs w:val="0"/>
                <w:color w:val="000000"/>
                <w:sz w:val="21"/>
                <w:szCs w:val="21"/>
                <w:u w:val="none"/>
              </w:rPr>
            </w:pPr>
          </w:p>
        </w:tc>
        <w:tc>
          <w:tcPr>
            <w:tcW w:w="74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A4946B2">
            <w:pPr>
              <w:jc w:val="center"/>
              <w:rPr>
                <w:rFonts w:hint="default" w:ascii="Times New Roman" w:hAnsi="Times New Roman" w:eastAsia="方正仿宋_GB2312" w:cs="Times New Roman"/>
                <w:i w:val="0"/>
                <w:iCs w:val="0"/>
                <w:color w:val="000000"/>
                <w:sz w:val="21"/>
                <w:szCs w:val="21"/>
                <w:u w:val="none"/>
              </w:rPr>
            </w:pPr>
          </w:p>
        </w:tc>
        <w:tc>
          <w:tcPr>
            <w:tcW w:w="22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428B187">
            <w:pPr>
              <w:jc w:val="left"/>
              <w:rPr>
                <w:rFonts w:hint="default" w:ascii="Times New Roman" w:hAnsi="Times New Roman" w:eastAsia="方正仿宋_GB2312" w:cs="Times New Roman"/>
                <w:i w:val="0"/>
                <w:iCs w:val="0"/>
                <w:color w:val="000000"/>
                <w:sz w:val="21"/>
                <w:szCs w:val="21"/>
                <w:u w:val="none"/>
              </w:rPr>
            </w:pPr>
          </w:p>
        </w:tc>
      </w:tr>
      <w:tr w14:paraId="4045D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1D9573">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效益</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（20分）</w:t>
            </w:r>
          </w:p>
        </w:tc>
        <w:tc>
          <w:tcPr>
            <w:tcW w:w="114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D231A16">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社会效益</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（4分）</w:t>
            </w:r>
          </w:p>
        </w:tc>
        <w:tc>
          <w:tcPr>
            <w:tcW w:w="1212"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AA765AC">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社会效益</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（4分）</w:t>
            </w:r>
          </w:p>
        </w:tc>
        <w:tc>
          <w:tcPr>
            <w:tcW w:w="268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A2A019F">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反映国土空间规划项目给社会带来的效益</w:t>
            </w:r>
          </w:p>
        </w:tc>
        <w:tc>
          <w:tcPr>
            <w:tcW w:w="490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1B7942E">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国土空间规划科学性和可操作性明显提升、受益于乡镇国土空间规划编制的乡镇数量50个以上、受益于村庄规划编制的村数量100个以上，达到指标要求的得4分，发现一项不达标扣2分，扣完为止。</w:t>
            </w:r>
          </w:p>
        </w:tc>
        <w:tc>
          <w:tcPr>
            <w:tcW w:w="74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9C7D9D4">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4</w:t>
            </w:r>
          </w:p>
        </w:tc>
        <w:tc>
          <w:tcPr>
            <w:tcW w:w="221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5003AEC">
            <w:pPr>
              <w:jc w:val="left"/>
              <w:rPr>
                <w:rFonts w:hint="default" w:ascii="Times New Roman" w:hAnsi="Times New Roman" w:eastAsia="方正仿宋_GB2312" w:cs="Times New Roman"/>
                <w:i w:val="0"/>
                <w:iCs w:val="0"/>
                <w:color w:val="000000"/>
                <w:sz w:val="21"/>
                <w:szCs w:val="21"/>
                <w:u w:val="none"/>
              </w:rPr>
            </w:pPr>
          </w:p>
        </w:tc>
      </w:tr>
      <w:tr w14:paraId="59740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29DE79">
            <w:pPr>
              <w:jc w:val="center"/>
              <w:rPr>
                <w:rFonts w:hint="default" w:ascii="Times New Roman" w:hAnsi="Times New Roman" w:eastAsia="方正仿宋_GB2312" w:cs="Times New Roman"/>
                <w:i w:val="0"/>
                <w:iCs w:val="0"/>
                <w:color w:val="000000"/>
                <w:sz w:val="21"/>
                <w:szCs w:val="21"/>
                <w:u w:val="none"/>
              </w:rPr>
            </w:pPr>
          </w:p>
        </w:tc>
        <w:tc>
          <w:tcPr>
            <w:tcW w:w="114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67803E0">
            <w:pPr>
              <w:jc w:val="center"/>
              <w:rPr>
                <w:rFonts w:hint="default" w:ascii="Times New Roman" w:hAnsi="Times New Roman" w:eastAsia="方正仿宋_GB2312" w:cs="Times New Roman"/>
                <w:i w:val="0"/>
                <w:iCs w:val="0"/>
                <w:color w:val="000000"/>
                <w:sz w:val="21"/>
                <w:szCs w:val="21"/>
                <w:u w:val="none"/>
              </w:rPr>
            </w:pPr>
          </w:p>
        </w:tc>
        <w:tc>
          <w:tcPr>
            <w:tcW w:w="1212"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7DC5803">
            <w:pPr>
              <w:jc w:val="center"/>
              <w:rPr>
                <w:rFonts w:hint="default" w:ascii="Times New Roman" w:hAnsi="Times New Roman" w:eastAsia="方正仿宋_GB2312" w:cs="Times New Roman"/>
                <w:i w:val="0"/>
                <w:iCs w:val="0"/>
                <w:color w:val="000000"/>
                <w:sz w:val="21"/>
                <w:szCs w:val="21"/>
                <w:u w:val="none"/>
              </w:rPr>
            </w:pPr>
          </w:p>
        </w:tc>
        <w:tc>
          <w:tcPr>
            <w:tcW w:w="268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E795E04">
            <w:pPr>
              <w:jc w:val="left"/>
              <w:rPr>
                <w:rFonts w:hint="default" w:ascii="Times New Roman" w:hAnsi="Times New Roman" w:eastAsia="方正仿宋_GB2312" w:cs="Times New Roman"/>
                <w:i w:val="0"/>
                <w:iCs w:val="0"/>
                <w:color w:val="000000"/>
                <w:sz w:val="21"/>
                <w:szCs w:val="21"/>
                <w:u w:val="none"/>
              </w:rPr>
            </w:pPr>
          </w:p>
        </w:tc>
        <w:tc>
          <w:tcPr>
            <w:tcW w:w="490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9FF88B0">
            <w:pPr>
              <w:jc w:val="left"/>
              <w:rPr>
                <w:rFonts w:hint="default" w:ascii="Times New Roman" w:hAnsi="Times New Roman" w:eastAsia="方正仿宋_GB2312" w:cs="Times New Roman"/>
                <w:i w:val="0"/>
                <w:iCs w:val="0"/>
                <w:color w:val="000000"/>
                <w:sz w:val="21"/>
                <w:szCs w:val="21"/>
                <w:u w:val="none"/>
              </w:rPr>
            </w:pPr>
          </w:p>
        </w:tc>
        <w:tc>
          <w:tcPr>
            <w:tcW w:w="74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C61C837">
            <w:pPr>
              <w:jc w:val="center"/>
              <w:rPr>
                <w:rFonts w:hint="default" w:ascii="Times New Roman" w:hAnsi="Times New Roman" w:eastAsia="方正仿宋_GB2312" w:cs="Times New Roman"/>
                <w:i w:val="0"/>
                <w:iCs w:val="0"/>
                <w:color w:val="000000"/>
                <w:sz w:val="21"/>
                <w:szCs w:val="21"/>
                <w:u w:val="none"/>
              </w:rPr>
            </w:pPr>
          </w:p>
        </w:tc>
        <w:tc>
          <w:tcPr>
            <w:tcW w:w="221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7457E7C">
            <w:pPr>
              <w:jc w:val="left"/>
              <w:rPr>
                <w:rFonts w:hint="default" w:ascii="Times New Roman" w:hAnsi="Times New Roman" w:eastAsia="方正仿宋_GB2312" w:cs="Times New Roman"/>
                <w:i w:val="0"/>
                <w:iCs w:val="0"/>
                <w:color w:val="000000"/>
                <w:sz w:val="21"/>
                <w:szCs w:val="21"/>
                <w:u w:val="none"/>
              </w:rPr>
            </w:pPr>
          </w:p>
        </w:tc>
      </w:tr>
      <w:tr w14:paraId="597D6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0"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8CCF0">
            <w:pPr>
              <w:jc w:val="center"/>
              <w:rPr>
                <w:rFonts w:hint="default" w:ascii="Times New Roman" w:hAnsi="Times New Roman" w:eastAsia="方正仿宋_GB2312" w:cs="Times New Roman"/>
                <w:i w:val="0"/>
                <w:iCs w:val="0"/>
                <w:color w:val="000000"/>
                <w:sz w:val="21"/>
                <w:szCs w:val="21"/>
                <w:u w:val="none"/>
              </w:rPr>
            </w:pPr>
          </w:p>
        </w:tc>
        <w:tc>
          <w:tcPr>
            <w:tcW w:w="1148" w:type="dxa"/>
            <w:tcBorders>
              <w:top w:val="single" w:color="auto" w:sz="4" w:space="0"/>
              <w:left w:val="single" w:color="000000" w:sz="4" w:space="0"/>
              <w:bottom w:val="single" w:color="000000" w:sz="4" w:space="0"/>
              <w:right w:val="single" w:color="000000" w:sz="4" w:space="0"/>
            </w:tcBorders>
            <w:shd w:val="clear" w:color="auto" w:fill="auto"/>
            <w:vAlign w:val="center"/>
          </w:tcPr>
          <w:p w14:paraId="1030580F">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经济效益</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（4分）</w:t>
            </w:r>
          </w:p>
        </w:tc>
        <w:tc>
          <w:tcPr>
            <w:tcW w:w="1212" w:type="dxa"/>
            <w:tcBorders>
              <w:top w:val="single" w:color="auto" w:sz="4" w:space="0"/>
              <w:left w:val="single" w:color="000000" w:sz="4" w:space="0"/>
              <w:bottom w:val="single" w:color="000000" w:sz="4" w:space="0"/>
              <w:right w:val="single" w:color="000000" w:sz="4" w:space="0"/>
            </w:tcBorders>
            <w:shd w:val="clear" w:color="auto" w:fill="auto"/>
            <w:vAlign w:val="center"/>
          </w:tcPr>
          <w:p w14:paraId="4D393D98">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经济效益</w:t>
            </w:r>
            <w:r>
              <w:rPr>
                <w:rFonts w:hint="default" w:ascii="Times New Roman" w:hAnsi="Times New Roman" w:eastAsia="方正仿宋_GB2312" w:cs="Times New Roman"/>
                <w:i w:val="0"/>
                <w:iCs w:val="0"/>
                <w:color w:val="000000"/>
                <w:kern w:val="0"/>
                <w:sz w:val="21"/>
                <w:szCs w:val="21"/>
                <w:u w:val="none"/>
                <w:lang w:val="en-US" w:eastAsia="zh-CN" w:bidi="ar"/>
              </w:rPr>
              <w:br w:type="textWrapping"/>
            </w:r>
            <w:r>
              <w:rPr>
                <w:rFonts w:hint="default" w:ascii="Times New Roman" w:hAnsi="Times New Roman" w:eastAsia="方正仿宋_GB2312" w:cs="Times New Roman"/>
                <w:i w:val="0"/>
                <w:iCs w:val="0"/>
                <w:color w:val="000000"/>
                <w:kern w:val="0"/>
                <w:sz w:val="21"/>
                <w:szCs w:val="21"/>
                <w:u w:val="none"/>
                <w:lang w:val="en-US" w:eastAsia="zh-CN" w:bidi="ar"/>
              </w:rPr>
              <w:t>（4分）</w:t>
            </w:r>
          </w:p>
        </w:tc>
        <w:tc>
          <w:tcPr>
            <w:tcW w:w="2680" w:type="dxa"/>
            <w:tcBorders>
              <w:top w:val="single" w:color="auto" w:sz="4" w:space="0"/>
              <w:left w:val="single" w:color="000000" w:sz="4" w:space="0"/>
              <w:bottom w:val="single" w:color="000000" w:sz="4" w:space="0"/>
              <w:right w:val="single" w:color="000000" w:sz="4" w:space="0"/>
            </w:tcBorders>
            <w:shd w:val="clear" w:color="auto" w:fill="auto"/>
            <w:vAlign w:val="center"/>
          </w:tcPr>
          <w:p w14:paraId="003A7CCF">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反映国土空间规划项目带来的经济效益</w:t>
            </w:r>
          </w:p>
        </w:tc>
        <w:tc>
          <w:tcPr>
            <w:tcW w:w="4904" w:type="dxa"/>
            <w:tcBorders>
              <w:top w:val="single" w:color="auto" w:sz="4" w:space="0"/>
              <w:left w:val="single" w:color="000000" w:sz="4" w:space="0"/>
              <w:bottom w:val="single" w:color="000000" w:sz="4" w:space="0"/>
              <w:right w:val="single" w:color="000000" w:sz="4" w:space="0"/>
            </w:tcBorders>
            <w:shd w:val="clear" w:color="auto" w:fill="auto"/>
            <w:vAlign w:val="center"/>
          </w:tcPr>
          <w:p w14:paraId="719C3E44">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国土空间规划体系不断完善，能明显减少各级规划编制重复修改带来的人力、物力、财力的得4分，否则视情况扣分，扣完为止。</w:t>
            </w:r>
          </w:p>
        </w:tc>
        <w:tc>
          <w:tcPr>
            <w:tcW w:w="746" w:type="dxa"/>
            <w:tcBorders>
              <w:top w:val="single" w:color="auto" w:sz="4" w:space="0"/>
              <w:left w:val="single" w:color="000000" w:sz="4" w:space="0"/>
              <w:bottom w:val="single" w:color="000000" w:sz="4" w:space="0"/>
              <w:right w:val="single" w:color="000000" w:sz="4" w:space="0"/>
            </w:tcBorders>
            <w:shd w:val="clear" w:color="auto" w:fill="auto"/>
            <w:vAlign w:val="center"/>
          </w:tcPr>
          <w:p w14:paraId="635BCAEB">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4</w:t>
            </w:r>
          </w:p>
        </w:tc>
        <w:tc>
          <w:tcPr>
            <w:tcW w:w="2218" w:type="dxa"/>
            <w:tcBorders>
              <w:top w:val="single" w:color="auto" w:sz="4" w:space="0"/>
              <w:left w:val="single" w:color="000000" w:sz="4" w:space="0"/>
              <w:bottom w:val="single" w:color="000000" w:sz="4" w:space="0"/>
              <w:right w:val="single" w:color="000000" w:sz="4" w:space="0"/>
            </w:tcBorders>
            <w:shd w:val="clear" w:color="auto" w:fill="auto"/>
            <w:vAlign w:val="center"/>
          </w:tcPr>
          <w:p w14:paraId="3D76B2AA">
            <w:pPr>
              <w:jc w:val="left"/>
              <w:rPr>
                <w:rFonts w:hint="default" w:ascii="Times New Roman" w:hAnsi="Times New Roman" w:eastAsia="方正仿宋_GB2312" w:cs="Times New Roman"/>
                <w:i w:val="0"/>
                <w:iCs w:val="0"/>
                <w:color w:val="000000"/>
                <w:sz w:val="21"/>
                <w:szCs w:val="21"/>
                <w:u w:val="none"/>
              </w:rPr>
            </w:pPr>
          </w:p>
        </w:tc>
      </w:tr>
      <w:tr w14:paraId="2A5E3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0"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1FE7F">
            <w:pPr>
              <w:jc w:val="center"/>
              <w:rPr>
                <w:rFonts w:hint="default" w:ascii="Times New Roman" w:hAnsi="Times New Roman" w:eastAsia="方正仿宋_GB2312" w:cs="Times New Roman"/>
                <w:i w:val="0"/>
                <w:iCs w:val="0"/>
                <w:color w:val="000000"/>
                <w:sz w:val="21"/>
                <w:szCs w:val="21"/>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E43ED">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生态效益（4分）</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C495E">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生态效益（4分）</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5F01F">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反映国土空间规划项目带来的生态效益</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816FD">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是否落实生态保护红线、永久基本农田等底线管控要求；全市森林覆盖率达30%以上；乡村生产、生活、生态环境得到明显改善；全部达标的得4分，发现一项不达标扣2分，扣完为止。</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05A49">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4</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6324C">
            <w:pPr>
              <w:jc w:val="left"/>
              <w:rPr>
                <w:rFonts w:hint="default" w:ascii="Times New Roman" w:hAnsi="Times New Roman" w:eastAsia="方正仿宋_GB2312" w:cs="Times New Roman"/>
                <w:i w:val="0"/>
                <w:iCs w:val="0"/>
                <w:color w:val="000000"/>
                <w:sz w:val="21"/>
                <w:szCs w:val="21"/>
                <w:u w:val="none"/>
              </w:rPr>
            </w:pPr>
          </w:p>
        </w:tc>
      </w:tr>
      <w:tr w14:paraId="00FA2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0"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32497">
            <w:pPr>
              <w:jc w:val="center"/>
              <w:rPr>
                <w:rFonts w:hint="default" w:ascii="Times New Roman" w:hAnsi="Times New Roman" w:eastAsia="方正仿宋_GB2312" w:cs="Times New Roman"/>
                <w:i w:val="0"/>
                <w:iCs w:val="0"/>
                <w:color w:val="000000"/>
                <w:sz w:val="21"/>
                <w:szCs w:val="21"/>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6A5B7">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可持续效益（4分）</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55C40">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可持续效益（4分）</w:t>
            </w:r>
          </w:p>
        </w:tc>
        <w:tc>
          <w:tcPr>
            <w:tcW w:w="2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66AD1">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反映国土空间规划项目的可持续性</w:t>
            </w:r>
          </w:p>
        </w:tc>
        <w:tc>
          <w:tcPr>
            <w:tcW w:w="4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10BA5">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是否制定国土空间规划的相关制度，国土空间规划项目资金是否得到保障，有制度和资金保障的得4分，发现一项保障不到位扣2分，扣完为止。</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57804">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4</w:t>
            </w:r>
          </w:p>
        </w:tc>
        <w:tc>
          <w:tcPr>
            <w:tcW w:w="2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40267">
            <w:pPr>
              <w:jc w:val="left"/>
              <w:rPr>
                <w:rFonts w:hint="default" w:ascii="Times New Roman" w:hAnsi="Times New Roman" w:eastAsia="方正仿宋_GB2312" w:cs="Times New Roman"/>
                <w:i w:val="0"/>
                <w:iCs w:val="0"/>
                <w:color w:val="000000"/>
                <w:sz w:val="21"/>
                <w:szCs w:val="21"/>
                <w:u w:val="none"/>
              </w:rPr>
            </w:pPr>
          </w:p>
        </w:tc>
      </w:tr>
      <w:tr w14:paraId="30DB2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6F62E">
            <w:pPr>
              <w:jc w:val="center"/>
              <w:rPr>
                <w:rFonts w:hint="default" w:ascii="Times New Roman" w:hAnsi="Times New Roman" w:eastAsia="方正仿宋_GB2312" w:cs="Times New Roman"/>
                <w:i w:val="0"/>
                <w:iCs w:val="0"/>
                <w:color w:val="000000"/>
                <w:sz w:val="21"/>
                <w:szCs w:val="21"/>
                <w:u w:val="none"/>
              </w:rPr>
            </w:pPr>
          </w:p>
        </w:tc>
        <w:tc>
          <w:tcPr>
            <w:tcW w:w="11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882245">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满意度（4分）</w:t>
            </w: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A9FAE1">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服务对象满意度调查（4分）</w:t>
            </w:r>
          </w:p>
        </w:tc>
        <w:tc>
          <w:tcPr>
            <w:tcW w:w="2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404317">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 xml:space="preserve"> 反映服务对象对国土空间规划项目的满意度</w:t>
            </w:r>
          </w:p>
        </w:tc>
        <w:tc>
          <w:tcPr>
            <w:tcW w:w="4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423DA6">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问卷调查总分100分，平均得分90分以上计4分，（90,80]计3分，（80，60]计2分，60以下计1分。</w:t>
            </w:r>
          </w:p>
        </w:tc>
        <w:tc>
          <w:tcPr>
            <w:tcW w:w="7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D4626A">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4</w:t>
            </w:r>
          </w:p>
        </w:tc>
        <w:tc>
          <w:tcPr>
            <w:tcW w:w="22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2A6194">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问卷调查平均得分95分</w:t>
            </w:r>
          </w:p>
        </w:tc>
      </w:tr>
      <w:tr w14:paraId="5CB30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D3BCD">
            <w:pPr>
              <w:jc w:val="center"/>
              <w:rPr>
                <w:rFonts w:hint="default" w:ascii="Times New Roman" w:hAnsi="Times New Roman" w:eastAsia="方正仿宋_GB2312" w:cs="Times New Roman"/>
                <w:i w:val="0"/>
                <w:iCs w:val="0"/>
                <w:color w:val="000000"/>
                <w:sz w:val="21"/>
                <w:szCs w:val="21"/>
                <w:u w:val="none"/>
              </w:rPr>
            </w:pPr>
          </w:p>
        </w:tc>
        <w:tc>
          <w:tcPr>
            <w:tcW w:w="11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AA1FE">
            <w:pPr>
              <w:jc w:val="center"/>
              <w:rPr>
                <w:rFonts w:hint="default" w:ascii="Times New Roman" w:hAnsi="Times New Roman" w:eastAsia="方正仿宋_GB2312" w:cs="Times New Roman"/>
                <w:i w:val="0"/>
                <w:iCs w:val="0"/>
                <w:color w:val="000000"/>
                <w:sz w:val="21"/>
                <w:szCs w:val="21"/>
                <w:u w:val="none"/>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7F069">
            <w:pPr>
              <w:jc w:val="center"/>
              <w:rPr>
                <w:rFonts w:hint="default" w:ascii="Times New Roman" w:hAnsi="Times New Roman" w:eastAsia="方正仿宋_GB2312" w:cs="Times New Roman"/>
                <w:i w:val="0"/>
                <w:iCs w:val="0"/>
                <w:color w:val="000000"/>
                <w:sz w:val="21"/>
                <w:szCs w:val="21"/>
                <w:u w:val="none"/>
              </w:rPr>
            </w:pPr>
          </w:p>
        </w:tc>
        <w:tc>
          <w:tcPr>
            <w:tcW w:w="2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B3397">
            <w:pPr>
              <w:jc w:val="left"/>
              <w:rPr>
                <w:rFonts w:hint="default" w:ascii="Times New Roman" w:hAnsi="Times New Roman" w:eastAsia="方正仿宋_GB2312" w:cs="Times New Roman"/>
                <w:i w:val="0"/>
                <w:iCs w:val="0"/>
                <w:color w:val="000000"/>
                <w:sz w:val="21"/>
                <w:szCs w:val="21"/>
                <w:u w:val="none"/>
              </w:rPr>
            </w:pPr>
          </w:p>
        </w:tc>
        <w:tc>
          <w:tcPr>
            <w:tcW w:w="4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9907A">
            <w:pPr>
              <w:jc w:val="left"/>
              <w:rPr>
                <w:rFonts w:hint="default" w:ascii="Times New Roman" w:hAnsi="Times New Roman" w:eastAsia="方正仿宋_GB2312" w:cs="Times New Roman"/>
                <w:i w:val="0"/>
                <w:iCs w:val="0"/>
                <w:color w:val="000000"/>
                <w:sz w:val="21"/>
                <w:szCs w:val="21"/>
                <w:u w:val="none"/>
              </w:rPr>
            </w:pPr>
          </w:p>
        </w:tc>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76C81">
            <w:pPr>
              <w:jc w:val="center"/>
              <w:rPr>
                <w:rFonts w:hint="default" w:ascii="Times New Roman" w:hAnsi="Times New Roman" w:eastAsia="方正仿宋_GB2312" w:cs="Times New Roman"/>
                <w:i w:val="0"/>
                <w:iCs w:val="0"/>
                <w:color w:val="000000"/>
                <w:sz w:val="21"/>
                <w:szCs w:val="21"/>
                <w:u w:val="none"/>
              </w:rPr>
            </w:pPr>
          </w:p>
        </w:tc>
        <w:tc>
          <w:tcPr>
            <w:tcW w:w="22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72D6F7">
            <w:pPr>
              <w:jc w:val="left"/>
              <w:rPr>
                <w:rFonts w:hint="default" w:ascii="Times New Roman" w:hAnsi="Times New Roman" w:eastAsia="方正仿宋_GB2312" w:cs="Times New Roman"/>
                <w:i w:val="0"/>
                <w:iCs w:val="0"/>
                <w:color w:val="000000"/>
                <w:sz w:val="21"/>
                <w:szCs w:val="21"/>
                <w:u w:val="none"/>
              </w:rPr>
            </w:pPr>
          </w:p>
        </w:tc>
      </w:tr>
      <w:tr w14:paraId="2F1D7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35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BB8279">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合计</w:t>
            </w:r>
          </w:p>
        </w:tc>
        <w:tc>
          <w:tcPr>
            <w:tcW w:w="2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862F3">
            <w:pPr>
              <w:rPr>
                <w:rFonts w:hint="default" w:ascii="Times New Roman" w:hAnsi="Times New Roman" w:eastAsia="方正仿宋_GB2312" w:cs="Times New Roman"/>
                <w:i w:val="0"/>
                <w:iCs w:val="0"/>
                <w:color w:val="000000"/>
                <w:sz w:val="21"/>
                <w:szCs w:val="21"/>
                <w:u w:val="none"/>
              </w:rPr>
            </w:pPr>
          </w:p>
        </w:tc>
        <w:tc>
          <w:tcPr>
            <w:tcW w:w="4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DD096">
            <w:pPr>
              <w:rPr>
                <w:rFonts w:hint="default" w:ascii="Times New Roman" w:hAnsi="Times New Roman" w:eastAsia="方正仿宋_GB2312" w:cs="Times New Roman"/>
                <w:i w:val="0"/>
                <w:iCs w:val="0"/>
                <w:color w:val="000000"/>
                <w:sz w:val="21"/>
                <w:szCs w:val="21"/>
                <w:u w:val="none"/>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104D7">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 xml:space="preserve">90.34 </w:t>
            </w:r>
          </w:p>
        </w:tc>
        <w:tc>
          <w:tcPr>
            <w:tcW w:w="2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D09A0">
            <w:pPr>
              <w:rPr>
                <w:rFonts w:hint="default" w:ascii="Times New Roman" w:hAnsi="Times New Roman" w:eastAsia="方正仿宋_GB2312" w:cs="Times New Roman"/>
                <w:i w:val="0"/>
                <w:iCs w:val="0"/>
                <w:color w:val="000000"/>
                <w:sz w:val="21"/>
                <w:szCs w:val="21"/>
                <w:u w:val="none"/>
              </w:rPr>
            </w:pPr>
          </w:p>
        </w:tc>
      </w:tr>
    </w:tbl>
    <w:p w14:paraId="735AF7AC">
      <w:pPr>
        <w:pStyle w:val="15"/>
        <w:keepNext w:val="0"/>
        <w:keepLines w:val="0"/>
        <w:pageBreakBefore w:val="0"/>
        <w:widowControl w:val="0"/>
        <w:kinsoku/>
        <w:wordWrap/>
        <w:overflowPunct/>
        <w:topLinePunct w:val="0"/>
        <w:bidi w:val="0"/>
        <w:snapToGrid/>
        <w:spacing w:line="600" w:lineRule="exact"/>
        <w:jc w:val="both"/>
        <w:textAlignment w:val="auto"/>
        <w:rPr>
          <w:rFonts w:hint="default" w:ascii="Times New Roman" w:hAnsi="Times New Roman" w:eastAsia="方正仿宋_GB2312" w:cs="Times New Roman"/>
          <w:color w:val="auto"/>
          <w:kern w:val="2"/>
          <w:sz w:val="32"/>
          <w:szCs w:val="32"/>
          <w:lang w:val="en-US" w:eastAsia="zh-CN" w:bidi="ar-SA"/>
        </w:rPr>
      </w:pPr>
    </w:p>
    <w:p w14:paraId="5FD6A2EB">
      <w:pPr>
        <w:pStyle w:val="15"/>
        <w:keepNext w:val="0"/>
        <w:keepLines w:val="0"/>
        <w:pageBreakBefore w:val="0"/>
        <w:widowControl w:val="0"/>
        <w:kinsoku/>
        <w:wordWrap/>
        <w:overflowPunct/>
        <w:topLinePunct w:val="0"/>
        <w:bidi w:val="0"/>
        <w:snapToGrid/>
        <w:spacing w:line="600" w:lineRule="exact"/>
        <w:jc w:val="both"/>
        <w:textAlignment w:val="auto"/>
        <w:rPr>
          <w:rFonts w:hint="default" w:ascii="Times New Roman" w:hAnsi="Times New Roman" w:eastAsia="方正仿宋_GB2312" w:cs="Times New Roman"/>
          <w:color w:val="auto"/>
          <w:kern w:val="2"/>
          <w:sz w:val="32"/>
          <w:szCs w:val="32"/>
          <w:lang w:val="en-US" w:eastAsia="zh-CN" w:bidi="ar-SA"/>
        </w:rPr>
      </w:pPr>
    </w:p>
    <w:p w14:paraId="4023694F">
      <w:pPr>
        <w:pStyle w:val="15"/>
        <w:keepNext w:val="0"/>
        <w:keepLines w:val="0"/>
        <w:pageBreakBefore w:val="0"/>
        <w:widowControl w:val="0"/>
        <w:kinsoku/>
        <w:wordWrap/>
        <w:overflowPunct/>
        <w:topLinePunct w:val="0"/>
        <w:bidi w:val="0"/>
        <w:snapToGrid/>
        <w:spacing w:line="600" w:lineRule="exact"/>
        <w:jc w:val="both"/>
        <w:textAlignment w:val="auto"/>
        <w:rPr>
          <w:rFonts w:hint="default" w:ascii="Times New Roman" w:hAnsi="Times New Roman" w:eastAsia="方正仿宋_GB2312" w:cs="Times New Roman"/>
          <w:color w:val="auto"/>
          <w:kern w:val="2"/>
          <w:sz w:val="32"/>
          <w:szCs w:val="32"/>
          <w:lang w:val="en-US" w:eastAsia="zh-CN" w:bidi="ar-SA"/>
        </w:rPr>
      </w:pPr>
    </w:p>
    <w:p w14:paraId="6AEB7BB4">
      <w:pPr>
        <w:pStyle w:val="15"/>
        <w:keepNext w:val="0"/>
        <w:keepLines w:val="0"/>
        <w:pageBreakBefore w:val="0"/>
        <w:widowControl w:val="0"/>
        <w:kinsoku/>
        <w:wordWrap/>
        <w:overflowPunct/>
        <w:topLinePunct w:val="0"/>
        <w:bidi w:val="0"/>
        <w:snapToGrid/>
        <w:spacing w:line="600" w:lineRule="exact"/>
        <w:jc w:val="both"/>
        <w:textAlignment w:val="auto"/>
        <w:rPr>
          <w:rFonts w:hint="default" w:ascii="Times New Roman" w:hAnsi="Times New Roman" w:eastAsia="方正仿宋_GB2312" w:cs="Times New Roman"/>
          <w:color w:val="auto"/>
          <w:kern w:val="2"/>
          <w:sz w:val="32"/>
          <w:szCs w:val="32"/>
          <w:lang w:val="en-US" w:eastAsia="zh-CN" w:bidi="ar-SA"/>
        </w:rPr>
      </w:pPr>
    </w:p>
    <w:p w14:paraId="5C41F93F">
      <w:pPr>
        <w:pStyle w:val="15"/>
        <w:keepNext w:val="0"/>
        <w:keepLines w:val="0"/>
        <w:pageBreakBefore w:val="0"/>
        <w:widowControl w:val="0"/>
        <w:kinsoku/>
        <w:wordWrap/>
        <w:overflowPunct/>
        <w:topLinePunct w:val="0"/>
        <w:bidi w:val="0"/>
        <w:snapToGrid/>
        <w:spacing w:line="600" w:lineRule="exact"/>
        <w:jc w:val="both"/>
        <w:textAlignment w:val="auto"/>
        <w:rPr>
          <w:rFonts w:hint="default" w:ascii="Times New Roman" w:hAnsi="Times New Roman" w:eastAsia="方正仿宋_GB2312" w:cs="Times New Roman"/>
          <w:color w:val="auto"/>
          <w:kern w:val="2"/>
          <w:sz w:val="32"/>
          <w:szCs w:val="32"/>
          <w:lang w:val="en-US" w:eastAsia="zh-CN" w:bidi="ar-SA"/>
        </w:rPr>
      </w:pPr>
    </w:p>
    <w:p w14:paraId="5D84D42F">
      <w:pPr>
        <w:pStyle w:val="15"/>
        <w:keepNext w:val="0"/>
        <w:keepLines w:val="0"/>
        <w:pageBreakBefore w:val="0"/>
        <w:widowControl w:val="0"/>
        <w:kinsoku/>
        <w:wordWrap/>
        <w:overflowPunct/>
        <w:topLinePunct w:val="0"/>
        <w:bidi w:val="0"/>
        <w:snapToGrid/>
        <w:spacing w:line="600" w:lineRule="exact"/>
        <w:jc w:val="both"/>
        <w:textAlignment w:val="auto"/>
        <w:rPr>
          <w:rFonts w:hint="default" w:ascii="Times New Roman" w:hAnsi="Times New Roman" w:eastAsia="方正仿宋_GB2312" w:cs="Times New Roman"/>
          <w:color w:val="auto"/>
          <w:kern w:val="2"/>
          <w:sz w:val="32"/>
          <w:szCs w:val="32"/>
          <w:lang w:val="en-US" w:eastAsia="zh-CN" w:bidi="ar-SA"/>
        </w:rPr>
      </w:pPr>
    </w:p>
    <w:p w14:paraId="0F7B0771">
      <w:pPr>
        <w:pStyle w:val="15"/>
        <w:keepNext w:val="0"/>
        <w:keepLines w:val="0"/>
        <w:pageBreakBefore w:val="0"/>
        <w:widowControl w:val="0"/>
        <w:kinsoku/>
        <w:wordWrap/>
        <w:overflowPunct/>
        <w:topLinePunct w:val="0"/>
        <w:bidi w:val="0"/>
        <w:snapToGrid/>
        <w:spacing w:line="600" w:lineRule="exact"/>
        <w:jc w:val="both"/>
        <w:textAlignment w:val="auto"/>
        <w:rPr>
          <w:rFonts w:hint="default" w:ascii="Times New Roman" w:hAnsi="Times New Roman" w:eastAsia="方正仿宋_GB2312" w:cs="Times New Roman"/>
          <w:color w:val="auto"/>
          <w:kern w:val="2"/>
          <w:sz w:val="32"/>
          <w:szCs w:val="32"/>
          <w:lang w:val="en-US" w:eastAsia="zh-CN" w:bidi="ar-SA"/>
        </w:rPr>
      </w:pPr>
    </w:p>
    <w:p w14:paraId="71CCFAB2">
      <w:pPr>
        <w:pStyle w:val="15"/>
        <w:keepNext w:val="0"/>
        <w:keepLines w:val="0"/>
        <w:pageBreakBefore w:val="0"/>
        <w:widowControl w:val="0"/>
        <w:kinsoku/>
        <w:wordWrap/>
        <w:overflowPunct/>
        <w:topLinePunct w:val="0"/>
        <w:bidi w:val="0"/>
        <w:snapToGrid/>
        <w:spacing w:line="600" w:lineRule="exact"/>
        <w:jc w:val="both"/>
        <w:textAlignment w:val="auto"/>
        <w:rPr>
          <w:rFonts w:hint="default" w:ascii="Times New Roman" w:hAnsi="Times New Roman" w:eastAsia="方正仿宋_GB2312" w:cs="Times New Roman"/>
          <w:color w:val="auto"/>
          <w:kern w:val="2"/>
          <w:sz w:val="32"/>
          <w:szCs w:val="32"/>
          <w:lang w:val="en-US" w:eastAsia="zh-CN" w:bidi="ar-SA"/>
        </w:rPr>
      </w:pPr>
    </w:p>
    <w:p w14:paraId="3FC1260E">
      <w:pPr>
        <w:pStyle w:val="15"/>
        <w:keepNext w:val="0"/>
        <w:keepLines w:val="0"/>
        <w:pageBreakBefore w:val="0"/>
        <w:widowControl w:val="0"/>
        <w:kinsoku/>
        <w:wordWrap/>
        <w:overflowPunct/>
        <w:topLinePunct w:val="0"/>
        <w:bidi w:val="0"/>
        <w:snapToGrid/>
        <w:spacing w:line="600" w:lineRule="exact"/>
        <w:jc w:val="both"/>
        <w:textAlignment w:val="auto"/>
        <w:rPr>
          <w:rFonts w:hint="default" w:ascii="Times New Roman" w:hAnsi="Times New Roman" w:eastAsia="方正仿宋_GB2312" w:cs="Times New Roman"/>
          <w:color w:val="auto"/>
          <w:kern w:val="2"/>
          <w:sz w:val="32"/>
          <w:szCs w:val="32"/>
          <w:lang w:val="en-US" w:eastAsia="zh-CN" w:bidi="ar-SA"/>
        </w:rPr>
      </w:pPr>
    </w:p>
    <w:p w14:paraId="42D1D01E">
      <w:pPr>
        <w:pStyle w:val="15"/>
        <w:keepNext w:val="0"/>
        <w:keepLines w:val="0"/>
        <w:pageBreakBefore w:val="0"/>
        <w:widowControl w:val="0"/>
        <w:kinsoku/>
        <w:wordWrap/>
        <w:overflowPunct/>
        <w:topLinePunct w:val="0"/>
        <w:bidi w:val="0"/>
        <w:snapToGrid/>
        <w:spacing w:line="600" w:lineRule="exact"/>
        <w:jc w:val="both"/>
        <w:textAlignment w:val="auto"/>
        <w:rPr>
          <w:rFonts w:hint="default" w:ascii="Times New Roman" w:hAnsi="Times New Roman" w:eastAsia="方正仿宋_GB2312" w:cs="Times New Roman"/>
          <w:color w:val="auto"/>
          <w:kern w:val="2"/>
          <w:sz w:val="32"/>
          <w:szCs w:val="32"/>
          <w:lang w:val="en-US" w:eastAsia="zh-CN" w:bidi="ar-SA"/>
        </w:rPr>
      </w:pPr>
    </w:p>
    <w:p w14:paraId="0B6F4A7B">
      <w:pPr>
        <w:pStyle w:val="15"/>
        <w:keepNext w:val="0"/>
        <w:keepLines w:val="0"/>
        <w:pageBreakBefore w:val="0"/>
        <w:widowControl w:val="0"/>
        <w:kinsoku/>
        <w:wordWrap/>
        <w:overflowPunct/>
        <w:topLinePunct w:val="0"/>
        <w:bidi w:val="0"/>
        <w:snapToGrid/>
        <w:spacing w:line="600" w:lineRule="exact"/>
        <w:jc w:val="both"/>
        <w:textAlignment w:val="auto"/>
        <w:rPr>
          <w:rFonts w:hint="default" w:ascii="Times New Roman" w:hAnsi="Times New Roman" w:eastAsia="方正仿宋_GB2312" w:cs="Times New Roman"/>
          <w:b/>
          <w:bCs/>
          <w:color w:val="auto"/>
          <w:kern w:val="2"/>
          <w:sz w:val="28"/>
          <w:szCs w:val="28"/>
          <w:lang w:val="en-US" w:eastAsia="zh-CN" w:bidi="ar-SA"/>
        </w:rPr>
      </w:pPr>
      <w:r>
        <w:rPr>
          <w:rFonts w:hint="default" w:ascii="Times New Roman" w:hAnsi="Times New Roman" w:eastAsia="方正仿宋_GB2312" w:cs="Times New Roman"/>
          <w:b/>
          <w:bCs/>
          <w:color w:val="auto"/>
          <w:kern w:val="2"/>
          <w:sz w:val="28"/>
          <w:szCs w:val="28"/>
          <w:lang w:val="en-US" w:eastAsia="zh-CN" w:bidi="ar-SA"/>
        </w:rPr>
        <w:t>附件</w:t>
      </w:r>
      <w:r>
        <w:rPr>
          <w:rFonts w:hint="eastAsia" w:ascii="Times New Roman" w:hAnsi="Times New Roman" w:eastAsia="方正仿宋_GB2312" w:cs="Times New Roman"/>
          <w:b/>
          <w:bCs/>
          <w:color w:val="auto"/>
          <w:kern w:val="2"/>
          <w:sz w:val="28"/>
          <w:szCs w:val="28"/>
          <w:lang w:val="en-US" w:eastAsia="zh-CN" w:bidi="ar-SA"/>
        </w:rPr>
        <w:t>2</w:t>
      </w:r>
    </w:p>
    <w:p w14:paraId="1A017F8E">
      <w:pPr>
        <w:keepNext w:val="0"/>
        <w:keepLines w:val="0"/>
        <w:pageBreakBefore w:val="0"/>
        <w:widowControl w:val="0"/>
        <w:kinsoku/>
        <w:wordWrap/>
        <w:overflowPunct/>
        <w:topLinePunct w:val="0"/>
        <w:bidi w:val="0"/>
        <w:snapToGrid/>
        <w:spacing w:before="93" w:line="222" w:lineRule="auto"/>
        <w:ind w:firstLine="0" w:firstLineChars="0"/>
        <w:jc w:val="center"/>
        <w:textAlignment w:val="auto"/>
        <w:rPr>
          <w:rFonts w:hint="default" w:ascii="Times New Roman" w:hAnsi="Times New Roman" w:eastAsia="方正仿宋_GB2312" w:cs="Times New Roman"/>
          <w:b/>
          <w:bCs/>
          <w:color w:val="auto"/>
          <w:spacing w:val="4"/>
          <w:kern w:val="2"/>
          <w:sz w:val="28"/>
          <w:szCs w:val="28"/>
          <w:lang w:val="en-US" w:eastAsia="zh-CN" w:bidi="ar-SA"/>
        </w:rPr>
      </w:pPr>
      <w:r>
        <w:rPr>
          <w:rFonts w:hint="default" w:ascii="Times New Roman" w:hAnsi="Times New Roman" w:eastAsia="方正仿宋_GB2312" w:cs="Times New Roman"/>
          <w:b/>
          <w:bCs/>
          <w:color w:val="auto"/>
          <w:spacing w:val="4"/>
          <w:kern w:val="2"/>
          <w:sz w:val="28"/>
          <w:szCs w:val="28"/>
          <w:lang w:val="en-US" w:eastAsia="zh-CN" w:bidi="ar-SA"/>
        </w:rPr>
        <w:t>2024年益阳市国土空间规划专项资金绩效评价问题清单</w:t>
      </w:r>
    </w:p>
    <w:tbl>
      <w:tblPr>
        <w:tblStyle w:val="9"/>
        <w:tblW w:w="1335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4"/>
        <w:gridCol w:w="1116"/>
        <w:gridCol w:w="1658"/>
        <w:gridCol w:w="1606"/>
        <w:gridCol w:w="1176"/>
        <w:gridCol w:w="7057"/>
      </w:tblGrid>
      <w:tr w14:paraId="5B897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2"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8CE05">
            <w:pPr>
              <w:keepNext w:val="0"/>
              <w:keepLines w:val="0"/>
              <w:widowControl/>
              <w:suppressLineNumbers w:val="0"/>
              <w:jc w:val="center"/>
              <w:textAlignment w:val="center"/>
              <w:rPr>
                <w:rFonts w:hint="default" w:ascii="Times New Roman" w:hAnsi="Times New Roman" w:eastAsia="方正仿宋_GB2312" w:cs="Times New Roman"/>
                <w:b/>
                <w:bCs/>
                <w:i w:val="0"/>
                <w:iCs w:val="0"/>
                <w:color w:val="000000"/>
                <w:sz w:val="21"/>
                <w:szCs w:val="21"/>
                <w:u w:val="none"/>
              </w:rPr>
            </w:pPr>
            <w:r>
              <w:rPr>
                <w:rFonts w:hint="default" w:ascii="Times New Roman" w:hAnsi="Times New Roman" w:eastAsia="方正仿宋_GB2312" w:cs="Times New Roman"/>
                <w:b/>
                <w:bCs/>
                <w:i w:val="0"/>
                <w:iCs w:val="0"/>
                <w:color w:val="000000"/>
                <w:kern w:val="0"/>
                <w:sz w:val="21"/>
                <w:szCs w:val="21"/>
                <w:u w:val="none"/>
                <w:lang w:val="en-US" w:eastAsia="zh-CN" w:bidi="ar"/>
              </w:rPr>
              <w:t>序号</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6584E">
            <w:pPr>
              <w:keepNext w:val="0"/>
              <w:keepLines w:val="0"/>
              <w:widowControl/>
              <w:suppressLineNumbers w:val="0"/>
              <w:jc w:val="center"/>
              <w:textAlignment w:val="center"/>
              <w:rPr>
                <w:rFonts w:hint="default" w:ascii="Times New Roman" w:hAnsi="Times New Roman" w:eastAsia="方正仿宋_GB2312" w:cs="Times New Roman"/>
                <w:b/>
                <w:bCs/>
                <w:i w:val="0"/>
                <w:iCs w:val="0"/>
                <w:color w:val="000000"/>
                <w:sz w:val="21"/>
                <w:szCs w:val="21"/>
                <w:u w:val="none"/>
              </w:rPr>
            </w:pPr>
            <w:r>
              <w:rPr>
                <w:rFonts w:hint="default" w:ascii="Times New Roman" w:hAnsi="Times New Roman" w:eastAsia="方正仿宋_GB2312" w:cs="Times New Roman"/>
                <w:b/>
                <w:bCs/>
                <w:i w:val="0"/>
                <w:iCs w:val="0"/>
                <w:color w:val="000000"/>
                <w:kern w:val="0"/>
                <w:sz w:val="21"/>
                <w:szCs w:val="21"/>
                <w:u w:val="none"/>
                <w:lang w:val="en-US" w:eastAsia="zh-CN" w:bidi="ar"/>
              </w:rPr>
              <w:t>问题类别</w:t>
            </w:r>
          </w:p>
        </w:tc>
        <w:tc>
          <w:tcPr>
            <w:tcW w:w="1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6654B">
            <w:pPr>
              <w:keepNext w:val="0"/>
              <w:keepLines w:val="0"/>
              <w:widowControl/>
              <w:suppressLineNumbers w:val="0"/>
              <w:jc w:val="center"/>
              <w:textAlignment w:val="center"/>
              <w:rPr>
                <w:rFonts w:hint="default" w:ascii="Times New Roman" w:hAnsi="Times New Roman" w:eastAsia="方正仿宋_GB2312" w:cs="Times New Roman"/>
                <w:b/>
                <w:bCs/>
                <w:i w:val="0"/>
                <w:iCs w:val="0"/>
                <w:color w:val="000000"/>
                <w:sz w:val="21"/>
                <w:szCs w:val="21"/>
                <w:u w:val="none"/>
              </w:rPr>
            </w:pPr>
            <w:r>
              <w:rPr>
                <w:rFonts w:hint="default" w:ascii="Times New Roman" w:hAnsi="Times New Roman" w:eastAsia="方正仿宋_GB2312" w:cs="Times New Roman"/>
                <w:b/>
                <w:bCs/>
                <w:i w:val="0"/>
                <w:iCs w:val="0"/>
                <w:color w:val="000000"/>
                <w:kern w:val="0"/>
                <w:sz w:val="21"/>
                <w:szCs w:val="21"/>
                <w:u w:val="none"/>
                <w:lang w:val="en-US" w:eastAsia="zh-CN" w:bidi="ar"/>
              </w:rPr>
              <w:t>问题小类</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C6AF6">
            <w:pPr>
              <w:keepNext w:val="0"/>
              <w:keepLines w:val="0"/>
              <w:widowControl/>
              <w:suppressLineNumbers w:val="0"/>
              <w:jc w:val="center"/>
              <w:textAlignment w:val="center"/>
              <w:rPr>
                <w:rFonts w:hint="default" w:ascii="Times New Roman" w:hAnsi="Times New Roman" w:eastAsia="方正仿宋_GB2312" w:cs="Times New Roman"/>
                <w:b/>
                <w:bCs/>
                <w:i w:val="0"/>
                <w:iCs w:val="0"/>
                <w:color w:val="000000"/>
                <w:sz w:val="21"/>
                <w:szCs w:val="21"/>
                <w:u w:val="none"/>
              </w:rPr>
            </w:pPr>
            <w:r>
              <w:rPr>
                <w:rFonts w:hint="default" w:ascii="Times New Roman" w:hAnsi="Times New Roman" w:eastAsia="方正仿宋_GB2312" w:cs="Times New Roman"/>
                <w:b/>
                <w:bCs/>
                <w:i w:val="0"/>
                <w:iCs w:val="0"/>
                <w:color w:val="000000"/>
                <w:kern w:val="0"/>
                <w:sz w:val="21"/>
                <w:szCs w:val="21"/>
                <w:u w:val="none"/>
                <w:lang w:val="en-US" w:eastAsia="zh-CN" w:bidi="ar"/>
              </w:rPr>
              <w:t>单位名称</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E4DD4">
            <w:pPr>
              <w:keepNext w:val="0"/>
              <w:keepLines w:val="0"/>
              <w:widowControl/>
              <w:suppressLineNumbers w:val="0"/>
              <w:jc w:val="center"/>
              <w:textAlignment w:val="center"/>
              <w:rPr>
                <w:rFonts w:hint="default" w:ascii="Times New Roman" w:hAnsi="Times New Roman" w:eastAsia="方正仿宋_GB2312" w:cs="Times New Roman"/>
                <w:b/>
                <w:bCs/>
                <w:i w:val="0"/>
                <w:iCs w:val="0"/>
                <w:color w:val="000000"/>
                <w:sz w:val="21"/>
                <w:szCs w:val="21"/>
                <w:u w:val="none"/>
              </w:rPr>
            </w:pPr>
            <w:r>
              <w:rPr>
                <w:rFonts w:hint="default" w:ascii="Times New Roman" w:hAnsi="Times New Roman" w:eastAsia="方正仿宋_GB2312" w:cs="Times New Roman"/>
                <w:b/>
                <w:bCs/>
                <w:i w:val="0"/>
                <w:iCs w:val="0"/>
                <w:color w:val="000000"/>
                <w:kern w:val="0"/>
                <w:sz w:val="21"/>
                <w:szCs w:val="21"/>
                <w:u w:val="none"/>
                <w:lang w:val="en-US" w:eastAsia="zh-CN" w:bidi="ar"/>
              </w:rPr>
              <w:t>涉及金额</w:t>
            </w:r>
          </w:p>
        </w:tc>
        <w:tc>
          <w:tcPr>
            <w:tcW w:w="7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67983">
            <w:pPr>
              <w:keepNext w:val="0"/>
              <w:keepLines w:val="0"/>
              <w:widowControl/>
              <w:suppressLineNumbers w:val="0"/>
              <w:jc w:val="center"/>
              <w:textAlignment w:val="center"/>
              <w:rPr>
                <w:rFonts w:hint="default" w:ascii="Times New Roman" w:hAnsi="Times New Roman" w:eastAsia="方正仿宋_GB2312" w:cs="Times New Roman"/>
                <w:b/>
                <w:bCs/>
                <w:i w:val="0"/>
                <w:iCs w:val="0"/>
                <w:color w:val="000000"/>
                <w:sz w:val="21"/>
                <w:szCs w:val="21"/>
                <w:u w:val="none"/>
              </w:rPr>
            </w:pPr>
            <w:r>
              <w:rPr>
                <w:rFonts w:hint="default" w:ascii="Times New Roman" w:hAnsi="Times New Roman" w:eastAsia="方正仿宋_GB2312" w:cs="Times New Roman"/>
                <w:b/>
                <w:bCs/>
                <w:i w:val="0"/>
                <w:iCs w:val="0"/>
                <w:color w:val="000000"/>
                <w:kern w:val="0"/>
                <w:sz w:val="21"/>
                <w:szCs w:val="21"/>
                <w:u w:val="none"/>
                <w:lang w:val="en-US" w:eastAsia="zh-CN" w:bidi="ar"/>
              </w:rPr>
              <w:t>存在具体问题</w:t>
            </w:r>
          </w:p>
        </w:tc>
      </w:tr>
      <w:tr w14:paraId="60938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3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82A68D0">
            <w:pPr>
              <w:keepNext w:val="0"/>
              <w:keepLines w:val="0"/>
              <w:widowControl/>
              <w:suppressLineNumbers w:val="0"/>
              <w:jc w:val="left"/>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共计发现问题3类，问题总数11个。其中，项目管理方面问题7个，资金管理方面问题3个，项目绩效方面问题1个。</w:t>
            </w:r>
          </w:p>
        </w:tc>
      </w:tr>
      <w:tr w14:paraId="380D3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0E8B1">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lang w:val="en-US" w:eastAsia="zh-CN"/>
              </w:rPr>
            </w:pPr>
            <w:r>
              <w:rPr>
                <w:rFonts w:hint="default" w:ascii="Times New Roman" w:hAnsi="Times New Roman" w:eastAsia="方正仿宋_GB2312" w:cs="Times New Roman"/>
                <w:i w:val="0"/>
                <w:iCs w:val="0"/>
                <w:color w:val="000000"/>
                <w:sz w:val="21"/>
                <w:szCs w:val="21"/>
                <w:u w:val="none"/>
                <w:lang w:val="en-US" w:eastAsia="zh-CN"/>
              </w:rPr>
              <w:t>1</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EB155">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项目管理</w:t>
            </w:r>
          </w:p>
        </w:tc>
        <w:tc>
          <w:tcPr>
            <w:tcW w:w="16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83EC0E">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招投标管理不到位</w:t>
            </w:r>
          </w:p>
        </w:tc>
        <w:tc>
          <w:tcPr>
            <w:tcW w:w="1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6B2080">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益阳市自然资源和规划局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F9729">
            <w:pPr>
              <w:rPr>
                <w:rFonts w:hint="default" w:ascii="Times New Roman" w:hAnsi="Times New Roman" w:eastAsia="方正仿宋_GB2312" w:cs="Times New Roman"/>
                <w:i w:val="0"/>
                <w:iCs w:val="0"/>
                <w:color w:val="000000"/>
                <w:sz w:val="21"/>
                <w:szCs w:val="21"/>
                <w:u w:val="none"/>
              </w:rPr>
            </w:pPr>
          </w:p>
        </w:tc>
        <w:tc>
          <w:tcPr>
            <w:tcW w:w="7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ED2B0">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中标公告不规范，部分项目公告内容之间存在相冲突的情况。益阳市国土空间总体规划（2020</w:t>
            </w:r>
            <w:r>
              <w:rPr>
                <w:rFonts w:hint="eastAsia" w:ascii="Times New Roman" w:hAnsi="Times New Roman" w:eastAsia="方正仿宋_GB2312" w:cs="Times New Roman"/>
                <w:i w:val="0"/>
                <w:iCs w:val="0"/>
                <w:color w:val="000000"/>
                <w:kern w:val="0"/>
                <w:sz w:val="21"/>
                <w:szCs w:val="21"/>
                <w:u w:val="none"/>
                <w:lang w:val="en-US" w:eastAsia="zh-CN" w:bidi="ar"/>
              </w:rPr>
              <w:t>—</w:t>
            </w:r>
            <w:r>
              <w:rPr>
                <w:rFonts w:hint="default" w:ascii="Times New Roman" w:hAnsi="Times New Roman" w:eastAsia="方正仿宋_GB2312" w:cs="Times New Roman"/>
                <w:i w:val="0"/>
                <w:iCs w:val="0"/>
                <w:color w:val="000000"/>
                <w:kern w:val="0"/>
                <w:sz w:val="21"/>
                <w:szCs w:val="21"/>
                <w:u w:val="none"/>
                <w:lang w:val="en-US" w:eastAsia="zh-CN" w:bidi="ar"/>
              </w:rPr>
              <w:t>2035年）（一包）、益阳市中心城区高铁片区控制性详细规划编制项目，项目中标公告中质疑期限为7个工作日，公告期限为1个工作日，如果公告期满后至质疑期间发出了中标通知书，而期间又发生了质疑事项导致废标的情形，招标人将承担违约责任。</w:t>
            </w:r>
          </w:p>
        </w:tc>
      </w:tr>
      <w:tr w14:paraId="760C4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5"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3960C">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2</w:t>
            </w: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F3337">
            <w:pPr>
              <w:jc w:val="center"/>
              <w:rPr>
                <w:rFonts w:hint="default" w:ascii="Times New Roman" w:hAnsi="Times New Roman" w:eastAsia="方正仿宋_GB2312" w:cs="Times New Roman"/>
                <w:i w:val="0"/>
                <w:iCs w:val="0"/>
                <w:color w:val="000000"/>
                <w:sz w:val="21"/>
                <w:szCs w:val="21"/>
                <w:u w:val="none"/>
              </w:rPr>
            </w:pPr>
          </w:p>
        </w:tc>
        <w:tc>
          <w:tcPr>
            <w:tcW w:w="1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D9A87">
            <w:pPr>
              <w:jc w:val="both"/>
              <w:rPr>
                <w:rFonts w:hint="default" w:ascii="Times New Roman" w:hAnsi="Times New Roman" w:eastAsia="方正仿宋_GB2312" w:cs="Times New Roman"/>
                <w:i w:val="0"/>
                <w:iCs w:val="0"/>
                <w:color w:val="000000"/>
                <w:sz w:val="21"/>
                <w:szCs w:val="21"/>
                <w:u w:val="none"/>
              </w:rPr>
            </w:pP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3E874">
            <w:pPr>
              <w:jc w:val="center"/>
              <w:rPr>
                <w:rFonts w:hint="default" w:ascii="Times New Roman" w:hAnsi="Times New Roman" w:eastAsia="方正仿宋_GB2312" w:cs="Times New Roman"/>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32115">
            <w:pPr>
              <w:rPr>
                <w:rFonts w:hint="default" w:ascii="Times New Roman" w:hAnsi="Times New Roman" w:eastAsia="方正仿宋_GB2312" w:cs="Times New Roman"/>
                <w:i w:val="0"/>
                <w:iCs w:val="0"/>
                <w:color w:val="000000"/>
                <w:sz w:val="21"/>
                <w:szCs w:val="21"/>
                <w:u w:val="none"/>
              </w:rPr>
            </w:pPr>
          </w:p>
        </w:tc>
        <w:tc>
          <w:tcPr>
            <w:tcW w:w="7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BE0F0">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个别项目未在中标通知书发出后30天内签订合同。益阳市国土空间总体规划（2020</w:t>
            </w:r>
            <w:r>
              <w:rPr>
                <w:rFonts w:hint="eastAsia" w:ascii="Times New Roman" w:hAnsi="Times New Roman" w:eastAsia="方正仿宋_GB2312" w:cs="Times New Roman"/>
                <w:i w:val="0"/>
                <w:iCs w:val="0"/>
                <w:color w:val="000000"/>
                <w:kern w:val="0"/>
                <w:sz w:val="21"/>
                <w:szCs w:val="21"/>
                <w:u w:val="none"/>
                <w:lang w:val="en-US" w:eastAsia="zh-CN" w:bidi="ar"/>
              </w:rPr>
              <w:t>—</w:t>
            </w:r>
            <w:r>
              <w:rPr>
                <w:rFonts w:hint="default" w:ascii="Times New Roman" w:hAnsi="Times New Roman" w:eastAsia="方正仿宋_GB2312" w:cs="Times New Roman"/>
                <w:i w:val="0"/>
                <w:iCs w:val="0"/>
                <w:color w:val="000000"/>
                <w:kern w:val="0"/>
                <w:sz w:val="21"/>
                <w:szCs w:val="21"/>
                <w:u w:val="none"/>
                <w:lang w:val="en-US" w:eastAsia="zh-CN" w:bidi="ar"/>
              </w:rPr>
              <w:t>2035年）（一包）中标通知书发出时间为2020年9月30日，而合同签订时间为2020年12月4日。</w:t>
            </w:r>
          </w:p>
        </w:tc>
      </w:tr>
      <w:tr w14:paraId="629CA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3A715">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3</w:t>
            </w: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E2BF7">
            <w:pPr>
              <w:jc w:val="center"/>
              <w:rPr>
                <w:rFonts w:hint="default" w:ascii="Times New Roman" w:hAnsi="Times New Roman" w:eastAsia="方正仿宋_GB2312" w:cs="Times New Roman"/>
                <w:i w:val="0"/>
                <w:iCs w:val="0"/>
                <w:color w:val="000000"/>
                <w:sz w:val="21"/>
                <w:szCs w:val="21"/>
                <w:u w:val="none"/>
              </w:rPr>
            </w:pPr>
          </w:p>
        </w:tc>
        <w:tc>
          <w:tcPr>
            <w:tcW w:w="1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5C7AD">
            <w:pPr>
              <w:jc w:val="both"/>
              <w:rPr>
                <w:rFonts w:hint="default" w:ascii="Times New Roman" w:hAnsi="Times New Roman" w:eastAsia="方正仿宋_GB2312" w:cs="Times New Roman"/>
                <w:i w:val="0"/>
                <w:iCs w:val="0"/>
                <w:color w:val="000000"/>
                <w:sz w:val="21"/>
                <w:szCs w:val="21"/>
                <w:u w:val="none"/>
              </w:rPr>
            </w:pP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135A4">
            <w:pPr>
              <w:jc w:val="center"/>
              <w:rPr>
                <w:rFonts w:hint="default" w:ascii="Times New Roman" w:hAnsi="Times New Roman" w:eastAsia="方正仿宋_GB2312" w:cs="Times New Roman"/>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3B07D">
            <w:pPr>
              <w:rPr>
                <w:rFonts w:hint="default" w:ascii="Times New Roman" w:hAnsi="Times New Roman" w:eastAsia="方正仿宋_GB2312" w:cs="Times New Roman"/>
                <w:i w:val="0"/>
                <w:iCs w:val="0"/>
                <w:color w:val="000000"/>
                <w:sz w:val="21"/>
                <w:szCs w:val="21"/>
                <w:u w:val="none"/>
              </w:rPr>
            </w:pPr>
          </w:p>
        </w:tc>
        <w:tc>
          <w:tcPr>
            <w:tcW w:w="7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8964B">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个别项目中标公告期未满就发出了中标通知书。益阳市国土空间总体规划（2020</w:t>
            </w:r>
            <w:r>
              <w:rPr>
                <w:rFonts w:hint="eastAsia" w:ascii="Times New Roman" w:hAnsi="Times New Roman" w:eastAsia="方正仿宋_GB2312" w:cs="Times New Roman"/>
                <w:i w:val="0"/>
                <w:iCs w:val="0"/>
                <w:color w:val="000000"/>
                <w:kern w:val="0"/>
                <w:sz w:val="21"/>
                <w:szCs w:val="21"/>
                <w:u w:val="none"/>
                <w:lang w:val="en-US" w:eastAsia="zh-CN" w:bidi="ar"/>
              </w:rPr>
              <w:t>—</w:t>
            </w:r>
            <w:r>
              <w:rPr>
                <w:rFonts w:hint="default" w:ascii="Times New Roman" w:hAnsi="Times New Roman" w:eastAsia="方正仿宋_GB2312" w:cs="Times New Roman"/>
                <w:i w:val="0"/>
                <w:iCs w:val="0"/>
                <w:color w:val="000000"/>
                <w:kern w:val="0"/>
                <w:sz w:val="21"/>
                <w:szCs w:val="21"/>
                <w:u w:val="none"/>
                <w:lang w:val="en-US" w:eastAsia="zh-CN" w:bidi="ar"/>
              </w:rPr>
              <w:t>2035年）（一包）中标（成交）公告日期为2020年9月30日，公告期限为1个工作日，中标通知书发出日期为2020年9月30日。</w:t>
            </w:r>
          </w:p>
        </w:tc>
      </w:tr>
      <w:tr w14:paraId="77601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429F6">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lang w:val="en-US" w:eastAsia="zh-CN"/>
              </w:rPr>
            </w:pPr>
            <w:r>
              <w:rPr>
                <w:rFonts w:hint="default" w:ascii="Times New Roman" w:hAnsi="Times New Roman" w:eastAsia="方正仿宋_GB2312" w:cs="Times New Roman"/>
                <w:i w:val="0"/>
                <w:iCs w:val="0"/>
                <w:color w:val="000000"/>
                <w:sz w:val="21"/>
                <w:szCs w:val="21"/>
                <w:u w:val="none"/>
                <w:lang w:val="en-US" w:eastAsia="zh-CN"/>
              </w:rPr>
              <w:t>4</w:t>
            </w: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03331">
            <w:pPr>
              <w:jc w:val="center"/>
              <w:rPr>
                <w:rFonts w:hint="default" w:ascii="Times New Roman" w:hAnsi="Times New Roman" w:eastAsia="方正仿宋_GB2312" w:cs="Times New Roman"/>
                <w:i w:val="0"/>
                <w:iCs w:val="0"/>
                <w:color w:val="000000"/>
                <w:sz w:val="21"/>
                <w:szCs w:val="21"/>
                <w:u w:val="none"/>
              </w:rPr>
            </w:pPr>
          </w:p>
        </w:tc>
        <w:tc>
          <w:tcPr>
            <w:tcW w:w="16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D0014E">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lang w:val="en-US"/>
              </w:rPr>
            </w:pPr>
            <w:r>
              <w:rPr>
                <w:rFonts w:hint="default" w:ascii="Times New Roman" w:hAnsi="Times New Roman" w:eastAsia="方正仿宋_GB2312" w:cs="Times New Roman"/>
                <w:i w:val="0"/>
                <w:iCs w:val="0"/>
                <w:color w:val="000000"/>
                <w:kern w:val="0"/>
                <w:sz w:val="21"/>
                <w:szCs w:val="21"/>
                <w:u w:val="none"/>
                <w:lang w:val="en-US" w:eastAsia="zh-CN" w:bidi="ar"/>
              </w:rPr>
              <w:t>合同签订不规范，部分合同要素不齐全</w:t>
            </w:r>
          </w:p>
        </w:tc>
        <w:tc>
          <w:tcPr>
            <w:tcW w:w="1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AAD2DE">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益阳市自然资源和规划局</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4BAC1">
            <w:pPr>
              <w:rPr>
                <w:rFonts w:hint="default" w:ascii="Times New Roman" w:hAnsi="Times New Roman" w:eastAsia="方正仿宋_GB2312" w:cs="Times New Roman"/>
                <w:i w:val="0"/>
                <w:iCs w:val="0"/>
                <w:color w:val="000000"/>
                <w:sz w:val="21"/>
                <w:szCs w:val="21"/>
                <w:u w:val="none"/>
              </w:rPr>
            </w:pPr>
          </w:p>
        </w:tc>
        <w:tc>
          <w:tcPr>
            <w:tcW w:w="70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66B1A3">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2022年度益阳市国土空间规划城市体检评估合同书日期未填写；2024年12月19日记账-0102凭证，付益阳市国土空间总体规划一包项目费54.3万元，所附政府采购项目委托代理协议书乙方未填写签约时间，益阳市国土空间总体规划（2020</w:t>
            </w:r>
            <w:r>
              <w:rPr>
                <w:rFonts w:hint="eastAsia" w:ascii="Times New Roman" w:hAnsi="Times New Roman" w:eastAsia="方正仿宋_GB2312" w:cs="Times New Roman"/>
                <w:i w:val="0"/>
                <w:iCs w:val="0"/>
                <w:color w:val="000000"/>
                <w:kern w:val="0"/>
                <w:sz w:val="21"/>
                <w:szCs w:val="21"/>
                <w:u w:val="none"/>
                <w:lang w:val="en-US" w:eastAsia="zh-CN" w:bidi="ar"/>
              </w:rPr>
              <w:t>—</w:t>
            </w:r>
            <w:r>
              <w:rPr>
                <w:rFonts w:hint="default" w:ascii="Times New Roman" w:hAnsi="Times New Roman" w:eastAsia="方正仿宋_GB2312" w:cs="Times New Roman"/>
                <w:i w:val="0"/>
                <w:iCs w:val="0"/>
                <w:color w:val="000000"/>
                <w:kern w:val="0"/>
                <w:sz w:val="21"/>
                <w:szCs w:val="21"/>
                <w:u w:val="none"/>
                <w:lang w:val="en-US" w:eastAsia="zh-CN" w:bidi="ar"/>
              </w:rPr>
              <w:t>2035年）（一包）项目技术承包合同甲方及2个乙方未填写签约时间，补充协议乙方均未填写签约时间；2024年2月18日记账-0014凭证付市中心城区高铁片区控制性详细规划编制项目费36.29万元，所附政府采购委托代理协议、益阳市中心城区高铁片区控制性详细规划编制项目合同书均未填写签约时间。</w:t>
            </w:r>
          </w:p>
        </w:tc>
      </w:tr>
      <w:tr w14:paraId="5DC77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EA72A">
            <w:pPr>
              <w:jc w:val="center"/>
              <w:rPr>
                <w:rFonts w:hint="default" w:ascii="Times New Roman" w:hAnsi="Times New Roman" w:eastAsia="方正仿宋_GB2312" w:cs="Times New Roman"/>
                <w:i w:val="0"/>
                <w:iCs w:val="0"/>
                <w:color w:val="000000"/>
                <w:sz w:val="21"/>
                <w:szCs w:val="21"/>
                <w:u w:val="none"/>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CF889">
            <w:pPr>
              <w:jc w:val="center"/>
              <w:rPr>
                <w:rFonts w:hint="default" w:ascii="Times New Roman" w:hAnsi="Times New Roman" w:eastAsia="方正仿宋_GB2312" w:cs="Times New Roman"/>
                <w:i w:val="0"/>
                <w:iCs w:val="0"/>
                <w:color w:val="000000"/>
                <w:sz w:val="21"/>
                <w:szCs w:val="21"/>
                <w:u w:val="none"/>
              </w:rPr>
            </w:pPr>
          </w:p>
        </w:tc>
        <w:tc>
          <w:tcPr>
            <w:tcW w:w="1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0C7F0">
            <w:pPr>
              <w:jc w:val="both"/>
              <w:rPr>
                <w:rFonts w:hint="default" w:ascii="Times New Roman" w:hAnsi="Times New Roman" w:eastAsia="方正仿宋_GB2312" w:cs="Times New Roman"/>
                <w:i w:val="0"/>
                <w:iCs w:val="0"/>
                <w:color w:val="000000"/>
                <w:sz w:val="21"/>
                <w:szCs w:val="21"/>
                <w:u w:val="none"/>
              </w:rPr>
            </w:pP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746C3F">
            <w:pPr>
              <w:jc w:val="center"/>
              <w:rPr>
                <w:rFonts w:hint="default" w:ascii="Times New Roman" w:hAnsi="Times New Roman" w:eastAsia="方正仿宋_GB2312" w:cs="Times New Roman"/>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98F7E">
            <w:pPr>
              <w:rPr>
                <w:rFonts w:hint="default" w:ascii="Times New Roman" w:hAnsi="Times New Roman" w:eastAsia="方正仿宋_GB2312" w:cs="Times New Roman"/>
                <w:i w:val="0"/>
                <w:iCs w:val="0"/>
                <w:color w:val="000000"/>
                <w:sz w:val="21"/>
                <w:szCs w:val="21"/>
                <w:u w:val="none"/>
              </w:rPr>
            </w:pPr>
          </w:p>
        </w:tc>
        <w:tc>
          <w:tcPr>
            <w:tcW w:w="70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613D7">
            <w:pPr>
              <w:jc w:val="both"/>
              <w:rPr>
                <w:rFonts w:hint="default" w:ascii="Times New Roman" w:hAnsi="Times New Roman" w:eastAsia="方正仿宋_GB2312" w:cs="Times New Roman"/>
                <w:i w:val="0"/>
                <w:iCs w:val="0"/>
                <w:color w:val="000000"/>
                <w:sz w:val="21"/>
                <w:szCs w:val="21"/>
                <w:u w:val="none"/>
              </w:rPr>
            </w:pPr>
          </w:p>
        </w:tc>
      </w:tr>
      <w:tr w14:paraId="221E0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6"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76B31">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5</w:t>
            </w: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F6A5D">
            <w:pPr>
              <w:jc w:val="center"/>
              <w:rPr>
                <w:rFonts w:hint="default" w:ascii="Times New Roman" w:hAnsi="Times New Roman" w:eastAsia="方正仿宋_GB2312" w:cs="Times New Roman"/>
                <w:i w:val="0"/>
                <w:iCs w:val="0"/>
                <w:color w:val="000000"/>
                <w:sz w:val="21"/>
                <w:szCs w:val="21"/>
                <w:u w:val="none"/>
              </w:rPr>
            </w:pPr>
          </w:p>
        </w:tc>
        <w:tc>
          <w:tcPr>
            <w:tcW w:w="16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2D8502">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项目验收不规范</w:t>
            </w:r>
          </w:p>
        </w:tc>
        <w:tc>
          <w:tcPr>
            <w:tcW w:w="1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EEE2D5">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益阳市自然资源和规划局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061FC">
            <w:pPr>
              <w:rPr>
                <w:rFonts w:hint="default" w:ascii="Times New Roman" w:hAnsi="Times New Roman" w:eastAsia="方正仿宋_GB2312" w:cs="Times New Roman"/>
                <w:i w:val="0"/>
                <w:iCs w:val="0"/>
                <w:color w:val="000000"/>
                <w:sz w:val="21"/>
                <w:szCs w:val="21"/>
                <w:u w:val="none"/>
              </w:rPr>
            </w:pPr>
          </w:p>
        </w:tc>
        <w:tc>
          <w:tcPr>
            <w:tcW w:w="7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87BC1">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部分项目验收手续未到位。如2024年12月18日记账-0117凭证，付益阳市中心城区道路复核定线项目费24.8万元，项目验收资料无验收日期、验收单位未盖章、未签署验收意见。2024年8月22日记账-0060凭证，付2022年益阳市国土空间规划体检评估费用34.8万元，验收单未填写验收日期、未签署验收意见。2024年2月18日记账-0014凭证付市中心城区高铁片区控制性详细规划编制项目费36.29万元，验收单款填写验收日期、验收单位未盖章、未填写验收日期。</w:t>
            </w:r>
          </w:p>
        </w:tc>
      </w:tr>
      <w:tr w14:paraId="3EC42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6"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3DB55">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6</w:t>
            </w: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58DC8">
            <w:pPr>
              <w:jc w:val="center"/>
              <w:rPr>
                <w:rFonts w:hint="default" w:ascii="Times New Roman" w:hAnsi="Times New Roman" w:eastAsia="方正仿宋_GB2312" w:cs="Times New Roman"/>
                <w:i w:val="0"/>
                <w:iCs w:val="0"/>
                <w:color w:val="000000"/>
                <w:sz w:val="21"/>
                <w:szCs w:val="21"/>
                <w:u w:val="none"/>
              </w:rPr>
            </w:pPr>
          </w:p>
        </w:tc>
        <w:tc>
          <w:tcPr>
            <w:tcW w:w="1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33C97">
            <w:pPr>
              <w:jc w:val="both"/>
              <w:rPr>
                <w:rFonts w:hint="default" w:ascii="Times New Roman" w:hAnsi="Times New Roman" w:eastAsia="方正仿宋_GB2312" w:cs="Times New Roman"/>
                <w:i w:val="0"/>
                <w:iCs w:val="0"/>
                <w:color w:val="000000"/>
                <w:sz w:val="21"/>
                <w:szCs w:val="21"/>
                <w:u w:val="none"/>
              </w:rPr>
            </w:pP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F7B0A">
            <w:pPr>
              <w:jc w:val="center"/>
              <w:rPr>
                <w:rFonts w:hint="default" w:ascii="Times New Roman" w:hAnsi="Times New Roman" w:eastAsia="方正仿宋_GB2312" w:cs="Times New Roman"/>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C7BBA">
            <w:pPr>
              <w:rPr>
                <w:rFonts w:hint="default" w:ascii="Times New Roman" w:hAnsi="Times New Roman" w:eastAsia="方正仿宋_GB2312" w:cs="Times New Roman"/>
                <w:i w:val="0"/>
                <w:iCs w:val="0"/>
                <w:color w:val="000000"/>
                <w:sz w:val="21"/>
                <w:szCs w:val="21"/>
                <w:u w:val="none"/>
              </w:rPr>
            </w:pPr>
          </w:p>
        </w:tc>
        <w:tc>
          <w:tcPr>
            <w:tcW w:w="7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1CCBD">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验收资料不齐全。现场评价的7个项目中已完成验收的6个项目验收资料中均未见验收会议通知、会议议程、验收现场照片、验收成果照片等，部分项目验收资料中未附验收</w:t>
            </w:r>
            <w:r>
              <w:rPr>
                <w:rFonts w:hint="eastAsia" w:ascii="Times New Roman" w:hAnsi="Times New Roman" w:eastAsia="方正仿宋_GB2312" w:cs="Times New Roman"/>
                <w:i w:val="0"/>
                <w:iCs w:val="0"/>
                <w:color w:val="000000"/>
                <w:kern w:val="0"/>
                <w:sz w:val="21"/>
                <w:szCs w:val="21"/>
                <w:u w:val="none"/>
                <w:lang w:val="en-US" w:eastAsia="zh-CN" w:bidi="ar"/>
              </w:rPr>
              <w:t>会议</w:t>
            </w:r>
            <w:r>
              <w:rPr>
                <w:rFonts w:hint="default" w:ascii="Times New Roman" w:hAnsi="Times New Roman" w:eastAsia="方正仿宋_GB2312" w:cs="Times New Roman"/>
                <w:i w:val="0"/>
                <w:iCs w:val="0"/>
                <w:color w:val="000000"/>
                <w:kern w:val="0"/>
                <w:sz w:val="21"/>
                <w:szCs w:val="21"/>
                <w:u w:val="none"/>
                <w:lang w:val="en-US" w:eastAsia="zh-CN" w:bidi="ar"/>
              </w:rPr>
              <w:t>签到表。</w:t>
            </w:r>
          </w:p>
        </w:tc>
      </w:tr>
      <w:tr w14:paraId="4EA98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6"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FB797">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7</w:t>
            </w: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F7D44">
            <w:pPr>
              <w:jc w:val="center"/>
              <w:rPr>
                <w:rFonts w:hint="default" w:ascii="Times New Roman" w:hAnsi="Times New Roman" w:eastAsia="方正仿宋_GB2312" w:cs="Times New Roman"/>
                <w:i w:val="0"/>
                <w:iCs w:val="0"/>
                <w:color w:val="000000"/>
                <w:sz w:val="21"/>
                <w:szCs w:val="21"/>
                <w:u w:val="none"/>
              </w:rPr>
            </w:pPr>
          </w:p>
        </w:tc>
        <w:tc>
          <w:tcPr>
            <w:tcW w:w="1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3E663">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个别项目未按期完工</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4DF7A">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益阳市自然资源和规划局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FEEBA">
            <w:pPr>
              <w:rPr>
                <w:rFonts w:hint="default" w:ascii="Times New Roman" w:hAnsi="Times New Roman" w:eastAsia="方正仿宋_GB2312" w:cs="Times New Roman"/>
                <w:i w:val="0"/>
                <w:iCs w:val="0"/>
                <w:color w:val="000000"/>
                <w:sz w:val="21"/>
                <w:szCs w:val="21"/>
                <w:u w:val="none"/>
              </w:rPr>
            </w:pPr>
          </w:p>
        </w:tc>
        <w:tc>
          <w:tcPr>
            <w:tcW w:w="7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15186">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根据益阳市国土空间总体规划（2020</w:t>
            </w:r>
            <w:r>
              <w:rPr>
                <w:rFonts w:hint="eastAsia" w:ascii="Times New Roman" w:hAnsi="Times New Roman" w:eastAsia="方正仿宋_GB2312" w:cs="Times New Roman"/>
                <w:i w:val="0"/>
                <w:iCs w:val="0"/>
                <w:color w:val="000000"/>
                <w:kern w:val="0"/>
                <w:sz w:val="21"/>
                <w:szCs w:val="21"/>
                <w:u w:val="none"/>
                <w:lang w:val="en-US" w:eastAsia="zh-CN" w:bidi="ar"/>
              </w:rPr>
              <w:t>—</w:t>
            </w:r>
            <w:r>
              <w:rPr>
                <w:rFonts w:hint="default" w:ascii="Times New Roman" w:hAnsi="Times New Roman" w:eastAsia="方正仿宋_GB2312" w:cs="Times New Roman"/>
                <w:i w:val="0"/>
                <w:iCs w:val="0"/>
                <w:color w:val="000000"/>
                <w:kern w:val="0"/>
                <w:sz w:val="21"/>
                <w:szCs w:val="21"/>
                <w:u w:val="none"/>
                <w:lang w:val="en-US" w:eastAsia="zh-CN" w:bidi="ar"/>
              </w:rPr>
              <w:t>2035年）（一包）项目技术承包补充协议约定，项目总体完工时间为2023年6月底，但项目至2024年12月9日才完成验收。</w:t>
            </w:r>
          </w:p>
        </w:tc>
      </w:tr>
      <w:tr w14:paraId="2D5C9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1EBD8">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8</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5EBC2">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资金管理</w:t>
            </w:r>
          </w:p>
        </w:tc>
        <w:tc>
          <w:tcPr>
            <w:tcW w:w="1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15F59">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个别资金支付审核程序倒置，存在未提供发票就开始资金支付审核的情况</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BA279">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益阳市自然资源和规划局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3BB2A">
            <w:pPr>
              <w:rPr>
                <w:rFonts w:hint="default" w:ascii="Times New Roman" w:hAnsi="Times New Roman" w:eastAsia="方正仿宋_GB2312" w:cs="Times New Roman"/>
                <w:i w:val="0"/>
                <w:iCs w:val="0"/>
                <w:color w:val="000000"/>
                <w:sz w:val="21"/>
                <w:szCs w:val="21"/>
                <w:u w:val="none"/>
              </w:rPr>
            </w:pPr>
          </w:p>
        </w:tc>
        <w:tc>
          <w:tcPr>
            <w:tcW w:w="7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7E0C7">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2024年3月14日记账-0008凭证，付益阳市国土空间总体规划一包项目设计服务费165万元，费用报销审批单及会审联签汇总单日期为2024年1月31日，而所附3张发票中湖南城市学院设计研究院有限公司提供的发票66.4万元、益阳市自然资源规划勘测设计研究院有限公司提供的发票54.3万元开票日期为2024年2月2日，晚于费用报销审批程序开始日期。</w:t>
            </w:r>
          </w:p>
        </w:tc>
      </w:tr>
      <w:tr w14:paraId="75AA7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34"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C8092">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lang w:val="en-US"/>
              </w:rPr>
            </w:pPr>
            <w:r>
              <w:rPr>
                <w:rFonts w:hint="default" w:ascii="Times New Roman" w:hAnsi="Times New Roman" w:eastAsia="方正仿宋_GB2312" w:cs="Times New Roman"/>
                <w:i w:val="0"/>
                <w:iCs w:val="0"/>
                <w:color w:val="000000"/>
                <w:kern w:val="0"/>
                <w:sz w:val="21"/>
                <w:szCs w:val="21"/>
                <w:u w:val="none"/>
                <w:lang w:val="en-US" w:eastAsia="zh-CN" w:bidi="ar"/>
              </w:rPr>
              <w:t>9</w:t>
            </w: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57856">
            <w:pPr>
              <w:jc w:val="center"/>
              <w:rPr>
                <w:rFonts w:hint="default" w:ascii="Times New Roman" w:hAnsi="Times New Roman" w:eastAsia="方正仿宋_GB2312" w:cs="Times New Roman"/>
                <w:i w:val="0"/>
                <w:iCs w:val="0"/>
                <w:color w:val="000000"/>
                <w:sz w:val="21"/>
                <w:szCs w:val="21"/>
                <w:u w:val="none"/>
              </w:rPr>
            </w:pPr>
          </w:p>
        </w:tc>
        <w:tc>
          <w:tcPr>
            <w:tcW w:w="1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17EF3">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部分资金支付不及时，存在超合同约定期限支付项目款的情况。</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05FB0">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益阳市自然资源和规划局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0CF5E">
            <w:pPr>
              <w:rPr>
                <w:rFonts w:hint="default" w:ascii="Times New Roman" w:hAnsi="Times New Roman" w:eastAsia="方正仿宋_GB2312" w:cs="Times New Roman"/>
                <w:i w:val="0"/>
                <w:iCs w:val="0"/>
                <w:color w:val="000000"/>
                <w:sz w:val="21"/>
                <w:szCs w:val="21"/>
                <w:u w:val="none"/>
              </w:rPr>
            </w:pPr>
          </w:p>
        </w:tc>
        <w:tc>
          <w:tcPr>
            <w:tcW w:w="7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D8AAC">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根据2024年村庄规划市级审查项目合同书约定项目通过验收后支付合同总价款的60%即21万元，该项目于2024年12月9日通过验收，但该笔款项于2025年3月25日才支付。</w:t>
            </w:r>
            <w:r>
              <w:rPr>
                <w:rFonts w:hint="default" w:ascii="Times New Roman" w:hAnsi="Times New Roman" w:eastAsia="方正仿宋_GB2312" w:cs="Times New Roman"/>
                <w:i w:val="0"/>
                <w:iCs w:val="0"/>
                <w:color w:val="000000"/>
                <w:kern w:val="0"/>
                <w:sz w:val="21"/>
                <w:szCs w:val="21"/>
                <w:highlight w:val="none"/>
                <w:u w:val="none"/>
                <w:lang w:val="en-US" w:eastAsia="zh-CN" w:bidi="ar"/>
              </w:rPr>
              <w:t>2024年2月18日记账-0014凭证付市中心城区高铁片区控制性详细规划编制项目费36.29万元，根据益阳市中心城区高铁片区控制性详细规划编制项目合同书合同总价款及支付方式约定，第一期款为项目签订合同后30天内支付，合同签订日期为2024年1月18日，而该笔款项支付日期为2024年2月18日。</w:t>
            </w:r>
          </w:p>
        </w:tc>
      </w:tr>
      <w:tr w14:paraId="79909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84AED">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lang w:val="en-US"/>
              </w:rPr>
            </w:pPr>
            <w:r>
              <w:rPr>
                <w:rFonts w:hint="default" w:ascii="Times New Roman" w:hAnsi="Times New Roman" w:eastAsia="方正仿宋_GB2312" w:cs="Times New Roman"/>
                <w:i w:val="0"/>
                <w:iCs w:val="0"/>
                <w:color w:val="000000"/>
                <w:kern w:val="0"/>
                <w:sz w:val="21"/>
                <w:szCs w:val="21"/>
                <w:u w:val="none"/>
                <w:lang w:val="en-US" w:eastAsia="zh-CN" w:bidi="ar"/>
              </w:rPr>
              <w:t>10</w:t>
            </w: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1A001">
            <w:pPr>
              <w:jc w:val="center"/>
              <w:rPr>
                <w:rFonts w:hint="default" w:ascii="Times New Roman" w:hAnsi="Times New Roman" w:eastAsia="方正仿宋_GB2312" w:cs="Times New Roman"/>
                <w:i w:val="0"/>
                <w:iCs w:val="0"/>
                <w:color w:val="000000"/>
                <w:sz w:val="21"/>
                <w:szCs w:val="21"/>
                <w:u w:val="none"/>
              </w:rPr>
            </w:pPr>
          </w:p>
        </w:tc>
        <w:tc>
          <w:tcPr>
            <w:tcW w:w="1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36DF5">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个别项目预算执行率偏低</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DD95B">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益阳市自然资源和规划局</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166BE">
            <w:pPr>
              <w:rPr>
                <w:rFonts w:hint="default" w:ascii="Times New Roman" w:hAnsi="Times New Roman" w:eastAsia="方正仿宋_GB2312" w:cs="Times New Roman"/>
                <w:i w:val="0"/>
                <w:iCs w:val="0"/>
                <w:color w:val="000000"/>
                <w:sz w:val="21"/>
                <w:szCs w:val="21"/>
                <w:u w:val="none"/>
              </w:rPr>
            </w:pPr>
          </w:p>
        </w:tc>
        <w:tc>
          <w:tcPr>
            <w:tcW w:w="7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220BA">
            <w:pPr>
              <w:keepNext w:val="0"/>
              <w:keepLines w:val="0"/>
              <w:widowControl/>
              <w:suppressLineNumbers w:val="0"/>
              <w:jc w:val="both"/>
              <w:textAlignment w:val="center"/>
              <w:rPr>
                <w:rFonts w:hint="default" w:ascii="Times New Roman" w:hAnsi="Times New Roman" w:eastAsia="方正仿宋_GB2312" w:cs="Times New Roman"/>
                <w:i w:val="0"/>
                <w:iCs w:val="0"/>
                <w:color w:val="000000"/>
                <w:sz w:val="21"/>
                <w:szCs w:val="21"/>
                <w:u w:val="none"/>
              </w:rPr>
            </w:pPr>
            <w:r>
              <w:rPr>
                <w:rFonts w:hint="default" w:ascii="Times New Roman" w:hAnsi="Times New Roman" w:eastAsia="方正仿宋_GB2312" w:cs="Times New Roman"/>
                <w:i w:val="0"/>
                <w:iCs w:val="0"/>
                <w:color w:val="000000"/>
                <w:kern w:val="0"/>
                <w:sz w:val="21"/>
                <w:szCs w:val="21"/>
                <w:u w:val="none"/>
                <w:lang w:val="en-US" w:eastAsia="zh-CN" w:bidi="ar"/>
              </w:rPr>
              <w:t>截至绩效评价日，益阳市中心城区高铁片区控制性详细规划编制项目资金到位81.39万元，已使用3</w:t>
            </w:r>
            <w:r>
              <w:rPr>
                <w:rFonts w:hint="eastAsia" w:ascii="Times New Roman" w:hAnsi="Times New Roman" w:eastAsia="方正仿宋_GB2312" w:cs="Times New Roman"/>
                <w:i w:val="0"/>
                <w:iCs w:val="0"/>
                <w:color w:val="000000"/>
                <w:kern w:val="0"/>
                <w:sz w:val="21"/>
                <w:szCs w:val="21"/>
                <w:u w:val="none"/>
                <w:lang w:val="en-US" w:eastAsia="zh-CN" w:bidi="ar"/>
              </w:rPr>
              <w:t>6</w:t>
            </w:r>
            <w:r>
              <w:rPr>
                <w:rFonts w:hint="default" w:ascii="Times New Roman" w:hAnsi="Times New Roman" w:eastAsia="方正仿宋_GB2312" w:cs="Times New Roman"/>
                <w:i w:val="0"/>
                <w:iCs w:val="0"/>
                <w:color w:val="000000"/>
                <w:kern w:val="0"/>
                <w:sz w:val="21"/>
                <w:szCs w:val="21"/>
                <w:u w:val="none"/>
                <w:lang w:val="en-US" w:eastAsia="zh-CN" w:bidi="ar"/>
              </w:rPr>
              <w:t>.29万元，结余45.1万元，预算执行率为44.6%。</w:t>
            </w:r>
          </w:p>
        </w:tc>
      </w:tr>
      <w:tr w14:paraId="42946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503B3">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1"/>
                <w:szCs w:val="21"/>
                <w:u w:val="none"/>
                <w:lang w:val="en-US" w:eastAsia="zh-CN" w:bidi="ar"/>
              </w:rPr>
            </w:pPr>
            <w:r>
              <w:rPr>
                <w:rFonts w:hint="default" w:ascii="Times New Roman" w:hAnsi="Times New Roman" w:eastAsia="方正仿宋_GB2312" w:cs="Times New Roman"/>
                <w:i w:val="0"/>
                <w:iCs w:val="0"/>
                <w:color w:val="000000"/>
                <w:kern w:val="0"/>
                <w:sz w:val="21"/>
                <w:szCs w:val="21"/>
                <w:u w:val="none"/>
                <w:lang w:val="en-US" w:eastAsia="zh-CN" w:bidi="ar"/>
              </w:rPr>
              <w:t>11</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75A47">
            <w:pPr>
              <w:jc w:val="center"/>
              <w:rPr>
                <w:rFonts w:hint="default" w:ascii="Times New Roman" w:hAnsi="Times New Roman" w:eastAsia="方正仿宋_GB2312" w:cs="Times New Roman"/>
                <w:i w:val="0"/>
                <w:iCs w:val="0"/>
                <w:color w:val="000000"/>
                <w:sz w:val="21"/>
                <w:szCs w:val="21"/>
                <w:u w:val="none"/>
                <w:lang w:val="en-US" w:eastAsia="zh-CN"/>
              </w:rPr>
            </w:pPr>
            <w:r>
              <w:rPr>
                <w:rFonts w:hint="default" w:ascii="Times New Roman" w:hAnsi="Times New Roman" w:eastAsia="方正仿宋_GB2312" w:cs="Times New Roman"/>
                <w:i w:val="0"/>
                <w:iCs w:val="0"/>
                <w:color w:val="000000"/>
                <w:sz w:val="21"/>
                <w:szCs w:val="21"/>
                <w:u w:val="none"/>
                <w:lang w:val="en-US" w:eastAsia="zh-CN"/>
              </w:rPr>
              <w:t>项目绩效</w:t>
            </w:r>
          </w:p>
        </w:tc>
        <w:tc>
          <w:tcPr>
            <w:tcW w:w="16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F6FCD">
            <w:pPr>
              <w:keepNext w:val="0"/>
              <w:keepLines w:val="0"/>
              <w:widowControl/>
              <w:suppressLineNumbers w:val="0"/>
              <w:jc w:val="both"/>
              <w:textAlignment w:val="center"/>
              <w:rPr>
                <w:rFonts w:hint="default" w:ascii="Times New Roman" w:hAnsi="Times New Roman" w:eastAsia="方正仿宋_GB2312" w:cs="Times New Roman"/>
                <w:i w:val="0"/>
                <w:iCs w:val="0"/>
                <w:color w:val="000000"/>
                <w:kern w:val="0"/>
                <w:sz w:val="21"/>
                <w:szCs w:val="21"/>
                <w:u w:val="none"/>
                <w:lang w:val="en-US" w:eastAsia="zh-CN" w:bidi="ar"/>
              </w:rPr>
            </w:pPr>
            <w:r>
              <w:rPr>
                <w:rFonts w:hint="default" w:ascii="Times New Roman" w:hAnsi="Times New Roman" w:eastAsia="方正仿宋_GB2312" w:cs="Times New Roman"/>
                <w:i w:val="0"/>
                <w:iCs w:val="0"/>
                <w:color w:val="000000"/>
                <w:kern w:val="0"/>
                <w:sz w:val="21"/>
                <w:szCs w:val="21"/>
                <w:u w:val="none"/>
                <w:lang w:val="en-US" w:eastAsia="zh-CN" w:bidi="ar"/>
              </w:rPr>
              <w:t>个别项目绩效未达预期</w:t>
            </w: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C564D">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1"/>
                <w:szCs w:val="21"/>
                <w:u w:val="none"/>
                <w:lang w:val="en-US" w:eastAsia="zh-CN" w:bidi="ar"/>
              </w:rPr>
            </w:pPr>
            <w:r>
              <w:rPr>
                <w:rFonts w:hint="default" w:ascii="Times New Roman" w:hAnsi="Times New Roman" w:eastAsia="方正仿宋_GB2312" w:cs="Times New Roman"/>
                <w:i w:val="0"/>
                <w:iCs w:val="0"/>
                <w:color w:val="000000"/>
                <w:kern w:val="0"/>
                <w:sz w:val="21"/>
                <w:szCs w:val="21"/>
                <w:u w:val="none"/>
                <w:lang w:val="en-US" w:eastAsia="zh-CN" w:bidi="ar"/>
              </w:rPr>
              <w:t>益阳市自然资源和规划局</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A2CF4">
            <w:pPr>
              <w:rPr>
                <w:rFonts w:hint="default" w:ascii="Times New Roman" w:hAnsi="Times New Roman" w:eastAsia="方正仿宋_GB2312" w:cs="Times New Roman"/>
                <w:i w:val="0"/>
                <w:iCs w:val="0"/>
                <w:color w:val="000000"/>
                <w:sz w:val="21"/>
                <w:szCs w:val="21"/>
                <w:u w:val="none"/>
              </w:rPr>
            </w:pPr>
          </w:p>
        </w:tc>
        <w:tc>
          <w:tcPr>
            <w:tcW w:w="70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42415">
            <w:pPr>
              <w:keepNext w:val="0"/>
              <w:keepLines w:val="0"/>
              <w:widowControl/>
              <w:suppressLineNumbers w:val="0"/>
              <w:jc w:val="both"/>
              <w:textAlignment w:val="center"/>
              <w:rPr>
                <w:rFonts w:hint="default" w:ascii="Times New Roman" w:hAnsi="Times New Roman" w:eastAsia="方正仿宋_GB2312" w:cs="Times New Roman"/>
                <w:i w:val="0"/>
                <w:iCs w:val="0"/>
                <w:color w:val="000000"/>
                <w:kern w:val="0"/>
                <w:sz w:val="21"/>
                <w:szCs w:val="21"/>
                <w:u w:val="none"/>
                <w:lang w:val="en-US" w:eastAsia="zh-CN" w:bidi="ar"/>
              </w:rPr>
            </w:pPr>
            <w:r>
              <w:rPr>
                <w:rFonts w:hint="default" w:ascii="Times New Roman" w:hAnsi="Times New Roman" w:eastAsia="方正仿宋_GB2312" w:cs="Times New Roman"/>
                <w:i w:val="0"/>
                <w:iCs w:val="0"/>
                <w:color w:val="000000"/>
                <w:kern w:val="0"/>
                <w:sz w:val="21"/>
                <w:szCs w:val="21"/>
                <w:u w:val="none"/>
                <w:lang w:val="en-US" w:eastAsia="zh-CN" w:bidi="ar"/>
              </w:rPr>
              <w:t>据现场勘察，目前益阳市中心城区高铁片区由于高铁车次少、人流量不大，商业辐射能力有限，片区国土空间开发利用积极性不高。 由此，为提高国土空间详细规划覆盖率而推出的益阳市中心城区高铁片区控制性详细规划编制项目，对高铁片区国土空间开发利用的现实指导意义有限。</w:t>
            </w:r>
          </w:p>
        </w:tc>
      </w:tr>
    </w:tbl>
    <w:p w14:paraId="49EDDA2F">
      <w:pPr>
        <w:pStyle w:val="15"/>
        <w:keepNext w:val="0"/>
        <w:keepLines w:val="0"/>
        <w:pageBreakBefore w:val="0"/>
        <w:widowControl w:val="0"/>
        <w:kinsoku/>
        <w:wordWrap/>
        <w:overflowPunct/>
        <w:topLinePunct w:val="0"/>
        <w:bidi w:val="0"/>
        <w:snapToGrid/>
        <w:spacing w:line="600" w:lineRule="exact"/>
        <w:jc w:val="both"/>
        <w:textAlignment w:val="auto"/>
        <w:rPr>
          <w:rFonts w:hint="default" w:ascii="Times New Roman" w:hAnsi="Times New Roman" w:eastAsia="方正仿宋_GB2312" w:cs="Times New Roman"/>
          <w:color w:val="auto"/>
          <w:kern w:val="2"/>
          <w:sz w:val="32"/>
          <w:szCs w:val="32"/>
          <w:lang w:val="en-US" w:eastAsia="zh-CN" w:bidi="ar-SA"/>
        </w:rPr>
      </w:pPr>
    </w:p>
    <w:sectPr>
      <w:pgSz w:w="16838" w:h="11906" w:orient="landscape"/>
      <w:pgMar w:top="1800" w:right="1440" w:bottom="2086"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D44EC23-3BAE-43BD-98AD-9777D5CFA66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D9A7AA65-7A8D-48EE-B922-8B7D01B44501}"/>
  </w:font>
  <w:font w:name="方正小标宋_GBK">
    <w:panose1 w:val="02000000000000000000"/>
    <w:charset w:val="86"/>
    <w:family w:val="auto"/>
    <w:pitch w:val="default"/>
    <w:sig w:usb0="A00002BF" w:usb1="38CF7CFA" w:usb2="00082016" w:usb3="00000000" w:csb0="00040001" w:csb1="00000000"/>
    <w:embedRegular r:id="rId3" w:fontKey="{C8129A9A-599B-4F8A-8EE9-50A85A0F91E9}"/>
  </w:font>
  <w:font w:name="楷体">
    <w:panose1 w:val="02010609060101010101"/>
    <w:charset w:val="86"/>
    <w:family w:val="auto"/>
    <w:pitch w:val="default"/>
    <w:sig w:usb0="800002BF" w:usb1="38CF7CFA" w:usb2="00000016" w:usb3="00000000" w:csb0="00040001" w:csb1="00000000"/>
    <w:embedRegular r:id="rId4" w:fontKey="{AFC2657C-86D6-4C1A-9409-42B0125FCA1E}"/>
  </w:font>
  <w:font w:name="仿宋">
    <w:panose1 w:val="02010609060101010101"/>
    <w:charset w:val="86"/>
    <w:family w:val="auto"/>
    <w:pitch w:val="default"/>
    <w:sig w:usb0="800002BF" w:usb1="38CF7CFA" w:usb2="00000016" w:usb3="00000000" w:csb0="00040001" w:csb1="00000000"/>
    <w:embedRegular r:id="rId5" w:fontKey="{B1223EF6-BAD6-4D74-A882-203E72BA9FD8}"/>
  </w:font>
  <w:font w:name="方正公文小标宋">
    <w:panose1 w:val="02000500000000000000"/>
    <w:charset w:val="86"/>
    <w:family w:val="auto"/>
    <w:pitch w:val="default"/>
    <w:sig w:usb0="A00002BF" w:usb1="38CF7CFA" w:usb2="00000016" w:usb3="00000000" w:csb0="00040001" w:csb1="00000000"/>
    <w:embedRegular r:id="rId6" w:fontKey="{5E0AE84B-BE69-43BF-AC7B-D7B0ACC22255}"/>
  </w:font>
  <w:font w:name="方正仿宋_GB18030">
    <w:panose1 w:val="02000000000000000000"/>
    <w:charset w:val="86"/>
    <w:family w:val="auto"/>
    <w:pitch w:val="default"/>
    <w:sig w:usb0="00000001" w:usb1="08000000" w:usb2="00000000" w:usb3="00000000" w:csb0="00040000" w:csb1="00000000"/>
    <w:embedRegular r:id="rId7" w:fontKey="{14CC839E-27CC-4E89-A958-CA66A1AC21BF}"/>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861F0">
    <w:pPr>
      <w:pStyle w:val="4"/>
      <w:tabs>
        <w:tab w:val="left" w:pos="4832"/>
        <w:tab w:val="clear" w:pos="4153"/>
      </w:tabs>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F65FE">
    <w:pPr>
      <w:pStyle w:val="4"/>
      <w:tabs>
        <w:tab w:val="left" w:pos="4832"/>
        <w:tab w:val="clear" w:pos="4153"/>
      </w:tabs>
    </w:pP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3800F">
    <w:pPr>
      <w:pStyle w:val="4"/>
      <w:tabs>
        <w:tab w:val="left" w:pos="4832"/>
        <w:tab w:val="clear" w:pos="4153"/>
      </w:tabs>
    </w:pP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89EB0">
    <w:pPr>
      <w:pStyle w:val="4"/>
      <w:tabs>
        <w:tab w:val="left" w:pos="4832"/>
        <w:tab w:val="clear" w:pos="4153"/>
      </w:tabs>
    </w:pPr>
    <w:r>
      <w:rPr>
        <w:rFonts w:hint="eastAsia"/>
        <w:lang w:eastAsia="zh-C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C44EC">
    <w:pPr>
      <w:pStyle w:val="4"/>
      <w:tabs>
        <w:tab w:val="left" w:pos="4832"/>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02BEB6">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B02BEB6">
                    <w:pPr>
                      <w:pStyle w:val="4"/>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3B72C">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A22D6B"/>
    <w:rsid w:val="00370AC5"/>
    <w:rsid w:val="003B643A"/>
    <w:rsid w:val="01726EC1"/>
    <w:rsid w:val="0183453D"/>
    <w:rsid w:val="01AC3A93"/>
    <w:rsid w:val="01CE6E92"/>
    <w:rsid w:val="025854A3"/>
    <w:rsid w:val="028931C3"/>
    <w:rsid w:val="02A209F3"/>
    <w:rsid w:val="02A837E9"/>
    <w:rsid w:val="03254DB4"/>
    <w:rsid w:val="03334755"/>
    <w:rsid w:val="034C40F5"/>
    <w:rsid w:val="039C51B8"/>
    <w:rsid w:val="03D90444"/>
    <w:rsid w:val="0431202E"/>
    <w:rsid w:val="046643CE"/>
    <w:rsid w:val="04E038D8"/>
    <w:rsid w:val="04EE6171"/>
    <w:rsid w:val="0531482F"/>
    <w:rsid w:val="05754BAB"/>
    <w:rsid w:val="05E11832"/>
    <w:rsid w:val="06023C82"/>
    <w:rsid w:val="06277B8D"/>
    <w:rsid w:val="06AD0776"/>
    <w:rsid w:val="07DE071F"/>
    <w:rsid w:val="07F12200"/>
    <w:rsid w:val="08564759"/>
    <w:rsid w:val="08D631A4"/>
    <w:rsid w:val="0A1D552E"/>
    <w:rsid w:val="0A376A5B"/>
    <w:rsid w:val="0A7B49BA"/>
    <w:rsid w:val="0B1526A9"/>
    <w:rsid w:val="0B316DB7"/>
    <w:rsid w:val="0B455C96"/>
    <w:rsid w:val="0BF47D35"/>
    <w:rsid w:val="0C232BA4"/>
    <w:rsid w:val="0C4D7C21"/>
    <w:rsid w:val="0CFA3905"/>
    <w:rsid w:val="0D701E19"/>
    <w:rsid w:val="0E08336A"/>
    <w:rsid w:val="0E0A7398"/>
    <w:rsid w:val="0E7A2600"/>
    <w:rsid w:val="0F895414"/>
    <w:rsid w:val="0FA83AEC"/>
    <w:rsid w:val="0FED59A3"/>
    <w:rsid w:val="10C44237"/>
    <w:rsid w:val="11567578"/>
    <w:rsid w:val="1182678C"/>
    <w:rsid w:val="11A405D2"/>
    <w:rsid w:val="123E24E6"/>
    <w:rsid w:val="12A10CC7"/>
    <w:rsid w:val="12A54313"/>
    <w:rsid w:val="12B46C9C"/>
    <w:rsid w:val="12E82452"/>
    <w:rsid w:val="13884674"/>
    <w:rsid w:val="13C44C6D"/>
    <w:rsid w:val="13D43AB6"/>
    <w:rsid w:val="144368AC"/>
    <w:rsid w:val="149201E8"/>
    <w:rsid w:val="14922675"/>
    <w:rsid w:val="14FA1D05"/>
    <w:rsid w:val="150A4901"/>
    <w:rsid w:val="15344D3E"/>
    <w:rsid w:val="15593193"/>
    <w:rsid w:val="15A200AC"/>
    <w:rsid w:val="15B61DBA"/>
    <w:rsid w:val="163A7468"/>
    <w:rsid w:val="163B040C"/>
    <w:rsid w:val="16A53DEB"/>
    <w:rsid w:val="17005FBC"/>
    <w:rsid w:val="17DC1AE3"/>
    <w:rsid w:val="18730A0F"/>
    <w:rsid w:val="18956BD8"/>
    <w:rsid w:val="18FE652B"/>
    <w:rsid w:val="19120228"/>
    <w:rsid w:val="19516536"/>
    <w:rsid w:val="196807D2"/>
    <w:rsid w:val="19C257AA"/>
    <w:rsid w:val="19FD23F0"/>
    <w:rsid w:val="1A5D54D3"/>
    <w:rsid w:val="1B4E3095"/>
    <w:rsid w:val="1B7B07EC"/>
    <w:rsid w:val="1B81644D"/>
    <w:rsid w:val="1C00080C"/>
    <w:rsid w:val="1C166281"/>
    <w:rsid w:val="1C2C25CD"/>
    <w:rsid w:val="1C8B27CB"/>
    <w:rsid w:val="1D90796E"/>
    <w:rsid w:val="1DAE0890"/>
    <w:rsid w:val="1E0D3D9C"/>
    <w:rsid w:val="1E1F3C17"/>
    <w:rsid w:val="1E503FCC"/>
    <w:rsid w:val="1E967D7C"/>
    <w:rsid w:val="1EFA59E6"/>
    <w:rsid w:val="1F070103"/>
    <w:rsid w:val="1F1943BE"/>
    <w:rsid w:val="1F1A1BE5"/>
    <w:rsid w:val="203B1E13"/>
    <w:rsid w:val="21235784"/>
    <w:rsid w:val="2152200F"/>
    <w:rsid w:val="223034CD"/>
    <w:rsid w:val="22531961"/>
    <w:rsid w:val="229254B9"/>
    <w:rsid w:val="22A927FD"/>
    <w:rsid w:val="22E56F44"/>
    <w:rsid w:val="22F27762"/>
    <w:rsid w:val="230F7647"/>
    <w:rsid w:val="23464ACD"/>
    <w:rsid w:val="23F32401"/>
    <w:rsid w:val="26761126"/>
    <w:rsid w:val="26B868A3"/>
    <w:rsid w:val="26CF59AB"/>
    <w:rsid w:val="278E13C2"/>
    <w:rsid w:val="27910EB2"/>
    <w:rsid w:val="27E16011"/>
    <w:rsid w:val="28595F1D"/>
    <w:rsid w:val="28DC43AF"/>
    <w:rsid w:val="290F02E0"/>
    <w:rsid w:val="29585293"/>
    <w:rsid w:val="29AB6AB6"/>
    <w:rsid w:val="29B35110"/>
    <w:rsid w:val="2A0061A4"/>
    <w:rsid w:val="2A5B478B"/>
    <w:rsid w:val="2A693A20"/>
    <w:rsid w:val="2B1E480B"/>
    <w:rsid w:val="2BF5656D"/>
    <w:rsid w:val="2C5A7AC4"/>
    <w:rsid w:val="2CE90E48"/>
    <w:rsid w:val="2D2A202F"/>
    <w:rsid w:val="2DA62C38"/>
    <w:rsid w:val="2E3C5AA7"/>
    <w:rsid w:val="2EA00766"/>
    <w:rsid w:val="2F1E302B"/>
    <w:rsid w:val="2FF43D8C"/>
    <w:rsid w:val="300B3EF7"/>
    <w:rsid w:val="3034062C"/>
    <w:rsid w:val="30444D13"/>
    <w:rsid w:val="308B4BBC"/>
    <w:rsid w:val="309238A5"/>
    <w:rsid w:val="30DC4F4C"/>
    <w:rsid w:val="312D57A8"/>
    <w:rsid w:val="316D029A"/>
    <w:rsid w:val="317B0370"/>
    <w:rsid w:val="321B41E3"/>
    <w:rsid w:val="32DE3E3A"/>
    <w:rsid w:val="335C05C6"/>
    <w:rsid w:val="33ED7470"/>
    <w:rsid w:val="34B00BC9"/>
    <w:rsid w:val="350B5E00"/>
    <w:rsid w:val="351F5D4F"/>
    <w:rsid w:val="365B3176"/>
    <w:rsid w:val="36B81FB7"/>
    <w:rsid w:val="37522FA4"/>
    <w:rsid w:val="375D2B5F"/>
    <w:rsid w:val="379C3687"/>
    <w:rsid w:val="37BE184F"/>
    <w:rsid w:val="38507FCD"/>
    <w:rsid w:val="38563157"/>
    <w:rsid w:val="38912AC0"/>
    <w:rsid w:val="38944B09"/>
    <w:rsid w:val="38B34E97"/>
    <w:rsid w:val="39290F4A"/>
    <w:rsid w:val="3949339B"/>
    <w:rsid w:val="396B1563"/>
    <w:rsid w:val="39741150"/>
    <w:rsid w:val="3A125525"/>
    <w:rsid w:val="3A2B2AA0"/>
    <w:rsid w:val="3A2B30C0"/>
    <w:rsid w:val="3AAF1E47"/>
    <w:rsid w:val="3AC16F61"/>
    <w:rsid w:val="3B3140E6"/>
    <w:rsid w:val="3B6E533A"/>
    <w:rsid w:val="3BAC19BF"/>
    <w:rsid w:val="3BD56FC5"/>
    <w:rsid w:val="3C31548D"/>
    <w:rsid w:val="3C37397E"/>
    <w:rsid w:val="3C453D96"/>
    <w:rsid w:val="3C591B47"/>
    <w:rsid w:val="3C695499"/>
    <w:rsid w:val="3CF74EBC"/>
    <w:rsid w:val="3D5E4F3B"/>
    <w:rsid w:val="3DB57DF4"/>
    <w:rsid w:val="3DDF42CD"/>
    <w:rsid w:val="3E2B12C1"/>
    <w:rsid w:val="3E8B6203"/>
    <w:rsid w:val="3E946DB9"/>
    <w:rsid w:val="3EA101DD"/>
    <w:rsid w:val="3F0A537A"/>
    <w:rsid w:val="3F454604"/>
    <w:rsid w:val="3FDD483D"/>
    <w:rsid w:val="40047C86"/>
    <w:rsid w:val="4061721C"/>
    <w:rsid w:val="40C14EE8"/>
    <w:rsid w:val="40FA31CC"/>
    <w:rsid w:val="41605725"/>
    <w:rsid w:val="41DB69BE"/>
    <w:rsid w:val="41F94255"/>
    <w:rsid w:val="42295B17"/>
    <w:rsid w:val="42613503"/>
    <w:rsid w:val="42D5417C"/>
    <w:rsid w:val="43340C18"/>
    <w:rsid w:val="435B43F6"/>
    <w:rsid w:val="43FF035F"/>
    <w:rsid w:val="44056110"/>
    <w:rsid w:val="442E1B0B"/>
    <w:rsid w:val="445B5B06"/>
    <w:rsid w:val="45105960"/>
    <w:rsid w:val="45392515"/>
    <w:rsid w:val="4574354D"/>
    <w:rsid w:val="460D7678"/>
    <w:rsid w:val="466B3AEF"/>
    <w:rsid w:val="469D2965"/>
    <w:rsid w:val="470D1EAB"/>
    <w:rsid w:val="479E513B"/>
    <w:rsid w:val="47E378B9"/>
    <w:rsid w:val="481B05F8"/>
    <w:rsid w:val="49997A26"/>
    <w:rsid w:val="4A6A3171"/>
    <w:rsid w:val="4B644DEB"/>
    <w:rsid w:val="4BA35A93"/>
    <w:rsid w:val="4BD8527D"/>
    <w:rsid w:val="4BE331DB"/>
    <w:rsid w:val="4C1636E6"/>
    <w:rsid w:val="4C177328"/>
    <w:rsid w:val="4C231067"/>
    <w:rsid w:val="4C6F2CC0"/>
    <w:rsid w:val="4CA54934"/>
    <w:rsid w:val="4DC63A2E"/>
    <w:rsid w:val="4DF55950"/>
    <w:rsid w:val="4E06259B"/>
    <w:rsid w:val="4EE259CC"/>
    <w:rsid w:val="4F0002CA"/>
    <w:rsid w:val="4F380341"/>
    <w:rsid w:val="50CF01D2"/>
    <w:rsid w:val="50D2381E"/>
    <w:rsid w:val="51224836"/>
    <w:rsid w:val="515E5916"/>
    <w:rsid w:val="51AF15E0"/>
    <w:rsid w:val="51F60CE4"/>
    <w:rsid w:val="53112C0C"/>
    <w:rsid w:val="53830363"/>
    <w:rsid w:val="5384698B"/>
    <w:rsid w:val="5398074C"/>
    <w:rsid w:val="53A25729"/>
    <w:rsid w:val="547A0454"/>
    <w:rsid w:val="548C5138"/>
    <w:rsid w:val="54E02C53"/>
    <w:rsid w:val="54ED6E78"/>
    <w:rsid w:val="54FE72D7"/>
    <w:rsid w:val="55200FFC"/>
    <w:rsid w:val="55390AA1"/>
    <w:rsid w:val="56764C4B"/>
    <w:rsid w:val="570566FB"/>
    <w:rsid w:val="5778511F"/>
    <w:rsid w:val="588419AA"/>
    <w:rsid w:val="59C208D3"/>
    <w:rsid w:val="59D2663D"/>
    <w:rsid w:val="5A413B10"/>
    <w:rsid w:val="5ABC3E9B"/>
    <w:rsid w:val="5B7025B1"/>
    <w:rsid w:val="5B763060"/>
    <w:rsid w:val="5B9C60B8"/>
    <w:rsid w:val="5C1F16D7"/>
    <w:rsid w:val="5C4E28F2"/>
    <w:rsid w:val="5C557306"/>
    <w:rsid w:val="5C732359"/>
    <w:rsid w:val="5C79523C"/>
    <w:rsid w:val="5D094C2B"/>
    <w:rsid w:val="5D941783"/>
    <w:rsid w:val="5E1E62F4"/>
    <w:rsid w:val="5F592854"/>
    <w:rsid w:val="5FEB2206"/>
    <w:rsid w:val="60385CED"/>
    <w:rsid w:val="604D2EC1"/>
    <w:rsid w:val="61FE4473"/>
    <w:rsid w:val="62373E29"/>
    <w:rsid w:val="6247406C"/>
    <w:rsid w:val="62F3476A"/>
    <w:rsid w:val="63C02C7E"/>
    <w:rsid w:val="63FC0E86"/>
    <w:rsid w:val="643717DF"/>
    <w:rsid w:val="64371EBE"/>
    <w:rsid w:val="646802C9"/>
    <w:rsid w:val="64A44A44"/>
    <w:rsid w:val="64B259E8"/>
    <w:rsid w:val="64C72B4C"/>
    <w:rsid w:val="64CC2606"/>
    <w:rsid w:val="65A1564D"/>
    <w:rsid w:val="65FC33BF"/>
    <w:rsid w:val="66065FEC"/>
    <w:rsid w:val="660B3602"/>
    <w:rsid w:val="66903B07"/>
    <w:rsid w:val="66C05D7C"/>
    <w:rsid w:val="66F04C03"/>
    <w:rsid w:val="672062E7"/>
    <w:rsid w:val="679F02B4"/>
    <w:rsid w:val="67A535E2"/>
    <w:rsid w:val="680D16E7"/>
    <w:rsid w:val="6817003C"/>
    <w:rsid w:val="69763488"/>
    <w:rsid w:val="69AE677E"/>
    <w:rsid w:val="69C16928"/>
    <w:rsid w:val="6A7C062B"/>
    <w:rsid w:val="6B33760A"/>
    <w:rsid w:val="6B742A91"/>
    <w:rsid w:val="6BA00305"/>
    <w:rsid w:val="6BE741CA"/>
    <w:rsid w:val="6C1256EA"/>
    <w:rsid w:val="6CDA3D2E"/>
    <w:rsid w:val="6D6573BD"/>
    <w:rsid w:val="6D7D3037"/>
    <w:rsid w:val="6E496D71"/>
    <w:rsid w:val="6EA22D6B"/>
    <w:rsid w:val="6EE13152"/>
    <w:rsid w:val="6F2B0871"/>
    <w:rsid w:val="6FA82893"/>
    <w:rsid w:val="702314C8"/>
    <w:rsid w:val="70384FF4"/>
    <w:rsid w:val="707D50FC"/>
    <w:rsid w:val="70812E3F"/>
    <w:rsid w:val="70993CF7"/>
    <w:rsid w:val="7099764F"/>
    <w:rsid w:val="70B7060E"/>
    <w:rsid w:val="70BF3967"/>
    <w:rsid w:val="70E645B8"/>
    <w:rsid w:val="710363A9"/>
    <w:rsid w:val="711F4406"/>
    <w:rsid w:val="72583C84"/>
    <w:rsid w:val="72EC6569"/>
    <w:rsid w:val="732C0964"/>
    <w:rsid w:val="73613229"/>
    <w:rsid w:val="750C229C"/>
    <w:rsid w:val="75412B9C"/>
    <w:rsid w:val="754C5E85"/>
    <w:rsid w:val="75510906"/>
    <w:rsid w:val="75CD4430"/>
    <w:rsid w:val="75D40F02"/>
    <w:rsid w:val="760D6F22"/>
    <w:rsid w:val="76830F93"/>
    <w:rsid w:val="772E0143"/>
    <w:rsid w:val="773C186D"/>
    <w:rsid w:val="78DB50B6"/>
    <w:rsid w:val="796450AB"/>
    <w:rsid w:val="796B643A"/>
    <w:rsid w:val="79EB30D7"/>
    <w:rsid w:val="7A017E59"/>
    <w:rsid w:val="7A4078C7"/>
    <w:rsid w:val="7A85177D"/>
    <w:rsid w:val="7A911ED0"/>
    <w:rsid w:val="7AB415BE"/>
    <w:rsid w:val="7AFB37ED"/>
    <w:rsid w:val="7B1A0118"/>
    <w:rsid w:val="7B750389"/>
    <w:rsid w:val="7D3C306F"/>
    <w:rsid w:val="7D796C4C"/>
    <w:rsid w:val="7DBD122E"/>
    <w:rsid w:val="7DEE7639"/>
    <w:rsid w:val="7E005E3C"/>
    <w:rsid w:val="7EA93AA2"/>
    <w:rsid w:val="7EB663A9"/>
    <w:rsid w:val="7F0A2251"/>
    <w:rsid w:val="7F617B41"/>
    <w:rsid w:val="7F694D38"/>
    <w:rsid w:val="7FF64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widowControl/>
      <w:spacing w:after="120"/>
      <w:jc w:val="left"/>
    </w:pPr>
    <w:rPr>
      <w:rFonts w:ascii="宋体" w:hAnsi="宋体"/>
      <w:kern w:val="0"/>
      <w:sz w:val="24"/>
    </w:rPr>
  </w:style>
  <w:style w:type="paragraph" w:styleId="3">
    <w:name w:val="index 7"/>
    <w:basedOn w:val="1"/>
    <w:next w:val="1"/>
    <w:qFormat/>
    <w:uiPriority w:val="99"/>
    <w:pPr>
      <w:ind w:left="252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paragraph" w:customStyle="1" w:styleId="13">
    <w:name w:val="Table Text"/>
    <w:basedOn w:val="1"/>
    <w:semiHidden/>
    <w:qFormat/>
    <w:uiPriority w:val="0"/>
    <w:rPr>
      <w:rFonts w:ascii="宋体" w:hAnsi="宋体" w:eastAsia="宋体" w:cs="宋体"/>
      <w:sz w:val="16"/>
      <w:szCs w:val="16"/>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Default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6">
    <w:name w:val="Other|1"/>
    <w:basedOn w:val="1"/>
    <w:qFormat/>
    <w:uiPriority w:val="0"/>
    <w:rPr>
      <w:rFonts w:ascii="宋体" w:eastAsia="宋体" w:cs="宋体"/>
      <w:sz w:val="18"/>
      <w:szCs w:val="18"/>
      <w:lang w:val="zh-TW" w:eastAsia="zh-TW" w:bidi="zh-TW"/>
    </w:rPr>
  </w:style>
  <w:style w:type="character" w:customStyle="1" w:styleId="17">
    <w:name w:val="font11"/>
    <w:basedOn w:val="11"/>
    <w:qFormat/>
    <w:uiPriority w:val="0"/>
    <w:rPr>
      <w:rFonts w:hint="eastAsia" w:ascii="方正仿宋_GB2312" w:hAnsi="方正仿宋_GB2312" w:eastAsia="方正仿宋_GB2312" w:cs="方正仿宋_GB2312"/>
      <w:b/>
      <w:bCs/>
      <w:color w:val="000000"/>
      <w:sz w:val="21"/>
      <w:szCs w:val="21"/>
      <w:u w:val="none"/>
    </w:rPr>
  </w:style>
  <w:style w:type="character" w:customStyle="1" w:styleId="18">
    <w:name w:val="font21"/>
    <w:basedOn w:val="11"/>
    <w:qFormat/>
    <w:uiPriority w:val="0"/>
    <w:rPr>
      <w:rFonts w:hint="default" w:ascii="Times New Roman" w:hAnsi="Times New Roman" w:cs="Times New Roman"/>
      <w:color w:val="000000"/>
      <w:sz w:val="18"/>
      <w:szCs w:val="18"/>
      <w:u w:val="none"/>
    </w:rPr>
  </w:style>
  <w:style w:type="character" w:customStyle="1" w:styleId="19">
    <w:name w:val="font31"/>
    <w:basedOn w:val="11"/>
    <w:qFormat/>
    <w:uiPriority w:val="0"/>
    <w:rPr>
      <w:rFonts w:hint="eastAsia" w:ascii="方正仿宋_GB2312" w:hAnsi="方正仿宋_GB2312" w:eastAsia="方正仿宋_GB2312" w:cs="方正仿宋_GB2312"/>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1a5948bf-9bad-4a03-b2af-51763d3f8276</errorID>
      <errorWord>（2025）第007号</errorWord>
      <group>L1_Knowledge</group>
      <groupName>知识性问题</groupName>
      <ability>L2_Knowledge</ability>
      <abilityName>其他知识</abilityName>
      <candidateList>
        <item>〔2025〕7号</item>
      </candidateList>
      <explain>发文字号格式错误。</explain>
      <paraID> 68D8F25</paraID>
      <start>5</start>
      <end>16</end>
      <status>ignored</status>
      <modifiedWord/>
      <trackRevisions>false</trackRevisions>
    </reviewItem>
    <reviewItem>
      <errorID>bd766f9f-ca0b-4971-be02-5998fafa3e82</errorID>
      <errorWord>，</errorWord>
      <group>L1_Word</group>
      <groupName>字词问题</groupName>
      <ability>L2_Typo</ability>
      <abilityName>字词错误</abilityName>
      <candidateList>
        <item>，支</item>
      </candidateList>
      <explain/>
      <paraID>1981A7C6</paraID>
      <start>36</start>
      <end>37</end>
      <status>unmodified</status>
      <modifiedWord/>
      <trackRevisions>false</trackRevisions>
    </reviewItem>
    <reviewItem>
      <errorID>e8e86a26-fbc5-4d2d-9dd7-d786aac00395</errorID>
      <errorWord>，</errorWord>
      <group>L1_Word</group>
      <groupName>字词问题</groupName>
      <ability>L2_Typo</ability>
      <abilityName>字词错误</abilityName>
      <candidateList>
        <item>，支</item>
      </candidateList>
      <explain/>
      <paraID>1981A7C6</paraID>
      <start>108</start>
      <end>109</end>
      <status>unmodified</status>
      <modifiedWord/>
      <trackRevisions>false</trackRevisions>
    </reviewItem>
    <reviewItem>
      <errorID>822ef04e-58ff-4f5d-b91d-5440422b652d</errorID>
      <errorWord>，</errorWord>
      <group>L1_Word</group>
      <groupName>字词问题</groupName>
      <ability>L2_Typo</ability>
      <abilityName>字词错误</abilityName>
      <candidateList>
        <item>，支</item>
      </candidateList>
      <explain/>
      <paraID>21DD22E5</paraID>
      <start>54</start>
      <end>55</end>
      <status>unmodified</status>
      <modifiedWord/>
      <trackRevisions>false</trackRevisions>
    </reviewItem>
    <reviewItem>
      <errorID>61d35508-c110-4228-a788-474dfa7dc5ed</errorID>
      <errorWord>作</errorWord>
      <group>L1_Word</group>
      <groupName>字词问题</groupName>
      <ability>L2_Typo</ability>
      <abilityName>字词错误</abilityName>
      <candidateList>
        <item>做</item>
      </candidateList>
      <explain>存在发音相同字词的误用。</explain>
      <paraID>5277E950</paraID>
      <start>33</start>
      <end>34</end>
      <status>unmodified</status>
      <modifiedWord/>
      <trackRevisions>false</trackRevisions>
    </reviewItem>
    <reviewItem>
      <errorID>751d05e8-70a1-40a2-9dbf-f43d7c222eb3</errorID>
      <errorWord>局</errorWord>
      <group>L1_Word</group>
      <groupName>字词问题</groupName>
      <ability>L2_Typo</ability>
      <abilityName>字词错误</abilityName>
      <candidateList>
        <item>局在</item>
      </candidateList>
      <explain/>
      <paraID>7E44FF69</paraID>
      <start>10</start>
      <end>11</end>
      <status>ignored</status>
      <modifiedWord/>
      <trackRevisions>false</trackRevisions>
    </reviewItem>
    <reviewItem>
      <errorID>78e6db0b-47a0-4e3c-8025-01fe16593df5</errorID>
      <errorWord>（</errorWord>
      <group>L1_Punc</group>
      <groupName>标点问题</groupName>
      <ability>L2_Punc</ability>
      <abilityName>标点符号检查</abilityName>
      <candidateList/>
      <explain/>
      <paraID>43423DA6</paraID>
      <start>24</start>
      <end>25</end>
      <status>unmodified</status>
      <modifiedWord/>
      <trackRevisions>false</trackRevisions>
    </reviewItem>
    <reviewItem>
      <errorID>8fc276e1-5aaa-4313-a3b6-473dd6751ba8</errorID>
      <errorWord>]</errorWord>
      <group>L1_Punc</group>
      <groupName>标点问题</groupName>
      <ability>L2_Punc</ability>
      <abilityName>标点符号检查</abilityName>
      <candidateList/>
      <explain/>
      <paraID>43423DA6</paraID>
      <start>30</start>
      <end>31</end>
      <status>unmodified</status>
      <modifiedWord/>
      <trackRevisions>false</trackRevisions>
    </reviewItem>
    <reviewItem>
      <errorID>66839731-61f7-47a1-ae3c-51ccb365feb7</errorID>
      <errorWord>（</errorWord>
      <group>L1_Punc</group>
      <groupName>标点问题</groupName>
      <ability>L2_Punc</ability>
      <abilityName>标点符号检查</abilityName>
      <candidateList/>
      <explain/>
      <paraID>43423DA6</paraID>
      <start>35</start>
      <end>36</end>
      <status>unmodified</status>
      <modifiedWord/>
      <trackRevisions>false</trackRevisions>
    </reviewItem>
    <reviewItem>
      <errorID>f1f0d42d-8ad3-4d89-91e9-759f780f9e60</errorID>
      <errorWord>]</errorWord>
      <group>L1_Punc</group>
      <groupName>标点问题</groupName>
      <ability>L2_Punc</ability>
      <abilityName>标点符号检查</abilityName>
      <candidateList/>
      <explain/>
      <paraID>43423DA6</paraID>
      <start>41</start>
      <end>42</end>
      <status>unmodified</status>
      <modifiedWord/>
      <trackRevisions>false</trackRevisions>
    </reviewItem>
    <reviewItem>
      <errorID>69d14270-b642-4900-9523-6855f0e6fdea</errorID>
      <errorWord>，</errorWord>
      <group>L1_Word</group>
      <groupName>字词问题</groupName>
      <ability>L2_Typo</ability>
      <abilityName>字词错误</abilityName>
      <candidateList>
        <item>，支</item>
      </candidateList>
      <explain/>
      <paraID>  66B1A3</paraID>
      <start>50</start>
      <end>51</end>
      <status>unmodified</status>
      <modifiedWord/>
      <trackRevisions>false</trackRevisions>
    </reviewItem>
    <reviewItem>
      <errorID>e168165e-8b70-448c-847b-f8a6ae33d636</errorID>
      <errorWord>，</errorWord>
      <group>L1_Word</group>
      <groupName>字词问题</groupName>
      <ability>L2_Typo</ability>
      <abilityName>字词错误</abilityName>
      <candidateList>
        <item>，支</item>
      </candidateList>
      <explain/>
      <paraID>14987BC1</paraID>
      <start>33</start>
      <end>34</end>
      <status>unmodified</status>
      <modifiedWord/>
      <trackRevisions>false</trackRevisions>
    </reviewItem>
    <reviewItem>
      <errorID>bf397239-c6e5-4459-b117-7299b6eeb42e</errorID>
      <errorWord>，</errorWord>
      <group>L1_Word</group>
      <groupName>字词问题</groupName>
      <ability>L2_Typo</ability>
      <abilityName>字词错误</abilityName>
      <candidateList>
        <item>，支</item>
      </candidateList>
      <explain/>
      <paraID>14987BC1</paraID>
      <start>105</start>
      <end>106</end>
      <status>unmodified</status>
      <modifiedWord/>
      <trackRevisions>false</trackRevisions>
    </reviewItem>
    <reviewItem>
      <errorID>3728b3e6-dd2c-49c5-96b8-98a8b9099f8e</errorID>
      <errorWord>，</errorWord>
      <group>L1_Word</group>
      <groupName>字词问题</groupName>
      <ability>L2_Typo</ability>
      <abilityName>字词错误</abilityName>
      <candidateList>
        <item>，支</item>
      </candidateList>
      <explain/>
      <paraID>6B07E0C7</paraID>
      <start>19</start>
      <end>20</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d2fc76-a038-4033-b98d-85accc5403b5}">
  <ds:schemaRefs/>
</ds:datastoreItem>
</file>

<file path=docProps/app.xml><?xml version="1.0" encoding="utf-8"?>
<Properties xmlns="http://schemas.openxmlformats.org/officeDocument/2006/extended-properties" xmlns:vt="http://schemas.openxmlformats.org/officeDocument/2006/docPropsVTypes">
  <Template>Normal.dotm</Template>
  <Pages>33</Pages>
  <Words>5126</Words>
  <Characters>5738</Characters>
  <Lines>0</Lines>
  <Paragraphs>0</Paragraphs>
  <TotalTime>11</TotalTime>
  <ScaleCrop>false</ScaleCrop>
  <LinksUpToDate>false</LinksUpToDate>
  <CharactersWithSpaces>5832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2025-06-16T02:00:00Z</dcterms:created>
  <dc:creator>曹艳红</dc:creator>
  <cp:lastModifiedBy>曹艳红</cp:lastModifiedBy>
  <cp:lastPrinted>2025-12-01T02:51:00Z</cp:lastPrinted>
  <dcterms:modified xsi:type="dcterms:W3CDTF">2025-12-01T02:58:39Z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90B48AA5EBB448D3BA96B21B163164BB_13</vt:lpwstr>
  </property>
  <property fmtid="{D5CDD505-2E9C-101B-9397-08002B2CF9AE}" pid="4" name="KSOTemplateDocerSaveRecord">
    <vt:lpwstr>eyJoZGlkIjoiNTU1YTQyYTAzMGVkYjM0ZDljODMxMmEwNjFmYTY2YmYiLCJ1c2VySWQiOiI5MzUwNzMzOTIifQ==</vt:lpwstr>
  </property>
</Properties>
</file>