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012D0" w:rsidRDefault="00A012D0">
      <w:pPr>
        <w:autoSpaceDE w:val="0"/>
        <w:autoSpaceDN w:val="0"/>
        <w:adjustRightInd w:val="0"/>
        <w:spacing w:line="700" w:lineRule="atLeast"/>
        <w:rPr>
          <w:rFonts w:ascii="宋体" w:eastAsia="宋体" w:hAnsi="宋体" w:cs="宋体" w:hint="eastAsia"/>
          <w:b/>
          <w:bCs/>
          <w:kern w:val="0"/>
          <w:sz w:val="36"/>
          <w:szCs w:val="36"/>
          <w:lang w:val="zh-CN"/>
        </w:rPr>
      </w:pPr>
    </w:p>
    <w:p w:rsidR="00A012D0" w:rsidRDefault="00A012D0">
      <w:pPr>
        <w:autoSpaceDE w:val="0"/>
        <w:autoSpaceDN w:val="0"/>
        <w:adjustRightInd w:val="0"/>
        <w:spacing w:line="900" w:lineRule="exact"/>
        <w:jc w:val="center"/>
        <w:rPr>
          <w:rFonts w:ascii="Times New Roman" w:eastAsia="方正小标宋简体" w:hAnsi="Times New Roman"/>
          <w:bCs/>
          <w:kern w:val="0"/>
          <w:sz w:val="44"/>
          <w:szCs w:val="44"/>
        </w:rPr>
      </w:pPr>
    </w:p>
    <w:p w:rsidR="00A012D0" w:rsidRDefault="00E756AF">
      <w:pPr>
        <w:autoSpaceDE w:val="0"/>
        <w:autoSpaceDN w:val="0"/>
        <w:adjustRightInd w:val="0"/>
        <w:spacing w:line="90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益阳市商务局开放型经济与产业发展</w:t>
      </w:r>
    </w:p>
    <w:p w:rsidR="00A012D0" w:rsidRDefault="00E756AF">
      <w:pPr>
        <w:autoSpaceDE w:val="0"/>
        <w:autoSpaceDN w:val="0"/>
        <w:adjustRightInd w:val="0"/>
        <w:spacing w:line="90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引导资金绩效评价报告</w:t>
      </w:r>
    </w:p>
    <w:p w:rsidR="00A012D0" w:rsidRDefault="00A012D0">
      <w:pPr>
        <w:tabs>
          <w:tab w:val="left" w:pos="1260"/>
          <w:tab w:val="left" w:pos="6090"/>
        </w:tabs>
        <w:autoSpaceDE w:val="0"/>
        <w:autoSpaceDN w:val="0"/>
        <w:adjustRightInd w:val="0"/>
        <w:spacing w:line="900" w:lineRule="exact"/>
        <w:jc w:val="center"/>
        <w:rPr>
          <w:rFonts w:ascii="Times New Roman" w:eastAsia="方正仿宋_GB2312" w:hAnsi="Times New Roman"/>
          <w:bCs/>
          <w:spacing w:val="24"/>
          <w:kern w:val="0"/>
          <w:szCs w:val="32"/>
          <w:lang w:val="zh-CN"/>
        </w:rPr>
      </w:pPr>
    </w:p>
    <w:p w:rsidR="00A012D0" w:rsidRDefault="00E756AF">
      <w:pPr>
        <w:tabs>
          <w:tab w:val="left" w:pos="1260"/>
          <w:tab w:val="left" w:pos="6090"/>
        </w:tabs>
        <w:autoSpaceDE w:val="0"/>
        <w:autoSpaceDN w:val="0"/>
        <w:adjustRightInd w:val="0"/>
        <w:spacing w:line="900" w:lineRule="exact"/>
        <w:jc w:val="center"/>
        <w:rPr>
          <w:rFonts w:ascii="Times New Roman" w:eastAsia="方正仿宋_GB2312" w:hAnsi="Times New Roman"/>
          <w:bCs/>
          <w:spacing w:val="24"/>
          <w:kern w:val="0"/>
          <w:szCs w:val="32"/>
          <w:lang w:val="zh-CN"/>
        </w:rPr>
      </w:pPr>
      <w:r>
        <w:rPr>
          <w:rFonts w:ascii="楷体" w:eastAsia="楷体" w:hAnsi="楷体" w:cs="楷体" w:hint="eastAsia"/>
          <w:bCs/>
          <w:spacing w:val="24"/>
          <w:kern w:val="0"/>
          <w:szCs w:val="32"/>
          <w:lang w:val="zh-CN"/>
        </w:rPr>
        <w:t>湘源成财绩评字</w:t>
      </w:r>
      <w:r>
        <w:rPr>
          <w:rFonts w:ascii="楷体" w:eastAsia="楷体" w:hAnsi="楷体" w:cs="楷体" w:hint="eastAsia"/>
          <w:bCs/>
          <w:spacing w:val="24"/>
          <w:kern w:val="0"/>
          <w:szCs w:val="32"/>
        </w:rPr>
        <w:t>〔</w:t>
      </w:r>
      <w:r>
        <w:rPr>
          <w:rFonts w:ascii="楷体" w:eastAsia="楷体" w:hAnsi="楷体" w:cs="楷体" w:hint="eastAsia"/>
          <w:bCs/>
          <w:spacing w:val="24"/>
          <w:kern w:val="0"/>
          <w:szCs w:val="32"/>
          <w:lang w:val="zh-CN"/>
        </w:rPr>
        <w:t>202</w:t>
      </w:r>
      <w:r>
        <w:rPr>
          <w:rFonts w:ascii="楷体" w:eastAsia="楷体" w:hAnsi="楷体" w:cs="楷体" w:hint="eastAsia"/>
          <w:bCs/>
          <w:spacing w:val="24"/>
          <w:kern w:val="0"/>
          <w:szCs w:val="32"/>
        </w:rPr>
        <w:t>5〕29</w:t>
      </w:r>
      <w:r>
        <w:rPr>
          <w:rFonts w:ascii="楷体" w:eastAsia="楷体" w:hAnsi="楷体" w:cs="楷体" w:hint="eastAsia"/>
          <w:bCs/>
          <w:spacing w:val="24"/>
          <w:kern w:val="0"/>
          <w:szCs w:val="32"/>
          <w:lang w:val="zh-CN"/>
        </w:rPr>
        <w:t>号</w:t>
      </w:r>
    </w:p>
    <w:p w:rsidR="00A012D0" w:rsidRDefault="00A012D0">
      <w:pPr>
        <w:autoSpaceDE w:val="0"/>
        <w:autoSpaceDN w:val="0"/>
        <w:adjustRightInd w:val="0"/>
        <w:spacing w:line="700" w:lineRule="atLeast"/>
        <w:ind w:firstLine="848"/>
        <w:jc w:val="center"/>
        <w:rPr>
          <w:rFonts w:ascii="宋体" w:eastAsia="宋体" w:hAnsi="宋体" w:cs="宋体"/>
          <w:b/>
          <w:bCs/>
          <w:kern w:val="0"/>
          <w:sz w:val="36"/>
          <w:szCs w:val="36"/>
        </w:rPr>
      </w:pPr>
    </w:p>
    <w:p w:rsidR="00A012D0" w:rsidRDefault="00A012D0">
      <w:pPr>
        <w:autoSpaceDE w:val="0"/>
        <w:autoSpaceDN w:val="0"/>
        <w:adjustRightInd w:val="0"/>
        <w:spacing w:line="700" w:lineRule="atLeast"/>
        <w:ind w:firstLine="848"/>
        <w:jc w:val="center"/>
        <w:rPr>
          <w:rFonts w:ascii="宋体" w:eastAsia="宋体" w:hAnsi="宋体" w:cs="宋体"/>
          <w:b/>
          <w:bCs/>
          <w:kern w:val="0"/>
          <w:sz w:val="36"/>
          <w:szCs w:val="36"/>
        </w:rPr>
      </w:pPr>
    </w:p>
    <w:p w:rsidR="00A012D0" w:rsidRDefault="00A012D0">
      <w:pPr>
        <w:autoSpaceDE w:val="0"/>
        <w:autoSpaceDN w:val="0"/>
        <w:adjustRightInd w:val="0"/>
        <w:spacing w:line="700" w:lineRule="atLeast"/>
        <w:ind w:firstLine="848"/>
        <w:jc w:val="center"/>
        <w:rPr>
          <w:rFonts w:ascii="宋体" w:eastAsia="宋体" w:hAnsi="宋体" w:cs="宋体"/>
          <w:b/>
          <w:bCs/>
          <w:kern w:val="0"/>
          <w:sz w:val="36"/>
          <w:szCs w:val="36"/>
        </w:rPr>
      </w:pPr>
    </w:p>
    <w:p w:rsidR="00A012D0" w:rsidRDefault="00A012D0">
      <w:pPr>
        <w:autoSpaceDE w:val="0"/>
        <w:autoSpaceDN w:val="0"/>
        <w:adjustRightInd w:val="0"/>
        <w:spacing w:line="700" w:lineRule="atLeast"/>
        <w:ind w:firstLine="848"/>
        <w:jc w:val="center"/>
        <w:rPr>
          <w:rFonts w:ascii="宋体" w:eastAsia="宋体" w:hAnsi="宋体" w:cs="宋体"/>
          <w:b/>
          <w:bCs/>
          <w:kern w:val="0"/>
          <w:sz w:val="36"/>
          <w:szCs w:val="36"/>
        </w:rPr>
      </w:pPr>
    </w:p>
    <w:p w:rsidR="00A012D0" w:rsidRDefault="00A012D0">
      <w:pPr>
        <w:autoSpaceDE w:val="0"/>
        <w:autoSpaceDN w:val="0"/>
        <w:adjustRightInd w:val="0"/>
        <w:spacing w:line="700" w:lineRule="atLeast"/>
        <w:ind w:firstLine="848"/>
        <w:jc w:val="center"/>
        <w:rPr>
          <w:rFonts w:ascii="宋体" w:eastAsia="宋体" w:hAnsi="宋体" w:cs="宋体"/>
          <w:b/>
          <w:bCs/>
          <w:kern w:val="0"/>
          <w:sz w:val="36"/>
          <w:szCs w:val="36"/>
        </w:rPr>
      </w:pPr>
    </w:p>
    <w:p w:rsidR="00A012D0" w:rsidRDefault="00E756AF">
      <w:pPr>
        <w:autoSpaceDE w:val="0"/>
        <w:autoSpaceDN w:val="0"/>
        <w:adjustRightInd w:val="0"/>
        <w:spacing w:line="700" w:lineRule="atLeast"/>
        <w:rPr>
          <w:rFonts w:ascii="宋体" w:eastAsia="宋体" w:hAnsi="宋体" w:cs="宋体"/>
          <w:b/>
          <w:bCs/>
          <w:kern w:val="0"/>
          <w:sz w:val="30"/>
          <w:szCs w:val="30"/>
          <w:u w:val="single"/>
        </w:rPr>
      </w:pPr>
      <w:r>
        <w:rPr>
          <w:rFonts w:ascii="宋体" w:eastAsia="宋体" w:hAnsi="宋体" w:cs="宋体" w:hint="eastAsia"/>
          <w:b/>
          <w:bCs/>
          <w:kern w:val="0"/>
          <w:sz w:val="30"/>
          <w:szCs w:val="30"/>
        </w:rPr>
        <w:t>项目名称：</w:t>
      </w:r>
      <w:r>
        <w:rPr>
          <w:rFonts w:ascii="宋体" w:eastAsia="宋体" w:hAnsi="宋体" w:cs="宋体" w:hint="eastAsia"/>
          <w:b/>
          <w:bCs/>
          <w:kern w:val="0"/>
          <w:sz w:val="30"/>
          <w:szCs w:val="30"/>
          <w:u w:val="single"/>
        </w:rPr>
        <w:t xml:space="preserve"> </w:t>
      </w:r>
      <w:r>
        <w:rPr>
          <w:rFonts w:ascii="Times New Roman" w:eastAsia="方正仿宋_GB2312" w:hAnsi="Times New Roman" w:hint="eastAsia"/>
          <w:b/>
          <w:bCs/>
          <w:spacing w:val="-6"/>
          <w:w w:val="96"/>
          <w:kern w:val="0"/>
          <w:sz w:val="30"/>
          <w:szCs w:val="30"/>
          <w:u w:val="single"/>
        </w:rPr>
        <w:t>益阳市商务局开放型经济与产业发展引导资金绩效评价</w:t>
      </w:r>
      <w:r>
        <w:rPr>
          <w:rFonts w:ascii="Times New Roman" w:eastAsia="方正仿宋_GB2312" w:hAnsi="Times New Roman" w:hint="eastAsia"/>
          <w:b/>
          <w:bCs/>
          <w:spacing w:val="-6"/>
          <w:w w:val="96"/>
          <w:kern w:val="0"/>
          <w:sz w:val="30"/>
          <w:szCs w:val="30"/>
          <w:u w:val="single"/>
        </w:rPr>
        <w:t xml:space="preserve"> </w:t>
      </w:r>
      <w:r>
        <w:rPr>
          <w:rFonts w:ascii="宋体" w:eastAsia="宋体" w:hAnsi="宋体" w:cs="宋体" w:hint="eastAsia"/>
          <w:b/>
          <w:bCs/>
          <w:kern w:val="0"/>
          <w:sz w:val="30"/>
          <w:szCs w:val="30"/>
        </w:rPr>
        <w:t>主管部门：</w:t>
      </w:r>
      <w:r>
        <w:rPr>
          <w:rFonts w:ascii="宋体" w:eastAsia="宋体" w:hAnsi="宋体" w:cs="宋体" w:hint="eastAsia"/>
          <w:b/>
          <w:bCs/>
          <w:kern w:val="0"/>
          <w:sz w:val="30"/>
          <w:szCs w:val="30"/>
          <w:u w:val="single"/>
        </w:rPr>
        <w:t xml:space="preserve">       </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kern w:val="0"/>
          <w:szCs w:val="32"/>
          <w:u w:val="single"/>
        </w:rPr>
        <w:t>益阳市市场监督管理局</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color w:val="FFFFFF" w:themeColor="background1"/>
          <w:kern w:val="0"/>
          <w:szCs w:val="32"/>
          <w:u w:val="single"/>
        </w:rPr>
        <w:t>局</w:t>
      </w:r>
      <w:r>
        <w:rPr>
          <w:rFonts w:ascii="宋体" w:eastAsia="宋体" w:hAnsi="宋体" w:cs="宋体" w:hint="eastAsia"/>
          <w:b/>
          <w:bCs/>
          <w:kern w:val="0"/>
          <w:sz w:val="30"/>
          <w:szCs w:val="30"/>
        </w:rPr>
        <w:t>组织单位：</w:t>
      </w:r>
      <w:r>
        <w:rPr>
          <w:rFonts w:ascii="宋体" w:eastAsia="宋体" w:hAnsi="宋体" w:cs="宋体" w:hint="eastAsia"/>
          <w:b/>
          <w:bCs/>
          <w:kern w:val="0"/>
          <w:sz w:val="30"/>
          <w:szCs w:val="30"/>
          <w:u w:val="single"/>
        </w:rPr>
        <w:t xml:space="preserve">              </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kern w:val="0"/>
          <w:szCs w:val="32"/>
          <w:u w:val="single"/>
        </w:rPr>
        <w:t>益阳市财政局</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color w:val="FFFFFF" w:themeColor="background1"/>
          <w:kern w:val="0"/>
          <w:szCs w:val="32"/>
          <w:u w:val="single"/>
        </w:rPr>
        <w:t>局</w:t>
      </w:r>
      <w:r>
        <w:rPr>
          <w:rFonts w:ascii="宋体" w:eastAsia="宋体" w:hAnsi="宋体" w:cs="宋体" w:hint="eastAsia"/>
          <w:b/>
          <w:bCs/>
          <w:kern w:val="0"/>
          <w:sz w:val="30"/>
          <w:szCs w:val="30"/>
        </w:rPr>
        <w:t>评价机构：</w:t>
      </w:r>
      <w:r>
        <w:rPr>
          <w:rFonts w:ascii="宋体" w:eastAsia="宋体" w:hAnsi="宋体" w:cs="宋体" w:hint="eastAsia"/>
          <w:b/>
          <w:bCs/>
          <w:kern w:val="0"/>
          <w:sz w:val="30"/>
          <w:szCs w:val="30"/>
          <w:u w:val="single"/>
        </w:rPr>
        <w:t xml:space="preserve"> </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kern w:val="0"/>
          <w:szCs w:val="32"/>
          <w:u w:val="single"/>
        </w:rPr>
        <w:t>湖南源成会计师事务（普通合伙）</w:t>
      </w:r>
      <w:r>
        <w:rPr>
          <w:rFonts w:ascii="Times New Roman" w:eastAsia="方正仿宋_GB2312" w:hAnsi="Times New Roman" w:hint="eastAsia"/>
          <w:b/>
          <w:bCs/>
          <w:kern w:val="0"/>
          <w:szCs w:val="32"/>
          <w:u w:val="single"/>
        </w:rPr>
        <w:t xml:space="preserve">    </w:t>
      </w:r>
      <w:r>
        <w:rPr>
          <w:rFonts w:ascii="Times New Roman" w:eastAsia="方正仿宋_GB2312" w:hAnsi="Times New Roman" w:hint="eastAsia"/>
          <w:b/>
          <w:bCs/>
          <w:color w:val="FFFFFF" w:themeColor="background1"/>
          <w:kern w:val="0"/>
          <w:szCs w:val="32"/>
          <w:u w:val="single"/>
        </w:rPr>
        <w:t>局</w:t>
      </w:r>
    </w:p>
    <w:p w:rsidR="00A012D0" w:rsidRDefault="00A012D0">
      <w:pPr>
        <w:sectPr w:rsidR="00A012D0">
          <w:pgSz w:w="11906" w:h="16838"/>
          <w:pgMar w:top="1440" w:right="1800" w:bottom="1440" w:left="1800" w:header="624" w:footer="1020" w:gutter="0"/>
          <w:pgNumType w:start="1"/>
          <w:cols w:space="720"/>
        </w:sectPr>
      </w:pPr>
    </w:p>
    <w:sdt>
      <w:sdtPr>
        <w:rPr>
          <w:rFonts w:ascii="宋体" w:eastAsia="宋体" w:hAnsi="宋体"/>
          <w:sz w:val="21"/>
        </w:rPr>
        <w:id w:val="147463083"/>
        <w:docPartObj>
          <w:docPartGallery w:val="Table of Contents"/>
          <w:docPartUnique/>
        </w:docPartObj>
      </w:sdtPr>
      <w:sdtEndPr>
        <w:rPr>
          <w:rFonts w:cs="仿宋" w:hint="eastAsia"/>
          <w:color w:val="000000"/>
          <w:w w:val="50"/>
          <w:kern w:val="144"/>
          <w:position w:val="-10"/>
          <w:sz w:val="32"/>
          <w:szCs w:val="112"/>
        </w:rPr>
      </w:sdtEndPr>
      <w:sdtContent>
        <w:p w:rsidR="00A012D0" w:rsidRDefault="00E756AF">
          <w:pPr>
            <w:jc w:val="center"/>
            <w:rPr>
              <w:rFonts w:ascii="黑体" w:eastAsia="黑体" w:hAnsi="黑体" w:cs="黑体"/>
              <w:sz w:val="56"/>
              <w:szCs w:val="72"/>
            </w:rPr>
          </w:pPr>
          <w:r>
            <w:rPr>
              <w:rFonts w:ascii="黑体" w:eastAsia="黑体" w:hAnsi="黑体" w:cs="黑体" w:hint="eastAsia"/>
              <w:sz w:val="56"/>
              <w:szCs w:val="72"/>
            </w:rPr>
            <w:t>目  录</w:t>
          </w:r>
        </w:p>
        <w:p w:rsidR="00A012D0" w:rsidRDefault="00373003">
          <w:pPr>
            <w:pStyle w:val="10"/>
            <w:tabs>
              <w:tab w:val="right" w:leader="dot" w:pos="9184"/>
            </w:tabs>
            <w:spacing w:line="520" w:lineRule="exact"/>
          </w:pPr>
          <w:r>
            <w:rPr>
              <w:rFonts w:ascii="宋体" w:eastAsia="宋体" w:hAnsi="宋体" w:cs="仿宋" w:hint="eastAsia"/>
              <w:color w:val="000000"/>
              <w:w w:val="50"/>
              <w:kern w:val="144"/>
              <w:position w:val="-10"/>
              <w:szCs w:val="112"/>
            </w:rPr>
            <w:fldChar w:fldCharType="begin"/>
          </w:r>
          <w:r w:rsidR="00E756AF">
            <w:rPr>
              <w:rFonts w:ascii="宋体" w:eastAsia="宋体" w:hAnsi="宋体" w:cs="仿宋" w:hint="eastAsia"/>
              <w:color w:val="000000"/>
              <w:w w:val="50"/>
              <w:kern w:val="144"/>
              <w:position w:val="-10"/>
              <w:szCs w:val="112"/>
            </w:rPr>
            <w:instrText xml:space="preserve">TOC \o "1-9" \h \u </w:instrText>
          </w:r>
          <w:r>
            <w:rPr>
              <w:rFonts w:ascii="宋体" w:eastAsia="宋体" w:hAnsi="宋体" w:cs="仿宋" w:hint="eastAsia"/>
              <w:color w:val="000000"/>
              <w:w w:val="50"/>
              <w:kern w:val="144"/>
              <w:position w:val="-10"/>
              <w:szCs w:val="112"/>
            </w:rPr>
            <w:fldChar w:fldCharType="separate"/>
          </w:r>
          <w:hyperlink w:anchor="_Toc12896" w:history="1">
            <w:r w:rsidR="00E756AF">
              <w:rPr>
                <w:rFonts w:ascii="黑体" w:eastAsia="黑体" w:hAnsi="黑体" w:cs="黑体" w:hint="eastAsia"/>
                <w:bCs/>
                <w:szCs w:val="32"/>
              </w:rPr>
              <w:t>一、工作概况</w:t>
            </w:r>
            <w:r w:rsidR="00E756AF">
              <w:tab/>
            </w:r>
            <w:r>
              <w:fldChar w:fldCharType="begin"/>
            </w:r>
            <w:r w:rsidR="00E756AF">
              <w:instrText xml:space="preserve"> PAGEREF _Toc12896 \h </w:instrText>
            </w:r>
            <w:r>
              <w:fldChar w:fldCharType="separate"/>
            </w:r>
            <w:r w:rsidR="00E756AF">
              <w:t>1</w:t>
            </w:r>
            <w:r>
              <w:fldChar w:fldCharType="end"/>
            </w:r>
          </w:hyperlink>
        </w:p>
        <w:p w:rsidR="00A012D0" w:rsidRDefault="00373003" w:rsidP="000B6EE5">
          <w:pPr>
            <w:pStyle w:val="2"/>
            <w:tabs>
              <w:tab w:val="right" w:leader="dot" w:pos="9184"/>
            </w:tabs>
            <w:spacing w:line="520" w:lineRule="exact"/>
            <w:ind w:left="648"/>
          </w:pPr>
          <w:hyperlink w:anchor="_Toc7540" w:history="1">
            <w:r w:rsidR="00E756AF">
              <w:rPr>
                <w:rFonts w:ascii="楷体" w:eastAsia="楷体" w:hAnsi="楷体" w:cs="楷体" w:hint="eastAsia"/>
                <w:szCs w:val="32"/>
              </w:rPr>
              <w:t>（一）绩效评价范围</w:t>
            </w:r>
            <w:r w:rsidR="00E756AF">
              <w:tab/>
            </w:r>
            <w:r>
              <w:fldChar w:fldCharType="begin"/>
            </w:r>
            <w:r w:rsidR="00E756AF">
              <w:instrText xml:space="preserve"> PAGEREF _Toc7540 \h </w:instrText>
            </w:r>
            <w:r>
              <w:fldChar w:fldCharType="separate"/>
            </w:r>
            <w:r w:rsidR="00E756AF">
              <w:t>1</w:t>
            </w:r>
            <w:r>
              <w:fldChar w:fldCharType="end"/>
            </w:r>
          </w:hyperlink>
        </w:p>
        <w:p w:rsidR="00A012D0" w:rsidRDefault="00373003" w:rsidP="000B6EE5">
          <w:pPr>
            <w:pStyle w:val="2"/>
            <w:tabs>
              <w:tab w:val="right" w:leader="dot" w:pos="9184"/>
            </w:tabs>
            <w:spacing w:line="520" w:lineRule="exact"/>
            <w:ind w:left="648"/>
          </w:pPr>
          <w:hyperlink w:anchor="_Toc30165" w:history="1">
            <w:r w:rsidR="00E756AF">
              <w:rPr>
                <w:rFonts w:ascii="楷体" w:eastAsia="楷体" w:hAnsi="楷体" w:cs="楷体" w:hint="eastAsia"/>
                <w:szCs w:val="32"/>
              </w:rPr>
              <w:t>（二）绩效评价主要依据</w:t>
            </w:r>
            <w:r w:rsidR="00E756AF">
              <w:tab/>
            </w:r>
            <w:r>
              <w:fldChar w:fldCharType="begin"/>
            </w:r>
            <w:r w:rsidR="00E756AF">
              <w:instrText xml:space="preserve"> PAGEREF _Toc30165 \h </w:instrText>
            </w:r>
            <w:r>
              <w:fldChar w:fldCharType="separate"/>
            </w:r>
            <w:r w:rsidR="00E756AF">
              <w:t>1</w:t>
            </w:r>
            <w:r>
              <w:fldChar w:fldCharType="end"/>
            </w:r>
          </w:hyperlink>
        </w:p>
        <w:p w:rsidR="00A012D0" w:rsidRDefault="00373003" w:rsidP="000B6EE5">
          <w:pPr>
            <w:pStyle w:val="2"/>
            <w:tabs>
              <w:tab w:val="right" w:leader="dot" w:pos="9184"/>
            </w:tabs>
            <w:spacing w:line="520" w:lineRule="exact"/>
            <w:ind w:left="648"/>
          </w:pPr>
          <w:hyperlink w:anchor="_Toc22151" w:history="1">
            <w:r w:rsidR="00E756AF">
              <w:rPr>
                <w:rFonts w:ascii="楷体" w:eastAsia="楷体" w:hAnsi="楷体" w:cs="楷体" w:hint="eastAsia"/>
                <w:szCs w:val="32"/>
              </w:rPr>
              <w:t>（三）绩效评价体系</w:t>
            </w:r>
            <w:r w:rsidR="00E756AF">
              <w:tab/>
            </w:r>
            <w:r>
              <w:fldChar w:fldCharType="begin"/>
            </w:r>
            <w:r w:rsidR="00E756AF">
              <w:instrText xml:space="preserve"> PAGEREF _Toc22151 \h </w:instrText>
            </w:r>
            <w:r>
              <w:fldChar w:fldCharType="separate"/>
            </w:r>
            <w:r w:rsidR="00E756AF">
              <w:t>2</w:t>
            </w:r>
            <w:r>
              <w:fldChar w:fldCharType="end"/>
            </w:r>
          </w:hyperlink>
        </w:p>
        <w:p w:rsidR="00A012D0" w:rsidRDefault="00373003" w:rsidP="000B6EE5">
          <w:pPr>
            <w:pStyle w:val="2"/>
            <w:tabs>
              <w:tab w:val="right" w:leader="dot" w:pos="9184"/>
            </w:tabs>
            <w:spacing w:line="520" w:lineRule="exact"/>
            <w:ind w:left="648"/>
          </w:pPr>
          <w:hyperlink w:anchor="_Toc4832" w:history="1">
            <w:r w:rsidR="00E756AF">
              <w:rPr>
                <w:rFonts w:ascii="楷体" w:eastAsia="楷体" w:hAnsi="楷体" w:cs="楷体" w:hint="eastAsia"/>
                <w:szCs w:val="32"/>
              </w:rPr>
              <w:t>（四）绩效评价方法</w:t>
            </w:r>
            <w:r w:rsidR="00E756AF">
              <w:tab/>
            </w:r>
            <w:r>
              <w:fldChar w:fldCharType="begin"/>
            </w:r>
            <w:r w:rsidR="00E756AF">
              <w:instrText xml:space="preserve"> PAGEREF _Toc4832 \h </w:instrText>
            </w:r>
            <w:r>
              <w:fldChar w:fldCharType="separate"/>
            </w:r>
            <w:r w:rsidR="00E756AF">
              <w:t>2</w:t>
            </w:r>
            <w:r>
              <w:fldChar w:fldCharType="end"/>
            </w:r>
          </w:hyperlink>
        </w:p>
        <w:p w:rsidR="00A012D0" w:rsidRDefault="00373003">
          <w:pPr>
            <w:pStyle w:val="10"/>
            <w:tabs>
              <w:tab w:val="right" w:leader="dot" w:pos="9184"/>
            </w:tabs>
            <w:spacing w:line="520" w:lineRule="exact"/>
          </w:pPr>
          <w:hyperlink w:anchor="_Toc11964" w:history="1">
            <w:r w:rsidR="00E756AF">
              <w:rPr>
                <w:rFonts w:ascii="黑体" w:eastAsia="黑体" w:hAnsi="黑体" w:cs="黑体" w:hint="eastAsia"/>
                <w:bCs/>
                <w:szCs w:val="32"/>
              </w:rPr>
              <w:t>二、项目基本情况</w:t>
            </w:r>
            <w:r w:rsidR="00E756AF">
              <w:tab/>
            </w:r>
            <w:r>
              <w:fldChar w:fldCharType="begin"/>
            </w:r>
            <w:r w:rsidR="00E756AF">
              <w:instrText xml:space="preserve"> PAGEREF _Toc11964 \h </w:instrText>
            </w:r>
            <w:r>
              <w:fldChar w:fldCharType="separate"/>
            </w:r>
            <w:r w:rsidR="00E756AF">
              <w:t>3</w:t>
            </w:r>
            <w:r>
              <w:fldChar w:fldCharType="end"/>
            </w:r>
          </w:hyperlink>
        </w:p>
        <w:p w:rsidR="00A012D0" w:rsidRDefault="00373003" w:rsidP="000B6EE5">
          <w:pPr>
            <w:pStyle w:val="2"/>
            <w:tabs>
              <w:tab w:val="right" w:leader="dot" w:pos="9184"/>
            </w:tabs>
            <w:spacing w:line="520" w:lineRule="exact"/>
            <w:ind w:left="648"/>
          </w:pPr>
          <w:hyperlink w:anchor="_Toc25569" w:history="1">
            <w:r w:rsidR="00E756AF">
              <w:rPr>
                <w:rFonts w:ascii="楷体" w:eastAsia="楷体" w:hAnsi="楷体" w:cs="楷体" w:hint="eastAsia"/>
                <w:szCs w:val="32"/>
              </w:rPr>
              <w:t>（一）基本情况</w:t>
            </w:r>
            <w:r w:rsidR="00E756AF">
              <w:tab/>
            </w:r>
            <w:r>
              <w:fldChar w:fldCharType="begin"/>
            </w:r>
            <w:r w:rsidR="00E756AF">
              <w:instrText xml:space="preserve"> PAGEREF _Toc25569 \h </w:instrText>
            </w:r>
            <w:r>
              <w:fldChar w:fldCharType="separate"/>
            </w:r>
            <w:r w:rsidR="00E756AF">
              <w:t>3</w:t>
            </w:r>
            <w:r>
              <w:fldChar w:fldCharType="end"/>
            </w:r>
          </w:hyperlink>
        </w:p>
        <w:p w:rsidR="00A012D0" w:rsidRDefault="00373003" w:rsidP="000B6EE5">
          <w:pPr>
            <w:pStyle w:val="2"/>
            <w:tabs>
              <w:tab w:val="right" w:leader="dot" w:pos="9184"/>
            </w:tabs>
            <w:spacing w:line="520" w:lineRule="exact"/>
            <w:ind w:left="648"/>
          </w:pPr>
          <w:hyperlink w:anchor="_Toc30715" w:history="1">
            <w:r w:rsidR="00E756AF">
              <w:rPr>
                <w:rFonts w:ascii="楷体" w:eastAsia="楷体" w:hAnsi="楷体" w:cs="楷体" w:hint="eastAsia"/>
                <w:szCs w:val="32"/>
              </w:rPr>
              <w:t>（二）项目支出预算执行情况</w:t>
            </w:r>
            <w:r w:rsidR="00E756AF">
              <w:tab/>
            </w:r>
            <w:r>
              <w:fldChar w:fldCharType="begin"/>
            </w:r>
            <w:r w:rsidR="00E756AF">
              <w:instrText xml:space="preserve"> PAGEREF _Toc30715 \h </w:instrText>
            </w:r>
            <w:r>
              <w:fldChar w:fldCharType="separate"/>
            </w:r>
            <w:r w:rsidR="00E756AF">
              <w:t>3</w:t>
            </w:r>
            <w:r>
              <w:fldChar w:fldCharType="end"/>
            </w:r>
          </w:hyperlink>
        </w:p>
        <w:p w:rsidR="00A012D0" w:rsidRDefault="00373003" w:rsidP="000B6EE5">
          <w:pPr>
            <w:pStyle w:val="2"/>
            <w:tabs>
              <w:tab w:val="right" w:leader="dot" w:pos="9184"/>
            </w:tabs>
            <w:spacing w:line="520" w:lineRule="exact"/>
            <w:ind w:left="648"/>
          </w:pPr>
          <w:hyperlink w:anchor="_Toc30721" w:history="1">
            <w:r w:rsidR="00E756AF">
              <w:rPr>
                <w:rFonts w:ascii="楷体" w:eastAsia="楷体" w:hAnsi="楷体" w:cs="楷体" w:hint="eastAsia"/>
                <w:szCs w:val="32"/>
              </w:rPr>
              <w:t>（三）</w:t>
            </w:r>
            <w:bookmarkStart w:id="0" w:name="_GoBack"/>
            <w:bookmarkEnd w:id="0"/>
            <w:r w:rsidR="00E756AF">
              <w:rPr>
                <w:rFonts w:ascii="楷体" w:eastAsia="楷体" w:hAnsi="楷体" w:cs="楷体" w:hint="eastAsia"/>
                <w:szCs w:val="32"/>
              </w:rPr>
              <w:t>项目支出主要绩效</w:t>
            </w:r>
            <w:r w:rsidR="00E756AF">
              <w:tab/>
            </w:r>
            <w:r>
              <w:fldChar w:fldCharType="begin"/>
            </w:r>
            <w:r w:rsidR="00E756AF">
              <w:instrText xml:space="preserve"> PAGEREF _Toc30721 \h </w:instrText>
            </w:r>
            <w:r>
              <w:fldChar w:fldCharType="separate"/>
            </w:r>
            <w:r w:rsidR="00E756AF">
              <w:t>4</w:t>
            </w:r>
            <w:r>
              <w:fldChar w:fldCharType="end"/>
            </w:r>
          </w:hyperlink>
        </w:p>
        <w:p w:rsidR="00A012D0" w:rsidRDefault="00373003">
          <w:pPr>
            <w:pStyle w:val="10"/>
            <w:tabs>
              <w:tab w:val="right" w:leader="dot" w:pos="9184"/>
            </w:tabs>
            <w:spacing w:line="520" w:lineRule="exact"/>
          </w:pPr>
          <w:hyperlink w:anchor="_Toc7825" w:history="1">
            <w:r w:rsidR="00E756AF">
              <w:rPr>
                <w:rFonts w:ascii="黑体" w:eastAsia="黑体" w:hAnsi="黑体" w:cs="黑体" w:hint="eastAsia"/>
                <w:szCs w:val="32"/>
              </w:rPr>
              <w:t>三、项目支出评价结论</w:t>
            </w:r>
            <w:r w:rsidR="00E756AF">
              <w:tab/>
            </w:r>
            <w:r>
              <w:fldChar w:fldCharType="begin"/>
            </w:r>
            <w:r w:rsidR="00E756AF">
              <w:instrText xml:space="preserve"> PAGEREF _Toc7825 \h </w:instrText>
            </w:r>
            <w:r>
              <w:fldChar w:fldCharType="separate"/>
            </w:r>
            <w:r w:rsidR="00E756AF">
              <w:t>6</w:t>
            </w:r>
            <w:r>
              <w:fldChar w:fldCharType="end"/>
            </w:r>
          </w:hyperlink>
        </w:p>
        <w:p w:rsidR="00A012D0" w:rsidRDefault="00373003">
          <w:pPr>
            <w:pStyle w:val="10"/>
            <w:tabs>
              <w:tab w:val="right" w:leader="dot" w:pos="9184"/>
            </w:tabs>
            <w:spacing w:line="520" w:lineRule="exact"/>
          </w:pPr>
          <w:hyperlink w:anchor="_Toc16981" w:history="1">
            <w:r w:rsidR="00E756AF">
              <w:rPr>
                <w:rFonts w:ascii="黑体" w:eastAsia="黑体" w:hAnsi="黑体" w:cs="黑体" w:hint="eastAsia"/>
                <w:szCs w:val="32"/>
              </w:rPr>
              <w:t>四、存在的问题及原因分析</w:t>
            </w:r>
            <w:r w:rsidR="00E756AF">
              <w:tab/>
            </w:r>
            <w:r>
              <w:fldChar w:fldCharType="begin"/>
            </w:r>
            <w:r w:rsidR="00E756AF">
              <w:instrText xml:space="preserve"> PAGEREF _Toc16981 \h </w:instrText>
            </w:r>
            <w:r>
              <w:fldChar w:fldCharType="separate"/>
            </w:r>
            <w:r w:rsidR="00E756AF">
              <w:t>7</w:t>
            </w:r>
            <w:r>
              <w:fldChar w:fldCharType="end"/>
            </w:r>
          </w:hyperlink>
        </w:p>
        <w:p w:rsidR="00A012D0" w:rsidRDefault="00373003" w:rsidP="000B6EE5">
          <w:pPr>
            <w:pStyle w:val="2"/>
            <w:tabs>
              <w:tab w:val="right" w:leader="dot" w:pos="9184"/>
            </w:tabs>
            <w:spacing w:line="520" w:lineRule="exact"/>
            <w:ind w:left="648"/>
          </w:pPr>
          <w:hyperlink w:anchor="_Toc32306" w:history="1">
            <w:r w:rsidR="00E756AF">
              <w:rPr>
                <w:rFonts w:ascii="楷体" w:eastAsia="楷体" w:hAnsi="楷体" w:cs="楷体" w:hint="eastAsia"/>
                <w:bCs/>
                <w:szCs w:val="32"/>
              </w:rPr>
              <w:t>（一）项目支出绩效未达到预期目标</w:t>
            </w:r>
            <w:r w:rsidR="00E756AF">
              <w:tab/>
            </w:r>
            <w:r>
              <w:fldChar w:fldCharType="begin"/>
            </w:r>
            <w:r w:rsidR="00E756AF">
              <w:instrText xml:space="preserve"> PAGEREF _Toc32306 \h </w:instrText>
            </w:r>
            <w:r>
              <w:fldChar w:fldCharType="separate"/>
            </w:r>
            <w:r w:rsidR="00E756AF">
              <w:t>7</w:t>
            </w:r>
            <w:r>
              <w:fldChar w:fldCharType="end"/>
            </w:r>
          </w:hyperlink>
        </w:p>
        <w:p w:rsidR="00A012D0" w:rsidRDefault="00373003" w:rsidP="000B6EE5">
          <w:pPr>
            <w:pStyle w:val="2"/>
            <w:tabs>
              <w:tab w:val="right" w:leader="dot" w:pos="9184"/>
            </w:tabs>
            <w:spacing w:line="520" w:lineRule="exact"/>
            <w:ind w:left="648"/>
          </w:pPr>
          <w:hyperlink w:anchor="_Toc15952" w:history="1">
            <w:r w:rsidR="00E756AF">
              <w:rPr>
                <w:rFonts w:ascii="楷体" w:eastAsia="楷体" w:hAnsi="楷体" w:cs="楷体" w:hint="eastAsia"/>
                <w:bCs/>
                <w:szCs w:val="32"/>
              </w:rPr>
              <w:t>（二）项目落地和运营的转化绩效不足</w:t>
            </w:r>
            <w:r w:rsidR="00E756AF">
              <w:tab/>
            </w:r>
            <w:r>
              <w:fldChar w:fldCharType="begin"/>
            </w:r>
            <w:r w:rsidR="00E756AF">
              <w:instrText xml:space="preserve"> PAGEREF _Toc15952 \h </w:instrText>
            </w:r>
            <w:r>
              <w:fldChar w:fldCharType="separate"/>
            </w:r>
            <w:r w:rsidR="00E756AF">
              <w:t>7</w:t>
            </w:r>
            <w:r>
              <w:fldChar w:fldCharType="end"/>
            </w:r>
          </w:hyperlink>
        </w:p>
        <w:p w:rsidR="00A012D0" w:rsidRDefault="00373003" w:rsidP="000B6EE5">
          <w:pPr>
            <w:pStyle w:val="2"/>
            <w:tabs>
              <w:tab w:val="right" w:leader="dot" w:pos="9184"/>
            </w:tabs>
            <w:spacing w:line="520" w:lineRule="exact"/>
            <w:ind w:left="648"/>
          </w:pPr>
          <w:hyperlink w:anchor="_Toc10051" w:history="1">
            <w:r w:rsidR="00E756AF">
              <w:rPr>
                <w:rFonts w:ascii="楷体" w:eastAsia="楷体" w:hAnsi="楷体" w:cs="楷体" w:hint="eastAsia"/>
                <w:bCs/>
                <w:szCs w:val="32"/>
              </w:rPr>
              <w:t>（三）预算执行率低，影响财政资金效益</w:t>
            </w:r>
            <w:r w:rsidR="00E756AF">
              <w:tab/>
            </w:r>
            <w:r>
              <w:fldChar w:fldCharType="begin"/>
            </w:r>
            <w:r w:rsidR="00E756AF">
              <w:instrText xml:space="preserve"> PAGEREF _Toc10051 \h </w:instrText>
            </w:r>
            <w:r>
              <w:fldChar w:fldCharType="separate"/>
            </w:r>
            <w:r w:rsidR="00E756AF">
              <w:t>8</w:t>
            </w:r>
            <w:r>
              <w:fldChar w:fldCharType="end"/>
            </w:r>
          </w:hyperlink>
        </w:p>
        <w:p w:rsidR="00A012D0" w:rsidRDefault="00373003" w:rsidP="000B6EE5">
          <w:pPr>
            <w:pStyle w:val="2"/>
            <w:tabs>
              <w:tab w:val="right" w:leader="dot" w:pos="9184"/>
            </w:tabs>
            <w:spacing w:line="520" w:lineRule="exact"/>
            <w:ind w:left="648"/>
          </w:pPr>
          <w:hyperlink w:anchor="_Toc9013" w:history="1">
            <w:r w:rsidR="00E756AF">
              <w:rPr>
                <w:rFonts w:ascii="楷体" w:eastAsia="楷体" w:hAnsi="楷体" w:cs="楷体" w:hint="eastAsia"/>
                <w:bCs/>
                <w:szCs w:val="32"/>
              </w:rPr>
              <w:t>（四）不相容岗位未相互分离</w:t>
            </w:r>
            <w:r w:rsidR="00E756AF">
              <w:tab/>
            </w:r>
            <w:r>
              <w:fldChar w:fldCharType="begin"/>
            </w:r>
            <w:r w:rsidR="00E756AF">
              <w:instrText xml:space="preserve"> PAGEREF _Toc9013 \h </w:instrText>
            </w:r>
            <w:r>
              <w:fldChar w:fldCharType="separate"/>
            </w:r>
            <w:r w:rsidR="00E756AF">
              <w:t>8</w:t>
            </w:r>
            <w:r>
              <w:fldChar w:fldCharType="end"/>
            </w:r>
          </w:hyperlink>
        </w:p>
        <w:p w:rsidR="00A012D0" w:rsidRDefault="00373003" w:rsidP="000B6EE5">
          <w:pPr>
            <w:pStyle w:val="2"/>
            <w:tabs>
              <w:tab w:val="right" w:leader="dot" w:pos="9184"/>
            </w:tabs>
            <w:spacing w:line="520" w:lineRule="exact"/>
            <w:ind w:left="648"/>
          </w:pPr>
          <w:hyperlink w:anchor="_Toc13042" w:history="1">
            <w:r w:rsidR="00E756AF">
              <w:rPr>
                <w:rFonts w:ascii="楷体" w:eastAsia="楷体" w:hAnsi="楷体" w:cs="楷体" w:hint="eastAsia"/>
                <w:bCs/>
                <w:szCs w:val="32"/>
              </w:rPr>
              <w:t>（五）费用报销流程不规范</w:t>
            </w:r>
            <w:r w:rsidR="00E756AF">
              <w:tab/>
            </w:r>
            <w:r>
              <w:fldChar w:fldCharType="begin"/>
            </w:r>
            <w:r w:rsidR="00E756AF">
              <w:instrText xml:space="preserve"> PAGEREF _Toc13042 \h </w:instrText>
            </w:r>
            <w:r>
              <w:fldChar w:fldCharType="separate"/>
            </w:r>
            <w:r w:rsidR="00E756AF">
              <w:t>9</w:t>
            </w:r>
            <w:r>
              <w:fldChar w:fldCharType="end"/>
            </w:r>
          </w:hyperlink>
        </w:p>
        <w:p w:rsidR="00A012D0" w:rsidRDefault="00373003" w:rsidP="000B6EE5">
          <w:pPr>
            <w:pStyle w:val="2"/>
            <w:tabs>
              <w:tab w:val="right" w:leader="dot" w:pos="9184"/>
            </w:tabs>
            <w:spacing w:line="520" w:lineRule="exact"/>
            <w:ind w:left="648"/>
          </w:pPr>
          <w:hyperlink w:anchor="_Toc16686" w:history="1">
            <w:r w:rsidR="00E756AF">
              <w:rPr>
                <w:rFonts w:ascii="楷体" w:eastAsia="楷体" w:hAnsi="楷体" w:cs="楷体" w:hint="eastAsia"/>
                <w:bCs/>
                <w:szCs w:val="32"/>
              </w:rPr>
              <w:t>（六）招商引资接待欠规范</w:t>
            </w:r>
            <w:r w:rsidR="00E756AF">
              <w:tab/>
            </w:r>
            <w:r>
              <w:fldChar w:fldCharType="begin"/>
            </w:r>
            <w:r w:rsidR="00E756AF">
              <w:instrText xml:space="preserve"> PAGEREF _Toc16686 \h </w:instrText>
            </w:r>
            <w:r>
              <w:fldChar w:fldCharType="separate"/>
            </w:r>
            <w:r w:rsidR="00E756AF">
              <w:t>10</w:t>
            </w:r>
            <w:r>
              <w:fldChar w:fldCharType="end"/>
            </w:r>
          </w:hyperlink>
        </w:p>
        <w:p w:rsidR="00A012D0" w:rsidRDefault="00373003">
          <w:pPr>
            <w:pStyle w:val="10"/>
            <w:tabs>
              <w:tab w:val="right" w:leader="dot" w:pos="9184"/>
            </w:tabs>
            <w:spacing w:line="520" w:lineRule="exact"/>
          </w:pPr>
          <w:hyperlink w:anchor="_Toc17810" w:history="1">
            <w:r w:rsidR="00E756AF">
              <w:rPr>
                <w:rFonts w:ascii="黑体" w:eastAsia="黑体" w:hAnsi="黑体" w:cs="黑体" w:hint="eastAsia"/>
                <w:szCs w:val="32"/>
              </w:rPr>
              <w:t>五、有关建议</w:t>
            </w:r>
            <w:r w:rsidR="00E756AF">
              <w:tab/>
            </w:r>
            <w:r>
              <w:fldChar w:fldCharType="begin"/>
            </w:r>
            <w:r w:rsidR="00E756AF">
              <w:instrText xml:space="preserve"> PAGEREF _Toc17810 \h </w:instrText>
            </w:r>
            <w:r>
              <w:fldChar w:fldCharType="separate"/>
            </w:r>
            <w:r w:rsidR="00E756AF">
              <w:t>10</w:t>
            </w:r>
            <w:r>
              <w:fldChar w:fldCharType="end"/>
            </w:r>
          </w:hyperlink>
        </w:p>
        <w:p w:rsidR="00A012D0" w:rsidRDefault="00373003" w:rsidP="000B6EE5">
          <w:pPr>
            <w:pStyle w:val="2"/>
            <w:tabs>
              <w:tab w:val="right" w:leader="dot" w:pos="9184"/>
            </w:tabs>
            <w:spacing w:line="520" w:lineRule="exact"/>
            <w:ind w:left="648"/>
          </w:pPr>
          <w:hyperlink w:anchor="_Toc13522" w:history="1">
            <w:r w:rsidR="00E756AF">
              <w:rPr>
                <w:rFonts w:ascii="楷体" w:eastAsia="楷体" w:hAnsi="楷体" w:cs="楷体" w:hint="eastAsia"/>
                <w:bCs/>
                <w:szCs w:val="32"/>
              </w:rPr>
              <w:t>（一）强化绩效目标管理</w:t>
            </w:r>
            <w:r w:rsidR="00E756AF">
              <w:tab/>
            </w:r>
            <w:r>
              <w:fldChar w:fldCharType="begin"/>
            </w:r>
            <w:r w:rsidR="00E756AF">
              <w:instrText xml:space="preserve"> PAGEREF _Toc13522 \h </w:instrText>
            </w:r>
            <w:r>
              <w:fldChar w:fldCharType="separate"/>
            </w:r>
            <w:r w:rsidR="00E756AF">
              <w:t>10</w:t>
            </w:r>
            <w:r>
              <w:fldChar w:fldCharType="end"/>
            </w:r>
          </w:hyperlink>
        </w:p>
        <w:p w:rsidR="00A012D0" w:rsidRDefault="00373003" w:rsidP="000B6EE5">
          <w:pPr>
            <w:pStyle w:val="2"/>
            <w:tabs>
              <w:tab w:val="right" w:leader="dot" w:pos="9184"/>
            </w:tabs>
            <w:spacing w:line="520" w:lineRule="exact"/>
            <w:ind w:left="648"/>
          </w:pPr>
          <w:hyperlink w:anchor="_Toc5309" w:history="1">
            <w:r w:rsidR="00E756AF">
              <w:rPr>
                <w:rFonts w:ascii="楷体" w:eastAsia="楷体" w:hAnsi="楷体" w:cs="楷体" w:hint="eastAsia"/>
                <w:bCs/>
                <w:szCs w:val="32"/>
              </w:rPr>
              <w:t>（二）不相容岗位相互分离</w:t>
            </w:r>
            <w:r w:rsidR="00E756AF">
              <w:tab/>
            </w:r>
            <w:r>
              <w:fldChar w:fldCharType="begin"/>
            </w:r>
            <w:r w:rsidR="00E756AF">
              <w:instrText xml:space="preserve"> PAGEREF _Toc5309 \h </w:instrText>
            </w:r>
            <w:r>
              <w:fldChar w:fldCharType="separate"/>
            </w:r>
            <w:r w:rsidR="00E756AF">
              <w:t>11</w:t>
            </w:r>
            <w:r>
              <w:fldChar w:fldCharType="end"/>
            </w:r>
          </w:hyperlink>
        </w:p>
        <w:p w:rsidR="00A012D0" w:rsidRDefault="00373003" w:rsidP="000B6EE5">
          <w:pPr>
            <w:pStyle w:val="2"/>
            <w:tabs>
              <w:tab w:val="right" w:leader="dot" w:pos="9184"/>
            </w:tabs>
            <w:spacing w:line="520" w:lineRule="exact"/>
            <w:ind w:left="648"/>
          </w:pPr>
          <w:hyperlink w:anchor="_Toc17193" w:history="1">
            <w:r w:rsidR="00E756AF">
              <w:rPr>
                <w:rFonts w:ascii="楷体" w:eastAsia="楷体" w:hAnsi="楷体" w:cs="楷体" w:hint="eastAsia"/>
                <w:bCs/>
                <w:szCs w:val="32"/>
              </w:rPr>
              <w:t>（三）规范费用报销流程</w:t>
            </w:r>
            <w:r w:rsidR="00E756AF">
              <w:tab/>
            </w:r>
            <w:r>
              <w:fldChar w:fldCharType="begin"/>
            </w:r>
            <w:r w:rsidR="00E756AF">
              <w:instrText xml:space="preserve"> PAGEREF _Toc17193 \h </w:instrText>
            </w:r>
            <w:r>
              <w:fldChar w:fldCharType="separate"/>
            </w:r>
            <w:r w:rsidR="00E756AF">
              <w:t>11</w:t>
            </w:r>
            <w:r>
              <w:fldChar w:fldCharType="end"/>
            </w:r>
          </w:hyperlink>
        </w:p>
        <w:p w:rsidR="00A012D0" w:rsidRDefault="00373003">
          <w:pPr>
            <w:pStyle w:val="10"/>
            <w:tabs>
              <w:tab w:val="right" w:leader="dot" w:pos="9184"/>
            </w:tabs>
            <w:spacing w:line="520" w:lineRule="exact"/>
          </w:pPr>
          <w:hyperlink w:anchor="_Toc2000" w:history="1">
            <w:r w:rsidR="00E756AF">
              <w:rPr>
                <w:rFonts w:ascii="楷体" w:eastAsia="楷体" w:hAnsi="楷体" w:cs="仿宋" w:hint="eastAsia"/>
                <w:kern w:val="0"/>
                <w:szCs w:val="32"/>
              </w:rPr>
              <w:t>附件1</w:t>
            </w:r>
            <w:r w:rsidR="00E756AF">
              <w:tab/>
            </w:r>
            <w:r>
              <w:fldChar w:fldCharType="begin"/>
            </w:r>
            <w:r w:rsidR="00E756AF">
              <w:instrText xml:space="preserve"> PAGEREF _Toc2000 \h </w:instrText>
            </w:r>
            <w:r>
              <w:fldChar w:fldCharType="separate"/>
            </w:r>
            <w:r w:rsidR="00E756AF">
              <w:t>12</w:t>
            </w:r>
            <w:r>
              <w:fldChar w:fldCharType="end"/>
            </w:r>
          </w:hyperlink>
        </w:p>
        <w:p w:rsidR="00A012D0" w:rsidRDefault="00373003">
          <w:pPr>
            <w:autoSpaceDE w:val="0"/>
            <w:autoSpaceDN w:val="0"/>
            <w:adjustRightInd w:val="0"/>
            <w:spacing w:line="1280" w:lineRule="exact"/>
            <w:rPr>
              <w:rFonts w:ascii="宋体" w:eastAsia="宋体" w:hAnsi="宋体" w:cs="仿宋"/>
              <w:b/>
              <w:color w:val="000000"/>
              <w:w w:val="50"/>
              <w:kern w:val="144"/>
              <w:position w:val="-10"/>
              <w:sz w:val="112"/>
              <w:szCs w:val="112"/>
            </w:rPr>
            <w:sectPr w:rsidR="00A012D0">
              <w:footerReference w:type="even" r:id="rId8"/>
              <w:footerReference w:type="default" r:id="rId9"/>
              <w:pgSz w:w="11906" w:h="16838"/>
              <w:pgMar w:top="1440" w:right="1361" w:bottom="1440" w:left="1361" w:header="624" w:footer="1021" w:gutter="0"/>
              <w:cols w:space="0"/>
              <w:docGrid w:type="linesAndChars" w:linePitch="605" w:charSpace="804"/>
            </w:sectPr>
          </w:pPr>
          <w:r>
            <w:rPr>
              <w:rFonts w:ascii="宋体" w:eastAsia="宋体" w:hAnsi="宋体" w:cs="仿宋" w:hint="eastAsia"/>
              <w:color w:val="000000"/>
              <w:w w:val="50"/>
              <w:kern w:val="144"/>
              <w:position w:val="-10"/>
              <w:szCs w:val="112"/>
            </w:rPr>
            <w:fldChar w:fldCharType="end"/>
          </w:r>
        </w:p>
      </w:sdtContent>
    </w:sdt>
    <w:p w:rsidR="00A012D0" w:rsidRDefault="00E756AF">
      <w:pPr>
        <w:autoSpaceDE w:val="0"/>
        <w:autoSpaceDN w:val="0"/>
        <w:adjustRightInd w:val="0"/>
        <w:spacing w:line="1280" w:lineRule="exact"/>
        <w:ind w:right="-228"/>
        <w:jc w:val="center"/>
        <w:rPr>
          <w:rFonts w:ascii="宋体" w:eastAsia="宋体" w:hAnsi="宋体" w:cs="宋体"/>
          <w:b/>
          <w:w w:val="50"/>
          <w:kern w:val="144"/>
          <w:position w:val="-10"/>
          <w:sz w:val="112"/>
          <w:szCs w:val="112"/>
        </w:rPr>
      </w:pPr>
      <w:bookmarkStart w:id="1" w:name="OLE_LINK3"/>
      <w:r>
        <w:rPr>
          <w:rFonts w:ascii="宋体" w:eastAsia="宋体" w:hAnsi="宋体" w:cs="宋体" w:hint="eastAsia"/>
          <w:b/>
          <w:w w:val="50"/>
          <w:kern w:val="144"/>
          <w:position w:val="-10"/>
          <w:sz w:val="112"/>
          <w:szCs w:val="112"/>
        </w:rPr>
        <w:lastRenderedPageBreak/>
        <w:t>湖南源成会计师事务所(普通合伙）</w:t>
      </w:r>
    </w:p>
    <w:p w:rsidR="00A012D0" w:rsidRDefault="00E756AF">
      <w:pPr>
        <w:autoSpaceDE w:val="0"/>
        <w:autoSpaceDN w:val="0"/>
        <w:adjustRightInd w:val="0"/>
        <w:spacing w:line="600" w:lineRule="exact"/>
        <w:jc w:val="center"/>
        <w:rPr>
          <w:rFonts w:ascii="宋体" w:hAnsi="宋体"/>
          <w:w w:val="80"/>
          <w:kern w:val="0"/>
          <w:sz w:val="28"/>
          <w:szCs w:val="28"/>
        </w:rPr>
      </w:pPr>
      <w:r>
        <w:rPr>
          <w:rFonts w:ascii="宋体" w:hAnsi="宋体" w:hint="eastAsia"/>
          <w:w w:val="80"/>
          <w:kern w:val="0"/>
          <w:sz w:val="28"/>
          <w:szCs w:val="28"/>
        </w:rPr>
        <w:t>HUNAN YUANCHENG</w:t>
      </w:r>
      <w:r>
        <w:rPr>
          <w:rFonts w:ascii="宋体" w:hAnsi="宋体"/>
          <w:w w:val="80"/>
          <w:kern w:val="0"/>
          <w:sz w:val="28"/>
          <w:szCs w:val="28"/>
        </w:rPr>
        <w:t xml:space="preserve"> </w:t>
      </w:r>
      <w:r>
        <w:rPr>
          <w:rFonts w:ascii="宋体" w:hAnsi="宋体" w:hint="eastAsia"/>
          <w:w w:val="80"/>
          <w:kern w:val="0"/>
          <w:sz w:val="28"/>
          <w:szCs w:val="28"/>
        </w:rPr>
        <w:t xml:space="preserve"> CERTIFIED PUBLIC</w:t>
      </w:r>
      <w:r>
        <w:rPr>
          <w:rFonts w:ascii="宋体" w:hAnsi="宋体"/>
          <w:w w:val="80"/>
          <w:kern w:val="0"/>
          <w:sz w:val="28"/>
          <w:szCs w:val="28"/>
        </w:rPr>
        <w:t xml:space="preserve"> </w:t>
      </w:r>
      <w:r>
        <w:rPr>
          <w:rFonts w:ascii="宋体" w:hAnsi="宋体" w:hint="eastAsia"/>
          <w:w w:val="80"/>
          <w:kern w:val="0"/>
          <w:sz w:val="28"/>
          <w:szCs w:val="28"/>
        </w:rPr>
        <w:t>ACCOUNTANTS GENERAL PARTNERSHIP</w:t>
      </w:r>
    </w:p>
    <w:p w:rsidR="00A012D0" w:rsidRDefault="00373003" w:rsidP="000B6EE5">
      <w:pPr>
        <w:autoSpaceDE w:val="0"/>
        <w:autoSpaceDN w:val="0"/>
        <w:adjustRightInd w:val="0"/>
        <w:spacing w:line="500" w:lineRule="exact"/>
        <w:ind w:leftChars="280" w:left="1879" w:right="1219" w:hangingChars="300" w:hanging="972"/>
        <w:jc w:val="center"/>
        <w:rPr>
          <w:rFonts w:ascii="宋体" w:hAnsi="宋体" w:cs="宋体"/>
          <w:sz w:val="24"/>
        </w:rPr>
      </w:pPr>
      <w:r w:rsidRPr="00633267">
        <w:rPr>
          <w:rFonts w:ascii="楷体_GB2312"/>
          <w:kern w:val="0"/>
        </w:rPr>
        <w:pict>
          <v:line id="_x0000_s1026" style="position:absolute;left:0;text-align:left;z-index:251659264" from="4.1pt,4.6pt" to="457.65pt,4.6pt" o:gfxdata="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tm5Cy1AAAAAUBAAAPAAAAAAAAAAEAIAAAACIAAABkcnMvZG93bnJldi54bWxQSwECFAAUAAAA&#10;CACHTuJAXZUZSfIBAADnAwAADgAAAAAAAAABACAAAAAjAQAAZHJzL2Uyb0RvYy54bWxQSwUGAAAA&#10;AAYABgBZAQAAhwUAAAAA&#10;" strokeweight="1pt"/>
        </w:pict>
      </w:r>
    </w:p>
    <w:p w:rsidR="00A012D0" w:rsidRDefault="00E756AF">
      <w:pPr>
        <w:pStyle w:val="aa"/>
        <w:adjustRightInd w:val="0"/>
        <w:spacing w:line="600" w:lineRule="exact"/>
        <w:rPr>
          <w:rFonts w:ascii="方正小标宋简体" w:eastAsia="方正小标宋简体" w:hAnsi="方正小标宋简体" w:cs="方正小标宋简体"/>
          <w:b w:val="0"/>
          <w:bCs/>
          <w:sz w:val="44"/>
          <w:lang w:val="zh-CN"/>
        </w:rPr>
      </w:pPr>
      <w:r>
        <w:rPr>
          <w:rFonts w:ascii="方正小标宋简体" w:eastAsia="方正小标宋简体" w:hAnsi="方正小标宋简体" w:cs="方正小标宋简体" w:hint="eastAsia"/>
          <w:b w:val="0"/>
          <w:bCs/>
          <w:sz w:val="44"/>
          <w:lang w:val="zh-CN"/>
        </w:rPr>
        <w:t>益阳市商务局开放型经济与产业发展</w:t>
      </w:r>
    </w:p>
    <w:p w:rsidR="00A012D0" w:rsidRDefault="00E756AF">
      <w:pPr>
        <w:pStyle w:val="aa"/>
        <w:adjustRightInd w:val="0"/>
        <w:spacing w:line="600" w:lineRule="exact"/>
        <w:rPr>
          <w:rFonts w:ascii="方正小标宋简体" w:eastAsia="方正小标宋简体" w:hAnsi="方正小标宋简体" w:cs="方正小标宋简体"/>
          <w:b w:val="0"/>
          <w:bCs/>
          <w:sz w:val="44"/>
          <w:lang w:val="zh-CN"/>
        </w:rPr>
      </w:pPr>
      <w:r>
        <w:rPr>
          <w:rFonts w:ascii="方正小标宋简体" w:eastAsia="方正小标宋简体" w:hAnsi="方正小标宋简体" w:cs="方正小标宋简体" w:hint="eastAsia"/>
          <w:b w:val="0"/>
          <w:bCs/>
          <w:sz w:val="44"/>
          <w:lang w:val="zh-CN"/>
        </w:rPr>
        <w:t>引导资金</w:t>
      </w:r>
      <w:bookmarkEnd w:id="1"/>
      <w:r>
        <w:rPr>
          <w:rFonts w:ascii="方正小标宋简体" w:eastAsia="方正小标宋简体" w:hAnsi="方正小标宋简体" w:cs="方正小标宋简体" w:hint="eastAsia"/>
          <w:b w:val="0"/>
          <w:bCs/>
          <w:sz w:val="44"/>
          <w:lang w:val="zh-CN"/>
        </w:rPr>
        <w:t>绩效评价报告</w:t>
      </w:r>
    </w:p>
    <w:p w:rsidR="00A012D0" w:rsidRDefault="00A012D0">
      <w:pPr>
        <w:autoSpaceDE w:val="0"/>
        <w:autoSpaceDN w:val="0"/>
        <w:adjustRightInd w:val="0"/>
        <w:spacing w:line="240" w:lineRule="exact"/>
        <w:ind w:firstLine="561"/>
        <w:jc w:val="center"/>
        <w:rPr>
          <w:rFonts w:ascii="Times New Roman" w:eastAsia="方正仿宋_GB2312" w:hAnsi="Times New Roman"/>
          <w:kern w:val="0"/>
          <w:szCs w:val="32"/>
          <w:lang w:val="zh-CN"/>
        </w:rPr>
      </w:pPr>
    </w:p>
    <w:p w:rsidR="00A012D0" w:rsidRDefault="00E756AF">
      <w:pPr>
        <w:autoSpaceDE w:val="0"/>
        <w:autoSpaceDN w:val="0"/>
        <w:adjustRightInd w:val="0"/>
        <w:ind w:firstLine="723"/>
        <w:jc w:val="right"/>
        <w:rPr>
          <w:rFonts w:ascii="仿宋" w:eastAsia="仿宋" w:hAnsi="仿宋" w:cs="仿宋"/>
          <w:w w:val="80"/>
          <w:kern w:val="0"/>
          <w:sz w:val="28"/>
          <w:szCs w:val="28"/>
        </w:rPr>
      </w:pPr>
      <w:r>
        <w:rPr>
          <w:rFonts w:ascii="仿宋" w:eastAsia="仿宋" w:hAnsi="仿宋" w:cs="仿宋" w:hint="eastAsia"/>
          <w:w w:val="80"/>
          <w:kern w:val="0"/>
          <w:sz w:val="28"/>
          <w:szCs w:val="28"/>
        </w:rPr>
        <w:t>湘源成财绩评字﹝2025﹞第29号</w:t>
      </w:r>
    </w:p>
    <w:p w:rsidR="00A012D0" w:rsidRDefault="00A012D0">
      <w:pPr>
        <w:autoSpaceDE w:val="0"/>
        <w:autoSpaceDN w:val="0"/>
        <w:adjustRightInd w:val="0"/>
        <w:spacing w:line="240" w:lineRule="exact"/>
        <w:ind w:firstLine="561"/>
        <w:jc w:val="center"/>
        <w:rPr>
          <w:rFonts w:ascii="Times New Roman" w:eastAsia="方正仿宋_GB2312" w:hAnsi="Times New Roman"/>
          <w:kern w:val="0"/>
          <w:szCs w:val="32"/>
          <w:lang w:val="zh-CN"/>
        </w:rPr>
      </w:pPr>
    </w:p>
    <w:p w:rsidR="00A012D0" w:rsidRDefault="00E756AF" w:rsidP="000B6EE5">
      <w:pPr>
        <w:autoSpaceDE w:val="0"/>
        <w:autoSpaceDN w:val="0"/>
        <w:adjustRightInd w:val="0"/>
        <w:spacing w:line="540" w:lineRule="exact"/>
        <w:ind w:firstLineChars="200" w:firstLine="648"/>
        <w:rPr>
          <w:rFonts w:ascii="方正仿宋_GB2312" w:eastAsia="方正仿宋_GB2312" w:hAnsi="方正仿宋_GB2312" w:cs="方正仿宋_GB2312"/>
          <w:szCs w:val="32"/>
        </w:rPr>
      </w:pPr>
      <w:r>
        <w:rPr>
          <w:rFonts w:ascii="方正仿宋_GB2312" w:eastAsia="方正仿宋_GB2312" w:hAnsi="方正仿宋_GB2312" w:cs="方正仿宋_GB2312" w:hint="eastAsia"/>
          <w:szCs w:val="32"/>
        </w:rPr>
        <w:t>为深入贯彻落实党中央、国务院和省委、省政府关于全面实施预算绩效管理的决策部署，压实各部门单位预算绩效主体责任，提升财政资金使用效益，根据《益阳市财政局关于开展2025年财政绩效评价工作的通知》（益财绩〔2025〕163号）的要求，我们接受益阳市财政局委托，于2025年7月14日至8月18日对</w:t>
      </w:r>
      <w:bookmarkStart w:id="2" w:name="_Hlk205110440"/>
      <w:r>
        <w:rPr>
          <w:rFonts w:ascii="方正仿宋_GB2312" w:eastAsia="方正仿宋_GB2312" w:hAnsi="方正仿宋_GB2312" w:cs="方正仿宋_GB2312" w:hint="eastAsia"/>
          <w:szCs w:val="32"/>
        </w:rPr>
        <w:t>益阳市商务局开放型经济与产业发展引导资金</w:t>
      </w:r>
      <w:bookmarkEnd w:id="2"/>
      <w:r>
        <w:rPr>
          <w:rFonts w:ascii="方正仿宋_GB2312" w:eastAsia="方正仿宋_GB2312" w:hAnsi="方正仿宋_GB2312" w:cs="方正仿宋_GB2312" w:hint="eastAsia"/>
          <w:szCs w:val="32"/>
        </w:rPr>
        <w:t>项目开展了绩效评价。绩效评价相关资料的真实性和完整性由资料提供单位负责，我们的责任是按照绩效评价相关要求开展绩效评价工作，现将有关情况报告如下：</w:t>
      </w:r>
    </w:p>
    <w:p w:rsidR="00A012D0" w:rsidRDefault="00E756AF" w:rsidP="000B6EE5">
      <w:pPr>
        <w:adjustRightInd w:val="0"/>
        <w:snapToGrid w:val="0"/>
        <w:spacing w:line="540" w:lineRule="exact"/>
        <w:ind w:firstLineChars="200" w:firstLine="648"/>
        <w:outlineLvl w:val="0"/>
        <w:rPr>
          <w:rFonts w:ascii="黑体" w:eastAsia="黑体" w:hAnsi="黑体" w:cs="黑体"/>
          <w:bCs/>
          <w:color w:val="000000" w:themeColor="text1"/>
          <w:szCs w:val="32"/>
        </w:rPr>
      </w:pPr>
      <w:bookmarkStart w:id="3" w:name="_Toc12896"/>
      <w:r>
        <w:rPr>
          <w:rFonts w:ascii="黑体" w:eastAsia="黑体" w:hAnsi="黑体" w:cs="黑体" w:hint="eastAsia"/>
          <w:bCs/>
          <w:color w:val="000000" w:themeColor="text1"/>
          <w:szCs w:val="32"/>
        </w:rPr>
        <w:t>一、工作概况</w:t>
      </w:r>
      <w:bookmarkEnd w:id="3"/>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4" w:name="_Toc7540"/>
      <w:r>
        <w:rPr>
          <w:rFonts w:ascii="楷体" w:eastAsia="楷体" w:hAnsi="楷体" w:cs="楷体" w:hint="eastAsia"/>
          <w:b/>
          <w:color w:val="000000" w:themeColor="text1"/>
          <w:szCs w:val="32"/>
        </w:rPr>
        <w:t>（一）绩效评价范围</w:t>
      </w:r>
      <w:bookmarkEnd w:id="4"/>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szCs w:val="32"/>
        </w:rPr>
        <w:t>根据</w:t>
      </w:r>
      <w:r>
        <w:rPr>
          <w:rFonts w:ascii="方正仿宋_GB2312" w:eastAsia="方正仿宋_GB2312" w:hAnsi="方正仿宋_GB2312" w:cs="方正仿宋_GB2312" w:hint="eastAsia"/>
          <w:color w:val="000000" w:themeColor="text1"/>
          <w:kern w:val="0"/>
          <w:szCs w:val="32"/>
          <w:shd w:val="clear" w:color="auto" w:fill="FFFFFF"/>
        </w:rPr>
        <w:t>《益阳市财政局关于开展2025年财政绩效评价工作的通知》（益财绩〔2025〕163号）要求，本次纳入绩效评价考核范围的资金为益阳市商务局开放型经济与产业发展引导资金860万元。</w:t>
      </w:r>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5" w:name="_Toc30165"/>
      <w:r>
        <w:rPr>
          <w:rFonts w:ascii="楷体" w:eastAsia="楷体" w:hAnsi="楷体" w:cs="楷体" w:hint="eastAsia"/>
          <w:b/>
          <w:color w:val="000000" w:themeColor="text1"/>
          <w:szCs w:val="32"/>
        </w:rPr>
        <w:t>（二）绩效评价主要依据</w:t>
      </w:r>
      <w:bookmarkEnd w:id="5"/>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1.《中华人民共和国预算法》；</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lastRenderedPageBreak/>
        <w:t>2.《中共中央国务院关于全面实施预算绩效管理的意见》(中发〔2018〕34号)；</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3.《中共湖南省委办公厅 湖南省人民政府办公厅关于全面实施预算绩效管理的实施意见》(湘办发〔2019〕10号)；</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4.《益阳市预算支出绩效评价结果应用管理办法》(益财绩〔2022〕274号)；</w:t>
      </w:r>
    </w:p>
    <w:p w:rsidR="00A012D0" w:rsidRDefault="00E756AF" w:rsidP="000B6EE5">
      <w:pPr>
        <w:adjustRightInd w:val="0"/>
        <w:snapToGrid w:val="0"/>
        <w:spacing w:line="540" w:lineRule="exact"/>
        <w:ind w:firstLineChars="200" w:firstLine="604"/>
        <w:rPr>
          <w:rFonts w:ascii="方正仿宋_GB2312" w:eastAsia="方正仿宋_GB2312" w:hAnsi="方正仿宋_GB2312" w:cs="方正仿宋_GB2312"/>
          <w:color w:val="000000" w:themeColor="text1"/>
          <w:spacing w:val="-11"/>
          <w:kern w:val="0"/>
          <w:szCs w:val="32"/>
          <w:shd w:val="clear" w:color="auto" w:fill="FFFFFF"/>
        </w:rPr>
      </w:pPr>
      <w:r>
        <w:rPr>
          <w:rFonts w:ascii="方正仿宋_GB2312" w:eastAsia="方正仿宋_GB2312" w:hAnsi="方正仿宋_GB2312" w:cs="方正仿宋_GB2312" w:hint="eastAsia"/>
          <w:color w:val="000000" w:themeColor="text1"/>
          <w:spacing w:val="-11"/>
          <w:kern w:val="0"/>
          <w:szCs w:val="32"/>
          <w:shd w:val="clear" w:color="auto" w:fill="FFFFFF"/>
        </w:rPr>
        <w:t>5.《益阳市预算支出绩效评价管理办法》(益财绩〔2022〕405号)；</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6.《益阳市商务局机关管理制度》；</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7.《益阳市商务局政府采购内部控制制度》；</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8.《益阳市投资促进事务中心内控制度》；</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9.其他相关政策、管理规定和财务会计制度等。</w:t>
      </w:r>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6" w:name="_Toc22151"/>
      <w:r>
        <w:rPr>
          <w:rFonts w:ascii="楷体" w:eastAsia="楷体" w:hAnsi="楷体" w:cs="楷体" w:hint="eastAsia"/>
          <w:b/>
          <w:color w:val="000000" w:themeColor="text1"/>
          <w:szCs w:val="32"/>
        </w:rPr>
        <w:t>（三）绩效评价体系</w:t>
      </w:r>
      <w:bookmarkEnd w:id="6"/>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bCs/>
          <w:color w:val="000000" w:themeColor="text1"/>
          <w:szCs w:val="32"/>
        </w:rPr>
      </w:pPr>
      <w:r>
        <w:rPr>
          <w:rFonts w:ascii="方正仿宋_GB2312" w:eastAsia="方正仿宋_GB2312" w:hAnsi="方正仿宋_GB2312" w:cs="方正仿宋_GB2312" w:hint="eastAsia"/>
          <w:color w:val="000000" w:themeColor="text1"/>
          <w:kern w:val="0"/>
          <w:szCs w:val="32"/>
          <w:shd w:val="clear" w:color="auto" w:fill="FFFFFF"/>
        </w:rPr>
        <w:t>采用《益阳市商务局开放型经济与产业发展引导资金绩效评价指标体系表》，绩效评价评分体系主要包括项目决策、过程、产出、效益四个部分共计100分，其中决策部分15分，过程部分25分，产出部分35分，效益部分25分。</w:t>
      </w:r>
      <w:r>
        <w:rPr>
          <w:rFonts w:ascii="方正仿宋_GB2312" w:eastAsia="方正仿宋_GB2312" w:hAnsi="方正仿宋_GB2312" w:cs="方正仿宋_GB2312" w:hint="eastAsia"/>
          <w:color w:val="000000" w:themeColor="text1"/>
          <w:spacing w:val="-2"/>
          <w:kern w:val="0"/>
          <w:szCs w:val="32"/>
          <w:shd w:val="clear" w:color="auto" w:fill="FFFFFF"/>
        </w:rPr>
        <w:t>绩效评价结果分为优、良、较差、差四个等级，其中 90 （含）—100分为“优”，80（含）—90分为“良”，60（含）—80分为“较差”，60 分以下为“差”。</w:t>
      </w:r>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7" w:name="_Toc4832"/>
      <w:r>
        <w:rPr>
          <w:rFonts w:ascii="楷体" w:eastAsia="楷体" w:hAnsi="楷体" w:cs="楷体" w:hint="eastAsia"/>
          <w:b/>
          <w:color w:val="000000" w:themeColor="text1"/>
          <w:szCs w:val="32"/>
        </w:rPr>
        <w:t>（四）绩效评价方法</w:t>
      </w:r>
      <w:bookmarkEnd w:id="7"/>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shd w:val="clear" w:color="auto" w:fill="FFFFFF"/>
        </w:rPr>
      </w:pPr>
      <w:r>
        <w:rPr>
          <w:rFonts w:ascii="方正仿宋_GB2312" w:eastAsia="方正仿宋_GB2312" w:hAnsi="方正仿宋_GB2312" w:cs="方正仿宋_GB2312" w:hint="eastAsia"/>
          <w:color w:val="000000" w:themeColor="text1"/>
          <w:kern w:val="0"/>
          <w:szCs w:val="32"/>
          <w:shd w:val="clear" w:color="auto" w:fill="FFFFFF"/>
        </w:rPr>
        <w:t>为确保本次绩效评价工作有序进行，我们制定了绩效评价实施方案，按照实施方案要求并结合项目的实际情况，采用定量分析和定性分析相结合的方法，从项目立项、绩效目标、资金投入和管理、项目组织和实施、项目产出、社会效益等方面对项目进</w:t>
      </w:r>
      <w:r>
        <w:rPr>
          <w:rFonts w:ascii="方正仿宋_GB2312" w:eastAsia="方正仿宋_GB2312" w:hAnsi="方正仿宋_GB2312" w:cs="方正仿宋_GB2312" w:hint="eastAsia"/>
          <w:color w:val="000000" w:themeColor="text1"/>
          <w:kern w:val="0"/>
          <w:szCs w:val="32"/>
          <w:shd w:val="clear" w:color="auto" w:fill="FFFFFF"/>
        </w:rPr>
        <w:lastRenderedPageBreak/>
        <w:t>行了综合评价，通过询问项目相关人员、查阅项目资料、检查财务资料、实地查验等方法，了解项目执行和完成情况、资金管理使用和核算情况，并已获取相关绩效评价资料和数据，为形成评价结论收集了依据。</w:t>
      </w:r>
    </w:p>
    <w:p w:rsidR="00A012D0" w:rsidRDefault="00E756AF" w:rsidP="000B6EE5">
      <w:pPr>
        <w:spacing w:line="540" w:lineRule="exact"/>
        <w:ind w:firstLineChars="200" w:firstLine="648"/>
        <w:outlineLvl w:val="0"/>
        <w:rPr>
          <w:rFonts w:ascii="黑体" w:eastAsia="黑体" w:hAnsi="黑体" w:cs="黑体"/>
          <w:bCs/>
          <w:color w:val="000000" w:themeColor="text1"/>
          <w:szCs w:val="32"/>
        </w:rPr>
      </w:pPr>
      <w:bookmarkStart w:id="8" w:name="_Toc11964"/>
      <w:r>
        <w:rPr>
          <w:rFonts w:ascii="黑体" w:eastAsia="黑体" w:hAnsi="黑体" w:cs="黑体" w:hint="eastAsia"/>
          <w:bCs/>
          <w:color w:val="000000" w:themeColor="text1"/>
          <w:szCs w:val="32"/>
        </w:rPr>
        <w:t>二、项目基本情况</w:t>
      </w:r>
      <w:bookmarkEnd w:id="8"/>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9" w:name="_Toc25569"/>
      <w:r>
        <w:rPr>
          <w:rFonts w:ascii="楷体" w:eastAsia="楷体" w:hAnsi="楷体" w:cs="楷体" w:hint="eastAsia"/>
          <w:b/>
          <w:color w:val="000000" w:themeColor="text1"/>
          <w:szCs w:val="32"/>
        </w:rPr>
        <w:t>（一）基本情况</w:t>
      </w:r>
      <w:bookmarkEnd w:id="9"/>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b/>
          <w:bCs/>
          <w:color w:val="000000" w:themeColor="text1"/>
          <w:kern w:val="0"/>
          <w:szCs w:val="32"/>
        </w:rPr>
        <w:t>项目单位职能职责。</w:t>
      </w:r>
      <w:r>
        <w:rPr>
          <w:rFonts w:ascii="方正仿宋_GB2312" w:eastAsia="方正仿宋_GB2312" w:hAnsi="方正仿宋_GB2312" w:cs="方正仿宋_GB2312" w:hint="eastAsia"/>
          <w:color w:val="000000" w:themeColor="text1"/>
          <w:kern w:val="0"/>
          <w:szCs w:val="32"/>
        </w:rPr>
        <w:t>益阳市商务局是益阳市人民政府工作部门，主要负责贯彻执行有关内外贸易、经济合作的方针、政策和法律、法规；推进流通产业结构调整，指导全市招商引资和承接产业转移工作，拟订并组织实施招商引资和承接产业转移政策；推动物流配送、电子商务等现代流通方式发展；推进农村市场体系建设组织实施农村现代流通网络工程等。</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b/>
          <w:bCs/>
          <w:color w:val="000000" w:themeColor="text1"/>
          <w:kern w:val="0"/>
          <w:szCs w:val="32"/>
        </w:rPr>
        <w:t>开放型经济的模式。</w:t>
      </w:r>
      <w:r>
        <w:rPr>
          <w:rFonts w:ascii="方正仿宋_GB2312" w:eastAsia="方正仿宋_GB2312" w:hAnsi="方正仿宋_GB2312" w:cs="方正仿宋_GB2312" w:hint="eastAsia"/>
          <w:color w:val="000000" w:themeColor="text1"/>
          <w:kern w:val="0"/>
          <w:szCs w:val="32"/>
        </w:rPr>
        <w:t>开放型经济是一种经济体制模式，是与封闭型经济相对立的，其要素、商品与服务可以自由地跨国流动，实现最优资源配置和最高经济效率；强调把国内经济和整个国际市场联系起来，尽可能充分参与国际分工，同时在国际分工中发挥本国经济优势；以降低关税壁垒，提高资本流动程度为主，既出口、也进口，既吸引外资、也对外投资。</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b/>
          <w:bCs/>
          <w:color w:val="000000" w:themeColor="text1"/>
          <w:kern w:val="0"/>
          <w:szCs w:val="32"/>
        </w:rPr>
        <w:t>项目单位在开放型经济中所起的作用。</w:t>
      </w:r>
      <w:r>
        <w:rPr>
          <w:rFonts w:ascii="方正仿宋_GB2312" w:eastAsia="方正仿宋_GB2312" w:hAnsi="方正仿宋_GB2312" w:cs="方正仿宋_GB2312" w:hint="eastAsia"/>
          <w:color w:val="000000" w:themeColor="text1"/>
          <w:kern w:val="0"/>
          <w:szCs w:val="32"/>
        </w:rPr>
        <w:t>益阳市商务局作为全市发展开放型经济主管部门，负责宏观指导全市招商引资和承接产业转移工作，拟定并组织实施招商引资和承接产业转移政策；依法监督管理外商投资企业和重大外商投资项目，检查外商投资企业执行有关法律法规规章、合同章程的情况并协调解决有关问题；指导投资促进及全市外商投资企业审批工作，规范招商引资活动。</w:t>
      </w:r>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10" w:name="_Toc30715"/>
      <w:r>
        <w:rPr>
          <w:rFonts w:ascii="楷体" w:eastAsia="楷体" w:hAnsi="楷体" w:cs="楷体" w:hint="eastAsia"/>
          <w:b/>
          <w:color w:val="000000" w:themeColor="text1"/>
          <w:szCs w:val="32"/>
        </w:rPr>
        <w:lastRenderedPageBreak/>
        <w:t>（二）项目支出预算执行情况</w:t>
      </w:r>
      <w:bookmarkEnd w:id="10"/>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2024年，</w:t>
      </w:r>
      <w:r>
        <w:rPr>
          <w:rFonts w:ascii="方正仿宋_GB2312" w:eastAsia="方正仿宋_GB2312" w:hAnsi="方正仿宋_GB2312" w:cs="方正仿宋_GB2312" w:hint="eastAsia"/>
          <w:color w:val="000000" w:themeColor="text1"/>
          <w:kern w:val="0"/>
          <w:szCs w:val="32"/>
          <w:shd w:val="clear" w:color="auto" w:fill="FFFFFF"/>
        </w:rPr>
        <w:t>益阳市商务局开放型经济与产业发展引导资金</w:t>
      </w:r>
      <w:r>
        <w:rPr>
          <w:rFonts w:ascii="方正仿宋_GB2312" w:eastAsia="方正仿宋_GB2312" w:hAnsi="方正仿宋_GB2312" w:cs="方正仿宋_GB2312" w:hint="eastAsia"/>
          <w:color w:val="000000" w:themeColor="text1"/>
          <w:kern w:val="0"/>
          <w:szCs w:val="32"/>
        </w:rPr>
        <w:t>年初预算860万元，实际拨付项目资金572.23万元，其中：招商引资先进单位(含县市区)的奖励330万元；市级重点招商引资工作经费242.23万元，主要用于年初商务局机关预算安排27.58万元、2024年招商引资专项工作经费64万元、走访慰问费10万元、海关网络费7.9万元、内联引资系统3.82万元、中博会29.77万元、进博会17.02元、岳阳口岸博览会16.14万元、双招双引66万元。</w:t>
      </w:r>
    </w:p>
    <w:p w:rsidR="00A012D0" w:rsidRDefault="00E756AF" w:rsidP="000B6EE5">
      <w:pPr>
        <w:adjustRightInd w:val="0"/>
        <w:snapToGrid w:val="0"/>
        <w:spacing w:line="540" w:lineRule="exact"/>
        <w:ind w:firstLineChars="150" w:firstLine="488"/>
        <w:outlineLvl w:val="1"/>
        <w:rPr>
          <w:rFonts w:ascii="楷体" w:eastAsia="楷体" w:hAnsi="楷体" w:cs="楷体"/>
          <w:b/>
          <w:color w:val="000000" w:themeColor="text1"/>
          <w:szCs w:val="32"/>
        </w:rPr>
      </w:pPr>
      <w:bookmarkStart w:id="11" w:name="_Toc30721"/>
      <w:r>
        <w:rPr>
          <w:rFonts w:ascii="楷体" w:eastAsia="楷体" w:hAnsi="楷体" w:cs="楷体" w:hint="eastAsia"/>
          <w:b/>
          <w:color w:val="000000" w:themeColor="text1"/>
          <w:szCs w:val="32"/>
        </w:rPr>
        <w:t>（三）项目支出主要绩效</w:t>
      </w:r>
      <w:bookmarkEnd w:id="11"/>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2024年以来，</w:t>
      </w:r>
      <w:r>
        <w:rPr>
          <w:rFonts w:ascii="方正仿宋_GB2312" w:eastAsia="方正仿宋_GB2312" w:hAnsi="方正仿宋_GB2312" w:cs="方正仿宋_GB2312" w:hint="eastAsia"/>
          <w:color w:val="000000" w:themeColor="text1"/>
          <w:kern w:val="0"/>
          <w:szCs w:val="32"/>
          <w:shd w:val="clear" w:color="auto" w:fill="FFFFFF"/>
        </w:rPr>
        <w:t>益阳市商务局</w:t>
      </w:r>
      <w:r>
        <w:rPr>
          <w:rFonts w:ascii="方正仿宋_GB2312" w:eastAsia="方正仿宋_GB2312" w:hAnsi="方正仿宋_GB2312" w:cs="方正仿宋_GB2312" w:hint="eastAsia"/>
          <w:color w:val="000000" w:themeColor="text1"/>
          <w:kern w:val="0"/>
          <w:szCs w:val="32"/>
        </w:rPr>
        <w:t>把“进一步提高招商引资质量和水平”作为招商工作的主要目标，以稳外资、“三类500强”、引导湘商回归等为工作重点。</w:t>
      </w:r>
    </w:p>
    <w:p w:rsidR="00A012D0" w:rsidRDefault="00E756AF" w:rsidP="000B6EE5">
      <w:pPr>
        <w:adjustRightInd w:val="0"/>
        <w:snapToGrid w:val="0"/>
        <w:spacing w:line="540" w:lineRule="exact"/>
        <w:ind w:firstLineChars="200" w:firstLine="648"/>
        <w:outlineLvl w:val="2"/>
        <w:rPr>
          <w:rFonts w:ascii="方正仿宋_GB2312" w:eastAsia="方正仿宋_GB2312" w:hAnsi="方正仿宋_GB2312" w:cs="方正仿宋_GB2312"/>
          <w:b/>
          <w:bCs/>
          <w:color w:val="000000" w:themeColor="text1"/>
          <w:kern w:val="0"/>
          <w:szCs w:val="32"/>
          <w:highlight w:val="yellow"/>
        </w:rPr>
      </w:pPr>
      <w:bookmarkStart w:id="12" w:name="_Toc10360"/>
      <w:bookmarkStart w:id="13" w:name="_Toc19841"/>
      <w:bookmarkStart w:id="14" w:name="_Toc32286"/>
      <w:bookmarkStart w:id="15" w:name="_Toc23395"/>
      <w:r>
        <w:rPr>
          <w:rFonts w:ascii="方正仿宋_GB2312" w:eastAsia="方正仿宋_GB2312" w:hAnsi="方正仿宋_GB2312" w:cs="方正仿宋_GB2312" w:hint="eastAsia"/>
          <w:b/>
          <w:bCs/>
          <w:color w:val="000000" w:themeColor="text1"/>
          <w:kern w:val="0"/>
          <w:szCs w:val="32"/>
        </w:rPr>
        <w:t>1.“双招双引”推介会成果丰硕，签约项目总投资超百亿</w:t>
      </w:r>
      <w:bookmarkEnd w:id="12"/>
      <w:bookmarkEnd w:id="13"/>
      <w:bookmarkEnd w:id="14"/>
      <w:bookmarkEnd w:id="15"/>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szCs w:val="32"/>
        </w:rPr>
        <w:t>2024年益阳市对接粤港澳大湾区“招商引资·招才引智”推介会在深圳举行</w:t>
      </w:r>
      <w:r>
        <w:rPr>
          <w:rFonts w:ascii="方正仿宋_GB2312" w:eastAsia="方正仿宋_GB2312" w:hAnsi="方正仿宋_GB2312" w:cs="方正仿宋_GB2312" w:hint="eastAsia"/>
          <w:color w:val="000000" w:themeColor="text1"/>
          <w:kern w:val="0"/>
          <w:szCs w:val="32"/>
        </w:rPr>
        <w:t>，本次“双招双引”活动共邀请益阳籍在外知名人士、专家学者、企业家、高校学生代表140余人参加，活动得到社会各界广泛关注，各级主流媒体纷纷推介，单条新闻点击量超过50多万人次。活动授牌了2个招才引智工作站，聘任了4名高校引才联络员。会上对益阳整体投资环境、区位交通、重点产业、招商载体、人才政策等进行了推介，南县、资阳区、安化县重点围绕医疗健康产业链、PCB产业链、茶旅产业链等项目展开推介。签约仪式现场，香港元亨有限公司、深圳市佰特莱科技有限公司、路华置富电子（东莞）有限公司等一批粤港澳大湾区企业，与益阳签约。30个签约项目中，重大招商引资项目21个，其中制造业项目18个，能源与城市基础设施项目1个，第三产业及</w:t>
      </w:r>
      <w:r>
        <w:rPr>
          <w:rFonts w:ascii="方正仿宋_GB2312" w:eastAsia="方正仿宋_GB2312" w:hAnsi="方正仿宋_GB2312" w:cs="方正仿宋_GB2312" w:hint="eastAsia"/>
          <w:color w:val="000000" w:themeColor="text1"/>
          <w:kern w:val="0"/>
          <w:szCs w:val="32"/>
        </w:rPr>
        <w:lastRenderedPageBreak/>
        <w:t>其他2个，总投资 105.3亿元。</w:t>
      </w:r>
    </w:p>
    <w:p w:rsidR="00A012D0" w:rsidRDefault="00E756AF" w:rsidP="000B6EE5">
      <w:pPr>
        <w:adjustRightInd w:val="0"/>
        <w:snapToGrid w:val="0"/>
        <w:spacing w:line="540" w:lineRule="exact"/>
        <w:ind w:firstLineChars="200" w:firstLine="648"/>
        <w:outlineLvl w:val="2"/>
        <w:rPr>
          <w:rFonts w:ascii="方正仿宋_GB2312" w:eastAsia="方正仿宋_GB2312" w:hAnsi="方正仿宋_GB2312" w:cs="方正仿宋_GB2312"/>
          <w:b/>
          <w:bCs/>
          <w:color w:val="000000" w:themeColor="text1"/>
          <w:kern w:val="0"/>
          <w:szCs w:val="32"/>
        </w:rPr>
      </w:pPr>
      <w:bookmarkStart w:id="16" w:name="_Toc30598"/>
      <w:bookmarkStart w:id="17" w:name="_Toc9811"/>
      <w:bookmarkStart w:id="18" w:name="_Toc14743"/>
      <w:bookmarkStart w:id="19" w:name="_Toc26534"/>
      <w:r>
        <w:rPr>
          <w:rFonts w:ascii="方正仿宋_GB2312" w:eastAsia="方正仿宋_GB2312" w:hAnsi="方正仿宋_GB2312" w:cs="方正仿宋_GB2312" w:hint="eastAsia"/>
          <w:b/>
          <w:bCs/>
          <w:color w:val="000000" w:themeColor="text1"/>
          <w:kern w:val="0"/>
          <w:szCs w:val="32"/>
        </w:rPr>
        <w:t>2.益阳企业亮相中部投资贸易博览会，</w:t>
      </w:r>
      <w:bookmarkEnd w:id="16"/>
      <w:bookmarkEnd w:id="17"/>
      <w:bookmarkEnd w:id="18"/>
      <w:r>
        <w:rPr>
          <w:rFonts w:ascii="方正仿宋_GB2312" w:eastAsia="方正仿宋_GB2312" w:hAnsi="方正仿宋_GB2312" w:cs="方正仿宋_GB2312" w:hint="eastAsia"/>
          <w:b/>
          <w:bCs/>
          <w:color w:val="000000" w:themeColor="text1"/>
          <w:kern w:val="0"/>
          <w:szCs w:val="32"/>
        </w:rPr>
        <w:t>有效提升了益阳的知名度和吸引力</w:t>
      </w:r>
      <w:bookmarkEnd w:id="19"/>
    </w:p>
    <w:p w:rsidR="00A012D0" w:rsidRDefault="00E756AF" w:rsidP="000B6EE5">
      <w:pPr>
        <w:adjustRightInd w:val="0"/>
        <w:snapToGrid w:val="0"/>
        <w:spacing w:line="540" w:lineRule="exact"/>
        <w:ind w:firstLineChars="200" w:firstLine="624"/>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spacing w:val="-6"/>
          <w:kern w:val="0"/>
          <w:szCs w:val="32"/>
        </w:rPr>
        <w:t>第十三届中国中部投资贸易博览会展会期间，益阳市邀请中国电子系统、东莞市匠星新材料、深圳市伟利华实业等9家省外企业参会，组织信维电科、金博股份、艾华电子、东盛冰碛岩等知名企业参展，65家企业、127名专业观众受邀参观形象展馆。其中：东盛冰在此次中部博览会上现场成交订单55单，意向订单超30单，已有12家企业预约到东盛生产车间考察。益阳日报头版头条报导此次展会活动，有效提升了益阳的知名度和吸引力。</w:t>
      </w:r>
    </w:p>
    <w:p w:rsidR="00A012D0" w:rsidRDefault="00E756AF" w:rsidP="000B6EE5">
      <w:pPr>
        <w:adjustRightInd w:val="0"/>
        <w:snapToGrid w:val="0"/>
        <w:spacing w:line="540" w:lineRule="exact"/>
        <w:ind w:firstLineChars="200" w:firstLine="648"/>
        <w:outlineLvl w:val="2"/>
        <w:rPr>
          <w:rFonts w:ascii="方正仿宋_GB2312" w:eastAsia="方正仿宋_GB2312" w:hAnsi="方正仿宋_GB2312" w:cs="方正仿宋_GB2312"/>
          <w:b/>
          <w:bCs/>
          <w:color w:val="000000" w:themeColor="text1"/>
          <w:kern w:val="0"/>
          <w:szCs w:val="32"/>
        </w:rPr>
      </w:pPr>
      <w:bookmarkStart w:id="20" w:name="_Toc26233"/>
      <w:bookmarkStart w:id="21" w:name="_Toc895"/>
      <w:bookmarkStart w:id="22" w:name="_Toc13804"/>
      <w:bookmarkStart w:id="23" w:name="_Toc19495"/>
      <w:r>
        <w:rPr>
          <w:rFonts w:ascii="方正仿宋_GB2312" w:eastAsia="方正仿宋_GB2312" w:hAnsi="方正仿宋_GB2312" w:cs="方正仿宋_GB2312" w:hint="eastAsia"/>
          <w:b/>
          <w:bCs/>
          <w:color w:val="000000" w:themeColor="text1"/>
          <w:kern w:val="0"/>
          <w:szCs w:val="32"/>
        </w:rPr>
        <w:t>3.借进博会与长三角活动，深化“双回归”交流</w:t>
      </w:r>
      <w:bookmarkEnd w:id="20"/>
      <w:bookmarkEnd w:id="21"/>
      <w:bookmarkEnd w:id="22"/>
      <w:bookmarkEnd w:id="23"/>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在第七届中国国际进口博览会、湖南-长三角经贸活动座谈会上，上海市益阳商会会长、上海浩谦实业发展有限公司董事长周学杰，上海交通大学教授佘焱，上海景晟投资有限公司董事长邓志军，无锡恒大电子科技有限公司董事长王敏等40余名专家学者、企业代表围绕“湘商回归”“校友回归”开展交流座谈，并拜访对接中国远洋海运集团有限公司。学习强国、红网时刻、益阳日报等主流媒体对本次活动进行了宣传报道，全方位推介了益阳，产生了积极影响。</w:t>
      </w:r>
    </w:p>
    <w:p w:rsidR="00A012D0" w:rsidRDefault="00E756AF" w:rsidP="000B6EE5">
      <w:pPr>
        <w:adjustRightInd w:val="0"/>
        <w:snapToGrid w:val="0"/>
        <w:spacing w:line="540" w:lineRule="exact"/>
        <w:ind w:firstLineChars="200" w:firstLine="648"/>
        <w:outlineLvl w:val="2"/>
        <w:rPr>
          <w:rFonts w:ascii="方正仿宋_GB2312" w:eastAsia="方正仿宋_GB2312" w:hAnsi="方正仿宋_GB2312" w:cs="方正仿宋_GB2312"/>
          <w:b/>
          <w:bCs/>
          <w:color w:val="000000" w:themeColor="text1"/>
          <w:kern w:val="0"/>
          <w:szCs w:val="32"/>
        </w:rPr>
      </w:pPr>
      <w:bookmarkStart w:id="24" w:name="_Toc2699"/>
      <w:bookmarkStart w:id="25" w:name="_Toc15692"/>
      <w:bookmarkStart w:id="26" w:name="_Toc11322"/>
      <w:bookmarkStart w:id="27" w:name="_Toc20351"/>
      <w:r>
        <w:rPr>
          <w:rFonts w:ascii="方正仿宋_GB2312" w:eastAsia="方正仿宋_GB2312" w:hAnsi="方正仿宋_GB2312" w:cs="方正仿宋_GB2312" w:hint="eastAsia"/>
          <w:b/>
          <w:bCs/>
          <w:color w:val="000000" w:themeColor="text1"/>
          <w:kern w:val="0"/>
          <w:szCs w:val="32"/>
        </w:rPr>
        <w:t>4.组织企业参加湖南（岳阳）口岸经贸博览会，搭建对外合作桥梁</w:t>
      </w:r>
      <w:bookmarkEnd w:id="24"/>
      <w:bookmarkEnd w:id="25"/>
      <w:bookmarkEnd w:id="26"/>
      <w:bookmarkEnd w:id="27"/>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第四届湖南（岳阳）口岸经贸博览会主体活动包括领导回见、餐叙交流、巡馆、口岸经贸合作暨高质量发展大会，专题活动包括中德（湖南·岳阳）经贸合作推介会、进口农产品供需对接暨现货交易网开通仪式、港口物流产业发展推介会、铁水联运江海</w:t>
      </w:r>
      <w:r>
        <w:rPr>
          <w:rFonts w:ascii="方正仿宋_GB2312" w:eastAsia="方正仿宋_GB2312" w:hAnsi="方正仿宋_GB2312" w:cs="方正仿宋_GB2312" w:hint="eastAsia"/>
          <w:color w:val="000000" w:themeColor="text1"/>
          <w:kern w:val="0"/>
          <w:szCs w:val="32"/>
        </w:rPr>
        <w:lastRenderedPageBreak/>
        <w:t>直达国际物流供需对接会、湖南工程机械再制造产业发展研讨会、岳阳市文体旅游项目招商推介活动等。市商务局组织两位7家优质企业亮相展会，通过创新展览形式、深度对接洽谈等方式，搭建起益阳与世界互联、互通、互融的桥梁，推动经贸合作交流走深走实。湖南东盛冰碛岩科技有限公司所展示的石雕茶壶宣传图片入选了本次博览会主办方的主题新闻。</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b/>
          <w:bCs/>
          <w:color w:val="000000" w:themeColor="text1"/>
          <w:kern w:val="0"/>
          <w:szCs w:val="32"/>
        </w:rPr>
      </w:pPr>
      <w:bookmarkStart w:id="28" w:name="_Toc17544"/>
      <w:bookmarkStart w:id="29" w:name="_Toc28253"/>
      <w:bookmarkStart w:id="30" w:name="_Toc12708"/>
      <w:r>
        <w:rPr>
          <w:rFonts w:ascii="方正仿宋_GB2312" w:eastAsia="方正仿宋_GB2312" w:hAnsi="方正仿宋_GB2312" w:cs="方正仿宋_GB2312" w:hint="eastAsia"/>
          <w:b/>
          <w:bCs/>
          <w:color w:val="000000" w:themeColor="text1"/>
          <w:kern w:val="0"/>
          <w:szCs w:val="32"/>
        </w:rPr>
        <w:t>5.强化对口招商，突出招大引强</w:t>
      </w:r>
      <w:bookmarkEnd w:id="28"/>
      <w:bookmarkEnd w:id="29"/>
      <w:bookmarkEnd w:id="30"/>
      <w:r>
        <w:rPr>
          <w:rFonts w:ascii="方正仿宋_GB2312" w:eastAsia="方正仿宋_GB2312" w:hAnsi="方正仿宋_GB2312" w:cs="方正仿宋_GB2312" w:hint="eastAsia"/>
          <w:b/>
          <w:bCs/>
          <w:color w:val="000000" w:themeColor="text1"/>
          <w:kern w:val="0"/>
          <w:szCs w:val="32"/>
        </w:rPr>
        <w:t>，核心指标完成情况良好</w:t>
      </w:r>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开展招商引资专项工作，强化对口招商，突出招大引强，落实对口重点国家招商机制，达成离岸经贸服务协定。签约澳大利亚和新西兰水产、游艇、牛羊肉贸易以及跨境电商等项目10个、金额23.79亿元；推进了新西兰客商收购益阳高新区闲置楼盘项目；新西兰Huada Investment公司和湖南海荃游艇有限公司签订合作协议。完善“两图五库”，升级益阳数字招商平台，大力招引“三类500强”、行业隐形冠军、专精特新等重点企业。2024年1-12月全市湘商回归投资新注册企业100家，1-12月全市引进境内省外资金 894.44亿元，1-12月湘商回归累计到位资金209.87亿元，1-12月全市新引进“三类500强”项目16个。</w:t>
      </w:r>
    </w:p>
    <w:p w:rsidR="00A012D0" w:rsidRDefault="00E756AF" w:rsidP="000B6EE5">
      <w:pPr>
        <w:adjustRightInd w:val="0"/>
        <w:snapToGrid w:val="0"/>
        <w:spacing w:line="540" w:lineRule="exact"/>
        <w:ind w:firstLineChars="200" w:firstLine="648"/>
        <w:outlineLvl w:val="2"/>
        <w:rPr>
          <w:rFonts w:ascii="方正仿宋_GB2312" w:eastAsia="方正仿宋_GB2312" w:hAnsi="方正仿宋_GB2312" w:cs="方正仿宋_GB2312"/>
          <w:b/>
          <w:bCs/>
          <w:color w:val="000000" w:themeColor="text1"/>
          <w:kern w:val="0"/>
          <w:szCs w:val="32"/>
        </w:rPr>
      </w:pPr>
      <w:bookmarkStart w:id="31" w:name="_Toc9917"/>
      <w:bookmarkStart w:id="32" w:name="_Toc18449"/>
      <w:bookmarkStart w:id="33" w:name="_Toc19508"/>
      <w:bookmarkStart w:id="34" w:name="_Toc28921"/>
      <w:r>
        <w:rPr>
          <w:rFonts w:ascii="方正仿宋_GB2312" w:eastAsia="方正仿宋_GB2312" w:hAnsi="方正仿宋_GB2312" w:cs="方正仿宋_GB2312" w:hint="eastAsia"/>
          <w:b/>
          <w:bCs/>
          <w:color w:val="000000" w:themeColor="text1"/>
          <w:kern w:val="0"/>
          <w:szCs w:val="32"/>
        </w:rPr>
        <w:t>6.拨付奖励资金，激励开放型经济发展</w:t>
      </w:r>
      <w:bookmarkEnd w:id="31"/>
      <w:bookmarkEnd w:id="32"/>
      <w:bookmarkEnd w:id="33"/>
      <w:bookmarkEnd w:id="34"/>
    </w:p>
    <w:p w:rsidR="00A012D0" w:rsidRDefault="00E756AF" w:rsidP="000B6EE5">
      <w:pPr>
        <w:adjustRightInd w:val="0"/>
        <w:snapToGrid w:val="0"/>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根据益阳市发展开放型经济领导组办公室《关于印发2023 年全市发展开放型经济真抓实干督查激励考评办法的通知》(益开办发</w:t>
      </w:r>
      <w:r>
        <w:rPr>
          <w:rFonts w:ascii="方正仿宋_GB2312" w:eastAsia="方正仿宋_GB2312" w:hAnsi="方正仿宋_GB2312" w:cs="方正仿宋_GB2312" w:hint="eastAsia"/>
          <w:color w:val="000000" w:themeColor="text1"/>
          <w:kern w:val="0"/>
          <w:szCs w:val="32"/>
          <w:shd w:val="clear" w:color="auto" w:fill="FFFFFF"/>
        </w:rPr>
        <w:t>〔2023〕</w:t>
      </w:r>
      <w:r>
        <w:rPr>
          <w:rFonts w:ascii="方正仿宋_GB2312" w:eastAsia="方正仿宋_GB2312" w:hAnsi="方正仿宋_GB2312" w:cs="方正仿宋_GB2312" w:hint="eastAsia"/>
          <w:color w:val="000000" w:themeColor="text1"/>
          <w:kern w:val="0"/>
          <w:szCs w:val="32"/>
        </w:rPr>
        <w:t>3号)及益阳市人民政府办公室《关于对2023年市政府真抓实干成效明显地区(单位)予以表扬激励的通报》(益政办函</w:t>
      </w:r>
      <w:r>
        <w:rPr>
          <w:rFonts w:ascii="方正仿宋_GB2312" w:eastAsia="方正仿宋_GB2312" w:hAnsi="方正仿宋_GB2312" w:cs="方正仿宋_GB2312" w:hint="eastAsia"/>
          <w:color w:val="000000" w:themeColor="text1"/>
          <w:kern w:val="0"/>
          <w:szCs w:val="32"/>
          <w:shd w:val="clear" w:color="auto" w:fill="FFFFFF"/>
        </w:rPr>
        <w:t>〔2024〕</w:t>
      </w:r>
      <w:r>
        <w:rPr>
          <w:rFonts w:ascii="方正仿宋_GB2312" w:eastAsia="方正仿宋_GB2312" w:hAnsi="方正仿宋_GB2312" w:cs="方正仿宋_GB2312" w:hint="eastAsia"/>
          <w:color w:val="000000" w:themeColor="text1"/>
          <w:kern w:val="0"/>
          <w:szCs w:val="32"/>
        </w:rPr>
        <w:t>6号)文件，2023年益阳市发展开放型经济目标管理考核奖励资金合计330万元。奖励资金均已在2024年12月底前拨付至各对应单位。</w:t>
      </w:r>
    </w:p>
    <w:p w:rsidR="00A012D0" w:rsidRDefault="00E756AF" w:rsidP="000B6EE5">
      <w:pPr>
        <w:pStyle w:val="a9"/>
        <w:spacing w:beforeAutospacing="0" w:afterAutospacing="0" w:line="540" w:lineRule="exact"/>
        <w:ind w:firstLineChars="200" w:firstLine="648"/>
        <w:jc w:val="both"/>
        <w:outlineLvl w:val="0"/>
        <w:rPr>
          <w:rFonts w:ascii="黑体" w:eastAsia="黑体" w:hAnsi="黑体" w:cs="黑体"/>
          <w:color w:val="000000" w:themeColor="text1"/>
          <w:kern w:val="2"/>
          <w:sz w:val="32"/>
          <w:szCs w:val="32"/>
        </w:rPr>
      </w:pPr>
      <w:bookmarkStart w:id="35" w:name="_Toc7825"/>
      <w:r>
        <w:rPr>
          <w:rFonts w:ascii="黑体" w:eastAsia="黑体" w:hAnsi="黑体" w:cs="黑体" w:hint="eastAsia"/>
          <w:color w:val="000000" w:themeColor="text1"/>
          <w:kern w:val="2"/>
          <w:sz w:val="32"/>
          <w:szCs w:val="32"/>
        </w:rPr>
        <w:lastRenderedPageBreak/>
        <w:t>三、项目支出评价结论</w:t>
      </w:r>
      <w:bookmarkEnd w:id="35"/>
    </w:p>
    <w:p w:rsidR="00A012D0" w:rsidRDefault="00E756AF" w:rsidP="000B6EE5">
      <w:pPr>
        <w:spacing w:line="540" w:lineRule="exact"/>
        <w:ind w:firstLineChars="200"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我们从</w:t>
      </w:r>
      <w:bookmarkStart w:id="36" w:name="OLE_LINK2"/>
      <w:r>
        <w:rPr>
          <w:rFonts w:ascii="方正仿宋_GB2312" w:eastAsia="方正仿宋_GB2312" w:hAnsi="方正仿宋_GB2312" w:cs="方正仿宋_GB2312" w:hint="eastAsia"/>
          <w:color w:val="000000" w:themeColor="text1"/>
          <w:szCs w:val="32"/>
        </w:rPr>
        <w:t>项目立项、绩效目标、资金投入和管理、项目组织和实施、项目产出、社会效益等方面进行评价</w:t>
      </w:r>
      <w:bookmarkEnd w:id="36"/>
      <w:r>
        <w:rPr>
          <w:rFonts w:ascii="方正仿宋_GB2312" w:eastAsia="方正仿宋_GB2312" w:hAnsi="方正仿宋_GB2312" w:cs="方正仿宋_GB2312" w:hint="eastAsia"/>
          <w:color w:val="000000" w:themeColor="text1"/>
          <w:szCs w:val="32"/>
        </w:rPr>
        <w:t>，根据《</w:t>
      </w:r>
      <w:r>
        <w:rPr>
          <w:rFonts w:ascii="方正仿宋_GB2312" w:eastAsia="方正仿宋_GB2312" w:hAnsi="方正仿宋_GB2312" w:cs="方正仿宋_GB2312" w:hint="eastAsia"/>
          <w:color w:val="000000" w:themeColor="text1"/>
          <w:kern w:val="0"/>
          <w:szCs w:val="32"/>
          <w:shd w:val="clear" w:color="auto" w:fill="FFFFFF"/>
        </w:rPr>
        <w:t>益阳市商务局开放型经济与产业发展引导资金绩效评价指标体系表</w:t>
      </w:r>
      <w:r>
        <w:rPr>
          <w:rFonts w:ascii="方正仿宋_GB2312" w:eastAsia="方正仿宋_GB2312" w:hAnsi="方正仿宋_GB2312" w:cs="方正仿宋_GB2312" w:hint="eastAsia"/>
          <w:color w:val="000000" w:themeColor="text1"/>
          <w:szCs w:val="32"/>
        </w:rPr>
        <w:t>》结果，项目得分84.3分，评价等级为“良”。</w:t>
      </w:r>
    </w:p>
    <w:p w:rsidR="00A012D0" w:rsidRDefault="00E756AF" w:rsidP="000B6EE5">
      <w:pPr>
        <w:adjustRightInd w:val="0"/>
        <w:snapToGrid w:val="0"/>
        <w:spacing w:line="540" w:lineRule="exact"/>
        <w:ind w:firstLineChars="200" w:firstLine="648"/>
        <w:outlineLvl w:val="0"/>
        <w:rPr>
          <w:rFonts w:ascii="黑体" w:eastAsia="黑体" w:hAnsi="黑体" w:cs="黑体"/>
          <w:color w:val="000000" w:themeColor="text1"/>
          <w:szCs w:val="32"/>
        </w:rPr>
      </w:pPr>
      <w:bookmarkStart w:id="37" w:name="_Toc16981"/>
      <w:r>
        <w:rPr>
          <w:rFonts w:ascii="黑体" w:eastAsia="黑体" w:hAnsi="黑体" w:cs="黑体" w:hint="eastAsia"/>
          <w:color w:val="000000" w:themeColor="text1"/>
          <w:szCs w:val="32"/>
        </w:rPr>
        <w:t>四、</w:t>
      </w:r>
      <w:r>
        <w:rPr>
          <w:rFonts w:ascii="黑体" w:eastAsia="黑体" w:hAnsi="黑体" w:cs="黑体" w:hint="eastAsia"/>
          <w:szCs w:val="32"/>
        </w:rPr>
        <w:t>存在的问题及原</w:t>
      </w:r>
      <w:r>
        <w:rPr>
          <w:rFonts w:ascii="黑体" w:eastAsia="黑体" w:hAnsi="黑体" w:cs="黑体" w:hint="eastAsia"/>
          <w:color w:val="000000" w:themeColor="text1"/>
          <w:szCs w:val="32"/>
        </w:rPr>
        <w:t>因分析</w:t>
      </w:r>
      <w:bookmarkEnd w:id="37"/>
    </w:p>
    <w:p w:rsidR="00A012D0" w:rsidRDefault="00E756AF" w:rsidP="000B6EE5">
      <w:pPr>
        <w:topLinePunct/>
        <w:spacing w:line="540" w:lineRule="exact"/>
        <w:ind w:firstLineChars="200" w:firstLine="650"/>
        <w:outlineLvl w:val="1"/>
        <w:rPr>
          <w:rFonts w:ascii="楷体" w:eastAsia="楷体" w:hAnsi="楷体" w:cs="楷体"/>
          <w:b/>
          <w:bCs/>
          <w:color w:val="000000" w:themeColor="text1"/>
          <w:szCs w:val="32"/>
        </w:rPr>
      </w:pPr>
      <w:bookmarkStart w:id="38" w:name="_Toc32306"/>
      <w:r>
        <w:rPr>
          <w:rFonts w:ascii="楷体" w:eastAsia="楷体" w:hAnsi="楷体" w:cs="楷体" w:hint="eastAsia"/>
          <w:b/>
          <w:bCs/>
          <w:color w:val="000000" w:themeColor="text1"/>
          <w:szCs w:val="32"/>
        </w:rPr>
        <w:t>（一）项目支出绩效未达到预期目标</w:t>
      </w:r>
      <w:bookmarkEnd w:id="38"/>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2024年利用外商直接投资预期目标：直接利用外资增长5%以上。完成情况：2023年直接利用外资1675万美元，2024年直接利用外资541万美元，同比下降66.67%，未达到预期目标。</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2024年引进省外境内资金预期目标：利用内资增长8%以上。完成情况：2023年引进省外境内资金869.9亿元，2024年引进境内省外894.44亿元，同比增长2.82%，</w:t>
      </w:r>
      <w:bookmarkStart w:id="39" w:name="OLE_LINK5"/>
      <w:r>
        <w:rPr>
          <w:rFonts w:ascii="方正仿宋_GB2312" w:eastAsia="方正仿宋_GB2312" w:hAnsi="方正仿宋_GB2312" w:cs="方正仿宋_GB2312" w:hint="eastAsia"/>
          <w:color w:val="000000" w:themeColor="text1"/>
          <w:szCs w:val="32"/>
        </w:rPr>
        <w:t>未达到预期目标。</w:t>
      </w:r>
      <w:bookmarkEnd w:id="39"/>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2024年湘商回归累计到位资金预期目标：累计到位资金252亿元以上。完成情况：湘商回归累计到位资金209.87亿元，完成目标任务的83.28%，未达到预期目标。</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上述情形不符合《中共湖南省委办公厅 湖南省人民政府办公厅关于全面实施预算绩效管理的实施意见》（湘办发〔2019〕10号）第二条“3．开展绩效运行监控。各级政府和各部门各单位要建立预算资金绩效运行监控机制，明确监控职责，规范监控程序，对绩效目标实现程度和预算执行进度实行“双监控”，发现问题要分析原因并及时纠正，确保绩效目标如期保质保量实现。”的要求。</w:t>
      </w:r>
    </w:p>
    <w:p w:rsidR="00A012D0" w:rsidRDefault="00E756AF" w:rsidP="000B6EE5">
      <w:pPr>
        <w:topLinePunct/>
        <w:spacing w:line="540" w:lineRule="exact"/>
        <w:ind w:firstLineChars="200" w:firstLine="650"/>
        <w:outlineLvl w:val="1"/>
        <w:rPr>
          <w:rFonts w:ascii="楷体" w:eastAsia="楷体" w:hAnsi="楷体" w:cs="楷体"/>
          <w:b/>
          <w:bCs/>
          <w:color w:val="000000" w:themeColor="text1"/>
          <w:szCs w:val="32"/>
        </w:rPr>
      </w:pPr>
      <w:bookmarkStart w:id="40" w:name="_Toc15952"/>
      <w:r>
        <w:rPr>
          <w:rFonts w:ascii="楷体" w:eastAsia="楷体" w:hAnsi="楷体" w:cs="楷体" w:hint="eastAsia"/>
          <w:b/>
          <w:bCs/>
          <w:color w:val="000000" w:themeColor="text1"/>
          <w:szCs w:val="32"/>
        </w:rPr>
        <w:t>（二）项目落地和运营的转化绩效不足</w:t>
      </w:r>
      <w:bookmarkEnd w:id="40"/>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一是外资储备项目不足。2024年，全市12家新设外商投资</w:t>
      </w:r>
      <w:r>
        <w:rPr>
          <w:rFonts w:ascii="方正仿宋_GB2312" w:eastAsia="方正仿宋_GB2312" w:hAnsi="方正仿宋_GB2312" w:cs="方正仿宋_GB2312" w:hint="eastAsia"/>
          <w:color w:val="000000" w:themeColor="text1"/>
          <w:kern w:val="0"/>
          <w:szCs w:val="32"/>
        </w:rPr>
        <w:lastRenderedPageBreak/>
        <w:t>企业平均外资注册资本不足630万美元，最小的不足30万美元。</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二是项目“三率”显著落后。在建产业项目较少，新签约项目一时难以释放投资效应，除履约率外，资金到位率、达产率均低于全省平均水平。</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上述情形不符合《益阳市发展开放型经济领导小组办公室关于印发&lt;益阳市“十四五”商务和开放型经济发展规划&gt;的通知》（益开办发〔2023〕2号）第三章第四条“利用外资。外商投资环境不断优化，利用外资规模不断扩大，外商投资领域不断拓宽，积极引进世界500强企业，特色农业、现代服务业、新材料新能源、信息技术、生物医药产业等领域的外资比重不断增加，外资行业结构不断优化，利用外资的质量和水平进一步提高。”及第八章第四条“建立完善招商引资全流程服务平台，实施招商项目开发、对接、跟踪、落地、建设、运营全流程服务，切实提升重大招商活动签约项目履约率和资金到位率。”的要求。</w:t>
      </w:r>
    </w:p>
    <w:p w:rsidR="00A012D0" w:rsidRDefault="00E756AF" w:rsidP="000B6EE5">
      <w:pPr>
        <w:topLinePunct/>
        <w:spacing w:line="540" w:lineRule="exact"/>
        <w:ind w:firstLineChars="200" w:firstLine="650"/>
        <w:outlineLvl w:val="1"/>
        <w:rPr>
          <w:rFonts w:ascii="楷体" w:eastAsia="楷体" w:hAnsi="楷体" w:cs="楷体"/>
          <w:b/>
          <w:bCs/>
          <w:color w:val="000000" w:themeColor="text1"/>
          <w:szCs w:val="32"/>
        </w:rPr>
      </w:pPr>
      <w:bookmarkStart w:id="41" w:name="_Toc10051"/>
      <w:r>
        <w:rPr>
          <w:rFonts w:ascii="楷体" w:eastAsia="楷体" w:hAnsi="楷体" w:cs="楷体" w:hint="eastAsia"/>
          <w:b/>
          <w:bCs/>
          <w:color w:val="000000" w:themeColor="text1"/>
          <w:szCs w:val="32"/>
        </w:rPr>
        <w:t>（三）预算执行率低，影响财政资金效益</w:t>
      </w:r>
      <w:bookmarkEnd w:id="41"/>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2024年，益阳市商务局开放型经济与产业发展引导资金年初预算860万元，实际支出项目资金572.23万元，结余资金287.77万元，预算执行率66.54%，预算执行率低。</w:t>
      </w:r>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上述情形不符合《中华人民共和国预算法实施条例》第六十条“各级政府、各部门、各单位应当加强对预算支出的管理，严格执行预算，遵守财政制度，强化预算约束，……合理安排支出进度。”的要求。</w:t>
      </w:r>
    </w:p>
    <w:p w:rsidR="00A012D0" w:rsidRDefault="00E756AF" w:rsidP="000B6EE5">
      <w:pPr>
        <w:adjustRightInd w:val="0"/>
        <w:snapToGrid w:val="0"/>
        <w:spacing w:line="540" w:lineRule="exact"/>
        <w:ind w:firstLineChars="200" w:firstLine="650"/>
        <w:outlineLvl w:val="1"/>
        <w:rPr>
          <w:rFonts w:ascii="楷体" w:eastAsia="楷体" w:hAnsi="楷体" w:cs="楷体"/>
          <w:b/>
          <w:bCs/>
          <w:color w:val="000000" w:themeColor="text1"/>
          <w:szCs w:val="32"/>
        </w:rPr>
      </w:pPr>
      <w:bookmarkStart w:id="42" w:name="_Toc9013"/>
      <w:r>
        <w:rPr>
          <w:rFonts w:ascii="楷体" w:eastAsia="楷体" w:hAnsi="楷体" w:cs="楷体" w:hint="eastAsia"/>
          <w:b/>
          <w:bCs/>
          <w:color w:val="000000" w:themeColor="text1"/>
          <w:szCs w:val="32"/>
        </w:rPr>
        <w:t>（四）不相容岗位未相互分离</w:t>
      </w:r>
      <w:bookmarkEnd w:id="42"/>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一是报销审批经办人与审批人未相互分离</w:t>
      </w:r>
      <w:r w:rsidR="00195747">
        <w:rPr>
          <w:rFonts w:ascii="方正仿宋_GB2312" w:eastAsia="方正仿宋_GB2312" w:hAnsi="方正仿宋_GB2312" w:cs="方正仿宋_GB2312" w:hint="eastAsia"/>
          <w:color w:val="000000" w:themeColor="text1"/>
          <w:kern w:val="0"/>
          <w:szCs w:val="32"/>
        </w:rPr>
        <w:t>。</w:t>
      </w:r>
      <w:r>
        <w:rPr>
          <w:rFonts w:ascii="方正仿宋_GB2312" w:eastAsia="方正仿宋_GB2312" w:hAnsi="方正仿宋_GB2312" w:cs="方正仿宋_GB2312" w:hint="eastAsia"/>
          <w:color w:val="000000" w:themeColor="text1"/>
          <w:kern w:val="0"/>
          <w:szCs w:val="32"/>
        </w:rPr>
        <w:t>查看益阳市投资促进事务中心2024年12月凭证，支付长三角经贸交流活动费用</w:t>
      </w:r>
      <w:r>
        <w:rPr>
          <w:rFonts w:ascii="方正仿宋_GB2312" w:eastAsia="方正仿宋_GB2312" w:hAnsi="方正仿宋_GB2312" w:cs="方正仿宋_GB2312" w:hint="eastAsia"/>
          <w:color w:val="000000" w:themeColor="text1"/>
          <w:kern w:val="0"/>
          <w:szCs w:val="32"/>
        </w:rPr>
        <w:lastRenderedPageBreak/>
        <w:t>5.99万元，支付长三角经贸活动费用2.45万元，支付机票费用1.82万元，2024年11月凭证，支付石卉2024年进博会、长三角对接活动预支经费5万元，上述支出费用报销审批单经办人、分管领导审批人、主管领导审批人均为石卉。</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二是政府采购经办人与验收人未相互分离</w:t>
      </w:r>
      <w:r w:rsidR="00195747">
        <w:rPr>
          <w:rFonts w:ascii="方正仿宋_GB2312" w:eastAsia="方正仿宋_GB2312" w:hAnsi="方正仿宋_GB2312" w:cs="方正仿宋_GB2312" w:hint="eastAsia"/>
          <w:color w:val="000000" w:themeColor="text1"/>
          <w:kern w:val="0"/>
          <w:szCs w:val="32"/>
        </w:rPr>
        <w:t>。</w:t>
      </w:r>
      <w:r>
        <w:rPr>
          <w:rFonts w:ascii="方正仿宋_GB2312" w:eastAsia="方正仿宋_GB2312" w:hAnsi="方正仿宋_GB2312" w:cs="方正仿宋_GB2312" w:hint="eastAsia"/>
          <w:color w:val="000000" w:themeColor="text1"/>
          <w:kern w:val="0"/>
          <w:szCs w:val="32"/>
        </w:rPr>
        <w:t>查看益阳市投资促进事务中心2024年9月凭证，支付中博会印刷费用3.08万元，支付中博会印刷费用0.94万元，2024年12月凭证，支付中博会会场布置费17.47万元，上述支出费用报销审批单经办人、验收人均为王晴川。</w:t>
      </w:r>
    </w:p>
    <w:p w:rsidR="00A012D0" w:rsidRDefault="00E756AF" w:rsidP="000B6EE5">
      <w:pPr>
        <w:topLinePunct/>
        <w:spacing w:line="540" w:lineRule="exact"/>
        <w:ind w:firstLineChars="200" w:firstLine="648"/>
        <w:rPr>
          <w:rFonts w:ascii="方正仿宋_GB2312" w:eastAsia="方正仿宋_GB2312" w:hAnsi="方正仿宋_GB2312" w:cs="方正仿宋_GB2312"/>
          <w:color w:val="000000" w:themeColor="text1"/>
          <w:kern w:val="0"/>
          <w:szCs w:val="32"/>
        </w:rPr>
      </w:pPr>
      <w:r>
        <w:rPr>
          <w:rFonts w:ascii="方正仿宋_GB2312" w:eastAsia="方正仿宋_GB2312" w:hAnsi="方正仿宋_GB2312" w:cs="方正仿宋_GB2312" w:hint="eastAsia"/>
          <w:color w:val="000000" w:themeColor="text1"/>
          <w:kern w:val="0"/>
          <w:szCs w:val="32"/>
        </w:rPr>
        <w:t>上述情形不符合《益阳市投资促进事务中心内控制度》第四篇“二、收支业务内部控制（二）收支不相容岗位，经办人与项目负责人、党组书记、主管财经领导、出纳。”及第四篇“四、政府采购内部控制（三）不相容岗位，有需求的各科室与办公室、采购专岗、验收保管专岗、分管领导。”的要求。</w:t>
      </w:r>
    </w:p>
    <w:p w:rsidR="00A012D0" w:rsidRDefault="00E756AF" w:rsidP="000B6EE5">
      <w:pPr>
        <w:topLinePunct/>
        <w:spacing w:line="540" w:lineRule="exact"/>
        <w:ind w:firstLineChars="200" w:firstLine="650"/>
        <w:outlineLvl w:val="1"/>
        <w:rPr>
          <w:rFonts w:ascii="楷体" w:eastAsia="楷体" w:hAnsi="楷体" w:cs="楷体"/>
          <w:b/>
          <w:bCs/>
          <w:color w:val="000000" w:themeColor="text1"/>
          <w:szCs w:val="32"/>
        </w:rPr>
      </w:pPr>
      <w:bookmarkStart w:id="43" w:name="_Toc13042"/>
      <w:r>
        <w:rPr>
          <w:rFonts w:ascii="楷体" w:eastAsia="楷体" w:hAnsi="楷体" w:cs="楷体" w:hint="eastAsia"/>
          <w:b/>
          <w:bCs/>
          <w:color w:val="000000" w:themeColor="text1"/>
          <w:szCs w:val="32"/>
        </w:rPr>
        <w:t>（五）费用报销流程不规范</w:t>
      </w:r>
      <w:bookmarkEnd w:id="43"/>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color w:val="000000" w:themeColor="text1"/>
          <w:kern w:val="0"/>
          <w:sz w:val="32"/>
          <w:szCs w:val="32"/>
        </w:rPr>
      </w:pPr>
      <w:r>
        <w:rPr>
          <w:rFonts w:ascii="方正仿宋_GB2312" w:eastAsia="方正仿宋_GB2312" w:hAnsi="方正仿宋_GB2312" w:cs="方正仿宋_GB2312" w:hint="eastAsia"/>
          <w:color w:val="000000" w:themeColor="text1"/>
          <w:kern w:val="0"/>
          <w:sz w:val="32"/>
          <w:szCs w:val="32"/>
        </w:rPr>
        <w:t>一是签字审批不规范</w:t>
      </w:r>
      <w:r w:rsidR="00195747">
        <w:rPr>
          <w:rFonts w:ascii="方正仿宋_GB2312" w:eastAsia="方正仿宋_GB2312" w:hAnsi="方正仿宋_GB2312" w:cs="方正仿宋_GB2312" w:hint="eastAsia"/>
          <w:color w:val="000000" w:themeColor="text1"/>
          <w:kern w:val="0"/>
          <w:sz w:val="32"/>
          <w:szCs w:val="32"/>
        </w:rPr>
        <w:t>。</w:t>
      </w:r>
      <w:r>
        <w:rPr>
          <w:rFonts w:ascii="方正仿宋_GB2312" w:eastAsia="方正仿宋_GB2312" w:hAnsi="方正仿宋_GB2312" w:cs="方正仿宋_GB2312" w:hint="eastAsia"/>
          <w:color w:val="000000" w:themeColor="text1"/>
          <w:kern w:val="0"/>
          <w:sz w:val="32"/>
          <w:szCs w:val="32"/>
        </w:rPr>
        <w:t>2024年6月，益阳市投资促进事务中心支付中博会差旅费0.37万元，查看费用报销审批单，仅经办人签字，部门负责人意见、分管领导审批、财务审核、主管领导审批、出纳签章为空。</w:t>
      </w:r>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color w:val="000000" w:themeColor="text1"/>
          <w:kern w:val="0"/>
          <w:sz w:val="32"/>
          <w:szCs w:val="32"/>
        </w:rPr>
      </w:pPr>
      <w:r>
        <w:rPr>
          <w:rFonts w:ascii="方正仿宋_GB2312" w:eastAsia="方正仿宋_GB2312" w:hAnsi="方正仿宋_GB2312" w:cs="方正仿宋_GB2312" w:hint="eastAsia"/>
          <w:color w:val="000000" w:themeColor="text1"/>
          <w:kern w:val="0"/>
          <w:sz w:val="32"/>
          <w:szCs w:val="32"/>
        </w:rPr>
        <w:t>二是验收流程不规范</w:t>
      </w:r>
      <w:r w:rsidR="00195747">
        <w:rPr>
          <w:rFonts w:ascii="方正仿宋_GB2312" w:eastAsia="方正仿宋_GB2312" w:hAnsi="方正仿宋_GB2312" w:cs="方正仿宋_GB2312" w:hint="eastAsia"/>
          <w:color w:val="000000" w:themeColor="text1"/>
          <w:kern w:val="0"/>
          <w:sz w:val="32"/>
          <w:szCs w:val="32"/>
        </w:rPr>
        <w:t>。</w:t>
      </w:r>
      <w:r>
        <w:rPr>
          <w:rFonts w:ascii="方正仿宋_GB2312" w:eastAsia="方正仿宋_GB2312" w:hAnsi="方正仿宋_GB2312" w:cs="方正仿宋_GB2312" w:hint="eastAsia"/>
          <w:color w:val="000000" w:themeColor="text1"/>
          <w:kern w:val="0"/>
          <w:sz w:val="32"/>
          <w:szCs w:val="32"/>
        </w:rPr>
        <w:t>2025年2月，益阳市商务局支付岳阳口岸展览展位服务费13.82万元，合同内容为湖南沁诚展览服务有限公司承揽益阳市商务局第四届湖南（岳阳）口岸经贸博览会益阳（展台）设计、制作、搭建布展等，甲方根据双方确认的设计方案、物料及布局、现场进行验收，查看凭证及附件，无展位验收资料。</w:t>
      </w:r>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color w:val="000000" w:themeColor="text1"/>
          <w:kern w:val="0"/>
          <w:sz w:val="32"/>
          <w:szCs w:val="32"/>
        </w:rPr>
      </w:pPr>
      <w:r>
        <w:rPr>
          <w:rFonts w:ascii="方正仿宋_GB2312" w:eastAsia="方正仿宋_GB2312" w:hAnsi="方正仿宋_GB2312" w:cs="方正仿宋_GB2312" w:hint="eastAsia"/>
          <w:color w:val="000000" w:themeColor="text1"/>
          <w:kern w:val="0"/>
          <w:sz w:val="32"/>
          <w:szCs w:val="32"/>
        </w:rPr>
        <w:lastRenderedPageBreak/>
        <w:t>上述情形不符合《益阳市投资促进事务中心内控制度》第四篇“二、收支业务内部控制（二）支出业务控制2.报账程序，发票或其他票据由经办人签字==证明人或验收人（科室长）签字--科室分管领导签字--综合科科长审核--会审联签--分管财务领导审批--到综合科报账。”及《益阳市商务局政府采购内部控制制度》</w:t>
      </w:r>
      <w:r>
        <w:rPr>
          <w:rFonts w:ascii="方正仿宋_GB2312" w:eastAsia="方正仿宋_GB2312" w:hAnsi="方正仿宋_GB2312" w:cs="方正仿宋_GB2312" w:hint="eastAsia"/>
          <w:kern w:val="0"/>
          <w:sz w:val="32"/>
          <w:szCs w:val="32"/>
        </w:rPr>
        <w:t>第三十八条“</w:t>
      </w:r>
      <w:r>
        <w:rPr>
          <w:rFonts w:ascii="方正仿宋_GB2312" w:eastAsia="方正仿宋_GB2312" w:hAnsi="方正仿宋_GB2312" w:cs="方正仿宋_GB2312" w:hint="eastAsia"/>
          <w:color w:val="000000" w:themeColor="text1"/>
          <w:kern w:val="0"/>
          <w:sz w:val="32"/>
          <w:szCs w:val="32"/>
        </w:rPr>
        <w:t>问责机制。从内部机制、内部监督、内部流程等方面，强化履约验收主体责任，把履约验收嵌入本单位内控管理流程，加强相关工作的组织、人员和经费保障。”的要求。</w:t>
      </w:r>
    </w:p>
    <w:p w:rsidR="00A012D0" w:rsidRDefault="00E756AF" w:rsidP="000B6EE5">
      <w:pPr>
        <w:topLinePunct/>
        <w:spacing w:line="540" w:lineRule="exact"/>
        <w:ind w:firstLineChars="200" w:firstLine="650"/>
        <w:outlineLvl w:val="1"/>
        <w:rPr>
          <w:rFonts w:ascii="楷体" w:eastAsia="楷体" w:hAnsi="楷体" w:cs="楷体"/>
          <w:b/>
          <w:bCs/>
          <w:color w:val="000000" w:themeColor="text1"/>
          <w:szCs w:val="32"/>
        </w:rPr>
      </w:pPr>
      <w:bookmarkStart w:id="44" w:name="_Toc16686"/>
      <w:bookmarkStart w:id="45" w:name="OLE_LINK1"/>
      <w:r>
        <w:rPr>
          <w:rFonts w:ascii="楷体" w:eastAsia="楷体" w:hAnsi="楷体" w:cs="楷体" w:hint="eastAsia"/>
          <w:b/>
          <w:bCs/>
          <w:color w:val="000000" w:themeColor="text1"/>
          <w:szCs w:val="32"/>
        </w:rPr>
        <w:t>（六）招商引资接待欠规范</w:t>
      </w:r>
      <w:bookmarkEnd w:id="44"/>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查看益阳市投资促进事务中心2024年9月7号凭证，支付客商餐饮费2.03万元，附件益阳市投资促进事务中心接待通知单，2024年9月1日接待人数15人，陪餐人数6人，400元/人，接待陪餐人数超标准1人；2024年9月10日接待人数24人，陪餐人数9人，400元/人，接待陪餐人数超标准1人。</w:t>
      </w:r>
    </w:p>
    <w:p w:rsidR="00A012D0" w:rsidRDefault="00E756AF" w:rsidP="000B6EE5">
      <w:pPr>
        <w:pStyle w:val="a7"/>
        <w:spacing w:line="540" w:lineRule="exact"/>
        <w:ind w:firstLineChars="200" w:firstLine="648"/>
        <w:jc w:val="both"/>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上述情形不符合《益阳市财政局、益阳市商务局关于印发&lt;益阳市市级招商引资专项资金管理使用规定&gt;的通知》（益财外〔2019〕201号）第三条“（一）来访客商接待标准。1、接待来益客商，原则上宴请不超过两次，严格控制陪餐人数，接待客商在10人以内的，陪餐人数不超过3人；客商超过10人的，不得超过客商人数的三分之一。”的要求。</w:t>
      </w:r>
    </w:p>
    <w:p w:rsidR="00A012D0" w:rsidRDefault="00E756AF" w:rsidP="000B6EE5">
      <w:pPr>
        <w:pStyle w:val="a7"/>
        <w:spacing w:line="540" w:lineRule="exact"/>
        <w:ind w:firstLineChars="200" w:firstLine="648"/>
        <w:jc w:val="both"/>
        <w:outlineLvl w:val="0"/>
        <w:rPr>
          <w:rFonts w:ascii="黑体" w:eastAsia="黑体" w:hAnsi="黑体" w:cs="黑体"/>
          <w:color w:val="000000" w:themeColor="text1"/>
          <w:sz w:val="32"/>
          <w:szCs w:val="32"/>
        </w:rPr>
      </w:pPr>
      <w:bookmarkStart w:id="46" w:name="_Toc17810"/>
      <w:bookmarkEnd w:id="45"/>
      <w:r>
        <w:rPr>
          <w:rFonts w:ascii="黑体" w:eastAsia="黑体" w:hAnsi="黑体" w:cs="黑体" w:hint="eastAsia"/>
          <w:color w:val="000000" w:themeColor="text1"/>
          <w:sz w:val="32"/>
          <w:szCs w:val="32"/>
        </w:rPr>
        <w:t>五、有关建议</w:t>
      </w:r>
      <w:bookmarkEnd w:id="46"/>
    </w:p>
    <w:p w:rsidR="00A012D0" w:rsidRDefault="00E756AF" w:rsidP="000B6EE5">
      <w:pPr>
        <w:pStyle w:val="a7"/>
        <w:spacing w:line="540" w:lineRule="exact"/>
        <w:ind w:firstLineChars="150" w:firstLine="488"/>
        <w:jc w:val="both"/>
        <w:outlineLvl w:val="1"/>
        <w:rPr>
          <w:rFonts w:ascii="楷体" w:eastAsia="楷体" w:hAnsi="楷体" w:cs="楷体"/>
          <w:b/>
          <w:bCs/>
          <w:color w:val="000000" w:themeColor="text1"/>
          <w:sz w:val="32"/>
          <w:szCs w:val="32"/>
        </w:rPr>
      </w:pPr>
      <w:bookmarkStart w:id="47" w:name="_Toc13522"/>
      <w:r>
        <w:rPr>
          <w:rFonts w:ascii="楷体" w:eastAsia="楷体" w:hAnsi="楷体" w:cs="楷体" w:hint="eastAsia"/>
          <w:b/>
          <w:bCs/>
          <w:color w:val="000000" w:themeColor="text1"/>
          <w:sz w:val="32"/>
          <w:szCs w:val="32"/>
        </w:rPr>
        <w:t>（一）强化绩效目标管理</w:t>
      </w:r>
      <w:bookmarkEnd w:id="47"/>
    </w:p>
    <w:p w:rsidR="00A012D0" w:rsidRDefault="00E756AF" w:rsidP="000B6EE5">
      <w:pPr>
        <w:pStyle w:val="11"/>
        <w:spacing w:line="540" w:lineRule="exact"/>
        <w:ind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建议益阳市商务局加强预算绩效管理工作组织领导，建立健全预算绩效管理机制，明确责任主体，明确部门内部绩效目标设</w:t>
      </w:r>
      <w:r>
        <w:rPr>
          <w:rFonts w:ascii="方正仿宋_GB2312" w:eastAsia="方正仿宋_GB2312" w:hAnsi="方正仿宋_GB2312" w:cs="方正仿宋_GB2312" w:hint="eastAsia"/>
          <w:color w:val="000000" w:themeColor="text1"/>
          <w:szCs w:val="32"/>
        </w:rPr>
        <w:lastRenderedPageBreak/>
        <w:t>置、审核、监控和评价的责任分工，加强部门财务与业务工作衔接，不断提升预算绩效管理水平，完成绩效目标任务，切实提高财政资金使用效益。</w:t>
      </w:r>
    </w:p>
    <w:p w:rsidR="00A012D0" w:rsidRDefault="00E756AF" w:rsidP="000B6EE5">
      <w:pPr>
        <w:pStyle w:val="a7"/>
        <w:spacing w:line="540" w:lineRule="exact"/>
        <w:ind w:firstLineChars="150" w:firstLine="488"/>
        <w:jc w:val="both"/>
        <w:outlineLvl w:val="1"/>
        <w:rPr>
          <w:rFonts w:ascii="楷体" w:eastAsia="楷体" w:hAnsi="楷体" w:cs="楷体"/>
          <w:b/>
          <w:bCs/>
          <w:color w:val="000000" w:themeColor="text1"/>
          <w:sz w:val="32"/>
          <w:szCs w:val="32"/>
        </w:rPr>
      </w:pPr>
      <w:bookmarkStart w:id="48" w:name="_Toc5309"/>
      <w:r>
        <w:rPr>
          <w:rFonts w:ascii="楷体" w:eastAsia="楷体" w:hAnsi="楷体" w:cs="楷体" w:hint="eastAsia"/>
          <w:b/>
          <w:bCs/>
          <w:color w:val="000000" w:themeColor="text1"/>
          <w:sz w:val="32"/>
          <w:szCs w:val="32"/>
        </w:rPr>
        <w:t>（二）不相容岗位相互分离</w:t>
      </w:r>
      <w:bookmarkEnd w:id="48"/>
    </w:p>
    <w:p w:rsidR="00A012D0" w:rsidRDefault="00E756AF" w:rsidP="000B6EE5">
      <w:pPr>
        <w:pStyle w:val="11"/>
        <w:spacing w:line="540" w:lineRule="exact"/>
        <w:ind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建议益阳市商务局划分岗位权限，确保付款流程的经办与审批，采购流程的采购与验收等业务环节由不同人员担任，形成有效牵制，加强内部控制的有效性。</w:t>
      </w:r>
    </w:p>
    <w:p w:rsidR="00A012D0" w:rsidRDefault="00E756AF" w:rsidP="000B6EE5">
      <w:pPr>
        <w:pStyle w:val="a7"/>
        <w:spacing w:line="540" w:lineRule="exact"/>
        <w:ind w:firstLineChars="150" w:firstLine="488"/>
        <w:jc w:val="both"/>
        <w:outlineLvl w:val="1"/>
        <w:rPr>
          <w:rFonts w:ascii="楷体" w:eastAsia="楷体" w:hAnsi="楷体" w:cs="楷体"/>
          <w:b/>
          <w:bCs/>
          <w:color w:val="000000" w:themeColor="text1"/>
          <w:sz w:val="32"/>
          <w:szCs w:val="32"/>
        </w:rPr>
      </w:pPr>
      <w:bookmarkStart w:id="49" w:name="_Toc17193"/>
      <w:r>
        <w:rPr>
          <w:rFonts w:ascii="楷体" w:eastAsia="楷体" w:hAnsi="楷体" w:cs="楷体" w:hint="eastAsia"/>
          <w:b/>
          <w:bCs/>
          <w:color w:val="000000" w:themeColor="text1"/>
          <w:sz w:val="32"/>
          <w:szCs w:val="32"/>
        </w:rPr>
        <w:t>（三）规范费用报销流程</w:t>
      </w:r>
      <w:bookmarkEnd w:id="49"/>
    </w:p>
    <w:p w:rsidR="00A012D0" w:rsidRDefault="00E756AF" w:rsidP="000B6EE5">
      <w:pPr>
        <w:pStyle w:val="11"/>
        <w:spacing w:line="540" w:lineRule="exact"/>
        <w:ind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建议益阳市商务局加强支出业务控制，规范报账程序审批，确保每笔报销均经部门负责人确认业务真实性、财务审核票据合规性、授权领导审批有效性后，方可由出纳付款，强化履约验收主体责任，把履约验收嵌入本单位内控管理流程。</w:t>
      </w:r>
    </w:p>
    <w:p w:rsidR="00A012D0" w:rsidRDefault="00A012D0" w:rsidP="000B6EE5">
      <w:pPr>
        <w:pStyle w:val="11"/>
        <w:spacing w:line="540" w:lineRule="exact"/>
        <w:ind w:firstLine="648"/>
        <w:rPr>
          <w:rFonts w:ascii="方正仿宋_GB2312" w:eastAsia="方正仿宋_GB2312" w:hAnsi="方正仿宋_GB2312" w:cs="方正仿宋_GB2312"/>
          <w:color w:val="000000" w:themeColor="text1"/>
          <w:szCs w:val="32"/>
        </w:rPr>
      </w:pPr>
    </w:p>
    <w:p w:rsidR="00A012D0" w:rsidRDefault="00A012D0" w:rsidP="000B6EE5">
      <w:pPr>
        <w:spacing w:line="540" w:lineRule="exact"/>
        <w:ind w:firstLineChars="200" w:firstLine="648"/>
        <w:rPr>
          <w:rFonts w:ascii="方正仿宋_GB2312" w:eastAsia="方正仿宋_GB2312" w:hAnsi="方正仿宋_GB2312" w:cs="方正仿宋_GB2312"/>
          <w:color w:val="000000" w:themeColor="text1"/>
          <w:szCs w:val="32"/>
        </w:rPr>
      </w:pPr>
    </w:p>
    <w:p w:rsidR="00A012D0" w:rsidRDefault="00A012D0" w:rsidP="000B6EE5">
      <w:pPr>
        <w:spacing w:line="540" w:lineRule="exact"/>
        <w:ind w:firstLineChars="200" w:firstLine="648"/>
        <w:rPr>
          <w:rFonts w:ascii="方正仿宋_GB2312" w:eastAsia="方正仿宋_GB2312" w:hAnsi="方正仿宋_GB2312" w:cs="方正仿宋_GB2312"/>
          <w:color w:val="000000" w:themeColor="text1"/>
          <w:szCs w:val="32"/>
        </w:rPr>
      </w:pPr>
    </w:p>
    <w:p w:rsidR="00A012D0" w:rsidRDefault="00A012D0" w:rsidP="000B6EE5">
      <w:pPr>
        <w:spacing w:line="540" w:lineRule="exact"/>
        <w:ind w:firstLineChars="200" w:firstLine="648"/>
        <w:rPr>
          <w:rFonts w:ascii="方正仿宋_GB2312" w:eastAsia="方正仿宋_GB2312" w:hAnsi="方正仿宋_GB2312" w:cs="方正仿宋_GB2312"/>
          <w:color w:val="000000" w:themeColor="text1"/>
          <w:szCs w:val="32"/>
        </w:rPr>
      </w:pPr>
    </w:p>
    <w:p w:rsidR="00A012D0" w:rsidRDefault="00E756AF" w:rsidP="000B6EE5">
      <w:pPr>
        <w:spacing w:line="540" w:lineRule="exact"/>
        <w:ind w:firstLineChars="200" w:firstLine="648"/>
        <w:rPr>
          <w:rFonts w:ascii="方正仿宋_GB2312" w:eastAsia="方正仿宋_GB2312" w:hAnsi="方正仿宋_GB2312" w:cs="方正仿宋_GB2312"/>
          <w:color w:val="000000" w:themeColor="text1"/>
          <w:szCs w:val="32"/>
        </w:rPr>
      </w:pPr>
      <w:r>
        <w:rPr>
          <w:rFonts w:ascii="方正仿宋_GB2312" w:eastAsia="方正仿宋_GB2312" w:hAnsi="方正仿宋_GB2312" w:cs="方正仿宋_GB2312" w:hint="eastAsia"/>
          <w:color w:val="000000" w:themeColor="text1"/>
          <w:szCs w:val="32"/>
        </w:rPr>
        <w:t>附件1：益阳市商务局开放型经济与产业发展引导资金绩效评价指标体系表</w:t>
      </w:r>
    </w:p>
    <w:p w:rsidR="00A012D0" w:rsidRDefault="00A012D0" w:rsidP="000B6EE5">
      <w:pPr>
        <w:spacing w:line="540" w:lineRule="exact"/>
        <w:ind w:firstLineChars="200" w:firstLine="648"/>
        <w:rPr>
          <w:rFonts w:ascii="方正仿宋_GB2312" w:eastAsia="方正仿宋_GB2312" w:hAnsi="方正仿宋_GB2312" w:cs="方正仿宋_GB2312"/>
          <w:color w:val="000000" w:themeColor="text1"/>
          <w:szCs w:val="32"/>
        </w:rPr>
      </w:pPr>
    </w:p>
    <w:p w:rsidR="00A012D0" w:rsidRDefault="00E756AF" w:rsidP="00195747">
      <w:pPr>
        <w:spacing w:beforeLines="100" w:line="560" w:lineRule="atLeast"/>
        <w:ind w:firstLineChars="100" w:firstLine="325"/>
        <w:rPr>
          <w:rFonts w:ascii="仿宋" w:eastAsia="仿宋" w:hAnsi="仿宋" w:cs="仿宋"/>
          <w:b/>
          <w:bCs/>
          <w:color w:val="000000" w:themeColor="text1"/>
          <w:szCs w:val="32"/>
        </w:rPr>
      </w:pPr>
      <w:r>
        <w:rPr>
          <w:rFonts w:ascii="仿宋" w:eastAsia="仿宋" w:hAnsi="仿宋" w:cs="仿宋" w:hint="eastAsia"/>
          <w:b/>
          <w:bCs/>
          <w:color w:val="000000" w:themeColor="text1"/>
          <w:szCs w:val="32"/>
        </w:rPr>
        <w:t>湖南源成会计师事务所             中国注册会计师：</w:t>
      </w:r>
    </w:p>
    <w:p w:rsidR="00A012D0" w:rsidRDefault="00E756AF" w:rsidP="00195747">
      <w:pPr>
        <w:spacing w:beforeLines="100" w:line="560" w:lineRule="atLeast"/>
        <w:ind w:firstLineChars="300" w:firstLine="976"/>
        <w:rPr>
          <w:rFonts w:ascii="仿宋" w:eastAsia="仿宋" w:hAnsi="仿宋" w:cs="仿宋"/>
          <w:b/>
          <w:bCs/>
          <w:color w:val="000000" w:themeColor="text1"/>
          <w:szCs w:val="32"/>
        </w:rPr>
      </w:pPr>
      <w:r>
        <w:rPr>
          <w:rFonts w:ascii="仿宋" w:eastAsia="仿宋" w:hAnsi="仿宋" w:cs="仿宋" w:hint="eastAsia"/>
          <w:b/>
          <w:bCs/>
          <w:color w:val="000000" w:themeColor="text1"/>
          <w:szCs w:val="32"/>
        </w:rPr>
        <w:t>(普通合伙)                   中国注册会计师：</w:t>
      </w:r>
    </w:p>
    <w:p w:rsidR="00A012D0" w:rsidRDefault="00E756AF" w:rsidP="00195747">
      <w:pPr>
        <w:spacing w:beforeLines="100" w:line="560" w:lineRule="atLeast"/>
        <w:ind w:firstLineChars="150" w:firstLine="488"/>
        <w:rPr>
          <w:rFonts w:ascii="仿宋" w:eastAsia="仿宋" w:hAnsi="仿宋" w:cs="仿宋"/>
          <w:b/>
          <w:bCs/>
          <w:color w:val="000000" w:themeColor="text1"/>
          <w:szCs w:val="32"/>
        </w:rPr>
        <w:sectPr w:rsidR="00A012D0">
          <w:footerReference w:type="even" r:id="rId10"/>
          <w:footerReference w:type="default" r:id="rId11"/>
          <w:pgSz w:w="11906" w:h="16838"/>
          <w:pgMar w:top="1440" w:right="1361" w:bottom="1440" w:left="1361" w:header="624" w:footer="1021" w:gutter="0"/>
          <w:pgNumType w:start="1"/>
          <w:cols w:space="0"/>
          <w:docGrid w:type="linesAndChars" w:linePitch="605" w:charSpace="804"/>
        </w:sectPr>
      </w:pPr>
      <w:r>
        <w:rPr>
          <w:rFonts w:ascii="仿宋" w:eastAsia="仿宋" w:hAnsi="仿宋" w:cs="仿宋" w:hint="eastAsia"/>
          <w:b/>
          <w:bCs/>
          <w:color w:val="000000" w:themeColor="text1"/>
          <w:szCs w:val="32"/>
        </w:rPr>
        <w:t>湖南       长沙                 2025年10月15日</w:t>
      </w:r>
    </w:p>
    <w:p w:rsidR="00A012D0" w:rsidRDefault="00E756AF">
      <w:pPr>
        <w:outlineLvl w:val="0"/>
        <w:rPr>
          <w:rFonts w:ascii="楷体" w:eastAsia="楷体" w:hAnsi="楷体" w:cs="仿宋"/>
          <w:b/>
          <w:color w:val="000000" w:themeColor="text1"/>
          <w:kern w:val="0"/>
          <w:szCs w:val="32"/>
        </w:rPr>
      </w:pPr>
      <w:bookmarkStart w:id="50" w:name="_Toc2000"/>
      <w:r>
        <w:rPr>
          <w:rFonts w:ascii="楷体" w:eastAsia="楷体" w:hAnsi="楷体" w:cs="仿宋" w:hint="eastAsia"/>
          <w:b/>
          <w:color w:val="000000" w:themeColor="text1"/>
          <w:kern w:val="0"/>
          <w:szCs w:val="32"/>
        </w:rPr>
        <w:lastRenderedPageBreak/>
        <w:t>附件1</w:t>
      </w:r>
      <w:bookmarkEnd w:id="50"/>
    </w:p>
    <w:p w:rsidR="00A012D0" w:rsidRDefault="00E756AF" w:rsidP="000B6EE5">
      <w:pPr>
        <w:pStyle w:val="a3"/>
        <w:ind w:firstLine="643"/>
        <w:jc w:val="center"/>
        <w:rPr>
          <w:rFonts w:ascii="楷体" w:eastAsia="楷体" w:hAnsi="楷体"/>
          <w:b/>
          <w:kern w:val="0"/>
          <w:szCs w:val="32"/>
        </w:rPr>
      </w:pPr>
      <w:r>
        <w:rPr>
          <w:rFonts w:ascii="楷体" w:eastAsia="楷体" w:hAnsi="楷体" w:hint="eastAsia"/>
          <w:b/>
          <w:kern w:val="0"/>
          <w:szCs w:val="32"/>
        </w:rPr>
        <w:t>益阳市商务局开放型经济与产业发展引导资金绩效评价指标体系表</w:t>
      </w:r>
    </w:p>
    <w:tbl>
      <w:tblPr>
        <w:tblW w:w="14480" w:type="dxa"/>
        <w:tblInd w:w="108" w:type="dxa"/>
        <w:tblLook w:val="04A0"/>
      </w:tblPr>
      <w:tblGrid>
        <w:gridCol w:w="676"/>
        <w:gridCol w:w="664"/>
        <w:gridCol w:w="673"/>
        <w:gridCol w:w="616"/>
        <w:gridCol w:w="4008"/>
        <w:gridCol w:w="4352"/>
        <w:gridCol w:w="656"/>
        <w:gridCol w:w="656"/>
        <w:gridCol w:w="2179"/>
      </w:tblGrid>
      <w:tr w:rsidR="00A012D0">
        <w:trPr>
          <w:trHeight w:val="576"/>
          <w:tblHeader/>
        </w:trPr>
        <w:tc>
          <w:tcPr>
            <w:tcW w:w="67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一级指标</w:t>
            </w:r>
          </w:p>
        </w:tc>
        <w:tc>
          <w:tcPr>
            <w:tcW w:w="664"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二级指标</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三级指标</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分值</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指标解释</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指标说明</w:t>
            </w:r>
          </w:p>
        </w:tc>
        <w:tc>
          <w:tcPr>
            <w:tcW w:w="65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得分</w:t>
            </w:r>
          </w:p>
        </w:tc>
        <w:tc>
          <w:tcPr>
            <w:tcW w:w="65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扣分</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扣分理由</w:t>
            </w:r>
          </w:p>
        </w:tc>
      </w:tr>
      <w:tr w:rsidR="00A012D0">
        <w:trPr>
          <w:trHeight w:val="3168"/>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决策（15分）　</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预算支出决策(项目立项（4分）　</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预算支出决策(项目立项)依据</w:t>
            </w:r>
          </w:p>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充分性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预算支出决策(项目立项)是否符合法律法规、相关政策、发展规划以及部门职责，用以反映和考核决策 (立项)的依据情况。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①决策(立项)是否符合国家相关法律法规、国民经济发展规划和相关政策（0.5分）；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②决策(立项)是否符合行业发展规划和政策要求（0.5分）；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③决策(立项)是否与部门职责范围相符，属于部门履职所需（0.5分）；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④预算支出是否属于公共财政支持范围，是否符合中央、地方事权支出责任划分原则（0.5分）；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⑤预算支出是否与相关部门同类预算支出或部门内部相关预算支出重复（0.5分）。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2.5</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1440"/>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决策</w:t>
            </w:r>
          </w:p>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(立项)程序规范性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预算支出申请、设立过程是否符合相关要求，用以反映和考核决策 (立项)的规范情况。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①预算支出是否按照规定的程序申请设立（0.5分）；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②审批文件、材料是否符合相关要求（0.5分）；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③事前是否已经过必要的可行性研究、专家论证、风险评估、绩效评估、集体决策（0.5分）。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1.5</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2880"/>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lastRenderedPageBreak/>
              <w:t xml:space="preserve">决策（15分）　</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绩效目标（6分）　</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绩效目标合理性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预算支出所设定的绩效目标是否依据充分，是否符合客观实际，用以反映和考核预算支出绩效目标与预算支出实施的相符情况。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(如未设定预算绩效目标，也可考核其他工作任务目标)</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①预算支出是否有绩效目标（0.5分）；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②预算支出绩效目标与实际工作内容是否具有相关性（0.5分）；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③预算支出预期产出效益和效果是否符合正常的业绩水平（0.5分）；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④是否与预算确定的预算支出投资额或资金量相匹配（0.5分）。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2016"/>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绩效指标明确性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依据绩效目标设定的绩效指标是否清晰、细化、可衡量等，用以反映和考核预算支出绩效目标的明细化情况。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①是否将项目绩效目标细化分解为具体的绩效指标（1.5分）；</w:t>
            </w:r>
            <w:r>
              <w:rPr>
                <w:rFonts w:ascii="仿宋" w:eastAsia="仿宋" w:hAnsi="仿宋" w:cs="仿宋" w:hint="eastAsia"/>
                <w:color w:val="000000"/>
                <w:kern w:val="0"/>
                <w:sz w:val="22"/>
                <w:szCs w:val="22"/>
              </w:rPr>
              <w:br/>
              <w:t>②是否通过清晰、可衡量的指标值予以体现（1.5分）；</w:t>
            </w:r>
            <w:r>
              <w:rPr>
                <w:rFonts w:ascii="仿宋" w:eastAsia="仿宋" w:hAnsi="仿宋" w:cs="仿宋" w:hint="eastAsia"/>
                <w:color w:val="000000"/>
                <w:kern w:val="0"/>
                <w:sz w:val="22"/>
                <w:szCs w:val="22"/>
              </w:rPr>
              <w:br/>
              <w:t>③是否与项目目标任务数或计划数相对应（1分）。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2304"/>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资金投入（5分）</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预算编制科学性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3</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预算编制是否经过科学论证、有明确标准，资金额度与年度目标是否相适应，用以反映和考核预算支出预算编制的科学性、合理性情况。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①预算编制是否经过科学论证（0.5分）；</w:t>
            </w:r>
            <w:r>
              <w:rPr>
                <w:rFonts w:ascii="仿宋" w:eastAsia="仿宋" w:hAnsi="仿宋" w:cs="仿宋" w:hint="eastAsia"/>
                <w:color w:val="000000"/>
                <w:kern w:val="0"/>
                <w:sz w:val="22"/>
                <w:szCs w:val="22"/>
              </w:rPr>
              <w:br/>
              <w:t>②预算内容与项目内容是否匹配（0.5分）；</w:t>
            </w:r>
            <w:r>
              <w:rPr>
                <w:rFonts w:ascii="仿宋" w:eastAsia="仿宋" w:hAnsi="仿宋" w:cs="仿宋" w:hint="eastAsia"/>
                <w:color w:val="000000"/>
                <w:kern w:val="0"/>
                <w:sz w:val="22"/>
                <w:szCs w:val="22"/>
              </w:rPr>
              <w:br/>
              <w:t>③预算额度测算依据是否充分，是否按照标准编制（1分）；</w:t>
            </w:r>
            <w:r>
              <w:rPr>
                <w:rFonts w:ascii="仿宋" w:eastAsia="仿宋" w:hAnsi="仿宋" w:cs="仿宋" w:hint="eastAsia"/>
                <w:color w:val="000000"/>
                <w:kern w:val="0"/>
                <w:sz w:val="22"/>
                <w:szCs w:val="22"/>
              </w:rPr>
              <w:br/>
              <w:t>④预算确定的项目投资额或资金量是否与工作任务相匹配（1分）。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3</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1152"/>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资金分配合理性</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4008"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预算资金分配是否有测算依据，与补助单位或地方实际是否相适应，用以反映和考核预算资金分配的科学性、合理性情况。</w:t>
            </w:r>
          </w:p>
        </w:tc>
        <w:tc>
          <w:tcPr>
            <w:tcW w:w="4352"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①预算资金分配依据是否充分（1分）；</w:t>
            </w:r>
            <w:r>
              <w:rPr>
                <w:rFonts w:ascii="仿宋" w:eastAsia="仿宋" w:hAnsi="仿宋" w:cs="仿宋" w:hint="eastAsia"/>
                <w:color w:val="000000"/>
                <w:kern w:val="0"/>
                <w:sz w:val="22"/>
                <w:szCs w:val="22"/>
              </w:rPr>
              <w:br/>
              <w:t>②资金分配额度是否合理，与项目单位或地方实际是否相适应（1分）。</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2052"/>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过程（25分）</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资金管理（14分）</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资金到位率</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实际到位资金与预算资金的比率，用以反映和考核资金落实情况对预算支出实施的总体保障程度。</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资金到位率=（实际到位资金/预算资金）×100%。</w:t>
            </w:r>
            <w:r>
              <w:rPr>
                <w:rFonts w:ascii="仿宋" w:eastAsia="仿宋" w:hAnsi="仿宋" w:cs="仿宋" w:hint="eastAsia"/>
                <w:color w:val="000000"/>
                <w:kern w:val="0"/>
                <w:sz w:val="22"/>
                <w:szCs w:val="22"/>
              </w:rPr>
              <w:br/>
              <w:t>实际到位资金：一定时期（本年度或项目期）内落实到具体项目的资金。</w:t>
            </w:r>
            <w:r>
              <w:rPr>
                <w:rFonts w:ascii="仿宋" w:eastAsia="仿宋" w:hAnsi="仿宋" w:cs="仿宋" w:hint="eastAsia"/>
                <w:color w:val="000000"/>
                <w:kern w:val="0"/>
                <w:sz w:val="22"/>
                <w:szCs w:val="22"/>
              </w:rPr>
              <w:br/>
              <w:t>预算资金：一定时期（本年度或项目期）内预算安排到具体项目的资金。</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1728"/>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预算执行率</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预算资金是否按照计划执行，用以反映或考核预算支出预算执行情况。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预算执行率=（实际支出资金/实际到位资金）×100%。</w:t>
            </w:r>
            <w:r>
              <w:rPr>
                <w:rFonts w:ascii="仿宋" w:eastAsia="仿宋" w:hAnsi="仿宋" w:cs="仿宋" w:hint="eastAsia"/>
                <w:color w:val="000000"/>
                <w:kern w:val="0"/>
                <w:sz w:val="22"/>
                <w:szCs w:val="22"/>
              </w:rPr>
              <w:br/>
              <w:t>实际支出资金：一定时期（本年度或项目期）内项目实际拨付的资金。</w:t>
            </w:r>
            <w:r>
              <w:rPr>
                <w:rFonts w:ascii="仿宋" w:eastAsia="仿宋" w:hAnsi="仿宋" w:cs="仿宋" w:hint="eastAsia"/>
                <w:color w:val="000000"/>
                <w:kern w:val="0"/>
                <w:sz w:val="22"/>
                <w:szCs w:val="22"/>
              </w:rPr>
              <w:br/>
              <w:t>预算执行率得分=4*预算执行率，预算执行率60%以下不得分。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2.7</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1.3</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年初预算数860万元，全年执行数572.23万元，预算执行率66.54%。</w:t>
            </w:r>
          </w:p>
        </w:tc>
      </w:tr>
      <w:tr w:rsidR="00A012D0">
        <w:trPr>
          <w:trHeight w:val="2592"/>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资金使用合规性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8</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预算资金使用是否符合相关的财务管理制度规定，用以反映和考核预算资金的规范运行情况。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①是否符合国家财经法规和财务管理制度以及有关专项资金管理办法的规定（2分）；</w:t>
            </w:r>
            <w:r>
              <w:rPr>
                <w:rFonts w:ascii="仿宋" w:eastAsia="仿宋" w:hAnsi="仿宋" w:cs="仿宋" w:hint="eastAsia"/>
                <w:color w:val="000000"/>
                <w:kern w:val="0"/>
                <w:sz w:val="22"/>
                <w:szCs w:val="22"/>
              </w:rPr>
              <w:br/>
              <w:t>②资金的拨付是否有完整的审批程序和手续（2分）；</w:t>
            </w:r>
            <w:r>
              <w:rPr>
                <w:rFonts w:ascii="仿宋" w:eastAsia="仿宋" w:hAnsi="仿宋" w:cs="仿宋" w:hint="eastAsia"/>
                <w:color w:val="000000"/>
                <w:kern w:val="0"/>
                <w:sz w:val="22"/>
                <w:szCs w:val="22"/>
              </w:rPr>
              <w:br/>
              <w:t>③是否符合项目预算批复或合同规定的用途（2分）；</w:t>
            </w:r>
            <w:r>
              <w:rPr>
                <w:rFonts w:ascii="仿宋" w:eastAsia="仿宋" w:hAnsi="仿宋" w:cs="仿宋" w:hint="eastAsia"/>
                <w:color w:val="000000"/>
                <w:kern w:val="0"/>
                <w:sz w:val="22"/>
                <w:szCs w:val="22"/>
              </w:rPr>
              <w:br/>
              <w:t>④是否存在截留、挤占、挪用、虚列支出等情况（2分）。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8</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1440"/>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过程（25分）</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组织实施（11分）</w:t>
            </w: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管理制度健全性</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4008"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预算支出实施单位的财务和业务管理制度是否健全，用以反映和考核财务和业务管理制度对预算支出顺利实施的保障情况。</w:t>
            </w:r>
          </w:p>
        </w:tc>
        <w:tc>
          <w:tcPr>
            <w:tcW w:w="4352"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①是否已制定或具有相应的财务和业务管理制度（2分）；</w:t>
            </w:r>
            <w:r>
              <w:rPr>
                <w:rFonts w:ascii="仿宋" w:eastAsia="仿宋" w:hAnsi="仿宋" w:cs="仿宋" w:hint="eastAsia"/>
                <w:color w:val="000000"/>
                <w:kern w:val="0"/>
                <w:sz w:val="22"/>
                <w:szCs w:val="22"/>
              </w:rPr>
              <w:br/>
              <w:t>②财务和业务管理制度是否合法、合规、完整（2分）。</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2304"/>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制度执行有效性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7</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预算支出实施是否符合相关管理规定，用以反映和考核相关管理制度的有效执行情况。</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①是否遵守相关法律法规和相关管理规定（3分）；</w:t>
            </w:r>
            <w:r>
              <w:rPr>
                <w:rFonts w:ascii="仿宋" w:eastAsia="仿宋" w:hAnsi="仿宋" w:cs="仿宋" w:hint="eastAsia"/>
                <w:color w:val="000000"/>
                <w:kern w:val="0"/>
                <w:sz w:val="22"/>
                <w:szCs w:val="22"/>
              </w:rPr>
              <w:br/>
              <w:t>②项目调整及支出调整手续是否完备（1分）；</w:t>
            </w:r>
            <w:r>
              <w:rPr>
                <w:rFonts w:ascii="仿宋" w:eastAsia="仿宋" w:hAnsi="仿宋" w:cs="仿宋" w:hint="eastAsia"/>
                <w:color w:val="000000"/>
                <w:kern w:val="0"/>
                <w:sz w:val="22"/>
                <w:szCs w:val="22"/>
              </w:rPr>
              <w:br/>
              <w:t>③项目合同书、验收报告、技术鉴定等资料是否齐全并及时归档（1.5分）；</w:t>
            </w:r>
            <w:r>
              <w:rPr>
                <w:rFonts w:ascii="仿宋" w:eastAsia="仿宋" w:hAnsi="仿宋" w:cs="仿宋" w:hint="eastAsia"/>
                <w:color w:val="000000"/>
                <w:kern w:val="0"/>
                <w:sz w:val="22"/>
                <w:szCs w:val="22"/>
              </w:rPr>
              <w:br/>
              <w:t>④项目实施的人员条件、场地设备、信息支撑等是否落实到位（1.5分）。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不相容岗位未相互分离，费用报销流程不规范，扣2分。</w:t>
            </w:r>
          </w:p>
        </w:tc>
      </w:tr>
      <w:tr w:rsidR="00A012D0">
        <w:trPr>
          <w:trHeight w:val="3516"/>
        </w:trPr>
        <w:tc>
          <w:tcPr>
            <w:tcW w:w="67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lastRenderedPageBreak/>
              <w:t>产出（35分）</w:t>
            </w:r>
          </w:p>
        </w:tc>
        <w:tc>
          <w:tcPr>
            <w:tcW w:w="664"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产出数量</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实际完成率</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13</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预算支出实施的实际产出数与计划产出数的比率，用以反映和考核预算支出产出数量目标的实现程度。</w:t>
            </w:r>
            <w:r>
              <w:rPr>
                <w:rFonts w:ascii="仿宋" w:eastAsia="仿宋" w:hAnsi="仿宋" w:cs="仿宋" w:hint="eastAsia"/>
                <w:color w:val="000000"/>
                <w:kern w:val="0"/>
                <w:sz w:val="22"/>
                <w:szCs w:val="22"/>
              </w:rPr>
              <w:br/>
              <w:t>实际完成率=（实际产出数/计划产出数）×100%。</w:t>
            </w:r>
            <w:r>
              <w:rPr>
                <w:rFonts w:ascii="仿宋" w:eastAsia="仿宋" w:hAnsi="仿宋" w:cs="仿宋" w:hint="eastAsia"/>
                <w:color w:val="000000"/>
                <w:kern w:val="0"/>
                <w:sz w:val="22"/>
                <w:szCs w:val="22"/>
              </w:rPr>
              <w:br/>
              <w:t>实际产出数：一定时期（本年度或项目期）内项目实际产出的产品或提供的服务数量。</w:t>
            </w:r>
            <w:r>
              <w:rPr>
                <w:rFonts w:ascii="仿宋" w:eastAsia="仿宋" w:hAnsi="仿宋" w:cs="仿宋" w:hint="eastAsia"/>
                <w:color w:val="000000"/>
                <w:kern w:val="0"/>
                <w:sz w:val="22"/>
                <w:szCs w:val="22"/>
              </w:rPr>
              <w:br/>
              <w:t>计划产出数：预算支出绩效目标确定的在一定时期（本年度或预算支出期）内计划产出的产品或提供的服务数量。</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①直接利用外资≥1800万美元,按完成比例计算分值（6分）；</w:t>
            </w:r>
            <w:r>
              <w:rPr>
                <w:rFonts w:ascii="仿宋" w:eastAsia="仿宋" w:hAnsi="仿宋" w:cs="仿宋" w:hint="eastAsia"/>
                <w:color w:val="000000"/>
                <w:kern w:val="0"/>
                <w:sz w:val="22"/>
                <w:szCs w:val="22"/>
              </w:rPr>
              <w:br/>
              <w:t>②新引进“三类500强”企业投资的项目6个及以上，按完成数量计算分值（7分）。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8.8</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4.2　</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2024年直接利用外资541万美元，完成比例为30%，扣4.2分。</w:t>
            </w:r>
          </w:p>
        </w:tc>
      </w:tr>
      <w:tr w:rsidR="00A012D0">
        <w:trPr>
          <w:trHeight w:val="3636"/>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产出（35分）</w:t>
            </w:r>
          </w:p>
        </w:tc>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产出质量</w:t>
            </w: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质量达标率</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12</w:t>
            </w:r>
          </w:p>
        </w:tc>
        <w:tc>
          <w:tcPr>
            <w:tcW w:w="4008"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预算支出完成的质量达标产出数与实际产出数的比率，用以反映和考核预算支出产出质量目标的实现程度。</w:t>
            </w:r>
            <w:r>
              <w:rPr>
                <w:rFonts w:ascii="仿宋" w:eastAsia="仿宋" w:hAnsi="仿宋" w:cs="仿宋" w:hint="eastAsia"/>
                <w:color w:val="000000"/>
                <w:kern w:val="0"/>
                <w:sz w:val="22"/>
                <w:szCs w:val="22"/>
              </w:rPr>
              <w:br/>
              <w:t>质量达标率=（质量达标产出数/实际产出数）×100%。</w:t>
            </w:r>
            <w:r>
              <w:rPr>
                <w:rFonts w:ascii="仿宋" w:eastAsia="仿宋" w:hAnsi="仿宋" w:cs="仿宋" w:hint="eastAsia"/>
                <w:color w:val="000000"/>
                <w:kern w:val="0"/>
                <w:sz w:val="22"/>
                <w:szCs w:val="22"/>
              </w:rPr>
              <w:b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4352"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①引进境内省外资金≥800亿元,按完成比例计算分值（6分）；</w:t>
            </w:r>
            <w:r>
              <w:rPr>
                <w:rFonts w:ascii="仿宋" w:eastAsia="仿宋" w:hAnsi="仿宋" w:cs="仿宋" w:hint="eastAsia"/>
                <w:color w:val="000000"/>
                <w:kern w:val="0"/>
                <w:sz w:val="22"/>
                <w:szCs w:val="22"/>
              </w:rPr>
              <w:br/>
              <w:t>②真抓实干进入全省前列的县市区（园区）≥1个（6分）；。</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12</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3360"/>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产出时效</w:t>
            </w: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完成及时性</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预算支出实际完成时间与计划完成时间的比较，用以反映和考核预算支出产出时效目标的实现程度。</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评价要点：2024年12月之前将招商引资考核经费拨付至县市区（5分）。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2304"/>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产出成本</w:t>
            </w: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成本节约率</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4008"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完成预算支出计划工作目标的实际节约成本与计划成本的比率，用以反映和考核预算支出的成本节约程度。</w:t>
            </w:r>
          </w:p>
        </w:tc>
        <w:tc>
          <w:tcPr>
            <w:tcW w:w="4352"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成本节约率=[（计划成本-实际成本）/计划成本]×100%。（&gt;=0计5分，&gt;=-20%&lt;0计2分，&lt;-20%不得分）</w:t>
            </w:r>
            <w:r>
              <w:rPr>
                <w:rFonts w:ascii="仿宋" w:eastAsia="仿宋" w:hAnsi="仿宋" w:cs="仿宋" w:hint="eastAsia"/>
                <w:color w:val="000000"/>
                <w:kern w:val="0"/>
                <w:sz w:val="22"/>
                <w:szCs w:val="22"/>
              </w:rPr>
              <w:br/>
              <w:t>实际成本：预算支出实施单位如期、保质、保量完成既定工作目标实际所耗费的支出。</w:t>
            </w:r>
            <w:r>
              <w:rPr>
                <w:rFonts w:ascii="仿宋" w:eastAsia="仿宋" w:hAnsi="仿宋" w:cs="仿宋" w:hint="eastAsia"/>
                <w:color w:val="000000"/>
                <w:kern w:val="0"/>
                <w:sz w:val="22"/>
                <w:szCs w:val="22"/>
              </w:rPr>
              <w:br/>
              <w:t>计划成本：预算支出实施单位为完成工作目标计划安排的支出，一般以预算支出预算为参考。</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56" w:type="dxa"/>
            <w:tcBorders>
              <w:top w:val="single" w:sz="4" w:space="0" w:color="auto"/>
              <w:left w:val="single" w:sz="4" w:space="0" w:color="auto"/>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2179"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1440"/>
        </w:trPr>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效益（25分）　</w:t>
            </w:r>
          </w:p>
        </w:tc>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预算支出效益（15</w:t>
            </w:r>
            <w:r>
              <w:rPr>
                <w:rFonts w:ascii="仿宋" w:eastAsia="仿宋" w:hAnsi="仿宋" w:cs="仿宋" w:hint="eastAsia"/>
                <w:color w:val="000000"/>
                <w:kern w:val="0"/>
                <w:sz w:val="22"/>
                <w:szCs w:val="22"/>
              </w:rPr>
              <w:lastRenderedPageBreak/>
              <w:t xml:space="preserve">分）　</w:t>
            </w: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lastRenderedPageBreak/>
              <w:t>实施效益</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预算支出实施所产生的效益。预算支出实施所产生的社会效益、经济效益、生态效益、可持续影响等。</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r>
              <w:rPr>
                <w:rFonts w:ascii="仿宋" w:eastAsia="仿宋" w:hAnsi="仿宋" w:cs="仿宋" w:hint="eastAsia"/>
                <w:color w:val="000000"/>
                <w:kern w:val="0"/>
                <w:sz w:val="22"/>
                <w:szCs w:val="22"/>
              </w:rPr>
              <w:br/>
              <w:t>①直接利用外资增长5%以上，按完成比例计算分值（5分）；</w:t>
            </w:r>
            <w:r>
              <w:rPr>
                <w:rFonts w:ascii="仿宋" w:eastAsia="仿宋" w:hAnsi="仿宋" w:cs="仿宋" w:hint="eastAsia"/>
                <w:color w:val="000000"/>
                <w:kern w:val="0"/>
                <w:sz w:val="22"/>
                <w:szCs w:val="22"/>
              </w:rPr>
              <w:br/>
              <w:t>②利用内资增长8%以上，按完成比例计算分</w:t>
            </w:r>
            <w:r>
              <w:rPr>
                <w:rFonts w:ascii="仿宋" w:eastAsia="仿宋" w:hAnsi="仿宋" w:cs="仿宋" w:hint="eastAsia"/>
                <w:color w:val="000000"/>
                <w:kern w:val="0"/>
                <w:sz w:val="22"/>
                <w:szCs w:val="22"/>
              </w:rPr>
              <w:lastRenderedPageBreak/>
              <w:t>值（5分）；</w:t>
            </w:r>
            <w:r>
              <w:rPr>
                <w:rFonts w:ascii="仿宋" w:eastAsia="仿宋" w:hAnsi="仿宋" w:cs="仿宋" w:hint="eastAsia"/>
                <w:color w:val="000000"/>
                <w:kern w:val="0"/>
                <w:sz w:val="22"/>
                <w:szCs w:val="22"/>
              </w:rPr>
              <w:br/>
              <w:t>③推动开放型经济高质量发展，产业转型升级，带动和提升新兴产业发展（5分）。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lastRenderedPageBreak/>
              <w:t>6.8</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8.2</w:t>
            </w: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2023年直接利用外资1675万美元，2024年直接利用外资541万美元，同比下降</w:t>
            </w:r>
            <w:r>
              <w:rPr>
                <w:rFonts w:ascii="仿宋" w:eastAsia="仿宋" w:hAnsi="仿宋" w:cs="仿宋" w:hint="eastAsia"/>
                <w:color w:val="000000"/>
                <w:kern w:val="0"/>
                <w:sz w:val="22"/>
                <w:szCs w:val="22"/>
              </w:rPr>
              <w:lastRenderedPageBreak/>
              <w:t>66.67%，扣5分。</w:t>
            </w:r>
          </w:p>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2023年引进省外境内资金869.9亿元，2024年引进境内省外894.44亿元，同比增长2.82%，扣3.2分。</w:t>
            </w:r>
          </w:p>
        </w:tc>
      </w:tr>
      <w:tr w:rsidR="00A012D0">
        <w:trPr>
          <w:trHeight w:val="1152"/>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val="restart"/>
            <w:tcBorders>
              <w:top w:val="single" w:sz="4" w:space="0" w:color="auto"/>
              <w:left w:val="single" w:sz="4" w:space="0" w:color="auto"/>
              <w:bottom w:val="single" w:sz="4" w:space="0" w:color="auto"/>
              <w:right w:val="single" w:sz="4" w:space="0" w:color="auto"/>
            </w:tcBorders>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满意度指标（10分）</w:t>
            </w:r>
          </w:p>
        </w:tc>
        <w:tc>
          <w:tcPr>
            <w:tcW w:w="673" w:type="dxa"/>
            <w:tcBorders>
              <w:top w:val="single" w:sz="4" w:space="0" w:color="auto"/>
              <w:left w:val="single" w:sz="4" w:space="0" w:color="auto"/>
              <w:bottom w:val="single" w:sz="4" w:space="0" w:color="auto"/>
              <w:right w:val="single" w:sz="4" w:space="0" w:color="auto"/>
            </w:tcBorders>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社会公众满意度</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社会公众对预算支出实施效果的满意程度。</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p>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社会公众满意度≥90%（5分）。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1152"/>
        </w:trPr>
        <w:tc>
          <w:tcPr>
            <w:tcW w:w="676"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tcPr>
          <w:p w:rsidR="00A012D0" w:rsidRDefault="00A012D0">
            <w:pPr>
              <w:widowControl/>
              <w:jc w:val="left"/>
              <w:rPr>
                <w:rFonts w:ascii="仿宋" w:eastAsia="仿宋" w:hAnsi="仿宋" w:cs="仿宋"/>
                <w:color w:val="000000"/>
                <w:kern w:val="0"/>
                <w:sz w:val="22"/>
                <w:szCs w:val="22"/>
              </w:rPr>
            </w:pPr>
          </w:p>
        </w:tc>
        <w:tc>
          <w:tcPr>
            <w:tcW w:w="673" w:type="dxa"/>
            <w:tcBorders>
              <w:top w:val="single" w:sz="4" w:space="0" w:color="auto"/>
              <w:left w:val="single" w:sz="4" w:space="0" w:color="auto"/>
              <w:bottom w:val="single" w:sz="4" w:space="0" w:color="auto"/>
              <w:right w:val="single" w:sz="4" w:space="0" w:color="auto"/>
            </w:tcBorders>
            <w:vAlign w:val="center"/>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招商企业满意度</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招商企业对预算支出实施效果的满意程度。</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评价要点：</w:t>
            </w:r>
          </w:p>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招商企业满意度≥90%（5分）。</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56" w:type="dxa"/>
            <w:tcBorders>
              <w:top w:val="single" w:sz="4" w:space="0" w:color="auto"/>
              <w:left w:val="nil"/>
              <w:bottom w:val="single" w:sz="4" w:space="0" w:color="auto"/>
              <w:right w:val="single" w:sz="4" w:space="0" w:color="auto"/>
            </w:tcBorders>
            <w:noWrap/>
            <w:vAlign w:val="center"/>
          </w:tcPr>
          <w:p w:rsidR="00A012D0" w:rsidRDefault="00A012D0">
            <w:pPr>
              <w:widowControl/>
              <w:jc w:val="center"/>
              <w:rPr>
                <w:rFonts w:ascii="仿宋" w:eastAsia="仿宋" w:hAnsi="仿宋" w:cs="仿宋"/>
                <w:color w:val="000000"/>
                <w:kern w:val="0"/>
                <w:sz w:val="22"/>
                <w:szCs w:val="22"/>
              </w:rPr>
            </w:pPr>
          </w:p>
        </w:tc>
        <w:tc>
          <w:tcPr>
            <w:tcW w:w="2179"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left"/>
              <w:rPr>
                <w:rFonts w:ascii="仿宋" w:eastAsia="仿宋" w:hAnsi="仿宋" w:cs="仿宋"/>
                <w:color w:val="000000"/>
                <w:kern w:val="0"/>
                <w:sz w:val="22"/>
                <w:szCs w:val="22"/>
              </w:rPr>
            </w:pPr>
          </w:p>
        </w:tc>
      </w:tr>
      <w:tr w:rsidR="00A012D0">
        <w:trPr>
          <w:trHeight w:val="288"/>
        </w:trPr>
        <w:tc>
          <w:tcPr>
            <w:tcW w:w="676" w:type="dxa"/>
            <w:tcBorders>
              <w:top w:val="single" w:sz="4" w:space="0" w:color="auto"/>
              <w:left w:val="single" w:sz="4" w:space="0" w:color="auto"/>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总计</w:t>
            </w:r>
          </w:p>
        </w:tc>
        <w:tc>
          <w:tcPr>
            <w:tcW w:w="664"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center"/>
              <w:rPr>
                <w:rFonts w:ascii="仿宋" w:eastAsia="仿宋" w:hAnsi="仿宋" w:cs="仿宋"/>
                <w:color w:val="000000"/>
                <w:kern w:val="0"/>
                <w:sz w:val="22"/>
                <w:szCs w:val="22"/>
              </w:rPr>
            </w:pPr>
          </w:p>
        </w:tc>
        <w:tc>
          <w:tcPr>
            <w:tcW w:w="673" w:type="dxa"/>
            <w:tcBorders>
              <w:top w:val="single" w:sz="4" w:space="0" w:color="auto"/>
              <w:left w:val="nil"/>
              <w:bottom w:val="single" w:sz="4" w:space="0" w:color="auto"/>
              <w:right w:val="single" w:sz="4" w:space="0" w:color="auto"/>
            </w:tcBorders>
            <w:shd w:val="clear" w:color="000000" w:fill="FFFFFF"/>
            <w:vAlign w:val="center"/>
          </w:tcPr>
          <w:p w:rsidR="00A012D0" w:rsidRDefault="00A012D0">
            <w:pPr>
              <w:widowControl/>
              <w:jc w:val="center"/>
              <w:rPr>
                <w:rFonts w:ascii="仿宋" w:eastAsia="仿宋" w:hAnsi="仿宋" w:cs="仿宋"/>
                <w:color w:val="000000"/>
                <w:kern w:val="0"/>
                <w:sz w:val="22"/>
                <w:szCs w:val="22"/>
              </w:rPr>
            </w:pPr>
          </w:p>
        </w:tc>
        <w:tc>
          <w:tcPr>
            <w:tcW w:w="616"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100</w:t>
            </w:r>
          </w:p>
        </w:tc>
        <w:tc>
          <w:tcPr>
            <w:tcW w:w="4008"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4352" w:type="dxa"/>
            <w:tcBorders>
              <w:top w:val="single" w:sz="4" w:space="0" w:color="auto"/>
              <w:left w:val="nil"/>
              <w:bottom w:val="single" w:sz="4" w:space="0" w:color="auto"/>
              <w:right w:val="single" w:sz="4" w:space="0" w:color="auto"/>
            </w:tcBorders>
            <w:shd w:val="clear" w:color="000000" w:fill="FFFFFF"/>
            <w:vAlign w:val="center"/>
          </w:tcPr>
          <w:p w:rsidR="00A012D0" w:rsidRDefault="00E756AF">
            <w:pPr>
              <w:widowControl/>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84.3</w:t>
            </w:r>
          </w:p>
        </w:tc>
        <w:tc>
          <w:tcPr>
            <w:tcW w:w="656" w:type="dxa"/>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15.7</w:t>
            </w:r>
          </w:p>
        </w:tc>
        <w:tc>
          <w:tcPr>
            <w:tcW w:w="2179" w:type="dxa"/>
            <w:tcBorders>
              <w:top w:val="single" w:sz="4" w:space="0" w:color="auto"/>
              <w:left w:val="nil"/>
              <w:bottom w:val="single" w:sz="4" w:space="0" w:color="auto"/>
              <w:right w:val="single" w:sz="4" w:space="0" w:color="auto"/>
            </w:tcBorders>
            <w:vAlign w:val="bottom"/>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r w:rsidR="00A012D0">
        <w:trPr>
          <w:trHeight w:val="312"/>
        </w:trPr>
        <w:tc>
          <w:tcPr>
            <w:tcW w:w="2629" w:type="dxa"/>
            <w:gridSpan w:val="4"/>
            <w:tcBorders>
              <w:top w:val="single" w:sz="4" w:space="0" w:color="auto"/>
              <w:left w:val="single" w:sz="4" w:space="0" w:color="auto"/>
              <w:bottom w:val="single" w:sz="4" w:space="0" w:color="auto"/>
              <w:right w:val="single" w:sz="4" w:space="0" w:color="auto"/>
            </w:tcBorders>
            <w:noWrap/>
            <w:vAlign w:val="bottom"/>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评价等级</w:t>
            </w:r>
          </w:p>
        </w:tc>
        <w:tc>
          <w:tcPr>
            <w:tcW w:w="8360" w:type="dxa"/>
            <w:gridSpan w:val="2"/>
            <w:tcBorders>
              <w:top w:val="single" w:sz="4" w:space="0" w:color="auto"/>
              <w:left w:val="nil"/>
              <w:bottom w:val="single" w:sz="4" w:space="0" w:color="auto"/>
              <w:right w:val="single" w:sz="4" w:space="0" w:color="auto"/>
            </w:tcBorders>
            <w:noWrap/>
            <w:vAlign w:val="bottom"/>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优（S≥90），良（90＞S≥80）,较差（80＞S≥60）,差（S＜60）</w:t>
            </w:r>
          </w:p>
        </w:tc>
        <w:tc>
          <w:tcPr>
            <w:tcW w:w="1312" w:type="dxa"/>
            <w:gridSpan w:val="2"/>
            <w:tcBorders>
              <w:top w:val="single" w:sz="4" w:space="0" w:color="auto"/>
              <w:left w:val="nil"/>
              <w:bottom w:val="single" w:sz="4" w:space="0" w:color="auto"/>
              <w:right w:val="single" w:sz="4" w:space="0" w:color="auto"/>
            </w:tcBorders>
            <w:noWrap/>
            <w:vAlign w:val="center"/>
          </w:tcPr>
          <w:p w:rsidR="00A012D0" w:rsidRDefault="00E756AF">
            <w:pPr>
              <w:widowControl/>
              <w:jc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良</w:t>
            </w:r>
          </w:p>
        </w:tc>
        <w:tc>
          <w:tcPr>
            <w:tcW w:w="2179" w:type="dxa"/>
            <w:tcBorders>
              <w:top w:val="single" w:sz="4" w:space="0" w:color="auto"/>
              <w:left w:val="nil"/>
              <w:bottom w:val="single" w:sz="4" w:space="0" w:color="auto"/>
              <w:right w:val="single" w:sz="4" w:space="0" w:color="auto"/>
            </w:tcBorders>
            <w:vAlign w:val="bottom"/>
          </w:tcPr>
          <w:p w:rsidR="00A012D0" w:rsidRDefault="00E756AF">
            <w:pPr>
              <w:widowControl/>
              <w:jc w:val="left"/>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w:t>
            </w:r>
          </w:p>
        </w:tc>
      </w:tr>
    </w:tbl>
    <w:p w:rsidR="00A012D0" w:rsidRDefault="00A012D0">
      <w:pPr>
        <w:rPr>
          <w:rFonts w:ascii="仿宋" w:eastAsia="仿宋" w:hAnsi="仿宋" w:cs="仿宋"/>
          <w:bCs/>
          <w:color w:val="000000" w:themeColor="text1"/>
          <w:kern w:val="0"/>
          <w:sz w:val="24"/>
        </w:rPr>
      </w:pPr>
    </w:p>
    <w:sectPr w:rsidR="00A012D0" w:rsidSect="00A012D0">
      <w:pgSz w:w="16838" w:h="11906" w:orient="landscape"/>
      <w:pgMar w:top="2098" w:right="1418" w:bottom="1418" w:left="1418" w:header="624" w:footer="1021" w:gutter="0"/>
      <w:cols w:space="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003" w:rsidRDefault="00373003" w:rsidP="00A012D0">
      <w:r>
        <w:separator/>
      </w:r>
    </w:p>
  </w:endnote>
  <w:endnote w:type="continuationSeparator" w:id="0">
    <w:p w:rsidR="00373003" w:rsidRDefault="00373003" w:rsidP="00A012D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embedRegular r:id="rId1" w:subsetted="1" w:fontKey="{89C7F90F-451E-4D7B-A094-EDD27583FE8A}"/>
    <w:embedBold r:id="rId2" w:subsetted="1" w:fontKey="{9D042F78-8128-4E2A-BFAA-ACDEA3FEE904}"/>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3" w:subsetted="1" w:fontKey="{25B0421B-D91E-48C4-9129-07FBA5DB93D3}"/>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embedRegular r:id="rId4" w:subsetted="1" w:fontKey="{C2FDBD06-B92C-4556-830C-D42911DD4B2B}"/>
  </w:font>
  <w:font w:name="方正仿宋_GB2312">
    <w:charset w:val="86"/>
    <w:family w:val="auto"/>
    <w:pitch w:val="default"/>
    <w:sig w:usb0="A00002BF" w:usb1="184F6CFA" w:usb2="00000012" w:usb3="00000000" w:csb0="00040001" w:csb1="00000000"/>
    <w:embedRegular r:id="rId5" w:subsetted="1" w:fontKey="{83A82DF5-9024-4FC1-BB59-FFF2CBC02870}"/>
    <w:embedBold r:id="rId6" w:subsetted="1" w:fontKey="{5472B08E-424A-41E2-BF89-C2FB82477F73}"/>
  </w:font>
  <w:font w:name="仿宋">
    <w:panose1 w:val="02010609060101010101"/>
    <w:charset w:val="86"/>
    <w:family w:val="modern"/>
    <w:pitch w:val="fixed"/>
    <w:sig w:usb0="800002BF" w:usb1="38CF7CFA" w:usb2="00000016" w:usb3="00000000" w:csb0="00040001" w:csb1="00000000"/>
    <w:embedRegular r:id="rId7" w:subsetted="1" w:fontKey="{E1CFC37A-1E39-478F-AFBE-02B48037A469}"/>
    <w:embedBold r:id="rId8" w:subsetted="1" w:fontKey="{F549EC3D-8243-4A92-87D9-9057BB1BB15A}"/>
  </w:font>
  <w:font w:name="黑体">
    <w:altName w:val="SimHei"/>
    <w:panose1 w:val="02010609060101010101"/>
    <w:charset w:val="86"/>
    <w:family w:val="modern"/>
    <w:pitch w:val="fixed"/>
    <w:sig w:usb0="800002BF" w:usb1="38CF7CFA" w:usb2="00000016" w:usb3="00000000" w:csb0="00040001" w:csb1="00000000"/>
    <w:embedRegular r:id="rId9" w:subsetted="1" w:fontKey="{60C17238-6A44-4CAF-848D-D4C6BA070CD2}"/>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2D0" w:rsidRDefault="00A012D0">
    <w:pPr>
      <w:pStyle w:val="a7"/>
      <w:jc w:val="right"/>
      <w:rPr>
        <w:rFonts w:ascii="宋体" w:eastAsia="宋体" w:hAns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2D0" w:rsidRDefault="00A012D0">
    <w:pPr>
      <w:pStyle w:val="a7"/>
      <w:rPr>
        <w:rFonts w:ascii="宋体" w:eastAsia="宋体" w:hAns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2D0" w:rsidRDefault="00373003">
    <w:pPr>
      <w:pStyle w:val="a7"/>
      <w:jc w:val="right"/>
      <w:rPr>
        <w:rFonts w:ascii="宋体" w:eastAsia="宋体" w:hAnsi="宋体"/>
        <w:sz w:val="28"/>
        <w:szCs w:val="28"/>
      </w:rPr>
    </w:pPr>
    <w:r w:rsidRPr="00633267">
      <w:rPr>
        <w:sz w:val="28"/>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filled="f" stroked="f" strokeweight=".5pt">
          <v:textbox style="mso-fit-shape-to-text:t" inset="0,0,0,0">
            <w:txbxContent>
              <w:p w:rsidR="00A012D0" w:rsidRDefault="00373003">
                <w:pPr>
                  <w:pStyle w:val="a7"/>
                </w:pPr>
                <w:r>
                  <w:rPr>
                    <w:rFonts w:ascii="仿宋" w:eastAsia="仿宋" w:hAnsi="仿宋" w:cs="仿宋" w:hint="eastAsia"/>
                    <w:sz w:val="24"/>
                  </w:rPr>
                  <w:fldChar w:fldCharType="begin"/>
                </w:r>
                <w:r w:rsidR="00E756AF">
                  <w:rPr>
                    <w:rFonts w:ascii="仿宋" w:eastAsia="仿宋" w:hAnsi="仿宋" w:cs="仿宋" w:hint="eastAsia"/>
                    <w:sz w:val="24"/>
                  </w:rPr>
                  <w:instrText xml:space="preserve"> PAGE  \* MERGEFORMAT </w:instrText>
                </w:r>
                <w:r>
                  <w:rPr>
                    <w:rFonts w:ascii="仿宋" w:eastAsia="仿宋" w:hAnsi="仿宋" w:cs="仿宋" w:hint="eastAsia"/>
                    <w:sz w:val="24"/>
                  </w:rPr>
                  <w:fldChar w:fldCharType="separate"/>
                </w:r>
                <w:r w:rsidR="00E756AF">
                  <w:rPr>
                    <w:rFonts w:ascii="仿宋" w:eastAsia="仿宋" w:hAnsi="仿宋" w:cs="仿宋" w:hint="eastAsia"/>
                    <w:sz w:val="24"/>
                  </w:rPr>
                  <w:t>2</w:t>
                </w:r>
                <w:r>
                  <w:rPr>
                    <w:rFonts w:ascii="仿宋" w:eastAsia="仿宋" w:hAnsi="仿宋" w:cs="仿宋" w:hint="eastAsia"/>
                    <w:sz w:val="24"/>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2D0" w:rsidRDefault="00373003">
    <w:pPr>
      <w:pStyle w:val="a7"/>
      <w:rPr>
        <w:rFonts w:ascii="宋体" w:eastAsia="宋体" w:hAnsi="宋体"/>
        <w:sz w:val="28"/>
        <w:szCs w:val="28"/>
      </w:rPr>
    </w:pPr>
    <w:r w:rsidRPr="00633267">
      <w:rPr>
        <w:sz w:val="28"/>
      </w:rPr>
      <w:pict>
        <v:shapetype id="_x0000_t202" coordsize="21600,21600" o:spt="202" path="m,l,21600r21600,l21600,xe">
          <v:stroke joinstyle="miter"/>
          <v:path gradientshapeok="t" o:connecttype="rect"/>
        </v:shapetype>
        <v:shape id="_x0000_s3074"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filled="f" stroked="f" strokeweight=".5pt">
          <v:textbox style="mso-fit-shape-to-text:t" inset="0,0,0,0">
            <w:txbxContent>
              <w:p w:rsidR="00A012D0" w:rsidRDefault="00373003">
                <w:pPr>
                  <w:pStyle w:val="a7"/>
                </w:pPr>
                <w:r>
                  <w:rPr>
                    <w:rFonts w:ascii="仿宋" w:eastAsia="仿宋" w:hAnsi="仿宋" w:cs="仿宋" w:hint="eastAsia"/>
                    <w:sz w:val="24"/>
                  </w:rPr>
                  <w:fldChar w:fldCharType="begin"/>
                </w:r>
                <w:r w:rsidR="00E756AF">
                  <w:rPr>
                    <w:rFonts w:ascii="仿宋" w:eastAsia="仿宋" w:hAnsi="仿宋" w:cs="仿宋" w:hint="eastAsia"/>
                    <w:sz w:val="24"/>
                  </w:rPr>
                  <w:instrText xml:space="preserve"> PAGE  \* MERGEFORMAT </w:instrText>
                </w:r>
                <w:r>
                  <w:rPr>
                    <w:rFonts w:ascii="仿宋" w:eastAsia="仿宋" w:hAnsi="仿宋" w:cs="仿宋" w:hint="eastAsia"/>
                    <w:sz w:val="24"/>
                  </w:rPr>
                  <w:fldChar w:fldCharType="separate"/>
                </w:r>
                <w:r w:rsidR="00195747">
                  <w:rPr>
                    <w:rFonts w:ascii="仿宋" w:eastAsia="仿宋" w:hAnsi="仿宋" w:cs="仿宋"/>
                    <w:noProof/>
                    <w:sz w:val="24"/>
                  </w:rPr>
                  <w:t>18</w:t>
                </w:r>
                <w:r>
                  <w:rPr>
                    <w:rFonts w:ascii="仿宋" w:eastAsia="仿宋" w:hAnsi="仿宋" w:cs="仿宋" w:hint="eastAsia"/>
                    <w:sz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003" w:rsidRDefault="00373003" w:rsidP="00A012D0">
      <w:r>
        <w:separator/>
      </w:r>
    </w:p>
  </w:footnote>
  <w:footnote w:type="continuationSeparator" w:id="0">
    <w:p w:rsidR="00373003" w:rsidRDefault="00373003" w:rsidP="00A01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599AB"/>
    <w:multiLevelType w:val="multilevel"/>
    <w:tmpl w:val="573599AB"/>
    <w:lvl w:ilvl="0">
      <w:start w:val="1"/>
      <w:numFmt w:val="decimal"/>
      <w:lvlText w:val="%1."/>
      <w:lvlJc w:val="left"/>
      <w:pPr>
        <w:tabs>
          <w:tab w:val="left" w:pos="432"/>
        </w:tabs>
        <w:ind w:left="432" w:hanging="432"/>
      </w:pPr>
      <w:rPr>
        <w:rFonts w:ascii="宋体" w:eastAsia="宋体" w:hAnsi="宋体" w:cs="楷体" w:hint="default"/>
      </w:rPr>
    </w:lvl>
    <w:lvl w:ilvl="1">
      <w:start w:val="1"/>
      <w:numFmt w:val="decimal"/>
      <w:pStyle w:val="9"/>
      <w:isLgl/>
      <w:lvlText w:val="%1.%2."/>
      <w:lvlJc w:val="left"/>
      <w:pPr>
        <w:tabs>
          <w:tab w:val="left" w:pos="575"/>
        </w:tabs>
        <w:ind w:left="575" w:hanging="575"/>
      </w:pPr>
      <w:rPr>
        <w:rFonts w:ascii="宋体" w:eastAsia="宋体" w:hAnsi="宋体" w:cs="楷体" w:hint="default"/>
      </w:rPr>
    </w:lvl>
    <w:lvl w:ilvl="2">
      <w:start w:val="1"/>
      <w:numFmt w:val="decimal"/>
      <w:isLgl/>
      <w:lvlText w:val="%1.%2.%3."/>
      <w:lvlJc w:val="left"/>
      <w:pPr>
        <w:tabs>
          <w:tab w:val="left" w:pos="720"/>
        </w:tabs>
        <w:ind w:left="720" w:hanging="720"/>
      </w:pPr>
      <w:rPr>
        <w:rFonts w:ascii="宋体" w:eastAsia="宋体" w:hAnsi="宋体" w:cs="楷体"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TrueTypeFonts/>
  <w:saveSubsetFonts/>
  <w:bordersDoNotSurroundHeader/>
  <w:bordersDoNotSurroundFooter/>
  <w:defaultTabStop w:val="420"/>
  <w:drawingGridHorizontalSpacing w:val="162"/>
  <w:drawingGridVerticalSpacing w:val="605"/>
  <w:displayHorizontalDrawingGridEvery w:val="2"/>
  <w:noPunctuationKerning/>
  <w:characterSpacingControl w:val="compressPunctuation"/>
  <w:hdrShapeDefaults>
    <o:shapedefaults v:ext="edit" spidmax="6146"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docVars>
    <w:docVar w:name="commondata" w:val="eyJoZGlkIjoiYWJmNTAxYTA0NTllZTU0OWY5NWY0MWNlMzBjNGU2OTYifQ=="/>
  </w:docVars>
  <w:rsids>
    <w:rsidRoot w:val="55762EB1"/>
    <w:rsid w:val="00633267"/>
    <w:rsid w:val="55762EB1"/>
    <w:rsid w:val="A6FF0381"/>
    <w:rsid w:val="A7C7126A"/>
    <w:rsid w:val="A9A40EAB"/>
    <w:rsid w:val="AE454BD0"/>
    <w:rsid w:val="AEBE2BE8"/>
    <w:rsid w:val="AF7D57F4"/>
    <w:rsid w:val="B15B7405"/>
    <w:rsid w:val="B15F20B3"/>
    <w:rsid w:val="B3EE87E1"/>
    <w:rsid w:val="B3FF42E7"/>
    <w:rsid w:val="B555DE19"/>
    <w:rsid w:val="B5BF350F"/>
    <w:rsid w:val="B975FB18"/>
    <w:rsid w:val="BAFF6C90"/>
    <w:rsid w:val="BB799A5B"/>
    <w:rsid w:val="BBB707D5"/>
    <w:rsid w:val="BBFEC98B"/>
    <w:rsid w:val="BCFFEA50"/>
    <w:rsid w:val="BD9FFBD4"/>
    <w:rsid w:val="BEB7314E"/>
    <w:rsid w:val="BEDF04F9"/>
    <w:rsid w:val="BEFF8A88"/>
    <w:rsid w:val="BF7B15D1"/>
    <w:rsid w:val="BFBF580B"/>
    <w:rsid w:val="BFBF5832"/>
    <w:rsid w:val="BFEDAC26"/>
    <w:rsid w:val="BFEDD136"/>
    <w:rsid w:val="BFF7794B"/>
    <w:rsid w:val="BFFFF576"/>
    <w:rsid w:val="C5CF1D74"/>
    <w:rsid w:val="C5FFB357"/>
    <w:rsid w:val="C7F939D9"/>
    <w:rsid w:val="CEEF9701"/>
    <w:rsid w:val="CF3B9644"/>
    <w:rsid w:val="CF959B36"/>
    <w:rsid w:val="D65C6F95"/>
    <w:rsid w:val="D7FF4A26"/>
    <w:rsid w:val="DAFE4708"/>
    <w:rsid w:val="DB3D9C3E"/>
    <w:rsid w:val="DB7F05E2"/>
    <w:rsid w:val="DB8F95E0"/>
    <w:rsid w:val="DCDF83DB"/>
    <w:rsid w:val="DCF7FBF1"/>
    <w:rsid w:val="DDD7EB0D"/>
    <w:rsid w:val="DDE7E07A"/>
    <w:rsid w:val="DE3E99C8"/>
    <w:rsid w:val="DF3DAFDC"/>
    <w:rsid w:val="DF5C0DD0"/>
    <w:rsid w:val="DF6DFACD"/>
    <w:rsid w:val="DF7B6482"/>
    <w:rsid w:val="DF7CDA7D"/>
    <w:rsid w:val="DFCB2B4F"/>
    <w:rsid w:val="DFEDE3A4"/>
    <w:rsid w:val="DFF8E188"/>
    <w:rsid w:val="E0FECF8B"/>
    <w:rsid w:val="E1E13103"/>
    <w:rsid w:val="E25FAEFE"/>
    <w:rsid w:val="E7D9D776"/>
    <w:rsid w:val="E7DFD29B"/>
    <w:rsid w:val="E7FD22A8"/>
    <w:rsid w:val="E7FD698C"/>
    <w:rsid w:val="E7FFD02F"/>
    <w:rsid w:val="EAFDBA2C"/>
    <w:rsid w:val="ECC7DA6E"/>
    <w:rsid w:val="EDCC7DAF"/>
    <w:rsid w:val="EDCFF975"/>
    <w:rsid w:val="EDF956E6"/>
    <w:rsid w:val="EEBF2E6F"/>
    <w:rsid w:val="EFD89C81"/>
    <w:rsid w:val="EFFFBAA0"/>
    <w:rsid w:val="F1AD3DDC"/>
    <w:rsid w:val="F1FF4324"/>
    <w:rsid w:val="F27F1725"/>
    <w:rsid w:val="F29782F7"/>
    <w:rsid w:val="F37B339A"/>
    <w:rsid w:val="F37FF575"/>
    <w:rsid w:val="F3AF289C"/>
    <w:rsid w:val="F3B4A66E"/>
    <w:rsid w:val="F3EFEF31"/>
    <w:rsid w:val="F4E66CB6"/>
    <w:rsid w:val="F4FF68A0"/>
    <w:rsid w:val="F65A5870"/>
    <w:rsid w:val="F77FD6F0"/>
    <w:rsid w:val="F7A738A5"/>
    <w:rsid w:val="F7E78DBA"/>
    <w:rsid w:val="F7EDC494"/>
    <w:rsid w:val="F7FE3F40"/>
    <w:rsid w:val="F7FF4AE6"/>
    <w:rsid w:val="F97EC289"/>
    <w:rsid w:val="F9FF4975"/>
    <w:rsid w:val="FB755147"/>
    <w:rsid w:val="FB75BF01"/>
    <w:rsid w:val="FB7BAA0B"/>
    <w:rsid w:val="FBBB7629"/>
    <w:rsid w:val="FBF78968"/>
    <w:rsid w:val="FBF98674"/>
    <w:rsid w:val="FD373B33"/>
    <w:rsid w:val="FD3EF7E0"/>
    <w:rsid w:val="FDEAF67D"/>
    <w:rsid w:val="FDEF63B5"/>
    <w:rsid w:val="FE3F2377"/>
    <w:rsid w:val="FEBF33F2"/>
    <w:rsid w:val="FECF9E6B"/>
    <w:rsid w:val="FEFBBFF0"/>
    <w:rsid w:val="FF0F3D61"/>
    <w:rsid w:val="FF5BB798"/>
    <w:rsid w:val="FF5F3993"/>
    <w:rsid w:val="FF7E78F4"/>
    <w:rsid w:val="FF7EFE19"/>
    <w:rsid w:val="FF7FE7F7"/>
    <w:rsid w:val="FF8DDB08"/>
    <w:rsid w:val="FFAFC4D8"/>
    <w:rsid w:val="FFB59807"/>
    <w:rsid w:val="FFB9A389"/>
    <w:rsid w:val="FFDECFF6"/>
    <w:rsid w:val="FFEA78DA"/>
    <w:rsid w:val="FFED496E"/>
    <w:rsid w:val="FFF685FE"/>
    <w:rsid w:val="FFF7BC8F"/>
    <w:rsid w:val="FFFB2509"/>
    <w:rsid w:val="FFFBA032"/>
    <w:rsid w:val="FFFD3741"/>
    <w:rsid w:val="FFFD3F76"/>
    <w:rsid w:val="FFFF5BD8"/>
    <w:rsid w:val="FFFF63DC"/>
    <w:rsid w:val="FFFF9B15"/>
    <w:rsid w:val="00001856"/>
    <w:rsid w:val="000025F3"/>
    <w:rsid w:val="00006DF8"/>
    <w:rsid w:val="000168EA"/>
    <w:rsid w:val="000220C1"/>
    <w:rsid w:val="0003623C"/>
    <w:rsid w:val="000367EB"/>
    <w:rsid w:val="00042A71"/>
    <w:rsid w:val="00061EE3"/>
    <w:rsid w:val="000642A6"/>
    <w:rsid w:val="00065584"/>
    <w:rsid w:val="00074A10"/>
    <w:rsid w:val="00075289"/>
    <w:rsid w:val="000831C8"/>
    <w:rsid w:val="0008430D"/>
    <w:rsid w:val="00085801"/>
    <w:rsid w:val="00085AA7"/>
    <w:rsid w:val="000A39C2"/>
    <w:rsid w:val="000B2473"/>
    <w:rsid w:val="000B6EE5"/>
    <w:rsid w:val="000C5A41"/>
    <w:rsid w:val="000D2962"/>
    <w:rsid w:val="000D3376"/>
    <w:rsid w:val="000D6C72"/>
    <w:rsid w:val="000F6BA4"/>
    <w:rsid w:val="00102697"/>
    <w:rsid w:val="0011285B"/>
    <w:rsid w:val="001271EF"/>
    <w:rsid w:val="001316C5"/>
    <w:rsid w:val="0013253B"/>
    <w:rsid w:val="00133221"/>
    <w:rsid w:val="0013483F"/>
    <w:rsid w:val="0013637C"/>
    <w:rsid w:val="00154220"/>
    <w:rsid w:val="00162235"/>
    <w:rsid w:val="00170953"/>
    <w:rsid w:val="0017547D"/>
    <w:rsid w:val="00177FE4"/>
    <w:rsid w:val="00193CA0"/>
    <w:rsid w:val="00195747"/>
    <w:rsid w:val="001A31E5"/>
    <w:rsid w:val="001A4E00"/>
    <w:rsid w:val="001A7C94"/>
    <w:rsid w:val="001A7E17"/>
    <w:rsid w:val="001B1F3C"/>
    <w:rsid w:val="001C1B97"/>
    <w:rsid w:val="001C4A74"/>
    <w:rsid w:val="001D1ACA"/>
    <w:rsid w:val="001E5AB6"/>
    <w:rsid w:val="001F24A9"/>
    <w:rsid w:val="00214DE4"/>
    <w:rsid w:val="002212AC"/>
    <w:rsid w:val="00226F17"/>
    <w:rsid w:val="002479AB"/>
    <w:rsid w:val="00253CE2"/>
    <w:rsid w:val="002541F6"/>
    <w:rsid w:val="002664BA"/>
    <w:rsid w:val="002703C7"/>
    <w:rsid w:val="00276ED7"/>
    <w:rsid w:val="002775FA"/>
    <w:rsid w:val="002874DB"/>
    <w:rsid w:val="00290699"/>
    <w:rsid w:val="002A0761"/>
    <w:rsid w:val="002A2F6E"/>
    <w:rsid w:val="002A64EB"/>
    <w:rsid w:val="002B2773"/>
    <w:rsid w:val="002B2CE6"/>
    <w:rsid w:val="002C32C3"/>
    <w:rsid w:val="002F4A5E"/>
    <w:rsid w:val="002F50F0"/>
    <w:rsid w:val="00302851"/>
    <w:rsid w:val="003104F2"/>
    <w:rsid w:val="003168A2"/>
    <w:rsid w:val="00336167"/>
    <w:rsid w:val="0035625B"/>
    <w:rsid w:val="0036487D"/>
    <w:rsid w:val="003654EE"/>
    <w:rsid w:val="00365BBE"/>
    <w:rsid w:val="003673D9"/>
    <w:rsid w:val="00373003"/>
    <w:rsid w:val="00375C16"/>
    <w:rsid w:val="0037617A"/>
    <w:rsid w:val="0039787B"/>
    <w:rsid w:val="003A0432"/>
    <w:rsid w:val="003A4543"/>
    <w:rsid w:val="003B1532"/>
    <w:rsid w:val="003B6325"/>
    <w:rsid w:val="003B73F8"/>
    <w:rsid w:val="003C4586"/>
    <w:rsid w:val="003D05D5"/>
    <w:rsid w:val="003F4499"/>
    <w:rsid w:val="003F7F78"/>
    <w:rsid w:val="00400CFF"/>
    <w:rsid w:val="00401600"/>
    <w:rsid w:val="00405349"/>
    <w:rsid w:val="00406DAF"/>
    <w:rsid w:val="00412A38"/>
    <w:rsid w:val="004235EE"/>
    <w:rsid w:val="004256DB"/>
    <w:rsid w:val="00431213"/>
    <w:rsid w:val="004513B1"/>
    <w:rsid w:val="00455B90"/>
    <w:rsid w:val="00457BE5"/>
    <w:rsid w:val="004637A2"/>
    <w:rsid w:val="0046387A"/>
    <w:rsid w:val="00463A25"/>
    <w:rsid w:val="00466CA3"/>
    <w:rsid w:val="0047553E"/>
    <w:rsid w:val="00480AA2"/>
    <w:rsid w:val="0048383B"/>
    <w:rsid w:val="004841B1"/>
    <w:rsid w:val="00485879"/>
    <w:rsid w:val="004860E4"/>
    <w:rsid w:val="00491A77"/>
    <w:rsid w:val="004A6B9A"/>
    <w:rsid w:val="004B0F70"/>
    <w:rsid w:val="004B17C8"/>
    <w:rsid w:val="004B43FD"/>
    <w:rsid w:val="004B7B7C"/>
    <w:rsid w:val="004D3DB3"/>
    <w:rsid w:val="004F255F"/>
    <w:rsid w:val="004F2941"/>
    <w:rsid w:val="004F4830"/>
    <w:rsid w:val="0050015A"/>
    <w:rsid w:val="0050197D"/>
    <w:rsid w:val="00504435"/>
    <w:rsid w:val="005105AB"/>
    <w:rsid w:val="0051256E"/>
    <w:rsid w:val="00512D48"/>
    <w:rsid w:val="00513E31"/>
    <w:rsid w:val="005163B2"/>
    <w:rsid w:val="00521D3A"/>
    <w:rsid w:val="00523A56"/>
    <w:rsid w:val="005301AD"/>
    <w:rsid w:val="00533D14"/>
    <w:rsid w:val="005366FC"/>
    <w:rsid w:val="00541BDB"/>
    <w:rsid w:val="00546729"/>
    <w:rsid w:val="00551F08"/>
    <w:rsid w:val="00562861"/>
    <w:rsid w:val="00571DFE"/>
    <w:rsid w:val="00583B48"/>
    <w:rsid w:val="00591A57"/>
    <w:rsid w:val="00594382"/>
    <w:rsid w:val="005959AB"/>
    <w:rsid w:val="005B29B3"/>
    <w:rsid w:val="005C0DD0"/>
    <w:rsid w:val="005C119D"/>
    <w:rsid w:val="005C342F"/>
    <w:rsid w:val="005C7AE1"/>
    <w:rsid w:val="005D330E"/>
    <w:rsid w:val="005F1787"/>
    <w:rsid w:val="005F54B4"/>
    <w:rsid w:val="006012AC"/>
    <w:rsid w:val="0060588E"/>
    <w:rsid w:val="00607848"/>
    <w:rsid w:val="006111B9"/>
    <w:rsid w:val="00611BC3"/>
    <w:rsid w:val="006226C0"/>
    <w:rsid w:val="006355C1"/>
    <w:rsid w:val="00635ECD"/>
    <w:rsid w:val="00642716"/>
    <w:rsid w:val="00643BE1"/>
    <w:rsid w:val="00643C95"/>
    <w:rsid w:val="0065601E"/>
    <w:rsid w:val="00656574"/>
    <w:rsid w:val="00675972"/>
    <w:rsid w:val="0067633A"/>
    <w:rsid w:val="006824AE"/>
    <w:rsid w:val="00691D8A"/>
    <w:rsid w:val="006A2A0D"/>
    <w:rsid w:val="006B0E90"/>
    <w:rsid w:val="006C753B"/>
    <w:rsid w:val="006D4975"/>
    <w:rsid w:val="006D5F62"/>
    <w:rsid w:val="006D6699"/>
    <w:rsid w:val="006F1CB6"/>
    <w:rsid w:val="006F2318"/>
    <w:rsid w:val="00716C4D"/>
    <w:rsid w:val="00721590"/>
    <w:rsid w:val="00721EE1"/>
    <w:rsid w:val="007334E5"/>
    <w:rsid w:val="00733768"/>
    <w:rsid w:val="00746DCC"/>
    <w:rsid w:val="00747398"/>
    <w:rsid w:val="00751440"/>
    <w:rsid w:val="00751BC5"/>
    <w:rsid w:val="00756288"/>
    <w:rsid w:val="00757FC5"/>
    <w:rsid w:val="00760AA4"/>
    <w:rsid w:val="0076196E"/>
    <w:rsid w:val="007621B2"/>
    <w:rsid w:val="00767D2B"/>
    <w:rsid w:val="00772376"/>
    <w:rsid w:val="00785FAE"/>
    <w:rsid w:val="00794322"/>
    <w:rsid w:val="007A0A88"/>
    <w:rsid w:val="007B01DB"/>
    <w:rsid w:val="007B1794"/>
    <w:rsid w:val="007B3D9E"/>
    <w:rsid w:val="007B4301"/>
    <w:rsid w:val="007B4584"/>
    <w:rsid w:val="007B65C6"/>
    <w:rsid w:val="007B7582"/>
    <w:rsid w:val="007C433B"/>
    <w:rsid w:val="007D54A7"/>
    <w:rsid w:val="007D6D2D"/>
    <w:rsid w:val="007D7A1D"/>
    <w:rsid w:val="007F2460"/>
    <w:rsid w:val="007F32A3"/>
    <w:rsid w:val="008111E3"/>
    <w:rsid w:val="00815D9B"/>
    <w:rsid w:val="00820004"/>
    <w:rsid w:val="0082143A"/>
    <w:rsid w:val="008217AE"/>
    <w:rsid w:val="00821CD4"/>
    <w:rsid w:val="00823C00"/>
    <w:rsid w:val="00827DC8"/>
    <w:rsid w:val="00834F70"/>
    <w:rsid w:val="0084794F"/>
    <w:rsid w:val="00852BEF"/>
    <w:rsid w:val="00867022"/>
    <w:rsid w:val="008719A9"/>
    <w:rsid w:val="00876851"/>
    <w:rsid w:val="00880AB8"/>
    <w:rsid w:val="0088260E"/>
    <w:rsid w:val="00884AC9"/>
    <w:rsid w:val="008B291B"/>
    <w:rsid w:val="008B3FA1"/>
    <w:rsid w:val="008B7250"/>
    <w:rsid w:val="008C18D0"/>
    <w:rsid w:val="008C2A5A"/>
    <w:rsid w:val="008C3C5B"/>
    <w:rsid w:val="008C498D"/>
    <w:rsid w:val="008C738C"/>
    <w:rsid w:val="008D37DF"/>
    <w:rsid w:val="008D528E"/>
    <w:rsid w:val="008D573C"/>
    <w:rsid w:val="008F142E"/>
    <w:rsid w:val="008F4E50"/>
    <w:rsid w:val="00900F64"/>
    <w:rsid w:val="009061C3"/>
    <w:rsid w:val="0091116C"/>
    <w:rsid w:val="00926D49"/>
    <w:rsid w:val="0093345B"/>
    <w:rsid w:val="00941F7B"/>
    <w:rsid w:val="00951266"/>
    <w:rsid w:val="009563DF"/>
    <w:rsid w:val="0095706F"/>
    <w:rsid w:val="009603CA"/>
    <w:rsid w:val="00962F58"/>
    <w:rsid w:val="009633EE"/>
    <w:rsid w:val="009639E7"/>
    <w:rsid w:val="0096594B"/>
    <w:rsid w:val="0097183A"/>
    <w:rsid w:val="0097220F"/>
    <w:rsid w:val="00977E9C"/>
    <w:rsid w:val="00977F68"/>
    <w:rsid w:val="009904CF"/>
    <w:rsid w:val="00997121"/>
    <w:rsid w:val="009A45B9"/>
    <w:rsid w:val="009A5CEF"/>
    <w:rsid w:val="009B6BDB"/>
    <w:rsid w:val="009C3DB2"/>
    <w:rsid w:val="009C7B1F"/>
    <w:rsid w:val="009C7C1B"/>
    <w:rsid w:val="009D0D8E"/>
    <w:rsid w:val="009D25F0"/>
    <w:rsid w:val="009E115E"/>
    <w:rsid w:val="009F4C5F"/>
    <w:rsid w:val="00A001D9"/>
    <w:rsid w:val="00A007C4"/>
    <w:rsid w:val="00A012D0"/>
    <w:rsid w:val="00A15665"/>
    <w:rsid w:val="00A21B11"/>
    <w:rsid w:val="00A22A95"/>
    <w:rsid w:val="00A23A62"/>
    <w:rsid w:val="00A42483"/>
    <w:rsid w:val="00A5081F"/>
    <w:rsid w:val="00A605FD"/>
    <w:rsid w:val="00A65D20"/>
    <w:rsid w:val="00A66CB8"/>
    <w:rsid w:val="00A70DC5"/>
    <w:rsid w:val="00A72AE4"/>
    <w:rsid w:val="00A74AAE"/>
    <w:rsid w:val="00A75C52"/>
    <w:rsid w:val="00A76B9F"/>
    <w:rsid w:val="00A9412F"/>
    <w:rsid w:val="00AA0144"/>
    <w:rsid w:val="00AB7CC9"/>
    <w:rsid w:val="00AC473F"/>
    <w:rsid w:val="00B203AA"/>
    <w:rsid w:val="00B33097"/>
    <w:rsid w:val="00B36E7D"/>
    <w:rsid w:val="00B37D0F"/>
    <w:rsid w:val="00B403B6"/>
    <w:rsid w:val="00B46A87"/>
    <w:rsid w:val="00B53BBE"/>
    <w:rsid w:val="00B61188"/>
    <w:rsid w:val="00B64340"/>
    <w:rsid w:val="00B65FA2"/>
    <w:rsid w:val="00B81479"/>
    <w:rsid w:val="00B8627F"/>
    <w:rsid w:val="00B9204B"/>
    <w:rsid w:val="00BA2CBF"/>
    <w:rsid w:val="00BA465F"/>
    <w:rsid w:val="00BA6B06"/>
    <w:rsid w:val="00BC4F3B"/>
    <w:rsid w:val="00BC68F0"/>
    <w:rsid w:val="00BD5759"/>
    <w:rsid w:val="00BD6C06"/>
    <w:rsid w:val="00BE1CC0"/>
    <w:rsid w:val="00BE29B4"/>
    <w:rsid w:val="00BF2E0E"/>
    <w:rsid w:val="00BF37E1"/>
    <w:rsid w:val="00BF6917"/>
    <w:rsid w:val="00C02E34"/>
    <w:rsid w:val="00C21FE6"/>
    <w:rsid w:val="00C23203"/>
    <w:rsid w:val="00C24F15"/>
    <w:rsid w:val="00C3180A"/>
    <w:rsid w:val="00C366AD"/>
    <w:rsid w:val="00C46CD1"/>
    <w:rsid w:val="00C65D49"/>
    <w:rsid w:val="00CB2859"/>
    <w:rsid w:val="00CC1CDE"/>
    <w:rsid w:val="00CC323D"/>
    <w:rsid w:val="00CC41E1"/>
    <w:rsid w:val="00CC46A7"/>
    <w:rsid w:val="00CD41F9"/>
    <w:rsid w:val="00CE570E"/>
    <w:rsid w:val="00CF591C"/>
    <w:rsid w:val="00D17927"/>
    <w:rsid w:val="00D22ECC"/>
    <w:rsid w:val="00D233DB"/>
    <w:rsid w:val="00D25CDA"/>
    <w:rsid w:val="00D2782B"/>
    <w:rsid w:val="00D33FB5"/>
    <w:rsid w:val="00D46BEA"/>
    <w:rsid w:val="00D51B6A"/>
    <w:rsid w:val="00D76CDF"/>
    <w:rsid w:val="00D87C0D"/>
    <w:rsid w:val="00D93473"/>
    <w:rsid w:val="00D95E92"/>
    <w:rsid w:val="00D96F71"/>
    <w:rsid w:val="00DA129E"/>
    <w:rsid w:val="00DB7DF4"/>
    <w:rsid w:val="00DC49A6"/>
    <w:rsid w:val="00DC5460"/>
    <w:rsid w:val="00DD12BC"/>
    <w:rsid w:val="00DD1DCE"/>
    <w:rsid w:val="00DF14AD"/>
    <w:rsid w:val="00DF70E6"/>
    <w:rsid w:val="00E01B9B"/>
    <w:rsid w:val="00E0401F"/>
    <w:rsid w:val="00E075AE"/>
    <w:rsid w:val="00E108EC"/>
    <w:rsid w:val="00E1097F"/>
    <w:rsid w:val="00E115CC"/>
    <w:rsid w:val="00E23F94"/>
    <w:rsid w:val="00E26C35"/>
    <w:rsid w:val="00E27BCE"/>
    <w:rsid w:val="00E358C7"/>
    <w:rsid w:val="00E36E1D"/>
    <w:rsid w:val="00E37CFA"/>
    <w:rsid w:val="00E37D8E"/>
    <w:rsid w:val="00E42DA9"/>
    <w:rsid w:val="00E50330"/>
    <w:rsid w:val="00E60C11"/>
    <w:rsid w:val="00E6262A"/>
    <w:rsid w:val="00E6732F"/>
    <w:rsid w:val="00E75651"/>
    <w:rsid w:val="00E756AF"/>
    <w:rsid w:val="00E758E1"/>
    <w:rsid w:val="00E855F1"/>
    <w:rsid w:val="00E8634A"/>
    <w:rsid w:val="00E94564"/>
    <w:rsid w:val="00EB3967"/>
    <w:rsid w:val="00ED4F2E"/>
    <w:rsid w:val="00EE572E"/>
    <w:rsid w:val="00EE7D65"/>
    <w:rsid w:val="00EE7FA2"/>
    <w:rsid w:val="00EF0647"/>
    <w:rsid w:val="00EF58BE"/>
    <w:rsid w:val="00EF660F"/>
    <w:rsid w:val="00F02BA3"/>
    <w:rsid w:val="00F13D36"/>
    <w:rsid w:val="00F153A7"/>
    <w:rsid w:val="00F40475"/>
    <w:rsid w:val="00F41CFF"/>
    <w:rsid w:val="00F44C19"/>
    <w:rsid w:val="00F469C6"/>
    <w:rsid w:val="00F54EF9"/>
    <w:rsid w:val="00F60E13"/>
    <w:rsid w:val="00F7068A"/>
    <w:rsid w:val="00F75D21"/>
    <w:rsid w:val="00F76081"/>
    <w:rsid w:val="00F77D38"/>
    <w:rsid w:val="00F8237A"/>
    <w:rsid w:val="00FB61C1"/>
    <w:rsid w:val="00FC0B46"/>
    <w:rsid w:val="00FC0BA4"/>
    <w:rsid w:val="00FD60B2"/>
    <w:rsid w:val="00FF5B41"/>
    <w:rsid w:val="00FF61DB"/>
    <w:rsid w:val="010D5887"/>
    <w:rsid w:val="0156352C"/>
    <w:rsid w:val="0158357E"/>
    <w:rsid w:val="017A62AB"/>
    <w:rsid w:val="0192008C"/>
    <w:rsid w:val="01A52705"/>
    <w:rsid w:val="021A1B36"/>
    <w:rsid w:val="02327C51"/>
    <w:rsid w:val="023344CD"/>
    <w:rsid w:val="025645F5"/>
    <w:rsid w:val="02DB739A"/>
    <w:rsid w:val="035614CF"/>
    <w:rsid w:val="03B553BA"/>
    <w:rsid w:val="03D71F70"/>
    <w:rsid w:val="044576DA"/>
    <w:rsid w:val="044E0E32"/>
    <w:rsid w:val="045421FE"/>
    <w:rsid w:val="046449A2"/>
    <w:rsid w:val="046E12CF"/>
    <w:rsid w:val="047C1D10"/>
    <w:rsid w:val="04826D2E"/>
    <w:rsid w:val="04BC5CE3"/>
    <w:rsid w:val="04CC5239"/>
    <w:rsid w:val="04F15D70"/>
    <w:rsid w:val="050140F6"/>
    <w:rsid w:val="052B5AA2"/>
    <w:rsid w:val="055A5ACF"/>
    <w:rsid w:val="05634EB0"/>
    <w:rsid w:val="05637C3C"/>
    <w:rsid w:val="05AA23F0"/>
    <w:rsid w:val="06272FF8"/>
    <w:rsid w:val="0659586C"/>
    <w:rsid w:val="068A41F6"/>
    <w:rsid w:val="07014F07"/>
    <w:rsid w:val="0743137F"/>
    <w:rsid w:val="075873C7"/>
    <w:rsid w:val="07697D31"/>
    <w:rsid w:val="0788053B"/>
    <w:rsid w:val="07A87FB5"/>
    <w:rsid w:val="083A50B5"/>
    <w:rsid w:val="084E22E7"/>
    <w:rsid w:val="085F360E"/>
    <w:rsid w:val="08795564"/>
    <w:rsid w:val="08BC3D12"/>
    <w:rsid w:val="08C72115"/>
    <w:rsid w:val="08C8524E"/>
    <w:rsid w:val="08CC3222"/>
    <w:rsid w:val="08CD7884"/>
    <w:rsid w:val="08E92F70"/>
    <w:rsid w:val="094439D7"/>
    <w:rsid w:val="094E1A73"/>
    <w:rsid w:val="097325C3"/>
    <w:rsid w:val="09735EE0"/>
    <w:rsid w:val="09886321"/>
    <w:rsid w:val="098F572D"/>
    <w:rsid w:val="09B00E5E"/>
    <w:rsid w:val="09B356C4"/>
    <w:rsid w:val="0A067AB9"/>
    <w:rsid w:val="0A5B7E05"/>
    <w:rsid w:val="0A79449A"/>
    <w:rsid w:val="0A812E71"/>
    <w:rsid w:val="0AE778EA"/>
    <w:rsid w:val="0AEB7D4F"/>
    <w:rsid w:val="0B332B30"/>
    <w:rsid w:val="0B61769D"/>
    <w:rsid w:val="0B8D5C4E"/>
    <w:rsid w:val="0BAB4DBC"/>
    <w:rsid w:val="0BC80B0B"/>
    <w:rsid w:val="0BDE464A"/>
    <w:rsid w:val="0BF56037"/>
    <w:rsid w:val="0BFF6B00"/>
    <w:rsid w:val="0C0F3321"/>
    <w:rsid w:val="0C234E89"/>
    <w:rsid w:val="0C6A7427"/>
    <w:rsid w:val="0C714BCF"/>
    <w:rsid w:val="0C732646"/>
    <w:rsid w:val="0CD47D6F"/>
    <w:rsid w:val="0D3B5DD1"/>
    <w:rsid w:val="0D5F7C0C"/>
    <w:rsid w:val="0D7605FE"/>
    <w:rsid w:val="0D7D6095"/>
    <w:rsid w:val="0D932182"/>
    <w:rsid w:val="0D957AD2"/>
    <w:rsid w:val="0DFF155F"/>
    <w:rsid w:val="0E3E5676"/>
    <w:rsid w:val="0E746B39"/>
    <w:rsid w:val="0EBB5316"/>
    <w:rsid w:val="0ECF610D"/>
    <w:rsid w:val="0EFE188A"/>
    <w:rsid w:val="0F1C736D"/>
    <w:rsid w:val="0F566DED"/>
    <w:rsid w:val="0F5D316C"/>
    <w:rsid w:val="0F6239E3"/>
    <w:rsid w:val="0F6A3E80"/>
    <w:rsid w:val="0F744EC0"/>
    <w:rsid w:val="0F7E26CB"/>
    <w:rsid w:val="0F8E2A2A"/>
    <w:rsid w:val="0F9B6D84"/>
    <w:rsid w:val="0FB662B9"/>
    <w:rsid w:val="0FB8570C"/>
    <w:rsid w:val="0FBB5582"/>
    <w:rsid w:val="0FC2784E"/>
    <w:rsid w:val="0FCE1704"/>
    <w:rsid w:val="0FED7751"/>
    <w:rsid w:val="10052FEB"/>
    <w:rsid w:val="106A35D2"/>
    <w:rsid w:val="10B1077E"/>
    <w:rsid w:val="10D93795"/>
    <w:rsid w:val="1135679B"/>
    <w:rsid w:val="114535BD"/>
    <w:rsid w:val="1191083E"/>
    <w:rsid w:val="11B14851"/>
    <w:rsid w:val="11E14398"/>
    <w:rsid w:val="11EF3717"/>
    <w:rsid w:val="12026D99"/>
    <w:rsid w:val="120B26AA"/>
    <w:rsid w:val="121D602C"/>
    <w:rsid w:val="1244058E"/>
    <w:rsid w:val="12496BD6"/>
    <w:rsid w:val="12511742"/>
    <w:rsid w:val="125C1A7D"/>
    <w:rsid w:val="12BE53D5"/>
    <w:rsid w:val="134C29E0"/>
    <w:rsid w:val="134F7362"/>
    <w:rsid w:val="136E0548"/>
    <w:rsid w:val="138B7BAA"/>
    <w:rsid w:val="13C074A1"/>
    <w:rsid w:val="13EE3A98"/>
    <w:rsid w:val="13FC17C7"/>
    <w:rsid w:val="14007246"/>
    <w:rsid w:val="140B5A22"/>
    <w:rsid w:val="14171CA0"/>
    <w:rsid w:val="14624527"/>
    <w:rsid w:val="147321EF"/>
    <w:rsid w:val="14863CD0"/>
    <w:rsid w:val="14A068F2"/>
    <w:rsid w:val="14B22D17"/>
    <w:rsid w:val="14BD77EC"/>
    <w:rsid w:val="14D62EA9"/>
    <w:rsid w:val="14E32ED1"/>
    <w:rsid w:val="14EB429D"/>
    <w:rsid w:val="14EE14A8"/>
    <w:rsid w:val="152C0397"/>
    <w:rsid w:val="1552390B"/>
    <w:rsid w:val="1559720B"/>
    <w:rsid w:val="15BD18A7"/>
    <w:rsid w:val="15E21ABD"/>
    <w:rsid w:val="15F306FC"/>
    <w:rsid w:val="15FF0129"/>
    <w:rsid w:val="16005D69"/>
    <w:rsid w:val="16191BC1"/>
    <w:rsid w:val="164A3AD6"/>
    <w:rsid w:val="168F4407"/>
    <w:rsid w:val="16FE3082"/>
    <w:rsid w:val="174C0078"/>
    <w:rsid w:val="17615365"/>
    <w:rsid w:val="176B1DBC"/>
    <w:rsid w:val="177B7727"/>
    <w:rsid w:val="178175DC"/>
    <w:rsid w:val="17B643FE"/>
    <w:rsid w:val="17DF1918"/>
    <w:rsid w:val="182A4EC1"/>
    <w:rsid w:val="1840688C"/>
    <w:rsid w:val="186C5896"/>
    <w:rsid w:val="187E72C1"/>
    <w:rsid w:val="18905EAE"/>
    <w:rsid w:val="18AE1A47"/>
    <w:rsid w:val="18CA3705"/>
    <w:rsid w:val="19257F5C"/>
    <w:rsid w:val="194F4FD8"/>
    <w:rsid w:val="196A0064"/>
    <w:rsid w:val="197F8EE9"/>
    <w:rsid w:val="19A846E9"/>
    <w:rsid w:val="19C1725E"/>
    <w:rsid w:val="19E156A9"/>
    <w:rsid w:val="1A3C34B8"/>
    <w:rsid w:val="1A452958"/>
    <w:rsid w:val="1A5403CD"/>
    <w:rsid w:val="1A6A7744"/>
    <w:rsid w:val="1A951111"/>
    <w:rsid w:val="1AE32530"/>
    <w:rsid w:val="1AF0FC25"/>
    <w:rsid w:val="1B0319A8"/>
    <w:rsid w:val="1B0F6916"/>
    <w:rsid w:val="1B1261BC"/>
    <w:rsid w:val="1B6A60FA"/>
    <w:rsid w:val="1B924318"/>
    <w:rsid w:val="1BB34290"/>
    <w:rsid w:val="1BB9096C"/>
    <w:rsid w:val="1BD1497D"/>
    <w:rsid w:val="1BE25871"/>
    <w:rsid w:val="1BF71070"/>
    <w:rsid w:val="1BF8E89B"/>
    <w:rsid w:val="1C1E4AEE"/>
    <w:rsid w:val="1C3D61B5"/>
    <w:rsid w:val="1C431B20"/>
    <w:rsid w:val="1C572714"/>
    <w:rsid w:val="1C746B04"/>
    <w:rsid w:val="1CEF7D82"/>
    <w:rsid w:val="1D01483C"/>
    <w:rsid w:val="1D0D3AC4"/>
    <w:rsid w:val="1D231759"/>
    <w:rsid w:val="1D3E7FA8"/>
    <w:rsid w:val="1D462BE9"/>
    <w:rsid w:val="1D463D62"/>
    <w:rsid w:val="1D525159"/>
    <w:rsid w:val="1DBE4479"/>
    <w:rsid w:val="1DCE3A71"/>
    <w:rsid w:val="1DE44529"/>
    <w:rsid w:val="1DFB2109"/>
    <w:rsid w:val="1DFD0509"/>
    <w:rsid w:val="1E026ABD"/>
    <w:rsid w:val="1E256308"/>
    <w:rsid w:val="1E3C9831"/>
    <w:rsid w:val="1E3E7CD0"/>
    <w:rsid w:val="1E462A8B"/>
    <w:rsid w:val="1E7BDEF4"/>
    <w:rsid w:val="1E93324D"/>
    <w:rsid w:val="1EC05EB1"/>
    <w:rsid w:val="1EDF6B42"/>
    <w:rsid w:val="1F0E1F3A"/>
    <w:rsid w:val="1F3871E4"/>
    <w:rsid w:val="1F5F0AA0"/>
    <w:rsid w:val="1F612C06"/>
    <w:rsid w:val="1F893154"/>
    <w:rsid w:val="1FB74F15"/>
    <w:rsid w:val="1FC35DD8"/>
    <w:rsid w:val="1FDDF7AC"/>
    <w:rsid w:val="1FDFC659"/>
    <w:rsid w:val="1FE21636"/>
    <w:rsid w:val="1FF95C9E"/>
    <w:rsid w:val="20425479"/>
    <w:rsid w:val="204467BD"/>
    <w:rsid w:val="206F20D9"/>
    <w:rsid w:val="20C97C0D"/>
    <w:rsid w:val="20F45B45"/>
    <w:rsid w:val="216E7FC6"/>
    <w:rsid w:val="217557F8"/>
    <w:rsid w:val="218F3468"/>
    <w:rsid w:val="21F7620D"/>
    <w:rsid w:val="22055993"/>
    <w:rsid w:val="225F5AE7"/>
    <w:rsid w:val="22641BE8"/>
    <w:rsid w:val="22821FFA"/>
    <w:rsid w:val="22B71E26"/>
    <w:rsid w:val="22CB65A2"/>
    <w:rsid w:val="22E5075C"/>
    <w:rsid w:val="23151041"/>
    <w:rsid w:val="231B6DA7"/>
    <w:rsid w:val="234B77EF"/>
    <w:rsid w:val="23A6613D"/>
    <w:rsid w:val="23C30A9D"/>
    <w:rsid w:val="24226784"/>
    <w:rsid w:val="24594F5D"/>
    <w:rsid w:val="24635DDC"/>
    <w:rsid w:val="247C487A"/>
    <w:rsid w:val="248401E3"/>
    <w:rsid w:val="249152E3"/>
    <w:rsid w:val="24DC6BA4"/>
    <w:rsid w:val="252872E7"/>
    <w:rsid w:val="25392B62"/>
    <w:rsid w:val="25824FAD"/>
    <w:rsid w:val="25B1286E"/>
    <w:rsid w:val="25C14ADA"/>
    <w:rsid w:val="25C2583D"/>
    <w:rsid w:val="25D774E7"/>
    <w:rsid w:val="26035421"/>
    <w:rsid w:val="261E2B7C"/>
    <w:rsid w:val="262B2929"/>
    <w:rsid w:val="264F6618"/>
    <w:rsid w:val="269A76D7"/>
    <w:rsid w:val="26A35E79"/>
    <w:rsid w:val="27427F55"/>
    <w:rsid w:val="275163C0"/>
    <w:rsid w:val="27977C5F"/>
    <w:rsid w:val="27EF7F76"/>
    <w:rsid w:val="280B39E4"/>
    <w:rsid w:val="28133675"/>
    <w:rsid w:val="28290935"/>
    <w:rsid w:val="2835689D"/>
    <w:rsid w:val="287B1564"/>
    <w:rsid w:val="288E1220"/>
    <w:rsid w:val="28A30E9D"/>
    <w:rsid w:val="28D37F58"/>
    <w:rsid w:val="28D9041B"/>
    <w:rsid w:val="291C47AB"/>
    <w:rsid w:val="293D309F"/>
    <w:rsid w:val="294F692F"/>
    <w:rsid w:val="295013A8"/>
    <w:rsid w:val="295E5B6D"/>
    <w:rsid w:val="29934A6D"/>
    <w:rsid w:val="299800AE"/>
    <w:rsid w:val="299B396F"/>
    <w:rsid w:val="29B8490D"/>
    <w:rsid w:val="29C91E61"/>
    <w:rsid w:val="29D31FF9"/>
    <w:rsid w:val="2A7E5BC4"/>
    <w:rsid w:val="2A8645D2"/>
    <w:rsid w:val="2ABF11E3"/>
    <w:rsid w:val="2AD27817"/>
    <w:rsid w:val="2AF46F87"/>
    <w:rsid w:val="2AFD2F0D"/>
    <w:rsid w:val="2B011CF0"/>
    <w:rsid w:val="2B073965"/>
    <w:rsid w:val="2B28275C"/>
    <w:rsid w:val="2B47568D"/>
    <w:rsid w:val="2B5F10BD"/>
    <w:rsid w:val="2B6F089D"/>
    <w:rsid w:val="2BD74871"/>
    <w:rsid w:val="2C2E6CCF"/>
    <w:rsid w:val="2CA25652"/>
    <w:rsid w:val="2CA35449"/>
    <w:rsid w:val="2CE101E6"/>
    <w:rsid w:val="2D016BD6"/>
    <w:rsid w:val="2D3B553E"/>
    <w:rsid w:val="2D4422E2"/>
    <w:rsid w:val="2D86504B"/>
    <w:rsid w:val="2DB2017D"/>
    <w:rsid w:val="2DDE7C17"/>
    <w:rsid w:val="2DE73FDC"/>
    <w:rsid w:val="2DEB3A08"/>
    <w:rsid w:val="2DF53AF5"/>
    <w:rsid w:val="2E38701D"/>
    <w:rsid w:val="2E6A4A00"/>
    <w:rsid w:val="2EB50B77"/>
    <w:rsid w:val="2EB5143F"/>
    <w:rsid w:val="2EBD433B"/>
    <w:rsid w:val="2EDA5C2A"/>
    <w:rsid w:val="2F371AA9"/>
    <w:rsid w:val="2F4A5444"/>
    <w:rsid w:val="2F62278F"/>
    <w:rsid w:val="2FA4032C"/>
    <w:rsid w:val="2FE57FED"/>
    <w:rsid w:val="2FE64857"/>
    <w:rsid w:val="2FF787D1"/>
    <w:rsid w:val="30026B65"/>
    <w:rsid w:val="30035E9D"/>
    <w:rsid w:val="30872C7E"/>
    <w:rsid w:val="30C02924"/>
    <w:rsid w:val="30C65728"/>
    <w:rsid w:val="30F3189D"/>
    <w:rsid w:val="310B3A83"/>
    <w:rsid w:val="311A5A74"/>
    <w:rsid w:val="313C3C3D"/>
    <w:rsid w:val="31505547"/>
    <w:rsid w:val="31544C6A"/>
    <w:rsid w:val="31550888"/>
    <w:rsid w:val="31C07DA2"/>
    <w:rsid w:val="31C2273D"/>
    <w:rsid w:val="31FEF51B"/>
    <w:rsid w:val="321932FB"/>
    <w:rsid w:val="323F21F5"/>
    <w:rsid w:val="32537858"/>
    <w:rsid w:val="32554D65"/>
    <w:rsid w:val="32B63897"/>
    <w:rsid w:val="32D22AAA"/>
    <w:rsid w:val="32D836FE"/>
    <w:rsid w:val="33627EB7"/>
    <w:rsid w:val="33935040"/>
    <w:rsid w:val="3399180B"/>
    <w:rsid w:val="33C11918"/>
    <w:rsid w:val="33D2699B"/>
    <w:rsid w:val="340C7A1E"/>
    <w:rsid w:val="342C2C88"/>
    <w:rsid w:val="345E79FB"/>
    <w:rsid w:val="346A0AC1"/>
    <w:rsid w:val="34FE228C"/>
    <w:rsid w:val="352466A4"/>
    <w:rsid w:val="35584B7B"/>
    <w:rsid w:val="35685FAF"/>
    <w:rsid w:val="35925C72"/>
    <w:rsid w:val="35BC5FD2"/>
    <w:rsid w:val="35BEC570"/>
    <w:rsid w:val="35DA047C"/>
    <w:rsid w:val="35E95F20"/>
    <w:rsid w:val="35F93E0E"/>
    <w:rsid w:val="360E7496"/>
    <w:rsid w:val="36137612"/>
    <w:rsid w:val="362D180C"/>
    <w:rsid w:val="364C66D0"/>
    <w:rsid w:val="367B0D63"/>
    <w:rsid w:val="36930558"/>
    <w:rsid w:val="36985DB9"/>
    <w:rsid w:val="369E2FE4"/>
    <w:rsid w:val="36A1697C"/>
    <w:rsid w:val="36AB6948"/>
    <w:rsid w:val="36DD3DCD"/>
    <w:rsid w:val="36FBB4C8"/>
    <w:rsid w:val="373E6F38"/>
    <w:rsid w:val="378B147A"/>
    <w:rsid w:val="37BB86BA"/>
    <w:rsid w:val="37CB7AC8"/>
    <w:rsid w:val="37EB016A"/>
    <w:rsid w:val="38024399"/>
    <w:rsid w:val="380F7C74"/>
    <w:rsid w:val="381A568C"/>
    <w:rsid w:val="385927CC"/>
    <w:rsid w:val="385C6972"/>
    <w:rsid w:val="389F2279"/>
    <w:rsid w:val="38C70EA8"/>
    <w:rsid w:val="38D43CA1"/>
    <w:rsid w:val="391A3E45"/>
    <w:rsid w:val="393914AB"/>
    <w:rsid w:val="394C659B"/>
    <w:rsid w:val="39602492"/>
    <w:rsid w:val="39730417"/>
    <w:rsid w:val="397B0177"/>
    <w:rsid w:val="397F3866"/>
    <w:rsid w:val="39A459B6"/>
    <w:rsid w:val="39EF21E2"/>
    <w:rsid w:val="3A5F5756"/>
    <w:rsid w:val="3A633616"/>
    <w:rsid w:val="3AC107E2"/>
    <w:rsid w:val="3B2E2848"/>
    <w:rsid w:val="3B30382A"/>
    <w:rsid w:val="3B38632C"/>
    <w:rsid w:val="3B4427D3"/>
    <w:rsid w:val="3B574248"/>
    <w:rsid w:val="3BDFD2E4"/>
    <w:rsid w:val="3BFE6DCF"/>
    <w:rsid w:val="3C067321"/>
    <w:rsid w:val="3C37572C"/>
    <w:rsid w:val="3C3E57FB"/>
    <w:rsid w:val="3C676742"/>
    <w:rsid w:val="3C75266A"/>
    <w:rsid w:val="3C797AF3"/>
    <w:rsid w:val="3C853843"/>
    <w:rsid w:val="3C874571"/>
    <w:rsid w:val="3C884077"/>
    <w:rsid w:val="3C8A1876"/>
    <w:rsid w:val="3C9C5ED7"/>
    <w:rsid w:val="3CAC2514"/>
    <w:rsid w:val="3CB6571D"/>
    <w:rsid w:val="3CC72F54"/>
    <w:rsid w:val="3CE007B1"/>
    <w:rsid w:val="3CF9460D"/>
    <w:rsid w:val="3DBF50D6"/>
    <w:rsid w:val="3DCE3E6E"/>
    <w:rsid w:val="3DE91F16"/>
    <w:rsid w:val="3DF959BF"/>
    <w:rsid w:val="3E1A72F6"/>
    <w:rsid w:val="3E3143FD"/>
    <w:rsid w:val="3E41374D"/>
    <w:rsid w:val="3E5DC4EE"/>
    <w:rsid w:val="3E6F1445"/>
    <w:rsid w:val="3EA276F7"/>
    <w:rsid w:val="3EC2309F"/>
    <w:rsid w:val="3F08128E"/>
    <w:rsid w:val="3F3C0BE3"/>
    <w:rsid w:val="3F74620D"/>
    <w:rsid w:val="3F791CD3"/>
    <w:rsid w:val="3F9F8132"/>
    <w:rsid w:val="3FAD13CB"/>
    <w:rsid w:val="3FB1545C"/>
    <w:rsid w:val="3FDBB48F"/>
    <w:rsid w:val="3FF120C7"/>
    <w:rsid w:val="3FFD5697"/>
    <w:rsid w:val="400060C9"/>
    <w:rsid w:val="400C2735"/>
    <w:rsid w:val="401F018E"/>
    <w:rsid w:val="403F77A1"/>
    <w:rsid w:val="405014B2"/>
    <w:rsid w:val="405B04B1"/>
    <w:rsid w:val="40680803"/>
    <w:rsid w:val="40935CAA"/>
    <w:rsid w:val="409745B3"/>
    <w:rsid w:val="40B4367E"/>
    <w:rsid w:val="40D9394E"/>
    <w:rsid w:val="40F643D5"/>
    <w:rsid w:val="410F4156"/>
    <w:rsid w:val="41570055"/>
    <w:rsid w:val="419473CD"/>
    <w:rsid w:val="41AF2035"/>
    <w:rsid w:val="41C97F41"/>
    <w:rsid w:val="41CC3178"/>
    <w:rsid w:val="41FB194C"/>
    <w:rsid w:val="41FD4D22"/>
    <w:rsid w:val="420D6D5B"/>
    <w:rsid w:val="42140827"/>
    <w:rsid w:val="42675DF1"/>
    <w:rsid w:val="42885446"/>
    <w:rsid w:val="42A135D1"/>
    <w:rsid w:val="42AC6D47"/>
    <w:rsid w:val="42B52BF1"/>
    <w:rsid w:val="42E42865"/>
    <w:rsid w:val="42F30280"/>
    <w:rsid w:val="440A1978"/>
    <w:rsid w:val="44134CD1"/>
    <w:rsid w:val="44222588"/>
    <w:rsid w:val="446403A9"/>
    <w:rsid w:val="446B516E"/>
    <w:rsid w:val="44B032C2"/>
    <w:rsid w:val="44CC46BA"/>
    <w:rsid w:val="45024E5E"/>
    <w:rsid w:val="4546678F"/>
    <w:rsid w:val="456D0DBB"/>
    <w:rsid w:val="456F1CAC"/>
    <w:rsid w:val="45923C46"/>
    <w:rsid w:val="45C25817"/>
    <w:rsid w:val="45CF2A6A"/>
    <w:rsid w:val="46274A64"/>
    <w:rsid w:val="462C02CC"/>
    <w:rsid w:val="46584C1D"/>
    <w:rsid w:val="4677370E"/>
    <w:rsid w:val="46EB4C06"/>
    <w:rsid w:val="46FF93D7"/>
    <w:rsid w:val="47091CC0"/>
    <w:rsid w:val="4731132E"/>
    <w:rsid w:val="474A7601"/>
    <w:rsid w:val="4760647F"/>
    <w:rsid w:val="477E6905"/>
    <w:rsid w:val="478275FC"/>
    <w:rsid w:val="482A25E9"/>
    <w:rsid w:val="486A0C38"/>
    <w:rsid w:val="486E60A3"/>
    <w:rsid w:val="48877A3B"/>
    <w:rsid w:val="48A91760"/>
    <w:rsid w:val="48B055A4"/>
    <w:rsid w:val="48B802DC"/>
    <w:rsid w:val="48C72B62"/>
    <w:rsid w:val="48D23008"/>
    <w:rsid w:val="48D43E62"/>
    <w:rsid w:val="48D90481"/>
    <w:rsid w:val="48E33745"/>
    <w:rsid w:val="48E7672C"/>
    <w:rsid w:val="4914249F"/>
    <w:rsid w:val="493E5973"/>
    <w:rsid w:val="49755AE6"/>
    <w:rsid w:val="499A554C"/>
    <w:rsid w:val="49E15B21"/>
    <w:rsid w:val="4A332DDD"/>
    <w:rsid w:val="4A4A184A"/>
    <w:rsid w:val="4A941841"/>
    <w:rsid w:val="4AAD23DF"/>
    <w:rsid w:val="4AAF1F3B"/>
    <w:rsid w:val="4AB34A29"/>
    <w:rsid w:val="4ACD5F5E"/>
    <w:rsid w:val="4B217A5C"/>
    <w:rsid w:val="4B3A2799"/>
    <w:rsid w:val="4B5F1CBE"/>
    <w:rsid w:val="4B6D40EC"/>
    <w:rsid w:val="4BD765E4"/>
    <w:rsid w:val="4C1050F8"/>
    <w:rsid w:val="4C616E9C"/>
    <w:rsid w:val="4CCA4F85"/>
    <w:rsid w:val="4CF06A2A"/>
    <w:rsid w:val="4D4E6D7A"/>
    <w:rsid w:val="4D583754"/>
    <w:rsid w:val="4DBF5D22"/>
    <w:rsid w:val="4DF1707F"/>
    <w:rsid w:val="4E2C10B9"/>
    <w:rsid w:val="4E2D2E33"/>
    <w:rsid w:val="4E3150E2"/>
    <w:rsid w:val="4E4A7DB4"/>
    <w:rsid w:val="4EB13C6E"/>
    <w:rsid w:val="4ED82144"/>
    <w:rsid w:val="4F017C2A"/>
    <w:rsid w:val="4F654FA6"/>
    <w:rsid w:val="4F9C5B1D"/>
    <w:rsid w:val="4FB3CCD0"/>
    <w:rsid w:val="4FB812D0"/>
    <w:rsid w:val="4FC053EF"/>
    <w:rsid w:val="4FF3179F"/>
    <w:rsid w:val="4FF3D7E0"/>
    <w:rsid w:val="4FF9875E"/>
    <w:rsid w:val="4FFE6835"/>
    <w:rsid w:val="500100D3"/>
    <w:rsid w:val="504936E5"/>
    <w:rsid w:val="5121225A"/>
    <w:rsid w:val="515E5C66"/>
    <w:rsid w:val="51A76A58"/>
    <w:rsid w:val="51EE2F85"/>
    <w:rsid w:val="520619D1"/>
    <w:rsid w:val="52112841"/>
    <w:rsid w:val="52121816"/>
    <w:rsid w:val="52224331"/>
    <w:rsid w:val="52C27FEE"/>
    <w:rsid w:val="52DB27C8"/>
    <w:rsid w:val="53032109"/>
    <w:rsid w:val="53204D14"/>
    <w:rsid w:val="53231556"/>
    <w:rsid w:val="53314ED4"/>
    <w:rsid w:val="533F07C4"/>
    <w:rsid w:val="536605DD"/>
    <w:rsid w:val="53663062"/>
    <w:rsid w:val="53756352"/>
    <w:rsid w:val="53AA54DD"/>
    <w:rsid w:val="53B14969"/>
    <w:rsid w:val="53C81D89"/>
    <w:rsid w:val="53F64155"/>
    <w:rsid w:val="53FB308C"/>
    <w:rsid w:val="53FB7845"/>
    <w:rsid w:val="54272660"/>
    <w:rsid w:val="54297BF9"/>
    <w:rsid w:val="544574D6"/>
    <w:rsid w:val="5476750C"/>
    <w:rsid w:val="54977258"/>
    <w:rsid w:val="54A43723"/>
    <w:rsid w:val="54AC4C48"/>
    <w:rsid w:val="54CD67D6"/>
    <w:rsid w:val="54DC2EBD"/>
    <w:rsid w:val="54F4678C"/>
    <w:rsid w:val="55027756"/>
    <w:rsid w:val="553211DE"/>
    <w:rsid w:val="55432876"/>
    <w:rsid w:val="556F5ADF"/>
    <w:rsid w:val="55762EB1"/>
    <w:rsid w:val="55A3450A"/>
    <w:rsid w:val="55A37C8F"/>
    <w:rsid w:val="55B737AB"/>
    <w:rsid w:val="55C96D5F"/>
    <w:rsid w:val="55DE5E1F"/>
    <w:rsid w:val="55EBD625"/>
    <w:rsid w:val="55FF6E63"/>
    <w:rsid w:val="561D1AA7"/>
    <w:rsid w:val="562E5C44"/>
    <w:rsid w:val="565809C8"/>
    <w:rsid w:val="56644F18"/>
    <w:rsid w:val="567A02BF"/>
    <w:rsid w:val="56844798"/>
    <w:rsid w:val="56CB2E52"/>
    <w:rsid w:val="56D730FF"/>
    <w:rsid w:val="56F8523A"/>
    <w:rsid w:val="56F92B9E"/>
    <w:rsid w:val="57044B1F"/>
    <w:rsid w:val="570737F4"/>
    <w:rsid w:val="57296836"/>
    <w:rsid w:val="5748445E"/>
    <w:rsid w:val="575856A7"/>
    <w:rsid w:val="575FAB7F"/>
    <w:rsid w:val="57D3CF30"/>
    <w:rsid w:val="58361E4E"/>
    <w:rsid w:val="58372DFA"/>
    <w:rsid w:val="58524AAF"/>
    <w:rsid w:val="58C46142"/>
    <w:rsid w:val="58CB5A97"/>
    <w:rsid w:val="58D32F7C"/>
    <w:rsid w:val="58EF4317"/>
    <w:rsid w:val="58FA7469"/>
    <w:rsid w:val="5909162D"/>
    <w:rsid w:val="59530429"/>
    <w:rsid w:val="59544C87"/>
    <w:rsid w:val="59723DF0"/>
    <w:rsid w:val="5A3D7F5A"/>
    <w:rsid w:val="5A552FDA"/>
    <w:rsid w:val="5AAC0ECB"/>
    <w:rsid w:val="5ABC1342"/>
    <w:rsid w:val="5AE7341F"/>
    <w:rsid w:val="5AE76118"/>
    <w:rsid w:val="5B424FC7"/>
    <w:rsid w:val="5BC4232B"/>
    <w:rsid w:val="5BDC1C27"/>
    <w:rsid w:val="5BE002A5"/>
    <w:rsid w:val="5BF4A1DE"/>
    <w:rsid w:val="5BFF1057"/>
    <w:rsid w:val="5C2E04A2"/>
    <w:rsid w:val="5C713E0F"/>
    <w:rsid w:val="5CA5061F"/>
    <w:rsid w:val="5CAD5D6A"/>
    <w:rsid w:val="5CB355D6"/>
    <w:rsid w:val="5CEDDC6D"/>
    <w:rsid w:val="5D0457DF"/>
    <w:rsid w:val="5D150713"/>
    <w:rsid w:val="5D183A4E"/>
    <w:rsid w:val="5D2E53BE"/>
    <w:rsid w:val="5D422220"/>
    <w:rsid w:val="5D5850AB"/>
    <w:rsid w:val="5D7A3130"/>
    <w:rsid w:val="5D8A1483"/>
    <w:rsid w:val="5D9F7317"/>
    <w:rsid w:val="5DDD3E9C"/>
    <w:rsid w:val="5DF179D9"/>
    <w:rsid w:val="5E5A4044"/>
    <w:rsid w:val="5E625FE6"/>
    <w:rsid w:val="5EA44A4C"/>
    <w:rsid w:val="5ED36796"/>
    <w:rsid w:val="5EF531E6"/>
    <w:rsid w:val="5EFBF191"/>
    <w:rsid w:val="5EFF2E5E"/>
    <w:rsid w:val="5F5F31D7"/>
    <w:rsid w:val="5F736183"/>
    <w:rsid w:val="5F7D27BB"/>
    <w:rsid w:val="5F7DEE83"/>
    <w:rsid w:val="5F865FD3"/>
    <w:rsid w:val="5F8D7B66"/>
    <w:rsid w:val="5FA016B7"/>
    <w:rsid w:val="5FBFDF47"/>
    <w:rsid w:val="5FDDCCB6"/>
    <w:rsid w:val="5FE7617A"/>
    <w:rsid w:val="5FE77F79"/>
    <w:rsid w:val="5FEE2DF9"/>
    <w:rsid w:val="5FFF3E06"/>
    <w:rsid w:val="600D6286"/>
    <w:rsid w:val="602816AC"/>
    <w:rsid w:val="60542F7A"/>
    <w:rsid w:val="606C3347"/>
    <w:rsid w:val="60995980"/>
    <w:rsid w:val="60B86577"/>
    <w:rsid w:val="60E900C3"/>
    <w:rsid w:val="610712C2"/>
    <w:rsid w:val="613F0A5C"/>
    <w:rsid w:val="61662D0D"/>
    <w:rsid w:val="61880654"/>
    <w:rsid w:val="61C373F7"/>
    <w:rsid w:val="61DFAB87"/>
    <w:rsid w:val="6277400D"/>
    <w:rsid w:val="62EB255A"/>
    <w:rsid w:val="62FC2EBF"/>
    <w:rsid w:val="632F7884"/>
    <w:rsid w:val="63316B20"/>
    <w:rsid w:val="6347009B"/>
    <w:rsid w:val="63512595"/>
    <w:rsid w:val="639554A5"/>
    <w:rsid w:val="63960581"/>
    <w:rsid w:val="63EE3A7F"/>
    <w:rsid w:val="63FB06DB"/>
    <w:rsid w:val="641615D2"/>
    <w:rsid w:val="64430863"/>
    <w:rsid w:val="64501B41"/>
    <w:rsid w:val="64AD2180"/>
    <w:rsid w:val="64D616D7"/>
    <w:rsid w:val="64DD0462"/>
    <w:rsid w:val="65037776"/>
    <w:rsid w:val="651B645B"/>
    <w:rsid w:val="654A79CF"/>
    <w:rsid w:val="65752C9E"/>
    <w:rsid w:val="658A429C"/>
    <w:rsid w:val="65BA65F5"/>
    <w:rsid w:val="65C47781"/>
    <w:rsid w:val="65CA7DCF"/>
    <w:rsid w:val="65E858A5"/>
    <w:rsid w:val="65E971E8"/>
    <w:rsid w:val="66365934"/>
    <w:rsid w:val="663D12E2"/>
    <w:rsid w:val="66581632"/>
    <w:rsid w:val="667FA88D"/>
    <w:rsid w:val="66D90E9F"/>
    <w:rsid w:val="66DA680A"/>
    <w:rsid w:val="66E11553"/>
    <w:rsid w:val="66ED290C"/>
    <w:rsid w:val="672D78F5"/>
    <w:rsid w:val="672F7A91"/>
    <w:rsid w:val="67364659"/>
    <w:rsid w:val="677376B1"/>
    <w:rsid w:val="677D3EE0"/>
    <w:rsid w:val="678EBF2D"/>
    <w:rsid w:val="6793565D"/>
    <w:rsid w:val="67BDFC10"/>
    <w:rsid w:val="67BED6C4"/>
    <w:rsid w:val="67D78753"/>
    <w:rsid w:val="67D855F8"/>
    <w:rsid w:val="67D9AD40"/>
    <w:rsid w:val="67DF1F4B"/>
    <w:rsid w:val="67F8C2EB"/>
    <w:rsid w:val="68184224"/>
    <w:rsid w:val="684922FB"/>
    <w:rsid w:val="687A5E9B"/>
    <w:rsid w:val="68AD62D0"/>
    <w:rsid w:val="68AF4719"/>
    <w:rsid w:val="693C027D"/>
    <w:rsid w:val="69937B96"/>
    <w:rsid w:val="69AE2C22"/>
    <w:rsid w:val="69BF0381"/>
    <w:rsid w:val="69FF7A1F"/>
    <w:rsid w:val="6A0157D5"/>
    <w:rsid w:val="6A114D6C"/>
    <w:rsid w:val="6A4610AD"/>
    <w:rsid w:val="6A5C56A7"/>
    <w:rsid w:val="6A7CF937"/>
    <w:rsid w:val="6A7E1CBB"/>
    <w:rsid w:val="6A9339A0"/>
    <w:rsid w:val="6A9E528B"/>
    <w:rsid w:val="6AE508C6"/>
    <w:rsid w:val="6AFDBE7C"/>
    <w:rsid w:val="6B4E4EF9"/>
    <w:rsid w:val="6B645D5D"/>
    <w:rsid w:val="6B647076"/>
    <w:rsid w:val="6B743DEB"/>
    <w:rsid w:val="6B7BEDE3"/>
    <w:rsid w:val="6BEB261C"/>
    <w:rsid w:val="6BF63574"/>
    <w:rsid w:val="6C3A5F06"/>
    <w:rsid w:val="6C5FAA7B"/>
    <w:rsid w:val="6C7F6B47"/>
    <w:rsid w:val="6CA87DFD"/>
    <w:rsid w:val="6CCA2908"/>
    <w:rsid w:val="6D1C0A5C"/>
    <w:rsid w:val="6D1F3F1B"/>
    <w:rsid w:val="6D4B59AD"/>
    <w:rsid w:val="6D9F7FFB"/>
    <w:rsid w:val="6DAF3319"/>
    <w:rsid w:val="6DB76730"/>
    <w:rsid w:val="6DD7396B"/>
    <w:rsid w:val="6DDB03D7"/>
    <w:rsid w:val="6DEDB8FF"/>
    <w:rsid w:val="6DFDE1DF"/>
    <w:rsid w:val="6E0E49B3"/>
    <w:rsid w:val="6EA715F4"/>
    <w:rsid w:val="6EB10EE9"/>
    <w:rsid w:val="6F2F7A78"/>
    <w:rsid w:val="6F6D2C38"/>
    <w:rsid w:val="6F736D6F"/>
    <w:rsid w:val="6F7B5CC3"/>
    <w:rsid w:val="6F7F3F74"/>
    <w:rsid w:val="6F8BD572"/>
    <w:rsid w:val="6FADF433"/>
    <w:rsid w:val="6FB8A5B3"/>
    <w:rsid w:val="6FBBE4F9"/>
    <w:rsid w:val="6FC1129C"/>
    <w:rsid w:val="6FCECF82"/>
    <w:rsid w:val="6FD0493E"/>
    <w:rsid w:val="6FDF1471"/>
    <w:rsid w:val="6FEFA920"/>
    <w:rsid w:val="6FF1AA1E"/>
    <w:rsid w:val="6FFE3279"/>
    <w:rsid w:val="700D37FF"/>
    <w:rsid w:val="70223A22"/>
    <w:rsid w:val="70583154"/>
    <w:rsid w:val="706575BA"/>
    <w:rsid w:val="70AC74E1"/>
    <w:rsid w:val="70BE53AC"/>
    <w:rsid w:val="70C02F8F"/>
    <w:rsid w:val="70C66B53"/>
    <w:rsid w:val="70CA596A"/>
    <w:rsid w:val="70CC2171"/>
    <w:rsid w:val="70D4087D"/>
    <w:rsid w:val="70D72A5F"/>
    <w:rsid w:val="70FE448F"/>
    <w:rsid w:val="71253F91"/>
    <w:rsid w:val="7151606B"/>
    <w:rsid w:val="719B548F"/>
    <w:rsid w:val="719F5BDF"/>
    <w:rsid w:val="71B510E2"/>
    <w:rsid w:val="71D84D6C"/>
    <w:rsid w:val="71E60CB5"/>
    <w:rsid w:val="71E76EA6"/>
    <w:rsid w:val="71F50AE2"/>
    <w:rsid w:val="7226056C"/>
    <w:rsid w:val="724E6D00"/>
    <w:rsid w:val="72AC67BD"/>
    <w:rsid w:val="72CA7105"/>
    <w:rsid w:val="72E661D2"/>
    <w:rsid w:val="72EE1CDF"/>
    <w:rsid w:val="72FC3B97"/>
    <w:rsid w:val="73411A7D"/>
    <w:rsid w:val="73465B55"/>
    <w:rsid w:val="73771478"/>
    <w:rsid w:val="737E18B7"/>
    <w:rsid w:val="738C32BA"/>
    <w:rsid w:val="73CB617F"/>
    <w:rsid w:val="73CC549D"/>
    <w:rsid w:val="73F26870"/>
    <w:rsid w:val="73F6BB39"/>
    <w:rsid w:val="73FF117A"/>
    <w:rsid w:val="73FF1E89"/>
    <w:rsid w:val="741A00AE"/>
    <w:rsid w:val="74652A1F"/>
    <w:rsid w:val="749C54DC"/>
    <w:rsid w:val="74C11324"/>
    <w:rsid w:val="74DD580C"/>
    <w:rsid w:val="74F31BB8"/>
    <w:rsid w:val="75004818"/>
    <w:rsid w:val="751B5E34"/>
    <w:rsid w:val="75273889"/>
    <w:rsid w:val="752929ED"/>
    <w:rsid w:val="754631D2"/>
    <w:rsid w:val="768235E4"/>
    <w:rsid w:val="76FF4367"/>
    <w:rsid w:val="770FE192"/>
    <w:rsid w:val="77180623"/>
    <w:rsid w:val="771A79B5"/>
    <w:rsid w:val="772B4E6E"/>
    <w:rsid w:val="773E5EC9"/>
    <w:rsid w:val="77505B4F"/>
    <w:rsid w:val="775A4BB5"/>
    <w:rsid w:val="7771487F"/>
    <w:rsid w:val="777BF63B"/>
    <w:rsid w:val="777F0C29"/>
    <w:rsid w:val="7785035B"/>
    <w:rsid w:val="77A30CC6"/>
    <w:rsid w:val="77B3660C"/>
    <w:rsid w:val="77BA2D31"/>
    <w:rsid w:val="77DDEE0E"/>
    <w:rsid w:val="77EFB00C"/>
    <w:rsid w:val="77F15016"/>
    <w:rsid w:val="77F18DE3"/>
    <w:rsid w:val="77FF469F"/>
    <w:rsid w:val="77FF5481"/>
    <w:rsid w:val="782C23C9"/>
    <w:rsid w:val="783630B9"/>
    <w:rsid w:val="78414C61"/>
    <w:rsid w:val="786170B2"/>
    <w:rsid w:val="786C6182"/>
    <w:rsid w:val="78925C5D"/>
    <w:rsid w:val="78EE5546"/>
    <w:rsid w:val="79416FE0"/>
    <w:rsid w:val="796766D3"/>
    <w:rsid w:val="797FE299"/>
    <w:rsid w:val="79AC11A3"/>
    <w:rsid w:val="79D20267"/>
    <w:rsid w:val="79E99375"/>
    <w:rsid w:val="7A379A2D"/>
    <w:rsid w:val="7A453DB9"/>
    <w:rsid w:val="7A4B28A8"/>
    <w:rsid w:val="7A4E3666"/>
    <w:rsid w:val="7A552C46"/>
    <w:rsid w:val="7A56210A"/>
    <w:rsid w:val="7A6D7F90"/>
    <w:rsid w:val="7A771087"/>
    <w:rsid w:val="7A7B24C6"/>
    <w:rsid w:val="7A9F6B29"/>
    <w:rsid w:val="7AFFCDF5"/>
    <w:rsid w:val="7B0F21BC"/>
    <w:rsid w:val="7B1228E5"/>
    <w:rsid w:val="7B185B6B"/>
    <w:rsid w:val="7BC62ED8"/>
    <w:rsid w:val="7BCC6E56"/>
    <w:rsid w:val="7BD22F13"/>
    <w:rsid w:val="7BD42D6C"/>
    <w:rsid w:val="7BE8281B"/>
    <w:rsid w:val="7BF070CA"/>
    <w:rsid w:val="7BFBE434"/>
    <w:rsid w:val="7BFC4EA0"/>
    <w:rsid w:val="7BFDA47E"/>
    <w:rsid w:val="7BFF1709"/>
    <w:rsid w:val="7BFF7A88"/>
    <w:rsid w:val="7BFFF3AE"/>
    <w:rsid w:val="7C3C1EB2"/>
    <w:rsid w:val="7C683105"/>
    <w:rsid w:val="7C6F2E44"/>
    <w:rsid w:val="7C9B0DDA"/>
    <w:rsid w:val="7C9F3E8C"/>
    <w:rsid w:val="7CAB1C46"/>
    <w:rsid w:val="7CE7227B"/>
    <w:rsid w:val="7CEF8C95"/>
    <w:rsid w:val="7D072E61"/>
    <w:rsid w:val="7D3E00D1"/>
    <w:rsid w:val="7D5A3A32"/>
    <w:rsid w:val="7D6271C2"/>
    <w:rsid w:val="7D6E3A91"/>
    <w:rsid w:val="7D75086F"/>
    <w:rsid w:val="7D7F729C"/>
    <w:rsid w:val="7D8E26F7"/>
    <w:rsid w:val="7D9E5264"/>
    <w:rsid w:val="7DA70E1F"/>
    <w:rsid w:val="7DA737B9"/>
    <w:rsid w:val="7DAC73B1"/>
    <w:rsid w:val="7DB9B53E"/>
    <w:rsid w:val="7DBF1403"/>
    <w:rsid w:val="7DC51E91"/>
    <w:rsid w:val="7DDD5558"/>
    <w:rsid w:val="7DDDE3D2"/>
    <w:rsid w:val="7DDE034F"/>
    <w:rsid w:val="7DE8365B"/>
    <w:rsid w:val="7DF3E864"/>
    <w:rsid w:val="7DF9DFF7"/>
    <w:rsid w:val="7DFBB9C9"/>
    <w:rsid w:val="7E0223B7"/>
    <w:rsid w:val="7E3C6FB6"/>
    <w:rsid w:val="7E476AF2"/>
    <w:rsid w:val="7E5C0A47"/>
    <w:rsid w:val="7E5F63B5"/>
    <w:rsid w:val="7E6A3164"/>
    <w:rsid w:val="7EA63CCF"/>
    <w:rsid w:val="7EB720F5"/>
    <w:rsid w:val="7EBD963D"/>
    <w:rsid w:val="7ED70ADD"/>
    <w:rsid w:val="7ED77656"/>
    <w:rsid w:val="7EDB59F0"/>
    <w:rsid w:val="7EDB8FDB"/>
    <w:rsid w:val="7EFF5500"/>
    <w:rsid w:val="7F005406"/>
    <w:rsid w:val="7F32EF12"/>
    <w:rsid w:val="7F4642AC"/>
    <w:rsid w:val="7F513EF9"/>
    <w:rsid w:val="7F6EA75E"/>
    <w:rsid w:val="7F7514AB"/>
    <w:rsid w:val="7F759374"/>
    <w:rsid w:val="7F777F6E"/>
    <w:rsid w:val="7F7DFB27"/>
    <w:rsid w:val="7F87E707"/>
    <w:rsid w:val="7F8DD879"/>
    <w:rsid w:val="7F9F42E8"/>
    <w:rsid w:val="7FB63C4E"/>
    <w:rsid w:val="7FC6D0E4"/>
    <w:rsid w:val="7FC91A48"/>
    <w:rsid w:val="7FCA5C74"/>
    <w:rsid w:val="7FDBD14A"/>
    <w:rsid w:val="7FDE7BB9"/>
    <w:rsid w:val="7FDF723A"/>
    <w:rsid w:val="7FF7777A"/>
    <w:rsid w:val="7FFF6C4C"/>
    <w:rsid w:val="7FFFA1C8"/>
    <w:rsid w:val="7FFFCB50"/>
    <w:rsid w:val="7FFFF35E"/>
    <w:rsid w:val="7FFFF62C"/>
    <w:rsid w:val="877F429B"/>
    <w:rsid w:val="877F8471"/>
    <w:rsid w:val="8D2DFABC"/>
    <w:rsid w:val="8EFBA6C6"/>
    <w:rsid w:val="8FDE0AF6"/>
    <w:rsid w:val="915D87D7"/>
    <w:rsid w:val="96FF835A"/>
    <w:rsid w:val="975743A4"/>
    <w:rsid w:val="97FFD1E8"/>
    <w:rsid w:val="99FF2EAF"/>
    <w:rsid w:val="9DD6F15A"/>
    <w:rsid w:val="9EE7A9CA"/>
    <w:rsid w:val="9F7BAAF9"/>
    <w:rsid w:val="9FBF42CB"/>
    <w:rsid w:val="9FFD3B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header" w:qFormat="1"/>
    <w:lsdException w:name="footer" w:uiPriority="99" w:qFormat="1"/>
    <w:lsdException w:name="caption" w:semiHidden="1" w:unhideWhenUsed="1" w:qFormat="1"/>
    <w:lsdException w:name="page number" w:qFormat="1"/>
    <w:lsdException w:name="endnote text" w:qFormat="1"/>
    <w:lsdException w:name="Title" w:uiPriority="10" w:qFormat="1"/>
    <w:lsdException w:name="Default Paragraph Font" w:semiHidden="1" w:uiPriority="1" w:unhideWhenUsed="1" w:qFormat="1"/>
    <w:lsdException w:name="Body Text Indent" w:qFormat="1"/>
    <w:lsdException w:name="Subtitle" w:qFormat="1"/>
    <w:lsdException w:name="Dat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12D0"/>
    <w:pPr>
      <w:widowControl w:val="0"/>
      <w:jc w:val="both"/>
    </w:pPr>
    <w:rPr>
      <w:rFonts w:asciiTheme="minorHAnsi" w:eastAsia="仿宋_GB2312" w:hAnsiTheme="minorHAnsi" w:cstheme="minorBidi"/>
      <w:kern w:val="2"/>
      <w:sz w:val="32"/>
      <w:szCs w:val="24"/>
    </w:rPr>
  </w:style>
  <w:style w:type="paragraph" w:styleId="1">
    <w:name w:val="heading 1"/>
    <w:basedOn w:val="a"/>
    <w:next w:val="a"/>
    <w:qFormat/>
    <w:rsid w:val="00A012D0"/>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nhideWhenUsed/>
    <w:qFormat/>
    <w:rsid w:val="00A012D0"/>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A012D0"/>
    <w:pPr>
      <w:ind w:firstLineChars="200" w:firstLine="420"/>
    </w:pPr>
    <w:rPr>
      <w:rFonts w:ascii="Times New Roman" w:eastAsia="宋体" w:hAnsi="Times New Roman" w:cs="Times New Roman"/>
    </w:rPr>
  </w:style>
  <w:style w:type="paragraph" w:styleId="a4">
    <w:name w:val="Body Text Indent"/>
    <w:basedOn w:val="a"/>
    <w:qFormat/>
    <w:rsid w:val="00A012D0"/>
    <w:pPr>
      <w:ind w:firstLine="315"/>
    </w:pPr>
    <w:rPr>
      <w:sz w:val="24"/>
      <w:szCs w:val="20"/>
    </w:rPr>
  </w:style>
  <w:style w:type="paragraph" w:styleId="30">
    <w:name w:val="toc 3"/>
    <w:basedOn w:val="a"/>
    <w:next w:val="a"/>
    <w:qFormat/>
    <w:rsid w:val="00A012D0"/>
    <w:pPr>
      <w:ind w:leftChars="400" w:left="840"/>
    </w:pPr>
  </w:style>
  <w:style w:type="paragraph" w:styleId="a5">
    <w:name w:val="Date"/>
    <w:basedOn w:val="a"/>
    <w:next w:val="a"/>
    <w:link w:val="Char"/>
    <w:qFormat/>
    <w:rsid w:val="00A012D0"/>
    <w:pPr>
      <w:ind w:leftChars="2500" w:left="100"/>
    </w:pPr>
  </w:style>
  <w:style w:type="paragraph" w:styleId="a6">
    <w:name w:val="endnote text"/>
    <w:basedOn w:val="a"/>
    <w:qFormat/>
    <w:rsid w:val="00A012D0"/>
    <w:pPr>
      <w:snapToGrid w:val="0"/>
      <w:jc w:val="left"/>
    </w:pPr>
  </w:style>
  <w:style w:type="paragraph" w:styleId="a7">
    <w:name w:val="footer"/>
    <w:basedOn w:val="a"/>
    <w:link w:val="Char0"/>
    <w:uiPriority w:val="99"/>
    <w:qFormat/>
    <w:rsid w:val="00A012D0"/>
    <w:pPr>
      <w:tabs>
        <w:tab w:val="center" w:pos="4153"/>
        <w:tab w:val="right" w:pos="8306"/>
      </w:tabs>
      <w:snapToGrid w:val="0"/>
      <w:jc w:val="left"/>
    </w:pPr>
    <w:rPr>
      <w:sz w:val="18"/>
    </w:rPr>
  </w:style>
  <w:style w:type="paragraph" w:styleId="a8">
    <w:name w:val="header"/>
    <w:basedOn w:val="a"/>
    <w:qFormat/>
    <w:rsid w:val="00A012D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A012D0"/>
  </w:style>
  <w:style w:type="paragraph" w:styleId="2">
    <w:name w:val="toc 2"/>
    <w:basedOn w:val="a"/>
    <w:next w:val="a"/>
    <w:qFormat/>
    <w:rsid w:val="00A012D0"/>
    <w:pPr>
      <w:ind w:leftChars="200" w:left="420"/>
    </w:pPr>
  </w:style>
  <w:style w:type="paragraph" w:styleId="a9">
    <w:name w:val="Normal (Web)"/>
    <w:basedOn w:val="a"/>
    <w:qFormat/>
    <w:rsid w:val="00A012D0"/>
    <w:pPr>
      <w:spacing w:beforeAutospacing="1" w:afterAutospacing="1"/>
      <w:jc w:val="left"/>
    </w:pPr>
    <w:rPr>
      <w:rFonts w:cs="Times New Roman"/>
      <w:kern w:val="0"/>
      <w:sz w:val="24"/>
    </w:rPr>
  </w:style>
  <w:style w:type="paragraph" w:styleId="aa">
    <w:name w:val="Title"/>
    <w:basedOn w:val="a"/>
    <w:uiPriority w:val="10"/>
    <w:qFormat/>
    <w:rsid w:val="00A012D0"/>
    <w:pPr>
      <w:jc w:val="center"/>
    </w:pPr>
    <w:rPr>
      <w:rFonts w:ascii="宋体" w:hAnsi="宋体"/>
      <w:b/>
      <w:sz w:val="52"/>
      <w:szCs w:val="44"/>
    </w:rPr>
  </w:style>
  <w:style w:type="paragraph" w:styleId="20">
    <w:name w:val="Body Text First Indent 2"/>
    <w:basedOn w:val="a4"/>
    <w:uiPriority w:val="99"/>
    <w:unhideWhenUsed/>
    <w:qFormat/>
    <w:rsid w:val="00A012D0"/>
    <w:pPr>
      <w:ind w:firstLine="420"/>
    </w:pPr>
  </w:style>
  <w:style w:type="table" w:styleId="ab">
    <w:name w:val="Table Grid"/>
    <w:basedOn w:val="a1"/>
    <w:qFormat/>
    <w:rsid w:val="00A012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A012D0"/>
  </w:style>
  <w:style w:type="character" w:styleId="ad">
    <w:name w:val="Emphasis"/>
    <w:basedOn w:val="a0"/>
    <w:qFormat/>
    <w:rsid w:val="00A012D0"/>
    <w:rPr>
      <w:i/>
    </w:rPr>
  </w:style>
  <w:style w:type="paragraph" w:customStyle="1" w:styleId="NormalIndent">
    <w:name w:val="NormalIndent"/>
    <w:basedOn w:val="a"/>
    <w:qFormat/>
    <w:rsid w:val="00A012D0"/>
    <w:pPr>
      <w:ind w:firstLineChars="200" w:firstLine="420"/>
    </w:pPr>
  </w:style>
  <w:style w:type="paragraph" w:customStyle="1" w:styleId="11">
    <w:name w:val="列出段落1"/>
    <w:basedOn w:val="a"/>
    <w:qFormat/>
    <w:rsid w:val="00A012D0"/>
    <w:pPr>
      <w:ind w:firstLineChars="200" w:firstLine="200"/>
    </w:pPr>
    <w:rPr>
      <w:szCs w:val="22"/>
    </w:rPr>
  </w:style>
  <w:style w:type="paragraph" w:customStyle="1" w:styleId="9">
    <w:name w:val="样式9"/>
    <w:basedOn w:val="a"/>
    <w:qFormat/>
    <w:rsid w:val="00A012D0"/>
    <w:pPr>
      <w:numPr>
        <w:ilvl w:val="1"/>
        <w:numId w:val="1"/>
      </w:numPr>
    </w:pPr>
  </w:style>
  <w:style w:type="character" w:customStyle="1" w:styleId="font21">
    <w:name w:val="font21"/>
    <w:basedOn w:val="a0"/>
    <w:qFormat/>
    <w:rsid w:val="00A012D0"/>
    <w:rPr>
      <w:rFonts w:ascii="宋体" w:eastAsia="宋体" w:hAnsi="宋体" w:cs="宋体" w:hint="eastAsia"/>
      <w:color w:val="000000"/>
      <w:sz w:val="32"/>
      <w:szCs w:val="32"/>
      <w:u w:val="none"/>
      <w:vertAlign w:val="subscript"/>
    </w:rPr>
  </w:style>
  <w:style w:type="character" w:customStyle="1" w:styleId="font01">
    <w:name w:val="font01"/>
    <w:basedOn w:val="a0"/>
    <w:qFormat/>
    <w:rsid w:val="00A012D0"/>
    <w:rPr>
      <w:rFonts w:ascii="宋体" w:eastAsia="宋体" w:hAnsi="宋体" w:cs="宋体" w:hint="eastAsia"/>
      <w:color w:val="000000"/>
      <w:sz w:val="32"/>
      <w:szCs w:val="32"/>
      <w:u w:val="none"/>
      <w:vertAlign w:val="superscript"/>
    </w:rPr>
  </w:style>
  <w:style w:type="paragraph" w:styleId="ae">
    <w:name w:val="List Paragraph"/>
    <w:basedOn w:val="a"/>
    <w:uiPriority w:val="99"/>
    <w:unhideWhenUsed/>
    <w:qFormat/>
    <w:rsid w:val="00A012D0"/>
    <w:pPr>
      <w:ind w:firstLineChars="200" w:firstLine="420"/>
    </w:pPr>
  </w:style>
  <w:style w:type="character" w:customStyle="1" w:styleId="Char">
    <w:name w:val="日期 Char"/>
    <w:basedOn w:val="a0"/>
    <w:link w:val="a5"/>
    <w:qFormat/>
    <w:rsid w:val="00A012D0"/>
    <w:rPr>
      <w:rFonts w:asciiTheme="minorHAnsi" w:eastAsia="仿宋_GB2312" w:hAnsiTheme="minorHAnsi" w:cstheme="minorBidi"/>
      <w:kern w:val="2"/>
      <w:sz w:val="32"/>
      <w:szCs w:val="24"/>
    </w:rPr>
  </w:style>
  <w:style w:type="character" w:customStyle="1" w:styleId="Char0">
    <w:name w:val="页脚 Char"/>
    <w:basedOn w:val="a0"/>
    <w:link w:val="a7"/>
    <w:uiPriority w:val="99"/>
    <w:qFormat/>
    <w:rsid w:val="00A012D0"/>
    <w:rPr>
      <w:rFonts w:asciiTheme="minorHAnsi" w:eastAsia="仿宋_GB2312" w:hAnsiTheme="minorHAnsi" w:cstheme="minorBidi"/>
      <w:kern w:val="2"/>
      <w:sz w:val="18"/>
      <w:szCs w:val="24"/>
    </w:rPr>
  </w:style>
  <w:style w:type="paragraph" w:styleId="af">
    <w:name w:val="Balloon Text"/>
    <w:basedOn w:val="a"/>
    <w:link w:val="Char1"/>
    <w:rsid w:val="000B6EE5"/>
    <w:rPr>
      <w:sz w:val="18"/>
      <w:szCs w:val="18"/>
    </w:rPr>
  </w:style>
  <w:style w:type="character" w:customStyle="1" w:styleId="Char1">
    <w:name w:val="批注框文本 Char"/>
    <w:basedOn w:val="a0"/>
    <w:link w:val="af"/>
    <w:rsid w:val="000B6EE5"/>
    <w:rPr>
      <w:rFonts w:asciiTheme="minorHAnsi" w:eastAsia="仿宋_GB2312"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1771</Words>
  <Characters>10101</Characters>
  <Application>Microsoft Office Word</Application>
  <DocSecurity>0</DocSecurity>
  <Lines>84</Lines>
  <Paragraphs>23</Paragraphs>
  <ScaleCrop>false</ScaleCrop>
  <Company>MS</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家和万事兴</dc:creator>
  <cp:lastModifiedBy>xbany</cp:lastModifiedBy>
  <cp:revision>157</cp:revision>
  <cp:lastPrinted>2024-12-18T06:41:00Z</cp:lastPrinted>
  <dcterms:created xsi:type="dcterms:W3CDTF">2022-12-16T06:58:00Z</dcterms:created>
  <dcterms:modified xsi:type="dcterms:W3CDTF">2025-12-05T03:31:00Z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82E4BEBFD76A493D968D3C2E00906C8E_13</vt:lpwstr>
  </property>
  <property fmtid="{D5CDD505-2E9C-101B-9397-08002B2CF9AE}" pid="4" name="KSOTemplateDocerSaveRecord">
    <vt:lpwstr>eyJoZGlkIjoiYTQyNzJjYzUyMDIzMWJjNzUwOWM5ZWJhMzUxYzlmMWUiLCJ1c2VySWQiOiI5MDc0NDA5NzAifQ==</vt:lpwstr>
  </property>
</Properties>
</file>