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19E91">
      <w:pPr>
        <w:jc w:val="center"/>
        <w:rPr>
          <w:rFonts w:hint="eastAsia"/>
          <w:b/>
          <w:bCs/>
          <w:sz w:val="44"/>
          <w:szCs w:val="44"/>
          <w:lang w:eastAsia="zh-CN"/>
        </w:rPr>
      </w:pPr>
      <w:r>
        <w:rPr>
          <w:rFonts w:hint="eastAsia"/>
          <w:b/>
          <w:bCs/>
          <w:sz w:val="44"/>
          <w:szCs w:val="44"/>
          <w:lang w:eastAsia="zh-CN"/>
        </w:rPr>
        <w:t>益阳市中心医院医疗事业高质量发展</w:t>
      </w:r>
    </w:p>
    <w:p w14:paraId="462E0D70">
      <w:pPr>
        <w:jc w:val="center"/>
        <w:rPr>
          <w:rFonts w:hint="eastAsia"/>
          <w:sz w:val="44"/>
          <w:szCs w:val="44"/>
          <w:lang w:eastAsia="zh-CN"/>
        </w:rPr>
      </w:pPr>
      <w:r>
        <w:rPr>
          <w:rFonts w:hint="eastAsia"/>
          <w:b/>
          <w:bCs/>
          <w:sz w:val="44"/>
          <w:szCs w:val="44"/>
          <w:lang w:eastAsia="zh-CN"/>
        </w:rPr>
        <w:t>专项资金绩效评价报告</w:t>
      </w:r>
    </w:p>
    <w:p w14:paraId="62925918">
      <w:pPr>
        <w:jc w:val="center"/>
        <w:rPr>
          <w:rFonts w:hint="eastAsia"/>
          <w:sz w:val="44"/>
          <w:szCs w:val="44"/>
          <w:lang w:eastAsia="zh-CN"/>
        </w:rPr>
      </w:pPr>
    </w:p>
    <w:p w14:paraId="59A5E6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湖南世纪金源工程咨询有限公司</w:t>
      </w:r>
    </w:p>
    <w:p w14:paraId="61792AA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0B6418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napToGrid w:val="0"/>
          <w:color w:val="000000"/>
          <w:kern w:val="0"/>
          <w:sz w:val="32"/>
          <w:szCs w:val="32"/>
          <w:shd w:val="clear" w:color="auto" w:fill="FFFFFF"/>
          <w:lang w:val="en-US" w:eastAsia="zh-CN" w:bidi="ar-SA"/>
        </w:rPr>
      </w:pPr>
      <w:r>
        <w:rPr>
          <w:rFonts w:hint="eastAsia" w:ascii="仿宋" w:hAnsi="仿宋" w:eastAsia="仿宋" w:cs="仿宋"/>
          <w:b w:val="0"/>
          <w:bCs w:val="0"/>
          <w:snapToGrid w:val="0"/>
          <w:color w:val="000000"/>
          <w:kern w:val="0"/>
          <w:sz w:val="32"/>
          <w:szCs w:val="32"/>
          <w:shd w:val="clear" w:color="auto" w:fill="FFFFFF"/>
          <w:lang w:val="en-US" w:eastAsia="zh-CN" w:bidi="ar-SA"/>
        </w:rPr>
        <w:t>为了加强财政支出管理，提高财政资金使用效益，根据《中共中央 国务院关于全面实施预算绩效管理的意见》 （中发〔2018〕34号）、《中共湖南省委办公厅湖南省人民政府办公厅关于全面实施预算绩效管理的实施意见》（湘办发〔2019〕10号）及《益阳市财政局关于开展2025年财政绩效评价工作的通知》（益财绩〔2025〕163号）等文件精神，受市财政局委托，我公司成立绩效评价工作组，于2025年6月5日～8月5日对益阳市中心医院医疗事业高质量发展专项资金（以下简称该项目）开展了绩效评价。现将有关情况报告如下：</w:t>
      </w:r>
    </w:p>
    <w:p w14:paraId="267BCEC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napToGrid w:val="0"/>
          <w:color w:val="000000"/>
          <w:kern w:val="0"/>
          <w:sz w:val="32"/>
          <w:szCs w:val="32"/>
          <w:shd w:val="clear" w:color="auto" w:fill="FFFFFF"/>
          <w:lang w:val="en-US" w:eastAsia="zh-CN" w:bidi="ar-SA"/>
        </w:rPr>
      </w:pPr>
      <w:r>
        <w:rPr>
          <w:rFonts w:hint="eastAsia" w:ascii="黑体" w:hAnsi="黑体" w:eastAsia="黑体" w:cs="黑体"/>
          <w:b w:val="0"/>
          <w:bCs w:val="0"/>
          <w:snapToGrid w:val="0"/>
          <w:color w:val="000000"/>
          <w:kern w:val="0"/>
          <w:sz w:val="32"/>
          <w:szCs w:val="32"/>
          <w:shd w:val="clear" w:color="auto" w:fill="FFFFFF"/>
          <w:lang w:val="en-US" w:eastAsia="zh-CN" w:bidi="ar-SA"/>
        </w:rPr>
        <w:t>基本情况</w:t>
      </w:r>
    </w:p>
    <w:p w14:paraId="1DC6D7D4">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40" w:leftChars="0" w:firstLine="0" w:firstLineChars="0"/>
        <w:jc w:val="both"/>
        <w:textAlignment w:val="auto"/>
        <w:rPr>
          <w:rFonts w:hint="eastAsia" w:ascii="楷体" w:hAnsi="楷体" w:eastAsia="楷体" w:cs="楷体"/>
          <w:b w:val="0"/>
          <w:bCs w:val="0"/>
          <w:snapToGrid w:val="0"/>
          <w:color w:val="000000"/>
          <w:kern w:val="0"/>
          <w:sz w:val="32"/>
          <w:szCs w:val="32"/>
          <w:shd w:val="clear" w:color="auto" w:fill="FFFFFF"/>
          <w:lang w:val="en-US" w:eastAsia="zh-CN" w:bidi="ar-SA"/>
        </w:rPr>
      </w:pPr>
      <w:r>
        <w:rPr>
          <w:rFonts w:hint="eastAsia" w:ascii="楷体" w:hAnsi="楷体" w:eastAsia="楷体" w:cs="楷体"/>
          <w:b w:val="0"/>
          <w:bCs w:val="0"/>
          <w:snapToGrid w:val="0"/>
          <w:color w:val="000000"/>
          <w:kern w:val="0"/>
          <w:sz w:val="32"/>
          <w:szCs w:val="32"/>
          <w:shd w:val="clear" w:color="auto" w:fill="FFFFFF"/>
          <w:lang w:val="en-US" w:eastAsia="zh-CN" w:bidi="ar-SA"/>
        </w:rPr>
        <w:t>项目单位基本情况</w:t>
      </w:r>
    </w:p>
    <w:p w14:paraId="40C150C8">
      <w:pPr>
        <w:keepNext w:val="0"/>
        <w:keepLines w:val="0"/>
        <w:pageBreakBefore w:val="0"/>
        <w:widowControl w:val="0"/>
        <w:numPr>
          <w:ilvl w:val="0"/>
          <w:numId w:val="0"/>
        </w:numPr>
        <w:kinsoku/>
        <w:wordWrap/>
        <w:overflowPunct/>
        <w:topLinePunct w:val="0"/>
        <w:autoSpaceDE/>
        <w:autoSpaceDN/>
        <w:bidi w:val="0"/>
        <w:adjustRightInd/>
        <w:snapToGrid/>
        <w:spacing w:line="552" w:lineRule="exact"/>
        <w:ind w:firstLine="640" w:firstLineChars="200"/>
        <w:jc w:val="both"/>
        <w:textAlignment w:val="auto"/>
        <w:rPr>
          <w:rFonts w:hint="eastAsia" w:ascii="仿宋" w:hAnsi="仿宋" w:eastAsia="仿宋" w:cs="仿宋"/>
          <w:b w:val="0"/>
          <w:bCs w:val="0"/>
          <w:snapToGrid w:val="0"/>
          <w:color w:val="000000"/>
          <w:kern w:val="0"/>
          <w:sz w:val="32"/>
          <w:szCs w:val="32"/>
          <w:shd w:val="clear" w:color="auto" w:fill="FFFFFF"/>
          <w:lang w:val="en-US" w:eastAsia="zh-CN" w:bidi="ar-SA"/>
        </w:rPr>
      </w:pPr>
      <w:r>
        <w:rPr>
          <w:rFonts w:hint="eastAsia" w:ascii="仿宋" w:hAnsi="仿宋" w:eastAsia="仿宋" w:cs="仿宋"/>
          <w:b w:val="0"/>
          <w:bCs w:val="0"/>
          <w:snapToGrid w:val="0"/>
          <w:color w:val="000000"/>
          <w:kern w:val="0"/>
          <w:sz w:val="32"/>
          <w:szCs w:val="32"/>
          <w:shd w:val="clear" w:color="auto" w:fill="FFFFFF"/>
          <w:lang w:val="en-US" w:eastAsia="zh-CN" w:bidi="ar-SA"/>
        </w:rPr>
        <w:t>益阳市中心医院是益阳市唯一的集医疗、教学、科研、预防保健为一体的综合性三级甲等医院。是湖南省第一批成功通过三级甲等综合医院复评公立医院。2023年6月，成功获批为湖南省公立医院高质量发展示范性医院建设单位。医院设有主院区、高新院区两个院区，占地17.27万平方米，建筑面积31.6万平方米，编制床位2000张，实际开放床位2329张。医院设置行政职能科室20个，临床、医技专业学科43个。其中呼吸与危重症医学科获批国家临床重点专科建设项目，重症医学科、心血管内科、神经外科、骨外科4个学科获批国家临床重点专科培育项目。省级、市州省级重点专科及建设专科15个，市级重点专科20个。现有在职职工2778人，专业技术人员2545人，其中高级专业技术人员513人，硕士博士研究生507人，硕士研究生导师37人。</w:t>
      </w:r>
    </w:p>
    <w:p w14:paraId="231966EB">
      <w:pPr>
        <w:keepNext w:val="0"/>
        <w:keepLines w:val="0"/>
        <w:pageBreakBefore w:val="0"/>
        <w:widowControl/>
        <w:suppressLineNumbers w:val="0"/>
        <w:kinsoku/>
        <w:wordWrap/>
        <w:overflowPunct/>
        <w:topLinePunct w:val="0"/>
        <w:autoSpaceDE/>
        <w:autoSpaceDN/>
        <w:bidi w:val="0"/>
        <w:adjustRightInd/>
        <w:snapToGrid/>
        <w:spacing w:line="552" w:lineRule="exact"/>
        <w:ind w:firstLine="640" w:firstLineChars="200"/>
        <w:jc w:val="both"/>
        <w:textAlignment w:val="auto"/>
        <w:rPr>
          <w:rFonts w:hint="eastAsia" w:ascii="楷体" w:hAnsi="楷体" w:eastAsia="楷体" w:cs="楷体"/>
          <w:b w:val="0"/>
          <w:bCs w:val="0"/>
          <w:snapToGrid w:val="0"/>
          <w:color w:val="000000"/>
          <w:kern w:val="0"/>
          <w:sz w:val="32"/>
          <w:szCs w:val="32"/>
          <w:shd w:val="clear" w:color="auto" w:fill="FFFFFF"/>
          <w:lang w:val="en-US" w:eastAsia="zh-CN" w:bidi="ar-SA"/>
        </w:rPr>
      </w:pPr>
      <w:r>
        <w:rPr>
          <w:rFonts w:hint="eastAsia" w:ascii="楷体" w:hAnsi="楷体" w:eastAsia="楷体" w:cs="楷体"/>
          <w:b w:val="0"/>
          <w:bCs w:val="0"/>
          <w:snapToGrid w:val="0"/>
          <w:color w:val="000000"/>
          <w:kern w:val="0"/>
          <w:sz w:val="32"/>
          <w:szCs w:val="32"/>
          <w:shd w:val="clear" w:color="auto" w:fill="FFFFFF"/>
          <w:lang w:val="en-US" w:eastAsia="zh-CN" w:bidi="ar-SA"/>
        </w:rPr>
        <w:t>（二）项目背景</w:t>
      </w:r>
    </w:p>
    <w:p w14:paraId="6F6B927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b w:val="0"/>
          <w:bCs w:val="0"/>
          <w:snapToGrid w:val="0"/>
          <w:color w:val="000000"/>
          <w:kern w:val="0"/>
          <w:sz w:val="32"/>
          <w:szCs w:val="32"/>
          <w:shd w:val="clear" w:color="auto" w:fill="FFFFFF"/>
          <w:lang w:val="en-US" w:eastAsia="zh-CN" w:bidi="ar-SA"/>
        </w:rPr>
        <w:t>近年来特别是党的十八大以来，公立医院改革发展作为深化医药卫生体制改革的重要内容，取得重大阶段性成效，为持续改善基本医疗卫生服务公平性可及性、防控新冠肺炎等重大疫情、保障人民群众生命安全和身体健康发挥了重要作用。为推动公立医院高质量发展，更好满足人民日益增长的医疗卫生服务需求，2021年6月，</w:t>
      </w:r>
      <w:r>
        <w:rPr>
          <w:rFonts w:hint="eastAsia" w:ascii="仿宋" w:hAnsi="仿宋" w:eastAsia="仿宋" w:cs="仿宋"/>
          <w:b w:val="0"/>
          <w:bCs w:val="0"/>
          <w:snapToGrid w:val="0"/>
          <w:color w:val="000000"/>
          <w:kern w:val="0"/>
          <w:sz w:val="32"/>
          <w:szCs w:val="32"/>
          <w:shd w:val="clear" w:color="auto" w:fill="FFFFFF"/>
          <w:lang w:val="en-US" w:eastAsia="zh-CN" w:bidi="ar-SA"/>
        </w:rPr>
        <w:fldChar w:fldCharType="begin"/>
      </w:r>
      <w:r>
        <w:rPr>
          <w:rFonts w:hint="eastAsia" w:ascii="仿宋" w:hAnsi="仿宋" w:eastAsia="仿宋" w:cs="仿宋"/>
          <w:b w:val="0"/>
          <w:bCs w:val="0"/>
          <w:snapToGrid w:val="0"/>
          <w:color w:val="000000"/>
          <w:kern w:val="0"/>
          <w:sz w:val="32"/>
          <w:szCs w:val="32"/>
          <w:shd w:val="clear" w:color="auto" w:fill="FFFFFF"/>
          <w:lang w:val="en-US" w:eastAsia="zh-CN" w:bidi="ar-SA"/>
        </w:rPr>
        <w:instrText xml:space="preserve"> HYPERLINK "https://www.waizi.org.cn/doc/115501.html" \o "国办发〔2021〕18号《国务院办公厅关于推动公立医院高质量发展的意见》" \t "https://www.waizi.org.cn/doc/_blank" </w:instrText>
      </w:r>
      <w:r>
        <w:rPr>
          <w:rFonts w:hint="eastAsia" w:ascii="仿宋" w:hAnsi="仿宋" w:eastAsia="仿宋" w:cs="仿宋"/>
          <w:b w:val="0"/>
          <w:bCs w:val="0"/>
          <w:snapToGrid w:val="0"/>
          <w:color w:val="000000"/>
          <w:kern w:val="0"/>
          <w:sz w:val="32"/>
          <w:szCs w:val="32"/>
          <w:shd w:val="clear" w:color="auto" w:fill="FFFFFF"/>
          <w:lang w:val="en-US" w:eastAsia="zh-CN" w:bidi="ar-SA"/>
        </w:rPr>
        <w:fldChar w:fldCharType="separate"/>
      </w:r>
      <w:r>
        <w:rPr>
          <w:rFonts w:hint="eastAsia" w:ascii="仿宋" w:hAnsi="仿宋" w:eastAsia="仿宋" w:cs="仿宋"/>
          <w:b w:val="0"/>
          <w:bCs w:val="0"/>
          <w:snapToGrid w:val="0"/>
          <w:color w:val="000000"/>
          <w:kern w:val="0"/>
          <w:sz w:val="32"/>
          <w:szCs w:val="32"/>
          <w:shd w:val="clear" w:color="auto" w:fill="FFFFFF"/>
          <w:lang w:val="en-US" w:eastAsia="zh-CN" w:bidi="ar-SA"/>
        </w:rPr>
        <w:t>国务院办公厅制定印发《关于推动公立医院高质量发展的意见</w:t>
      </w:r>
      <w:r>
        <w:rPr>
          <w:rFonts w:hint="eastAsia" w:ascii="仿宋" w:hAnsi="仿宋" w:eastAsia="仿宋" w:cs="仿宋"/>
          <w:b w:val="0"/>
          <w:bCs w:val="0"/>
          <w:snapToGrid w:val="0"/>
          <w:color w:val="000000"/>
          <w:kern w:val="0"/>
          <w:sz w:val="32"/>
          <w:szCs w:val="32"/>
          <w:shd w:val="clear" w:color="auto" w:fill="FFFFFF"/>
          <w:lang w:val="en-US" w:eastAsia="zh-CN" w:bidi="ar-SA"/>
        </w:rPr>
        <w:fldChar w:fldCharType="end"/>
      </w:r>
      <w:r>
        <w:rPr>
          <w:rFonts w:hint="eastAsia" w:ascii="仿宋" w:hAnsi="仿宋" w:eastAsia="仿宋" w:cs="仿宋"/>
          <w:b w:val="0"/>
          <w:bCs w:val="0"/>
          <w:snapToGrid w:val="0"/>
          <w:color w:val="000000"/>
          <w:kern w:val="0"/>
          <w:sz w:val="32"/>
          <w:szCs w:val="32"/>
          <w:shd w:val="clear" w:color="auto" w:fill="FFFFFF"/>
          <w:lang w:val="en-US" w:eastAsia="zh-CN" w:bidi="ar-SA"/>
        </w:rPr>
        <w:t>》（</w:t>
      </w:r>
      <w:r>
        <w:rPr>
          <w:rFonts w:hint="eastAsia" w:ascii="仿宋" w:hAnsi="仿宋" w:eastAsia="仿宋" w:cs="仿宋"/>
          <w:b w:val="0"/>
          <w:bCs w:val="0"/>
          <w:snapToGrid w:val="0"/>
          <w:color w:val="000000"/>
          <w:kern w:val="0"/>
          <w:sz w:val="32"/>
          <w:szCs w:val="32"/>
          <w:shd w:val="clear" w:color="auto" w:fill="FFFFFF"/>
          <w:lang w:val="en-US" w:eastAsia="zh-CN" w:bidi="ar-SA"/>
        </w:rPr>
        <w:fldChar w:fldCharType="begin"/>
      </w:r>
      <w:r>
        <w:rPr>
          <w:rFonts w:hint="eastAsia" w:ascii="仿宋" w:hAnsi="仿宋" w:eastAsia="仿宋" w:cs="仿宋"/>
          <w:b w:val="0"/>
          <w:bCs w:val="0"/>
          <w:snapToGrid w:val="0"/>
          <w:color w:val="000000"/>
          <w:kern w:val="0"/>
          <w:sz w:val="32"/>
          <w:szCs w:val="32"/>
          <w:shd w:val="clear" w:color="auto" w:fill="FFFFFF"/>
          <w:lang w:val="en-US" w:eastAsia="zh-CN" w:bidi="ar-SA"/>
        </w:rPr>
        <w:instrText xml:space="preserve"> HYPERLINK "https://www.waizi.org.cn/doc/115501.html" \o "国办发〔2021〕18号《国务院办公厅关于推动公立医院高质量发展的意见》" \t "https://www.waizi.org.cn/doc/_blank" </w:instrText>
      </w:r>
      <w:r>
        <w:rPr>
          <w:rFonts w:hint="eastAsia" w:ascii="仿宋" w:hAnsi="仿宋" w:eastAsia="仿宋" w:cs="仿宋"/>
          <w:b w:val="0"/>
          <w:bCs w:val="0"/>
          <w:snapToGrid w:val="0"/>
          <w:color w:val="000000"/>
          <w:kern w:val="0"/>
          <w:sz w:val="32"/>
          <w:szCs w:val="32"/>
          <w:shd w:val="clear" w:color="auto" w:fill="FFFFFF"/>
          <w:lang w:val="en-US" w:eastAsia="zh-CN" w:bidi="ar-SA"/>
        </w:rPr>
        <w:fldChar w:fldCharType="separate"/>
      </w:r>
      <w:r>
        <w:rPr>
          <w:rFonts w:hint="eastAsia" w:ascii="仿宋" w:hAnsi="仿宋" w:eastAsia="仿宋" w:cs="仿宋"/>
          <w:b w:val="0"/>
          <w:bCs w:val="0"/>
          <w:snapToGrid w:val="0"/>
          <w:color w:val="000000"/>
          <w:kern w:val="0"/>
          <w:sz w:val="32"/>
          <w:szCs w:val="32"/>
          <w:shd w:val="clear" w:color="auto" w:fill="FFFFFF"/>
          <w:lang w:val="en-US" w:eastAsia="zh-CN" w:bidi="ar-SA"/>
        </w:rPr>
        <w:t>国办发〔2021〕18号</w:t>
      </w:r>
      <w:r>
        <w:rPr>
          <w:rFonts w:hint="eastAsia" w:ascii="仿宋" w:hAnsi="仿宋" w:eastAsia="仿宋" w:cs="仿宋"/>
          <w:b w:val="0"/>
          <w:bCs w:val="0"/>
          <w:snapToGrid w:val="0"/>
          <w:color w:val="000000"/>
          <w:kern w:val="0"/>
          <w:sz w:val="32"/>
          <w:szCs w:val="32"/>
          <w:shd w:val="clear" w:color="auto" w:fill="FFFFFF"/>
          <w:lang w:val="en-US" w:eastAsia="zh-CN" w:bidi="ar-SA"/>
        </w:rPr>
        <w:fldChar w:fldCharType="end"/>
      </w:r>
      <w:r>
        <w:rPr>
          <w:rFonts w:hint="eastAsia" w:ascii="仿宋" w:hAnsi="仿宋" w:eastAsia="仿宋" w:cs="仿宋"/>
          <w:b w:val="0"/>
          <w:bCs w:val="0"/>
          <w:snapToGrid w:val="0"/>
          <w:color w:val="000000"/>
          <w:kern w:val="0"/>
          <w:sz w:val="32"/>
          <w:szCs w:val="32"/>
          <w:shd w:val="clear" w:color="auto" w:fill="FFFFFF"/>
          <w:lang w:val="en-US" w:eastAsia="zh-CN" w:bidi="ar-SA"/>
        </w:rPr>
        <w:t>），</w:t>
      </w:r>
      <w:r>
        <w:rPr>
          <w:rFonts w:hint="eastAsia" w:ascii="仿宋" w:hAnsi="仿宋" w:eastAsia="仿宋" w:cs="仿宋"/>
          <w:i w:val="0"/>
          <w:iCs w:val="0"/>
          <w:caps w:val="0"/>
          <w:color w:val="000000"/>
          <w:spacing w:val="0"/>
          <w:sz w:val="32"/>
          <w:szCs w:val="32"/>
          <w:shd w:val="clear" w:fill="FFFFFF"/>
        </w:rPr>
        <w:t>2021年12月</w:t>
      </w:r>
      <w:r>
        <w:rPr>
          <w:rFonts w:hint="eastAsia" w:ascii="仿宋" w:hAnsi="仿宋" w:eastAsia="仿宋" w:cs="仿宋"/>
          <w:b w:val="0"/>
          <w:bCs w:val="0"/>
          <w:snapToGrid w:val="0"/>
          <w:color w:val="000000"/>
          <w:kern w:val="0"/>
          <w:sz w:val="32"/>
          <w:szCs w:val="32"/>
          <w:shd w:val="clear" w:color="auto" w:fill="FFFFFF"/>
          <w:lang w:val="en-US" w:eastAsia="zh-CN" w:bidi="ar-SA"/>
        </w:rPr>
        <w:t>，湖南省人民政府办公厅印发《湖南省推动公立医院高质量发展实施方案》的通知（</w:t>
      </w:r>
      <w:r>
        <w:rPr>
          <w:rFonts w:hint="eastAsia" w:ascii="仿宋" w:hAnsi="仿宋" w:eastAsia="仿宋" w:cs="仿宋"/>
          <w:i w:val="0"/>
          <w:iCs w:val="0"/>
          <w:caps w:val="0"/>
          <w:color w:val="000000"/>
          <w:spacing w:val="0"/>
          <w:sz w:val="32"/>
          <w:szCs w:val="32"/>
          <w:shd w:val="clear" w:fill="FFFFFF"/>
        </w:rPr>
        <w:t>湘政办发〔2021〕81号</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b w:val="0"/>
          <w:bCs w:val="0"/>
          <w:snapToGrid w:val="0"/>
          <w:color w:val="000000"/>
          <w:kern w:val="0"/>
          <w:sz w:val="32"/>
          <w:szCs w:val="32"/>
          <w:shd w:val="clear" w:color="auto" w:fill="FFFFFF"/>
          <w:lang w:val="en-US" w:eastAsia="zh-CN" w:bidi="ar-SA"/>
        </w:rPr>
        <w:t>为贯彻落实国务院办公厅、湖南省人民政府关于推动公立医院高质量发展的意见和实施方案，</w:t>
      </w:r>
      <w:r>
        <w:rPr>
          <w:rFonts w:hint="eastAsia" w:ascii="仿宋" w:hAnsi="仿宋" w:eastAsia="仿宋" w:cs="仿宋"/>
          <w:i w:val="0"/>
          <w:iCs w:val="0"/>
          <w:caps w:val="0"/>
          <w:color w:val="000000"/>
          <w:spacing w:val="0"/>
          <w:sz w:val="32"/>
          <w:szCs w:val="32"/>
          <w:shd w:val="clear" w:fill="FFFFFF"/>
          <w:vertAlign w:val="baseline"/>
        </w:rPr>
        <w:t>2023年7月</w:t>
      </w:r>
      <w:r>
        <w:rPr>
          <w:rFonts w:hint="eastAsia" w:ascii="仿宋" w:hAnsi="仿宋" w:eastAsia="仿宋" w:cs="仿宋"/>
          <w:i w:val="0"/>
          <w:iCs w:val="0"/>
          <w:caps w:val="0"/>
          <w:color w:val="000000"/>
          <w:spacing w:val="0"/>
          <w:sz w:val="32"/>
          <w:szCs w:val="32"/>
          <w:shd w:val="clear" w:fill="FFFFFF"/>
          <w:vertAlign w:val="baseline"/>
          <w:lang w:eastAsia="zh-CN"/>
        </w:rPr>
        <w:t>，</w:t>
      </w:r>
      <w:r>
        <w:rPr>
          <w:rFonts w:hint="eastAsia" w:ascii="仿宋" w:hAnsi="仿宋" w:eastAsia="仿宋" w:cs="仿宋"/>
          <w:b w:val="0"/>
          <w:bCs w:val="0"/>
          <w:snapToGrid w:val="0"/>
          <w:color w:val="000000"/>
          <w:kern w:val="0"/>
          <w:sz w:val="32"/>
          <w:szCs w:val="32"/>
          <w:shd w:val="clear" w:color="auto" w:fill="FFFFFF"/>
          <w:lang w:val="en-US" w:eastAsia="zh-CN" w:bidi="ar-SA"/>
        </w:rPr>
        <w:t>益阳市人民政府办公室印发《益阳市推动公立医院高质量发展实施方案》的通知（</w:t>
      </w:r>
      <w:r>
        <w:rPr>
          <w:rFonts w:ascii="方正仿宋简体" w:hAnsi="方正仿宋简体" w:eastAsia="方正仿宋简体" w:cs="方正仿宋简体"/>
          <w:i w:val="0"/>
          <w:iCs w:val="0"/>
          <w:caps w:val="0"/>
          <w:color w:val="000000"/>
          <w:spacing w:val="0"/>
          <w:sz w:val="32"/>
          <w:szCs w:val="32"/>
          <w:shd w:val="clear" w:fill="FFFFFF"/>
        </w:rPr>
        <w:t>益政办发</w:t>
      </w:r>
      <w:r>
        <w:rPr>
          <w:rFonts w:hint="eastAsia" w:ascii="方正仿宋简体" w:hAnsi="方正仿宋简体" w:eastAsia="方正仿宋简体" w:cs="方正仿宋简体"/>
          <w:i w:val="0"/>
          <w:iCs w:val="0"/>
          <w:caps w:val="0"/>
          <w:color w:val="000000"/>
          <w:spacing w:val="0"/>
          <w:sz w:val="32"/>
          <w:szCs w:val="32"/>
          <w:shd w:val="clear" w:fill="FFFFFF"/>
        </w:rPr>
        <w:t>〔</w:t>
      </w:r>
      <w:r>
        <w:rPr>
          <w:rFonts w:hint="default" w:ascii="Times New Roman" w:hAnsi="Times New Roman" w:eastAsia="微软雅黑" w:cs="Times New Roman"/>
          <w:i w:val="0"/>
          <w:iCs w:val="0"/>
          <w:caps w:val="0"/>
          <w:color w:val="000000"/>
          <w:spacing w:val="0"/>
          <w:sz w:val="32"/>
          <w:szCs w:val="32"/>
          <w:shd w:val="clear" w:fill="FFFFFF"/>
        </w:rPr>
        <w:t>20</w:t>
      </w:r>
      <w:r>
        <w:rPr>
          <w:rFonts w:hint="default" w:ascii="Times New Roman" w:hAnsi="Times New Roman" w:eastAsia="方正仿宋简体" w:cs="Times New Roman"/>
          <w:i w:val="0"/>
          <w:iCs w:val="0"/>
          <w:caps w:val="0"/>
          <w:color w:val="000000"/>
          <w:spacing w:val="0"/>
          <w:sz w:val="32"/>
          <w:szCs w:val="32"/>
          <w:shd w:val="clear" w:fill="FFFFFF"/>
        </w:rPr>
        <w:t>23</w:t>
      </w:r>
      <w:r>
        <w:rPr>
          <w:rFonts w:hint="eastAsia" w:ascii="方正仿宋简体" w:hAnsi="方正仿宋简体" w:eastAsia="方正仿宋简体" w:cs="方正仿宋简体"/>
          <w:i w:val="0"/>
          <w:iCs w:val="0"/>
          <w:caps w:val="0"/>
          <w:color w:val="000000"/>
          <w:spacing w:val="0"/>
          <w:sz w:val="32"/>
          <w:szCs w:val="32"/>
          <w:shd w:val="clear" w:fill="FFFFFF"/>
        </w:rPr>
        <w:t>〕</w:t>
      </w:r>
      <w:r>
        <w:rPr>
          <w:rFonts w:hint="default" w:ascii="Times New Roman" w:hAnsi="Times New Roman" w:eastAsia="方正仿宋简体" w:cs="Times New Roman"/>
          <w:i w:val="0"/>
          <w:iCs w:val="0"/>
          <w:caps w:val="0"/>
          <w:color w:val="000000"/>
          <w:spacing w:val="0"/>
          <w:sz w:val="32"/>
          <w:szCs w:val="32"/>
          <w:shd w:val="clear" w:fill="FFFFFF"/>
        </w:rPr>
        <w:t>16</w:t>
      </w:r>
      <w:r>
        <w:rPr>
          <w:rFonts w:hint="eastAsia" w:ascii="方正仿宋简体" w:hAnsi="方正仿宋简体" w:eastAsia="方正仿宋简体" w:cs="方正仿宋简体"/>
          <w:i w:val="0"/>
          <w:iCs w:val="0"/>
          <w:caps w:val="0"/>
          <w:color w:val="000000"/>
          <w:spacing w:val="0"/>
          <w:sz w:val="32"/>
          <w:szCs w:val="32"/>
          <w:shd w:val="clear" w:fill="FFFFFF"/>
        </w:rPr>
        <w:t>号</w:t>
      </w:r>
      <w:r>
        <w:rPr>
          <w:rFonts w:hint="eastAsia" w:ascii="方正仿宋简体" w:hAnsi="方正仿宋简体" w:eastAsia="方正仿宋简体" w:cs="方正仿宋简体"/>
          <w:i w:val="0"/>
          <w:iCs w:val="0"/>
          <w:caps w:val="0"/>
          <w:color w:val="000000"/>
          <w:spacing w:val="0"/>
          <w:sz w:val="32"/>
          <w:szCs w:val="32"/>
          <w:shd w:val="clear" w:fill="FFFFFF"/>
          <w:lang w:eastAsia="zh-CN"/>
        </w:rPr>
        <w:t>）</w:t>
      </w:r>
      <w:r>
        <w:rPr>
          <w:rFonts w:hint="eastAsia" w:ascii="仿宋" w:hAnsi="仿宋" w:eastAsia="仿宋" w:cs="仿宋"/>
          <w:b w:val="0"/>
          <w:bCs w:val="0"/>
          <w:snapToGrid w:val="0"/>
          <w:color w:val="000000"/>
          <w:kern w:val="0"/>
          <w:sz w:val="32"/>
          <w:szCs w:val="32"/>
          <w:shd w:val="clear" w:color="auto" w:fill="FFFFFF"/>
          <w:lang w:val="en-US" w:eastAsia="zh-CN" w:bidi="ar-SA"/>
        </w:rPr>
        <w:t>，提出了支持益阳市中心医院创建省级区域综合医疗中心的建设目标，</w:t>
      </w:r>
      <w:r>
        <w:rPr>
          <w:rFonts w:hint="eastAsia" w:ascii="仿宋" w:hAnsi="仿宋" w:eastAsia="仿宋" w:cs="仿宋"/>
          <w:i w:val="0"/>
          <w:iCs w:val="0"/>
          <w:caps w:val="0"/>
          <w:color w:val="000000"/>
          <w:spacing w:val="0"/>
          <w:sz w:val="32"/>
          <w:szCs w:val="32"/>
          <w:shd w:val="clear" w:fill="FFFFFF"/>
        </w:rPr>
        <w:t>积极推进省卫生健康委与益阳市人民政府共建高质量发展示范医院试点。</w:t>
      </w:r>
      <w:r>
        <w:rPr>
          <w:rFonts w:hint="eastAsia" w:ascii="仿宋" w:hAnsi="仿宋" w:eastAsia="仿宋" w:cs="仿宋"/>
          <w:i w:val="0"/>
          <w:iCs w:val="0"/>
          <w:caps w:val="0"/>
          <w:color w:val="000000"/>
          <w:spacing w:val="0"/>
          <w:sz w:val="32"/>
          <w:szCs w:val="32"/>
          <w:shd w:val="clear" w:fill="FFFFFF"/>
          <w:lang w:val="en-US" w:eastAsia="zh-CN"/>
        </w:rPr>
        <w:t>2023年9月，益阳市人民政府2023年第16次常务会议研究了支持市中心医院高质量发展问题，</w:t>
      </w:r>
      <w:r>
        <w:rPr>
          <w:rFonts w:hint="eastAsia" w:ascii="仿宋" w:hAnsi="仿宋" w:eastAsia="仿宋" w:cs="仿宋"/>
          <w:color w:val="000000"/>
          <w:kern w:val="0"/>
          <w:sz w:val="31"/>
          <w:szCs w:val="31"/>
          <w:lang w:val="en-US" w:eastAsia="zh-CN" w:bidi="ar"/>
        </w:rPr>
        <w:t>原则同意设立专项资金，在不减少医疗卫生事业政策投入的基础上，通过整合中央、省财政资金和统筹市本级有关医疗卫生资金，每年投入不低于1亿元，由市本级与益阳高新区按 6:4分担，并纳入财政预算管理，支持政策暂定 7 年，到期后另行研究。</w:t>
      </w:r>
    </w:p>
    <w:p w14:paraId="6AB6EA5D">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楷体" w:hAnsi="楷体" w:eastAsia="楷体" w:cs="楷体"/>
          <w:b w:val="0"/>
          <w:bCs w:val="0"/>
          <w:color w:val="000000"/>
          <w:kern w:val="0"/>
          <w:sz w:val="31"/>
          <w:szCs w:val="31"/>
          <w:lang w:val="en-US" w:eastAsia="zh-CN" w:bidi="ar"/>
        </w:rPr>
      </w:pPr>
      <w:r>
        <w:rPr>
          <w:rFonts w:hint="eastAsia" w:ascii="楷体" w:hAnsi="楷体" w:eastAsia="楷体" w:cs="楷体"/>
          <w:b w:val="0"/>
          <w:bCs w:val="0"/>
          <w:color w:val="000000"/>
          <w:kern w:val="0"/>
          <w:sz w:val="31"/>
          <w:szCs w:val="31"/>
          <w:lang w:val="en-US" w:eastAsia="zh-CN" w:bidi="ar"/>
        </w:rPr>
        <w:t>（三）资金到位、使用、管理情况</w:t>
      </w:r>
    </w:p>
    <w:p w14:paraId="5BF93373">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1.资金到位情况。</w:t>
      </w:r>
      <w:r>
        <w:rPr>
          <w:rFonts w:hint="eastAsia" w:ascii="仿宋" w:hAnsi="仿宋" w:eastAsia="仿宋" w:cs="仿宋"/>
          <w:color w:val="000000"/>
          <w:kern w:val="0"/>
          <w:sz w:val="31"/>
          <w:szCs w:val="31"/>
          <w:lang w:val="en-US" w:eastAsia="zh-CN" w:bidi="ar"/>
        </w:rPr>
        <w:t>自2023年12月至2024年12月，实际到位资金10505.95万元，其中2023年12月到位资金2255.95万元（预备安排），2024年到位资金8250万元（2024社指0112号5600万元、2024社指0475号2000万元，2024社指0582号650万元）。</w:t>
      </w:r>
    </w:p>
    <w:p w14:paraId="42CA69B5">
      <w:pPr>
        <w:keepNext w:val="0"/>
        <w:keepLines w:val="0"/>
        <w:pageBreakBefore w:val="0"/>
        <w:widowControl/>
        <w:suppressLineNumbers w:val="0"/>
        <w:kinsoku/>
        <w:wordWrap/>
        <w:overflowPunct/>
        <w:topLinePunct w:val="0"/>
        <w:autoSpaceDE/>
        <w:autoSpaceDN/>
        <w:bidi w:val="0"/>
        <w:adjustRightInd/>
        <w:snapToGrid/>
        <w:spacing w:after="157" w:afterLines="50" w:line="560" w:lineRule="exact"/>
        <w:ind w:firstLine="622" w:firstLineChars="2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2.资金使用情况。</w:t>
      </w:r>
      <w:r>
        <w:rPr>
          <w:rFonts w:hint="eastAsia" w:ascii="仿宋" w:hAnsi="仿宋" w:eastAsia="仿宋" w:cs="仿宋"/>
          <w:color w:val="000000"/>
          <w:kern w:val="0"/>
          <w:sz w:val="31"/>
          <w:szCs w:val="31"/>
          <w:lang w:val="en-US" w:eastAsia="zh-CN" w:bidi="ar"/>
        </w:rPr>
        <w:t>至2024年12月31日，使用高质量发展专项资金10435.14万元，余款70.81万元。资金使用情况如下表：</w:t>
      </w:r>
    </w:p>
    <w:tbl>
      <w:tblPr>
        <w:tblStyle w:val="7"/>
        <w:tblW w:w="88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5"/>
        <w:gridCol w:w="4931"/>
        <w:gridCol w:w="1575"/>
        <w:gridCol w:w="1482"/>
      </w:tblGrid>
      <w:tr w14:paraId="2B2EC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blHeader/>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CAF3">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CAD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支出项目</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B4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支出金额</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92F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占使用总额比例（%）</w:t>
            </w:r>
          </w:p>
        </w:tc>
      </w:tr>
      <w:tr w14:paraId="307C1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8EB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D9C7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设备购置（2014-2023年设备购置进度款尾款）</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BC4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38701116.86</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619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37.09</w:t>
            </w:r>
          </w:p>
        </w:tc>
      </w:tr>
      <w:tr w14:paraId="3B74D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2C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173C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办公家具</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99C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61727.2</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68A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0.06 </w:t>
            </w:r>
          </w:p>
        </w:tc>
      </w:tr>
      <w:tr w14:paraId="34713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75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947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设备维保(消防、医疗、中央空调、电梯）</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5CC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7859736.46</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53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7.53 </w:t>
            </w:r>
          </w:p>
        </w:tc>
      </w:tr>
      <w:tr w14:paraId="02608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6BF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64BF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电力设施设备改造扩容维保（修）</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D34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2103493.94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E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2.02 </w:t>
            </w:r>
          </w:p>
        </w:tc>
      </w:tr>
      <w:tr w14:paraId="6B94C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E1C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495E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各类系统安装、信息技术升级服务维保（修）</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AE5E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12847812.64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AF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12.31 </w:t>
            </w:r>
          </w:p>
        </w:tc>
      </w:tr>
      <w:tr w14:paraId="3D932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373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EA2E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房屋设备设施维修</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F6CA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8052394.44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0B6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7.72 </w:t>
            </w:r>
          </w:p>
        </w:tc>
      </w:tr>
      <w:tr w14:paraId="7E10D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25D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4FA6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员工学习、交流、培训、学术研讨、进修</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6B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6107254.74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1B9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5.85 </w:t>
            </w:r>
          </w:p>
        </w:tc>
      </w:tr>
      <w:tr w14:paraId="0E454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CBE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CF0F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各种科普竞赛、护理比赛活动</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6C2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174917</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C28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0.17 </w:t>
            </w:r>
          </w:p>
        </w:tc>
      </w:tr>
      <w:tr w14:paraId="03C1E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9E9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0D71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宣传费（科普宣传、医院形象宣传、医报协作）</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853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3391379.4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5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3.25 </w:t>
            </w:r>
          </w:p>
        </w:tc>
      </w:tr>
      <w:tr w14:paraId="14DD4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02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E763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劳务费、加班费、补贴补助</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B1FB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3813773.17</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EEB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3.65 </w:t>
            </w:r>
          </w:p>
        </w:tc>
      </w:tr>
      <w:tr w14:paraId="55038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881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6258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承办、举办各种活动费用</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F4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417895</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31F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0.40 </w:t>
            </w:r>
          </w:p>
        </w:tc>
      </w:tr>
      <w:tr w14:paraId="7AE55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C1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B2FE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各种表扬奖励费用</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DB387">
            <w:pPr>
              <w:keepNext w:val="0"/>
              <w:keepLines w:val="0"/>
              <w:widowControl/>
              <w:suppressLineNumbers w:val="0"/>
              <w:jc w:val="righ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3133182</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3B7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 </w:t>
            </w:r>
          </w:p>
        </w:tc>
      </w:tr>
      <w:tr w14:paraId="71AE9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A1C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DF2A1">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科研科技创新课题经费</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5E294">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717752.98</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F5B5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0.69</w:t>
            </w:r>
          </w:p>
        </w:tc>
      </w:tr>
      <w:tr w14:paraId="62379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2CC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4CC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招录、引进人才和安家补助</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69E08">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751483</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B4C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0.72</w:t>
            </w:r>
          </w:p>
        </w:tc>
      </w:tr>
      <w:tr w14:paraId="6927A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17BA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F07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会员单位年费、学会会费</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26F2F">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146800</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D6E2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0.14</w:t>
            </w:r>
          </w:p>
        </w:tc>
      </w:tr>
      <w:tr w14:paraId="2FF05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677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20C4">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咨询服务、法律顾问</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30E9">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2752408.65</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CD90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w:t>
            </w:r>
          </w:p>
        </w:tc>
      </w:tr>
      <w:tr w14:paraId="2CA7C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81C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4A6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设计检测服务</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3DFF">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1391152</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C1E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r>
      <w:tr w14:paraId="77933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68F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574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医疗固废污水处理垃圾处理</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C0910">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黑体" w:hAnsi="宋体" w:eastAsia="黑体" w:cs="黑体"/>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3217049.23</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27D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w:t>
            </w:r>
          </w:p>
        </w:tc>
      </w:tr>
      <w:tr w14:paraId="75662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61DE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CBF0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日常办公杂费</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D0A2">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934279.64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C45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w:t>
            </w:r>
          </w:p>
        </w:tc>
      </w:tr>
      <w:tr w14:paraId="61716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6D90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2577">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其他费用</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C6885">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1825723.24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9995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r>
      <w:tr w14:paraId="1B905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888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B128B">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物业管理</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2739">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5949998</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837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r>
      <w:tr w14:paraId="03BEE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F664A">
            <w:pPr>
              <w:keepNext w:val="0"/>
              <w:keepLines w:val="0"/>
              <w:pageBreakBefore w:val="0"/>
              <w:widowControl/>
              <w:kinsoku/>
              <w:wordWrap/>
              <w:overflowPunct/>
              <w:topLinePunct w:val="0"/>
              <w:autoSpaceDE/>
              <w:autoSpaceDN/>
              <w:bidi w:val="0"/>
              <w:adjustRightInd/>
              <w:snapToGrid/>
              <w:spacing w:line="440" w:lineRule="exact"/>
              <w:rPr>
                <w:rFonts w:hint="eastAsia" w:ascii="宋体" w:hAnsi="宋体" w:eastAsia="宋体" w:cs="宋体"/>
                <w:i w:val="0"/>
                <w:iCs w:val="0"/>
                <w:color w:val="000000"/>
                <w:sz w:val="22"/>
                <w:szCs w:val="22"/>
                <w:u w:val="none"/>
              </w:rPr>
            </w:pPr>
          </w:p>
        </w:tc>
        <w:tc>
          <w:tcPr>
            <w:tcW w:w="4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380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合计</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934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104351329.6</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05229">
            <w:pPr>
              <w:keepNext w:val="0"/>
              <w:keepLines w:val="0"/>
              <w:pageBreakBefore w:val="0"/>
              <w:widowControl/>
              <w:kinsoku/>
              <w:wordWrap/>
              <w:overflowPunct/>
              <w:topLinePunct w:val="0"/>
              <w:autoSpaceDE/>
              <w:autoSpaceDN/>
              <w:bidi w:val="0"/>
              <w:adjustRightInd/>
              <w:snapToGrid/>
              <w:spacing w:line="440" w:lineRule="exact"/>
              <w:rPr>
                <w:rFonts w:hint="eastAsia" w:ascii="宋体" w:hAnsi="宋体" w:eastAsia="宋体" w:cs="宋体"/>
                <w:i w:val="0"/>
                <w:iCs w:val="0"/>
                <w:color w:val="000000"/>
                <w:sz w:val="22"/>
                <w:szCs w:val="22"/>
                <w:u w:val="none"/>
              </w:rPr>
            </w:pPr>
          </w:p>
        </w:tc>
      </w:tr>
    </w:tbl>
    <w:p w14:paraId="1FBF63B8">
      <w:pPr>
        <w:keepNext w:val="0"/>
        <w:keepLines w:val="0"/>
        <w:pageBreakBefore w:val="0"/>
        <w:widowControl w:val="0"/>
        <w:tabs>
          <w:tab w:val="left" w:pos="5397"/>
        </w:tabs>
        <w:kinsoku/>
        <w:wordWrap/>
        <w:overflowPunct/>
        <w:topLinePunct w:val="0"/>
        <w:autoSpaceDE/>
        <w:autoSpaceDN/>
        <w:bidi w:val="0"/>
        <w:adjustRightInd/>
        <w:snapToGrid/>
        <w:spacing w:before="157" w:beforeLines="50" w:line="460" w:lineRule="exact"/>
        <w:jc w:val="left"/>
        <w:textAlignment w:val="auto"/>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（具体支付明细统计见附件2：益阳市中心医院高质量发展专项资金使用情况统计表）</w:t>
      </w:r>
    </w:p>
    <w:p w14:paraId="461AC79F">
      <w:pPr>
        <w:pStyle w:val="3"/>
        <w:keepNext w:val="0"/>
        <w:keepLines w:val="0"/>
        <w:pageBreakBefore w:val="0"/>
        <w:widowControl w:val="0"/>
        <w:kinsoku/>
        <w:wordWrap/>
        <w:overflowPunct/>
        <w:topLinePunct w:val="0"/>
        <w:autoSpaceDE/>
        <w:autoSpaceDN/>
        <w:bidi w:val="0"/>
        <w:adjustRightInd/>
        <w:snapToGrid/>
        <w:spacing w:line="550" w:lineRule="exact"/>
        <w:ind w:firstLine="622" w:firstLineChars="200"/>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3.资金管理情况。</w:t>
      </w:r>
      <w:r>
        <w:rPr>
          <w:rFonts w:hint="eastAsia" w:ascii="仿宋" w:hAnsi="仿宋" w:eastAsia="仿宋" w:cs="仿宋"/>
          <w:color w:val="000000"/>
          <w:kern w:val="0"/>
          <w:sz w:val="31"/>
          <w:szCs w:val="31"/>
          <w:lang w:val="en-US" w:eastAsia="zh-CN" w:bidi="ar"/>
        </w:rPr>
        <w:t>市中心医院成立了高质量发展专项资金管理使用工作专班，制定了高质量发展专项资金管理使用办法，专项资金单独核算，专款专用，建立了资金使用管理台账。资金支付由项目合同承包方提出付款申请，相关科室经办人员确认，分管财务院领导同意，财务部门审核，会审联签小组人员签字，院长签字，由国库集中统一支付。其他非项目合同资金支付严格按照医院财务管理制度执行。资金支付审批手续齐全完整，资金使用除有11笔支付款项共</w:t>
      </w:r>
      <w:r>
        <w:rPr>
          <w:rFonts w:hint="eastAsia" w:ascii="仿宋" w:hAnsi="仿宋" w:eastAsia="仿宋" w:cs="仿宋"/>
          <w:i w:val="0"/>
          <w:iCs w:val="0"/>
          <w:caps w:val="0"/>
          <w:color w:val="000000"/>
          <w:spacing w:val="0"/>
          <w:sz w:val="32"/>
          <w:szCs w:val="32"/>
          <w:shd w:val="clear" w:fill="FFFFFF"/>
          <w:lang w:val="en-US" w:eastAsia="zh-CN"/>
        </w:rPr>
        <w:t>39.66</w:t>
      </w:r>
      <w:r>
        <w:rPr>
          <w:rFonts w:hint="eastAsia" w:ascii="仿宋" w:hAnsi="仿宋" w:eastAsia="仿宋" w:cs="仿宋"/>
          <w:color w:val="000000"/>
          <w:kern w:val="0"/>
          <w:sz w:val="31"/>
          <w:szCs w:val="31"/>
          <w:lang w:val="en-US" w:eastAsia="zh-CN" w:bidi="ar"/>
        </w:rPr>
        <w:t>万元与专项资金使用管理办法规定不符外，其余资金使用基本合规。</w:t>
      </w:r>
    </w:p>
    <w:p w14:paraId="7ADFA71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50" w:lineRule="exact"/>
        <w:ind w:leftChars="0" w:firstLine="624"/>
        <w:textAlignment w:val="baseline"/>
        <w:outlineLvl w:val="0"/>
        <w:rPr>
          <w:rFonts w:hint="eastAsia" w:ascii="黑体" w:hAnsi="黑体" w:eastAsia="黑体" w:cs="黑体"/>
          <w:spacing w:val="-2"/>
          <w:sz w:val="32"/>
          <w:szCs w:val="32"/>
          <w:lang w:val="en-US" w:eastAsia="zh-CN"/>
        </w:rPr>
      </w:pPr>
      <w:r>
        <w:rPr>
          <w:rFonts w:hint="eastAsia" w:ascii="黑体" w:hAnsi="黑体" w:eastAsia="黑体" w:cs="黑体"/>
          <w:spacing w:val="-2"/>
          <w:sz w:val="32"/>
          <w:szCs w:val="32"/>
          <w:lang w:val="en-US" w:eastAsia="zh-CN"/>
        </w:rPr>
        <w:t>二、项目绩效目标</w:t>
      </w:r>
    </w:p>
    <w:p w14:paraId="5F3BD0A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632" w:firstLineChars="200"/>
        <w:jc w:val="both"/>
        <w:rPr>
          <w:rFonts w:hint="eastAsia" w:ascii="楷体" w:hAnsi="楷体" w:eastAsia="楷体" w:cs="楷体"/>
          <w:b w:val="0"/>
          <w:bCs w:val="0"/>
          <w:spacing w:val="-2"/>
          <w:sz w:val="32"/>
          <w:szCs w:val="32"/>
          <w:lang w:val="en-US" w:eastAsia="zh-CN"/>
        </w:rPr>
      </w:pPr>
      <w:r>
        <w:rPr>
          <w:rFonts w:hint="eastAsia" w:ascii="楷体" w:hAnsi="楷体" w:eastAsia="楷体" w:cs="楷体"/>
          <w:b w:val="0"/>
          <w:bCs w:val="0"/>
          <w:spacing w:val="-2"/>
          <w:sz w:val="32"/>
          <w:szCs w:val="32"/>
          <w:lang w:val="en-US" w:eastAsia="zh-CN"/>
        </w:rPr>
        <w:t>（一）总目标</w:t>
      </w:r>
    </w:p>
    <w:p w14:paraId="3D11F9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通过专项资金支持，力争在</w:t>
      </w:r>
      <w:r>
        <w:rPr>
          <w:rFonts w:ascii="仿宋" w:hAnsi="仿宋" w:eastAsia="仿宋"/>
          <w:sz w:val="32"/>
          <w:szCs w:val="32"/>
        </w:rPr>
        <w:t>7</w:t>
      </w:r>
      <w:r>
        <w:rPr>
          <w:rFonts w:hint="eastAsia" w:ascii="仿宋" w:hAnsi="仿宋" w:eastAsia="仿宋"/>
          <w:sz w:val="32"/>
          <w:szCs w:val="32"/>
        </w:rPr>
        <w:t>年内，显著提升医疗服务能力、医疗技术水平、运营管理效率、医学人才培养、临床科研创新、智慧医院建设、患者满意度等方面的核心指标，打造让患者满意、职工幸福、社会赞誉的卓越三级综合甲等医院，建成省级公立医院高质量发展示范医院，成为市</w:t>
      </w:r>
      <w:r>
        <w:rPr>
          <w:rFonts w:ascii="仿宋" w:hAnsi="仿宋" w:eastAsia="仿宋"/>
          <w:sz w:val="32"/>
          <w:szCs w:val="32"/>
        </w:rPr>
        <w:t>中心城区</w:t>
      </w:r>
      <w:r>
        <w:rPr>
          <w:rFonts w:hint="eastAsia" w:ascii="仿宋" w:hAnsi="仿宋" w:eastAsia="仿宋"/>
          <w:sz w:val="32"/>
          <w:szCs w:val="32"/>
        </w:rPr>
        <w:t>公立医院高质量发展的标杆。</w:t>
      </w:r>
    </w:p>
    <w:p w14:paraId="0474272E">
      <w:pPr>
        <w:pStyle w:val="6"/>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640" w:leftChars="0" w:right="0" w:firstLine="0" w:firstLineChars="0"/>
        <w:jc w:val="both"/>
        <w:rPr>
          <w:rFonts w:hint="eastAsia" w:ascii="楷体" w:hAnsi="楷体" w:eastAsia="楷体" w:cs="楷体"/>
          <w:i w:val="0"/>
          <w:iCs w:val="0"/>
          <w:caps w:val="0"/>
          <w:color w:val="000000"/>
          <w:spacing w:val="0"/>
          <w:sz w:val="32"/>
          <w:szCs w:val="32"/>
          <w:shd w:val="clear" w:fill="FFFFFF"/>
          <w:lang w:eastAsia="zh-CN"/>
        </w:rPr>
      </w:pPr>
      <w:r>
        <w:rPr>
          <w:rFonts w:hint="eastAsia" w:ascii="楷体" w:hAnsi="楷体" w:eastAsia="楷体" w:cs="楷体"/>
          <w:i w:val="0"/>
          <w:iCs w:val="0"/>
          <w:caps w:val="0"/>
          <w:color w:val="000000"/>
          <w:spacing w:val="0"/>
          <w:sz w:val="32"/>
          <w:szCs w:val="32"/>
          <w:shd w:val="clear" w:fill="FFFFFF"/>
          <w:lang w:eastAsia="zh-CN"/>
        </w:rPr>
        <w:t>具体指标</w:t>
      </w:r>
    </w:p>
    <w:p w14:paraId="41B9D6B6">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640" w:leftChars="0" w:right="0" w:rightChars="0"/>
        <w:jc w:val="both"/>
        <w:rPr>
          <w:rFonts w:hint="eastAsia" w:ascii="楷体" w:hAnsi="楷体" w:eastAsia="楷体" w:cs="楷体"/>
          <w:i w:val="0"/>
          <w:iCs w:val="0"/>
          <w:caps w:val="0"/>
          <w:color w:val="000000"/>
          <w:spacing w:val="0"/>
          <w:sz w:val="32"/>
          <w:szCs w:val="32"/>
          <w:shd w:val="clear" w:fill="FFFFFF"/>
          <w:lang w:eastAsia="zh-CN"/>
        </w:rPr>
      </w:pPr>
      <w:r>
        <w:rPr>
          <w:rFonts w:hint="eastAsia" w:ascii="仿宋" w:hAnsi="仿宋" w:eastAsia="仿宋" w:cs="仿宋"/>
          <w:i w:val="0"/>
          <w:iCs w:val="0"/>
          <w:caps w:val="0"/>
          <w:color w:val="000000"/>
          <w:spacing w:val="0"/>
          <w:sz w:val="32"/>
          <w:szCs w:val="32"/>
          <w:highlight w:val="none"/>
          <w:shd w:val="clear" w:fill="FFFFFF"/>
          <w:lang w:eastAsia="zh-CN"/>
        </w:rPr>
        <w:t>通过七年努力，</w:t>
      </w:r>
      <w:r>
        <w:rPr>
          <w:rFonts w:hint="eastAsia" w:ascii="仿宋" w:hAnsi="仿宋" w:eastAsia="仿宋" w:cs="仿宋"/>
          <w:i w:val="0"/>
          <w:iCs w:val="0"/>
          <w:caps w:val="0"/>
          <w:color w:val="000000"/>
          <w:spacing w:val="0"/>
          <w:sz w:val="32"/>
          <w:szCs w:val="32"/>
          <w:highlight w:val="none"/>
          <w:shd w:val="clear" w:fill="FFFFFF"/>
        </w:rPr>
        <w:t>医院病例组合指数（CMI）值力争达到1.3，</w:t>
      </w:r>
    </w:p>
    <w:p w14:paraId="432D41D3">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rightChars="0"/>
        <w:jc w:val="both"/>
        <w:rPr>
          <w:rFonts w:hint="eastAsia" w:ascii="仿宋" w:hAnsi="仿宋" w:eastAsia="仿宋" w:cs="仿宋"/>
          <w:i w:val="0"/>
          <w:iCs w:val="0"/>
          <w:caps w:val="0"/>
          <w:color w:val="000000"/>
          <w:spacing w:val="0"/>
          <w:sz w:val="32"/>
          <w:szCs w:val="32"/>
          <w:highlight w:val="none"/>
          <w:shd w:val="clear" w:fill="FFFFFF"/>
          <w:lang w:eastAsia="zh-CN"/>
        </w:rPr>
      </w:pPr>
      <w:r>
        <w:rPr>
          <w:rFonts w:hint="eastAsia" w:ascii="仿宋" w:hAnsi="仿宋" w:eastAsia="仿宋" w:cs="仿宋"/>
          <w:i w:val="0"/>
          <w:iCs w:val="0"/>
          <w:caps w:val="0"/>
          <w:color w:val="000000"/>
          <w:spacing w:val="0"/>
          <w:sz w:val="32"/>
          <w:szCs w:val="32"/>
          <w:highlight w:val="none"/>
          <w:shd w:val="clear" w:fill="FFFFFF"/>
        </w:rPr>
        <w:t>平均住院日控制在8天以内，四级手术占比力争达到35%，技术服务性收入占医疗收入比例力争达到40%。电子病历系统应用水平达到5级及以上。</w:t>
      </w:r>
      <w:r>
        <w:rPr>
          <w:rFonts w:hint="eastAsia" w:ascii="仿宋" w:hAnsi="仿宋" w:eastAsia="仿宋" w:cs="仿宋"/>
          <w:i w:val="0"/>
          <w:iCs w:val="0"/>
          <w:caps w:val="0"/>
          <w:color w:val="auto"/>
          <w:spacing w:val="0"/>
          <w:sz w:val="32"/>
          <w:szCs w:val="32"/>
          <w:highlight w:val="none"/>
          <w:shd w:val="clear" w:fill="FFFFFF"/>
        </w:rPr>
        <w:t>创建省级区域综合医疗中心</w:t>
      </w:r>
      <w:r>
        <w:rPr>
          <w:rFonts w:hint="eastAsia" w:ascii="仿宋" w:hAnsi="仿宋" w:eastAsia="仿宋" w:cs="仿宋"/>
          <w:i w:val="0"/>
          <w:iCs w:val="0"/>
          <w:caps w:val="0"/>
          <w:color w:val="auto"/>
          <w:spacing w:val="0"/>
          <w:sz w:val="32"/>
          <w:szCs w:val="32"/>
          <w:highlight w:val="none"/>
          <w:shd w:val="clear" w:fill="FFFFFF"/>
          <w:lang w:eastAsia="zh-CN"/>
        </w:rPr>
        <w:t>，</w:t>
      </w:r>
      <w:r>
        <w:rPr>
          <w:rFonts w:hint="eastAsia" w:ascii="仿宋" w:hAnsi="仿宋" w:eastAsia="仿宋" w:cs="仿宋"/>
          <w:i w:val="0"/>
          <w:iCs w:val="0"/>
          <w:caps w:val="0"/>
          <w:color w:val="000000"/>
          <w:spacing w:val="0"/>
          <w:sz w:val="32"/>
          <w:szCs w:val="32"/>
          <w:highlight w:val="none"/>
          <w:shd w:val="clear" w:fill="FFFFFF"/>
        </w:rPr>
        <w:t>围绕传染病、重大公共卫生事件等争创省级专科区域医疗中心。推进临床重点专科建设，建设</w:t>
      </w:r>
      <w:r>
        <w:rPr>
          <w:rFonts w:hint="eastAsia" w:ascii="仿宋" w:hAnsi="仿宋" w:eastAsia="仿宋" w:cs="仿宋"/>
          <w:i w:val="0"/>
          <w:iCs w:val="0"/>
          <w:caps w:val="0"/>
          <w:color w:val="000000"/>
          <w:spacing w:val="0"/>
          <w:sz w:val="32"/>
          <w:szCs w:val="32"/>
          <w:highlight w:val="none"/>
          <w:shd w:val="clear" w:fill="FFFFFF"/>
          <w:lang w:val="en-US" w:eastAsia="zh-CN"/>
        </w:rPr>
        <w:t>1</w:t>
      </w:r>
      <w:r>
        <w:rPr>
          <w:rFonts w:hint="eastAsia" w:ascii="仿宋" w:hAnsi="仿宋" w:eastAsia="仿宋" w:cs="仿宋"/>
          <w:i w:val="0"/>
          <w:iCs w:val="0"/>
          <w:caps w:val="0"/>
          <w:color w:val="000000"/>
          <w:spacing w:val="0"/>
          <w:sz w:val="32"/>
          <w:szCs w:val="32"/>
          <w:highlight w:val="none"/>
          <w:shd w:val="clear" w:fill="FFFFFF"/>
        </w:rPr>
        <w:t>个国家级、15个省级和</w:t>
      </w:r>
      <w:r>
        <w:rPr>
          <w:rFonts w:hint="eastAsia" w:ascii="仿宋" w:hAnsi="仿宋" w:eastAsia="仿宋" w:cs="仿宋"/>
          <w:i w:val="0"/>
          <w:iCs w:val="0"/>
          <w:caps w:val="0"/>
          <w:color w:val="000000"/>
          <w:spacing w:val="0"/>
          <w:sz w:val="32"/>
          <w:szCs w:val="32"/>
          <w:highlight w:val="none"/>
          <w:shd w:val="clear" w:fill="FFFFFF"/>
          <w:lang w:val="en-US" w:eastAsia="zh-CN"/>
        </w:rPr>
        <w:t>2</w:t>
      </w:r>
      <w:r>
        <w:rPr>
          <w:rFonts w:hint="eastAsia" w:ascii="仿宋" w:hAnsi="仿宋" w:eastAsia="仿宋" w:cs="仿宋"/>
          <w:i w:val="0"/>
          <w:iCs w:val="0"/>
          <w:caps w:val="0"/>
          <w:color w:val="000000"/>
          <w:spacing w:val="0"/>
          <w:sz w:val="32"/>
          <w:szCs w:val="32"/>
          <w:highlight w:val="none"/>
          <w:shd w:val="clear" w:fill="FFFFFF"/>
        </w:rPr>
        <w:t>0个市级临床重点专科</w:t>
      </w:r>
      <w:r>
        <w:rPr>
          <w:rFonts w:hint="eastAsia" w:ascii="仿宋" w:hAnsi="仿宋" w:eastAsia="仿宋" w:cs="仿宋"/>
          <w:i w:val="0"/>
          <w:iCs w:val="0"/>
          <w:caps w:val="0"/>
          <w:color w:val="000000"/>
          <w:spacing w:val="0"/>
          <w:sz w:val="32"/>
          <w:szCs w:val="32"/>
          <w:highlight w:val="none"/>
          <w:shd w:val="clear" w:fill="FFFFFF"/>
          <w:lang w:eastAsia="zh-CN"/>
        </w:rPr>
        <w:t>。</w:t>
      </w:r>
    </w:p>
    <w:p w14:paraId="4D0D4FF8">
      <w:pPr>
        <w:pStyle w:val="6"/>
        <w:keepNext w:val="0"/>
        <w:keepLines w:val="0"/>
        <w:pageBreakBefore w:val="0"/>
        <w:widowControl w:val="0"/>
        <w:kinsoku/>
        <w:wordWrap/>
        <w:overflowPunct/>
        <w:topLinePunct w:val="0"/>
        <w:autoSpaceDE/>
        <w:autoSpaceDN/>
        <w:bidi w:val="0"/>
        <w:adjustRightInd/>
        <w:snapToGrid/>
        <w:spacing w:beforeAutospacing="0" w:afterAutospacing="0" w:line="550" w:lineRule="exact"/>
        <w:ind w:left="0" w:leftChars="0" w:firstLine="640"/>
        <w:textAlignment w:val="auto"/>
        <w:rPr>
          <w:rFonts w:hint="eastAsia" w:ascii="黑体" w:hAnsi="黑体" w:eastAsia="黑体" w:cs="黑体"/>
          <w:spacing w:val="-6"/>
          <w:sz w:val="21"/>
          <w:szCs w:val="21"/>
        </w:rPr>
      </w:pPr>
      <w:r>
        <w:rPr>
          <w:rFonts w:hint="eastAsia" w:ascii="黑体" w:hAnsi="黑体" w:eastAsia="黑体" w:cs="黑体"/>
          <w:spacing w:val="-2"/>
          <w:sz w:val="32"/>
          <w:szCs w:val="32"/>
          <w:lang w:val="en-US" w:eastAsia="zh-CN"/>
        </w:rPr>
        <w:t>三、</w:t>
      </w:r>
      <w:r>
        <w:rPr>
          <w:rFonts w:hint="eastAsia" w:ascii="黑体" w:hAnsi="黑体" w:eastAsia="黑体" w:cs="黑体"/>
          <w:spacing w:val="-6"/>
          <w:sz w:val="32"/>
          <w:szCs w:val="32"/>
          <w:shd w:val="clear" w:color="auto" w:fill="FFFFFF"/>
        </w:rPr>
        <w:t>绩效评价工作情况</w:t>
      </w:r>
    </w:p>
    <w:p w14:paraId="5D64BB72">
      <w:pPr>
        <w:pStyle w:val="6"/>
        <w:keepNext w:val="0"/>
        <w:keepLines w:val="0"/>
        <w:pageBreakBefore w:val="0"/>
        <w:widowControl w:val="0"/>
        <w:kinsoku/>
        <w:wordWrap/>
        <w:overflowPunct/>
        <w:topLinePunct w:val="0"/>
        <w:autoSpaceDE/>
        <w:autoSpaceDN/>
        <w:bidi w:val="0"/>
        <w:adjustRightInd/>
        <w:snapToGrid/>
        <w:spacing w:beforeAutospacing="0" w:afterAutospacing="0" w:line="550" w:lineRule="exact"/>
        <w:ind w:left="0" w:leftChars="0" w:firstLine="640"/>
        <w:textAlignment w:val="auto"/>
        <w:rPr>
          <w:rFonts w:hint="eastAsia" w:ascii="仿宋" w:hAnsi="仿宋" w:eastAsia="仿宋" w:cs="仿宋"/>
          <w:b w:val="0"/>
          <w:bCs w:val="0"/>
          <w:snapToGrid w:val="0"/>
          <w:color w:val="000000"/>
          <w:spacing w:val="-4"/>
          <w:kern w:val="0"/>
          <w:sz w:val="32"/>
          <w:szCs w:val="32"/>
          <w:lang w:val="en-US" w:eastAsia="zh-CN" w:bidi="ar-SA"/>
        </w:rPr>
      </w:pPr>
      <w:r>
        <w:rPr>
          <w:rFonts w:hint="eastAsia" w:ascii="楷体" w:hAnsi="楷体" w:eastAsia="楷体" w:cs="楷体"/>
          <w:b w:val="0"/>
          <w:bCs w:val="0"/>
          <w:snapToGrid w:val="0"/>
          <w:color w:val="000000"/>
          <w:spacing w:val="-4"/>
          <w:kern w:val="0"/>
          <w:sz w:val="32"/>
          <w:szCs w:val="32"/>
          <w:lang w:val="en-US" w:eastAsia="zh-CN" w:bidi="ar-SA"/>
        </w:rPr>
        <w:t xml:space="preserve">（一）绩效评价目的和依据   </w:t>
      </w:r>
      <w:r>
        <w:rPr>
          <w:rFonts w:hint="eastAsia" w:ascii="仿宋" w:hAnsi="仿宋" w:eastAsia="仿宋" w:cs="仿宋"/>
          <w:b w:val="0"/>
          <w:bCs w:val="0"/>
          <w:snapToGrid w:val="0"/>
          <w:color w:val="000000"/>
          <w:spacing w:val="-4"/>
          <w:kern w:val="0"/>
          <w:sz w:val="32"/>
          <w:szCs w:val="32"/>
          <w:lang w:val="en-US" w:eastAsia="zh-CN" w:bidi="ar-SA"/>
        </w:rPr>
        <w:t xml:space="preserve">  </w:t>
      </w:r>
    </w:p>
    <w:p w14:paraId="22CE75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640"/>
        <w:jc w:val="both"/>
        <w:rPr>
          <w:rFonts w:hint="eastAsia" w:ascii="仿宋" w:hAnsi="仿宋" w:eastAsia="仿宋" w:cs="仿宋"/>
          <w:i w:val="0"/>
          <w:iCs w:val="0"/>
          <w:caps w:val="0"/>
          <w:color w:val="000000"/>
          <w:spacing w:val="0"/>
          <w:sz w:val="32"/>
          <w:szCs w:val="32"/>
          <w:highlight w:val="none"/>
          <w:shd w:val="clear" w:fill="FFFFFF"/>
        </w:rPr>
      </w:pPr>
      <w:r>
        <w:rPr>
          <w:rFonts w:hint="eastAsia" w:ascii="仿宋" w:hAnsi="仿宋" w:eastAsia="仿宋" w:cs="仿宋"/>
          <w:b/>
          <w:bCs/>
          <w:i w:val="0"/>
          <w:iCs w:val="0"/>
          <w:caps w:val="0"/>
          <w:color w:val="000000"/>
          <w:spacing w:val="0"/>
          <w:sz w:val="32"/>
          <w:szCs w:val="32"/>
          <w:highlight w:val="none"/>
          <w:shd w:val="clear" w:fill="FFFFFF"/>
          <w:lang w:val="en-US" w:eastAsia="zh-CN"/>
        </w:rPr>
        <w:t>1.绩效评价目的。</w:t>
      </w:r>
      <w:r>
        <w:rPr>
          <w:rFonts w:hint="eastAsia" w:ascii="仿宋" w:hAnsi="仿宋" w:eastAsia="仿宋" w:cs="仿宋"/>
          <w:i w:val="0"/>
          <w:iCs w:val="0"/>
          <w:caps w:val="0"/>
          <w:color w:val="000000"/>
          <w:spacing w:val="0"/>
          <w:sz w:val="32"/>
          <w:szCs w:val="32"/>
          <w:highlight w:val="none"/>
          <w:shd w:val="clear" w:fill="FFFFFF"/>
        </w:rPr>
        <w:t>通过开展</w:t>
      </w:r>
      <w:r>
        <w:rPr>
          <w:rFonts w:hint="eastAsia" w:ascii="仿宋" w:hAnsi="仿宋" w:eastAsia="仿宋" w:cs="仿宋"/>
          <w:i w:val="0"/>
          <w:iCs w:val="0"/>
          <w:caps w:val="0"/>
          <w:color w:val="000000"/>
          <w:spacing w:val="0"/>
          <w:sz w:val="32"/>
          <w:szCs w:val="32"/>
          <w:highlight w:val="none"/>
          <w:shd w:val="clear" w:fill="FFFFFF"/>
          <w:lang w:val="en-US" w:eastAsia="zh-CN"/>
        </w:rPr>
        <w:t>该项目</w:t>
      </w:r>
      <w:r>
        <w:rPr>
          <w:rFonts w:hint="eastAsia" w:ascii="仿宋" w:hAnsi="仿宋" w:eastAsia="仿宋" w:cs="仿宋"/>
          <w:i w:val="0"/>
          <w:iCs w:val="0"/>
          <w:caps w:val="0"/>
          <w:color w:val="000000"/>
          <w:spacing w:val="0"/>
          <w:sz w:val="32"/>
          <w:szCs w:val="32"/>
          <w:highlight w:val="none"/>
          <w:shd w:val="clear" w:fill="FFFFFF"/>
        </w:rPr>
        <w:t>资金绩效评价，全面了解、分析资金使用、管理和项目实施等情况，核实项目绩效完成情况，督促</w:t>
      </w:r>
      <w:r>
        <w:rPr>
          <w:rFonts w:hint="eastAsia" w:ascii="仿宋" w:hAnsi="仿宋" w:eastAsia="仿宋" w:cs="仿宋"/>
          <w:i w:val="0"/>
          <w:iCs w:val="0"/>
          <w:caps w:val="0"/>
          <w:color w:val="000000"/>
          <w:spacing w:val="0"/>
          <w:sz w:val="32"/>
          <w:szCs w:val="32"/>
          <w:highlight w:val="none"/>
          <w:shd w:val="clear" w:fill="FFFFFF"/>
          <w:lang w:eastAsia="zh-CN"/>
        </w:rPr>
        <w:t>资金使用单位</w:t>
      </w:r>
      <w:r>
        <w:rPr>
          <w:rFonts w:hint="eastAsia" w:ascii="仿宋" w:hAnsi="仿宋" w:eastAsia="仿宋" w:cs="仿宋"/>
          <w:i w:val="0"/>
          <w:iCs w:val="0"/>
          <w:caps w:val="0"/>
          <w:color w:val="000000"/>
          <w:spacing w:val="0"/>
          <w:sz w:val="32"/>
          <w:szCs w:val="32"/>
          <w:highlight w:val="none"/>
          <w:shd w:val="clear" w:fill="FFFFFF"/>
        </w:rPr>
        <w:t>进一步完善相关制度，规范资金分配、使用及管理，切实提高财政资金使用效益。</w:t>
      </w:r>
    </w:p>
    <w:p w14:paraId="7A97EF7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64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b/>
          <w:bCs/>
          <w:i w:val="0"/>
          <w:iCs w:val="0"/>
          <w:caps w:val="0"/>
          <w:color w:val="000000"/>
          <w:spacing w:val="0"/>
          <w:sz w:val="32"/>
          <w:szCs w:val="32"/>
          <w:highlight w:val="none"/>
          <w:shd w:val="clear" w:fill="FFFFFF"/>
          <w:lang w:val="en-US" w:eastAsia="zh-CN"/>
        </w:rPr>
        <w:t>2.绩效评价依据。</w:t>
      </w:r>
      <w:r>
        <w:rPr>
          <w:rFonts w:hint="eastAsia" w:ascii="仿宋" w:hAnsi="仿宋" w:eastAsia="仿宋" w:cs="仿宋"/>
          <w:i w:val="0"/>
          <w:iCs w:val="0"/>
          <w:caps w:val="0"/>
          <w:color w:val="000000"/>
          <w:spacing w:val="0"/>
          <w:sz w:val="32"/>
          <w:szCs w:val="32"/>
          <w:highlight w:val="none"/>
          <w:shd w:val="clear" w:fill="FFFFFF"/>
          <w:lang w:val="en-US" w:eastAsia="zh-CN"/>
        </w:rPr>
        <w:t>绩效评价依据主要为：《湖南省“十四五”医疗卫生服务体系规划》《湖南省省级区域医疗中心建设方案》《关于印发公立医院高质量发展评价指标（试行）的通知》(国卫办医发〔2022〕9号);《关于印发益阳市推动公立医院高质量发展实施方案》的通知(</w:t>
      </w:r>
      <w:r>
        <w:rPr>
          <w:rFonts w:hint="eastAsia" w:ascii="仿宋" w:hAnsi="仿宋" w:eastAsia="仿宋" w:cs="仿宋"/>
          <w:i w:val="0"/>
          <w:iCs w:val="0"/>
          <w:caps w:val="0"/>
          <w:color w:val="000000"/>
          <w:spacing w:val="0"/>
          <w:sz w:val="32"/>
          <w:szCs w:val="32"/>
          <w:highlight w:val="none"/>
          <w:shd w:val="clear" w:fill="FFFFFF"/>
        </w:rPr>
        <w:t>益政办发〔2023〕16号</w:t>
      </w:r>
      <w:r>
        <w:rPr>
          <w:rFonts w:hint="eastAsia" w:ascii="仿宋" w:hAnsi="仿宋" w:eastAsia="仿宋" w:cs="仿宋"/>
          <w:i w:val="0"/>
          <w:iCs w:val="0"/>
          <w:caps w:val="0"/>
          <w:color w:val="000000"/>
          <w:spacing w:val="0"/>
          <w:sz w:val="32"/>
          <w:szCs w:val="32"/>
          <w:highlight w:val="none"/>
          <w:shd w:val="clear" w:fill="FFFFFF"/>
          <w:lang w:val="en-US" w:eastAsia="zh-CN"/>
        </w:rPr>
        <w:t>);</w:t>
      </w:r>
      <w:r>
        <w:rPr>
          <w:rFonts w:hint="eastAsia" w:ascii="仿宋" w:hAnsi="仿宋" w:eastAsia="仿宋" w:cs="仿宋"/>
          <w:i w:val="0"/>
          <w:iCs w:val="0"/>
          <w:caps w:val="0"/>
          <w:color w:val="000000"/>
          <w:spacing w:val="0"/>
          <w:sz w:val="32"/>
          <w:szCs w:val="32"/>
          <w:highlight w:val="none"/>
          <w:shd w:val="clear" w:fill="FFFFFF"/>
        </w:rPr>
        <w:t>《财政部关于印发</w:t>
      </w:r>
      <w:r>
        <w:rPr>
          <w:rFonts w:hint="eastAsia" w:ascii="仿宋" w:hAnsi="仿宋" w:eastAsia="仿宋" w:cs="仿宋"/>
          <w:i w:val="0"/>
          <w:iCs w:val="0"/>
          <w:caps w:val="0"/>
          <w:color w:val="000000"/>
          <w:spacing w:val="0"/>
          <w:sz w:val="32"/>
          <w:szCs w:val="32"/>
          <w:highlight w:val="none"/>
          <w:shd w:val="clear" w:fill="FFFFFF"/>
          <w:lang w:eastAsia="zh-CN"/>
        </w:rPr>
        <w:t>〈</w:t>
      </w:r>
      <w:r>
        <w:rPr>
          <w:rFonts w:hint="eastAsia" w:ascii="仿宋" w:hAnsi="仿宋" w:eastAsia="仿宋" w:cs="仿宋"/>
          <w:i w:val="0"/>
          <w:iCs w:val="0"/>
          <w:caps w:val="0"/>
          <w:color w:val="000000"/>
          <w:spacing w:val="0"/>
          <w:sz w:val="32"/>
          <w:szCs w:val="32"/>
          <w:highlight w:val="none"/>
          <w:shd w:val="clear" w:fill="FFFFFF"/>
        </w:rPr>
        <w:t>项目支出绩效评价管理办法</w:t>
      </w:r>
      <w:r>
        <w:rPr>
          <w:rFonts w:hint="eastAsia" w:ascii="仿宋" w:hAnsi="仿宋" w:eastAsia="仿宋" w:cs="仿宋"/>
          <w:i w:val="0"/>
          <w:iCs w:val="0"/>
          <w:caps w:val="0"/>
          <w:color w:val="000000"/>
          <w:spacing w:val="0"/>
          <w:sz w:val="32"/>
          <w:szCs w:val="32"/>
          <w:highlight w:val="none"/>
          <w:shd w:val="clear" w:fill="FFFFFF"/>
          <w:lang w:eastAsia="zh-CN"/>
        </w:rPr>
        <w:t>〉</w:t>
      </w:r>
      <w:r>
        <w:rPr>
          <w:rFonts w:hint="eastAsia" w:ascii="仿宋" w:hAnsi="仿宋" w:eastAsia="仿宋" w:cs="仿宋"/>
          <w:i w:val="0"/>
          <w:iCs w:val="0"/>
          <w:caps w:val="0"/>
          <w:color w:val="000000"/>
          <w:spacing w:val="0"/>
          <w:sz w:val="32"/>
          <w:szCs w:val="32"/>
          <w:highlight w:val="none"/>
          <w:shd w:val="clear" w:fill="FFFFFF"/>
        </w:rPr>
        <w:t>的通知》（财预〔2020〕10号）</w:t>
      </w:r>
      <w:r>
        <w:rPr>
          <w:rFonts w:hint="eastAsia" w:ascii="仿宋" w:hAnsi="仿宋" w:eastAsia="仿宋" w:cs="仿宋"/>
          <w:i w:val="0"/>
          <w:iCs w:val="0"/>
          <w:caps w:val="0"/>
          <w:color w:val="000000"/>
          <w:spacing w:val="0"/>
          <w:sz w:val="32"/>
          <w:szCs w:val="32"/>
          <w:highlight w:val="none"/>
          <w:shd w:val="clear" w:fill="FFFFFF"/>
          <w:lang w:eastAsia="zh-CN"/>
        </w:rPr>
        <w:t>；</w:t>
      </w:r>
      <w:r>
        <w:rPr>
          <w:rFonts w:hint="eastAsia" w:ascii="仿宋" w:hAnsi="仿宋" w:eastAsia="仿宋" w:cs="仿宋"/>
          <w:i w:val="0"/>
          <w:iCs w:val="0"/>
          <w:caps w:val="0"/>
          <w:color w:val="000000"/>
          <w:spacing w:val="0"/>
          <w:sz w:val="32"/>
          <w:szCs w:val="32"/>
          <w:highlight w:val="none"/>
          <w:shd w:val="clear" w:fill="FFFFFF"/>
          <w:lang w:val="en-US" w:eastAsia="zh-CN"/>
        </w:rPr>
        <w:t>《益阳市财政局关于开展2025年财政绩效评价工作的通知》（益财绩〔2025〕163号）以及公立医院绩效考核管理平台、公立医院满意度调查等平台、中心医院年度卫生健康财务年报等。</w:t>
      </w:r>
    </w:p>
    <w:p w14:paraId="6AD3F455">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楷体" w:hAnsi="楷体" w:eastAsia="楷体" w:cs="楷体"/>
          <w:snapToGrid w:val="0"/>
          <w:color w:val="000000"/>
          <w:kern w:val="0"/>
          <w:sz w:val="32"/>
          <w:szCs w:val="32"/>
          <w:shd w:val="clear" w:color="auto" w:fill="FFFFFF"/>
          <w:lang w:val="en-US" w:eastAsia="zh-CN" w:bidi="ar-SA"/>
        </w:rPr>
      </w:pPr>
      <w:r>
        <w:rPr>
          <w:rFonts w:hint="eastAsia" w:ascii="楷体" w:hAnsi="楷体" w:eastAsia="楷体" w:cs="楷体"/>
          <w:b w:val="0"/>
          <w:bCs w:val="0"/>
          <w:snapToGrid w:val="0"/>
          <w:color w:val="000000"/>
          <w:spacing w:val="-4"/>
          <w:kern w:val="0"/>
          <w:sz w:val="32"/>
          <w:szCs w:val="32"/>
          <w:lang w:val="en-US" w:eastAsia="zh-CN" w:bidi="ar-SA"/>
        </w:rPr>
        <w:t>（二）绩效评价对象和范围</w:t>
      </w:r>
    </w:p>
    <w:p w14:paraId="4011B25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b/>
          <w:bCs/>
          <w:i w:val="0"/>
          <w:iCs w:val="0"/>
          <w:caps w:val="0"/>
          <w:color w:val="000000"/>
          <w:spacing w:val="0"/>
          <w:sz w:val="32"/>
          <w:szCs w:val="32"/>
          <w:highlight w:val="none"/>
          <w:shd w:val="clear" w:fill="FFFFFF"/>
          <w:lang w:val="en-US" w:eastAsia="zh-CN"/>
        </w:rPr>
        <w:t>1.绩效评价对象。</w:t>
      </w:r>
      <w:r>
        <w:rPr>
          <w:rFonts w:hint="eastAsia" w:ascii="仿宋" w:hAnsi="仿宋" w:eastAsia="仿宋" w:cs="仿宋"/>
          <w:i w:val="0"/>
          <w:iCs w:val="0"/>
          <w:caps w:val="0"/>
          <w:color w:val="000000"/>
          <w:spacing w:val="0"/>
          <w:sz w:val="32"/>
          <w:szCs w:val="32"/>
          <w:highlight w:val="none"/>
          <w:shd w:val="clear" w:fill="FFFFFF"/>
          <w:lang w:val="en-US" w:eastAsia="zh-CN"/>
        </w:rPr>
        <w:t>益阳市中心医院医疗事业高质量发展专项资金。</w:t>
      </w:r>
    </w:p>
    <w:p w14:paraId="1C594EA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b/>
          <w:bCs/>
          <w:i w:val="0"/>
          <w:iCs w:val="0"/>
          <w:caps w:val="0"/>
          <w:color w:val="000000"/>
          <w:spacing w:val="0"/>
          <w:sz w:val="32"/>
          <w:szCs w:val="32"/>
          <w:highlight w:val="none"/>
          <w:shd w:val="clear" w:fill="FFFFFF"/>
          <w:lang w:val="en-US" w:eastAsia="zh-CN"/>
        </w:rPr>
        <w:t>2.绩效评价范围。</w:t>
      </w:r>
      <w:r>
        <w:rPr>
          <w:rFonts w:hint="eastAsia" w:ascii="仿宋" w:hAnsi="仿宋" w:eastAsia="仿宋" w:cs="仿宋"/>
          <w:i w:val="0"/>
          <w:iCs w:val="0"/>
          <w:caps w:val="0"/>
          <w:color w:val="000000"/>
          <w:spacing w:val="0"/>
          <w:sz w:val="32"/>
          <w:szCs w:val="32"/>
          <w:highlight w:val="none"/>
          <w:shd w:val="clear" w:fill="FFFFFF"/>
          <w:lang w:val="en-US" w:eastAsia="zh-CN"/>
        </w:rPr>
        <w:t>该项目的决策、管理、产出与效果。项目</w:t>
      </w:r>
    </w:p>
    <w:p w14:paraId="16C56EC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仿宋" w:hAnsi="仿宋" w:eastAsia="仿宋" w:cs="仿宋"/>
          <w:snapToGrid w:val="0"/>
          <w:color w:val="000000"/>
          <w:kern w:val="0"/>
          <w:sz w:val="32"/>
          <w:szCs w:val="32"/>
          <w:shd w:val="clear" w:color="auto" w:fill="FFFFFF"/>
          <w:lang w:val="en-US" w:eastAsia="zh-CN" w:bidi="ar-SA"/>
        </w:rPr>
      </w:pPr>
      <w:r>
        <w:rPr>
          <w:rFonts w:hint="eastAsia" w:ascii="仿宋" w:hAnsi="仿宋" w:eastAsia="仿宋" w:cs="仿宋"/>
          <w:i w:val="0"/>
          <w:iCs w:val="0"/>
          <w:caps w:val="0"/>
          <w:color w:val="000000"/>
          <w:spacing w:val="0"/>
          <w:sz w:val="32"/>
          <w:szCs w:val="32"/>
          <w:highlight w:val="none"/>
          <w:shd w:val="clear" w:fill="FFFFFF"/>
          <w:lang w:val="en-US" w:eastAsia="zh-CN"/>
        </w:rPr>
        <w:t>决策主要包括项目立项、绩效目标、资金投入，重点关注项目立</w:t>
      </w:r>
      <w:r>
        <w:rPr>
          <w:rFonts w:hint="eastAsia" w:ascii="仿宋" w:hAnsi="仿宋" w:eastAsia="仿宋" w:cs="仿宋"/>
          <w:snapToGrid w:val="0"/>
          <w:color w:val="000000"/>
          <w:kern w:val="0"/>
          <w:sz w:val="32"/>
          <w:szCs w:val="32"/>
          <w:shd w:val="clear" w:color="auto" w:fill="FFFFFF"/>
          <w:lang w:val="en-US" w:eastAsia="zh-CN" w:bidi="ar-SA"/>
        </w:rPr>
        <w:t>项程序的规范性、绩效目标的合理性以及绩效目标的实现程度、预算资金与项目实施的适配性；项目管理重点关注资金使用的合规性、基本建设、设备购置等各项政策法规和管理制度执行的有效性。项目产出，重点关注项目政府责任落实、医疗能力建设和医疗服务能力是否得到提升，结构是否得到优化；项目效果主要包括该项目实施对医院的运营发展的影响、创新增效，以及患者和医务人员的满意度情况。</w:t>
      </w:r>
    </w:p>
    <w:p w14:paraId="0D098A8A">
      <w:pPr>
        <w:pStyle w:val="6"/>
        <w:keepNext w:val="0"/>
        <w:keepLines w:val="0"/>
        <w:pageBreakBefore w:val="0"/>
        <w:widowControl w:val="0"/>
        <w:kinsoku/>
        <w:wordWrap/>
        <w:overflowPunct/>
        <w:topLinePunct w:val="0"/>
        <w:autoSpaceDE/>
        <w:autoSpaceDN/>
        <w:bidi w:val="0"/>
        <w:adjustRightInd/>
        <w:snapToGrid/>
        <w:spacing w:beforeAutospacing="0" w:afterAutospacing="0" w:line="550" w:lineRule="exact"/>
        <w:ind w:left="0" w:leftChars="0" w:firstLine="640"/>
        <w:textAlignment w:val="auto"/>
        <w:rPr>
          <w:rFonts w:hint="eastAsia" w:ascii="楷体" w:hAnsi="楷体" w:eastAsia="楷体" w:cs="楷体"/>
          <w:b w:val="0"/>
          <w:bCs w:val="0"/>
          <w:snapToGrid w:val="0"/>
          <w:color w:val="000000"/>
          <w:spacing w:val="-4"/>
          <w:kern w:val="0"/>
          <w:sz w:val="32"/>
          <w:szCs w:val="32"/>
          <w:lang w:val="en-US" w:eastAsia="zh-CN" w:bidi="ar-SA"/>
        </w:rPr>
      </w:pPr>
      <w:r>
        <w:rPr>
          <w:rFonts w:hint="eastAsia" w:ascii="楷体" w:hAnsi="楷体" w:eastAsia="楷体" w:cs="楷体"/>
          <w:b w:val="0"/>
          <w:bCs w:val="0"/>
          <w:snapToGrid w:val="0"/>
          <w:color w:val="000000"/>
          <w:spacing w:val="-4"/>
          <w:kern w:val="0"/>
          <w:sz w:val="32"/>
          <w:szCs w:val="32"/>
          <w:lang w:val="en-US" w:eastAsia="zh-CN" w:bidi="ar-SA"/>
        </w:rPr>
        <w:t>（三）绩效评价原则、评价指标体系（附表说明）、评价方法、评价标准等</w:t>
      </w:r>
    </w:p>
    <w:p w14:paraId="3CF8F405">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napToGrid w:val="0"/>
          <w:color w:val="000000"/>
          <w:kern w:val="0"/>
          <w:sz w:val="32"/>
          <w:szCs w:val="32"/>
          <w:shd w:val="clear" w:color="auto" w:fill="FFFFFF"/>
          <w:lang w:val="en-US" w:eastAsia="zh-CN" w:bidi="ar-SA"/>
        </w:rPr>
      </w:pPr>
      <w:r>
        <w:rPr>
          <w:rFonts w:hint="eastAsia" w:ascii="仿宋" w:hAnsi="仿宋" w:eastAsia="仿宋" w:cs="仿宋"/>
          <w:b/>
          <w:bCs/>
          <w:snapToGrid w:val="0"/>
          <w:color w:val="000000"/>
          <w:kern w:val="0"/>
          <w:sz w:val="32"/>
          <w:szCs w:val="32"/>
          <w:shd w:val="clear" w:color="auto" w:fill="FFFFFF"/>
          <w:lang w:val="en-US" w:eastAsia="zh-CN" w:bidi="ar-SA"/>
        </w:rPr>
        <w:t>1.绩效评价原则。</w:t>
      </w:r>
      <w:r>
        <w:rPr>
          <w:rFonts w:hint="eastAsia" w:ascii="仿宋" w:hAnsi="仿宋" w:eastAsia="仿宋" w:cs="仿宋"/>
          <w:snapToGrid w:val="0"/>
          <w:color w:val="000000"/>
          <w:kern w:val="0"/>
          <w:sz w:val="32"/>
          <w:szCs w:val="32"/>
          <w:shd w:val="clear" w:color="auto" w:fill="FFFFFF"/>
          <w:lang w:val="en-US" w:eastAsia="zh-CN" w:bidi="ar-SA"/>
        </w:rPr>
        <w:t>坚持评估的客观公正性原则及评估的效益性原则、分析的系统性原则等，避免先入为主的观念，克服主观性和片面性。</w:t>
      </w:r>
    </w:p>
    <w:p w14:paraId="56201CCD">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napToGrid w:val="0"/>
          <w:color w:val="000000"/>
          <w:kern w:val="0"/>
          <w:sz w:val="32"/>
          <w:szCs w:val="32"/>
          <w:shd w:val="clear" w:color="auto" w:fill="FFFFFF"/>
          <w:lang w:val="en-US" w:eastAsia="zh-CN" w:bidi="ar-SA"/>
        </w:rPr>
        <w:t>2.评价指标体系。</w:t>
      </w:r>
      <w:r>
        <w:rPr>
          <w:rFonts w:hint="eastAsia" w:ascii="仿宋" w:hAnsi="仿宋" w:eastAsia="仿宋" w:cs="仿宋"/>
          <w:sz w:val="32"/>
          <w:szCs w:val="32"/>
          <w:lang w:val="en-US" w:eastAsia="zh-CN"/>
        </w:rPr>
        <w:t>针对该项目情况，拟定绩效评价指标，设定项目决策（12分）、项目过程管理（28分）、项目产出（41分）、项目效果（19分）4个一级指标、13个二级指标。其中项目决策设项目立项、绩效目标、资金投入3个二级指标；项目过程设资金管理、组织实施2个二级指标；项目产出设党建引领、政府责任落实、医院专科能力提升、医疗质量安全提升、诊疗服务效率5个二级指标；效益指标设创新增效、医院可持续运营发展、满意度（门诊患者、住院患者、医务人员）3个二级指标；根据二级指标内容，分别设定了47个三级指标，具体评价内容见附件1：益阳市中心医院医疗事业高质量发展专项资金绩效评价指标评分表。</w:t>
      </w:r>
    </w:p>
    <w:p w14:paraId="1F50C046">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napToGrid w:val="0"/>
          <w:color w:val="000000"/>
          <w:kern w:val="0"/>
          <w:sz w:val="32"/>
          <w:szCs w:val="32"/>
          <w:shd w:val="clear" w:color="auto" w:fill="FFFFFF"/>
          <w:lang w:val="en-US" w:eastAsia="zh-CN" w:bidi="ar-SA"/>
        </w:rPr>
      </w:pPr>
      <w:r>
        <w:rPr>
          <w:rFonts w:hint="eastAsia" w:ascii="仿宋" w:hAnsi="仿宋" w:eastAsia="仿宋" w:cs="仿宋"/>
          <w:b/>
          <w:bCs/>
          <w:snapToGrid w:val="0"/>
          <w:color w:val="000000"/>
          <w:kern w:val="0"/>
          <w:sz w:val="32"/>
          <w:szCs w:val="32"/>
          <w:shd w:val="clear" w:color="auto" w:fill="FFFFFF"/>
          <w:lang w:val="en-US" w:eastAsia="zh-CN" w:bidi="ar-SA"/>
        </w:rPr>
        <w:t>3.绩效评价方法。</w:t>
      </w:r>
      <w:r>
        <w:rPr>
          <w:rFonts w:hint="eastAsia" w:ascii="仿宋" w:hAnsi="仿宋" w:eastAsia="仿宋" w:cs="仿宋"/>
          <w:snapToGrid w:val="0"/>
          <w:color w:val="000000"/>
          <w:kern w:val="0"/>
          <w:sz w:val="32"/>
          <w:szCs w:val="32"/>
          <w:shd w:val="clear" w:color="auto" w:fill="FFFFFF"/>
          <w:lang w:val="en-US" w:eastAsia="zh-CN" w:bidi="ar-SA"/>
        </w:rPr>
        <w:t>本次绩效评价定性与定量相结合，综合采用成本效益分析法、比较法、因素分析法、公众评判法。</w:t>
      </w:r>
    </w:p>
    <w:p w14:paraId="4AA07F2D">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 w:hAnsi="仿宋" w:eastAsia="仿宋" w:cs="仿宋"/>
          <w:snapToGrid w:val="0"/>
          <w:color w:val="000000"/>
          <w:kern w:val="0"/>
          <w:sz w:val="32"/>
          <w:szCs w:val="32"/>
          <w:shd w:val="clear" w:color="auto" w:fill="FFFFFF"/>
          <w:lang w:val="en-US" w:eastAsia="zh-CN" w:bidi="ar-SA"/>
        </w:rPr>
      </w:pPr>
      <w:r>
        <w:rPr>
          <w:rFonts w:hint="eastAsia" w:ascii="仿宋" w:hAnsi="仿宋" w:eastAsia="仿宋" w:cs="仿宋"/>
          <w:b/>
          <w:bCs/>
          <w:snapToGrid w:val="0"/>
          <w:color w:val="000000"/>
          <w:kern w:val="0"/>
          <w:sz w:val="32"/>
          <w:szCs w:val="32"/>
          <w:shd w:val="clear" w:color="auto" w:fill="FFFFFF"/>
          <w:lang w:val="en-US" w:eastAsia="zh-CN" w:bidi="ar-SA"/>
        </w:rPr>
        <w:t>4.评价标准。</w:t>
      </w:r>
      <w:r>
        <w:rPr>
          <w:rFonts w:hint="eastAsia" w:ascii="仿宋" w:hAnsi="仿宋" w:eastAsia="仿宋" w:cs="仿宋"/>
          <w:snapToGrid w:val="0"/>
          <w:color w:val="000000"/>
          <w:kern w:val="0"/>
          <w:sz w:val="32"/>
          <w:szCs w:val="32"/>
          <w:shd w:val="clear" w:color="auto" w:fill="FFFFFF"/>
          <w:lang w:val="en-US" w:eastAsia="zh-CN" w:bidi="ar-SA"/>
        </w:rPr>
        <w:t>本次绩效评价采用计划标准（以预先制定的目标、计划、预算、定额等数据作为评价的标准）。</w:t>
      </w:r>
    </w:p>
    <w:p w14:paraId="522BA0E9">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200" w:right="0" w:rightChars="0"/>
        <w:jc w:val="both"/>
        <w:textAlignment w:val="auto"/>
        <w:rPr>
          <w:rFonts w:hint="eastAsia" w:ascii="楷体" w:hAnsi="楷体" w:eastAsia="楷体" w:cs="楷体"/>
          <w:snapToGrid w:val="0"/>
          <w:color w:val="000000"/>
          <w:kern w:val="0"/>
          <w:sz w:val="32"/>
          <w:szCs w:val="32"/>
          <w:shd w:val="clear" w:color="auto" w:fill="FFFFFF"/>
          <w:lang w:val="en-US" w:eastAsia="zh-CN" w:bidi="ar-SA"/>
        </w:rPr>
      </w:pPr>
      <w:r>
        <w:rPr>
          <w:rFonts w:hint="eastAsia" w:ascii="楷体" w:hAnsi="楷体" w:eastAsia="楷体" w:cs="楷体"/>
          <w:snapToGrid w:val="0"/>
          <w:color w:val="000000"/>
          <w:kern w:val="0"/>
          <w:sz w:val="32"/>
          <w:szCs w:val="32"/>
          <w:shd w:val="clear" w:color="auto" w:fill="FFFFFF"/>
          <w:lang w:val="en-US" w:eastAsia="zh-CN" w:bidi="ar-SA"/>
        </w:rPr>
        <w:t>（四）绩效评价工作过程</w:t>
      </w:r>
    </w:p>
    <w:p w14:paraId="2DF4692D">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50" w:lineRule="exact"/>
        <w:ind w:firstLine="640" w:firstLineChars="200"/>
        <w:jc w:val="both"/>
        <w:textAlignment w:val="auto"/>
        <w:rPr>
          <w:rFonts w:hint="eastAsia" w:ascii="仿宋" w:hAnsi="仿宋" w:eastAsia="仿宋" w:cs="仿宋"/>
          <w:snapToGrid w:val="0"/>
          <w:color w:val="000000"/>
          <w:kern w:val="0"/>
          <w:sz w:val="32"/>
          <w:szCs w:val="32"/>
          <w:shd w:val="clear" w:color="auto" w:fill="FFFFFF"/>
          <w:lang w:val="en-US" w:eastAsia="zh-CN" w:bidi="ar-SA"/>
        </w:rPr>
      </w:pPr>
      <w:r>
        <w:rPr>
          <w:rFonts w:hint="eastAsia" w:ascii="仿宋" w:hAnsi="仿宋" w:eastAsia="仿宋" w:cs="仿宋"/>
          <w:snapToGrid w:val="0"/>
          <w:color w:val="000000"/>
          <w:kern w:val="0"/>
          <w:sz w:val="32"/>
          <w:szCs w:val="32"/>
          <w:shd w:val="clear" w:color="auto" w:fill="FFFFFF"/>
          <w:lang w:val="en-US" w:eastAsia="zh-CN" w:bidi="ar-SA"/>
        </w:rPr>
        <w:t>根据相关政策规定和益财绩〔2025〕163号文件要求，我公司按下列步骤开展了绩效评价工作。</w:t>
      </w:r>
    </w:p>
    <w:p w14:paraId="2C178E83">
      <w:pPr>
        <w:pStyle w:val="6"/>
        <w:keepNext w:val="0"/>
        <w:keepLines w:val="0"/>
        <w:pageBreakBefore w:val="0"/>
        <w:widowControl w:val="0"/>
        <w:kinsoku/>
        <w:wordWrap/>
        <w:overflowPunct/>
        <w:topLinePunct w:val="0"/>
        <w:autoSpaceDE/>
        <w:autoSpaceDN/>
        <w:bidi w:val="0"/>
        <w:adjustRightInd/>
        <w:snapToGrid/>
        <w:spacing w:beforeAutospacing="0" w:afterAutospacing="0" w:line="550" w:lineRule="exact"/>
        <w:ind w:left="0" w:leftChars="0" w:firstLine="640"/>
        <w:jc w:val="both"/>
        <w:textAlignment w:val="auto"/>
        <w:rPr>
          <w:rFonts w:hint="eastAsia" w:ascii="仿宋" w:hAnsi="仿宋" w:eastAsia="仿宋" w:cs="仿宋"/>
          <w:snapToGrid w:val="0"/>
          <w:color w:val="000000"/>
          <w:kern w:val="0"/>
          <w:sz w:val="32"/>
          <w:szCs w:val="32"/>
          <w:shd w:val="clear" w:color="auto" w:fill="FFFFFF"/>
          <w:lang w:val="en-US" w:eastAsia="zh-CN" w:bidi="ar-SA"/>
        </w:rPr>
      </w:pPr>
      <w:r>
        <w:rPr>
          <w:rFonts w:hint="eastAsia" w:ascii="仿宋" w:hAnsi="仿宋" w:eastAsia="仿宋" w:cs="仿宋"/>
          <w:b/>
          <w:bCs/>
          <w:snapToGrid w:val="0"/>
          <w:color w:val="000000"/>
          <w:kern w:val="0"/>
          <w:sz w:val="32"/>
          <w:szCs w:val="32"/>
          <w:shd w:val="clear" w:color="auto" w:fill="FFFFFF"/>
          <w:lang w:val="en-US" w:eastAsia="zh-CN" w:bidi="ar-SA"/>
        </w:rPr>
        <w:t>1.前期准备。</w:t>
      </w:r>
      <w:r>
        <w:rPr>
          <w:rFonts w:hint="eastAsia" w:ascii="仿宋" w:hAnsi="仿宋" w:eastAsia="仿宋" w:cs="仿宋"/>
          <w:snapToGrid w:val="0"/>
          <w:color w:val="000000"/>
          <w:kern w:val="0"/>
          <w:sz w:val="32"/>
          <w:szCs w:val="32"/>
          <w:shd w:val="clear" w:color="auto" w:fill="FFFFFF"/>
          <w:lang w:val="en-US" w:eastAsia="zh-CN" w:bidi="ar-SA"/>
        </w:rPr>
        <w:t>我所抽调专人成立了绩效评价工作小组，明确了工作职责，制定了现场评价方案，设计了相关表格，联系了相关部门和单位，确定了实施时间。</w:t>
      </w:r>
    </w:p>
    <w:p w14:paraId="7AAAE65C">
      <w:pPr>
        <w:pStyle w:val="6"/>
        <w:keepNext w:val="0"/>
        <w:keepLines w:val="0"/>
        <w:pageBreakBefore w:val="0"/>
        <w:widowControl w:val="0"/>
        <w:kinsoku/>
        <w:wordWrap/>
        <w:overflowPunct/>
        <w:topLinePunct w:val="0"/>
        <w:autoSpaceDE/>
        <w:autoSpaceDN/>
        <w:bidi w:val="0"/>
        <w:adjustRightInd/>
        <w:snapToGrid/>
        <w:spacing w:beforeAutospacing="0" w:afterAutospacing="0" w:line="550" w:lineRule="exact"/>
        <w:ind w:left="0" w:leftChars="0" w:firstLine="640"/>
        <w:jc w:val="both"/>
        <w:textAlignment w:val="auto"/>
        <w:rPr>
          <w:rFonts w:hint="eastAsia" w:ascii="仿宋" w:hAnsi="仿宋" w:eastAsia="仿宋" w:cs="仿宋"/>
          <w:snapToGrid w:val="0"/>
          <w:color w:val="000000"/>
          <w:kern w:val="0"/>
          <w:sz w:val="32"/>
          <w:szCs w:val="32"/>
          <w:shd w:val="clear" w:color="auto" w:fill="FFFFFF"/>
          <w:lang w:val="en-US" w:eastAsia="zh-CN" w:bidi="ar-SA"/>
        </w:rPr>
      </w:pPr>
      <w:r>
        <w:rPr>
          <w:rFonts w:hint="eastAsia" w:ascii="仿宋" w:hAnsi="仿宋" w:eastAsia="仿宋" w:cs="仿宋"/>
          <w:b/>
          <w:bCs/>
          <w:snapToGrid w:val="0"/>
          <w:color w:val="000000"/>
          <w:kern w:val="0"/>
          <w:sz w:val="32"/>
          <w:szCs w:val="32"/>
          <w:shd w:val="clear" w:color="auto" w:fill="FFFFFF"/>
          <w:lang w:val="en-US" w:eastAsia="zh-CN" w:bidi="ar-SA"/>
        </w:rPr>
        <w:t>2.实施情况。</w:t>
      </w:r>
      <w:r>
        <w:rPr>
          <w:rFonts w:hint="eastAsia" w:ascii="仿宋" w:hAnsi="仿宋" w:eastAsia="仿宋" w:cs="仿宋"/>
          <w:snapToGrid w:val="0"/>
          <w:color w:val="000000"/>
          <w:kern w:val="0"/>
          <w:sz w:val="32"/>
          <w:szCs w:val="32"/>
          <w:shd w:val="clear" w:color="auto" w:fill="FFFFFF"/>
          <w:lang w:val="en-US" w:eastAsia="zh-CN" w:bidi="ar-SA"/>
        </w:rPr>
        <w:t>项目绩效评价实施步骤：（1）召开座谈会。组织项目实施单位、财政部门召开座谈会，听取项目有关情况介绍；（2）收集核查资料。收集项目相关政策制度文件、集体决策会议记录、市本级资金指标文件、项目申报、审批、实施、过程监管、质量控制、验收等资料；核查相关制度是否完善，项目申报、审批、实施、过程监管、质量控制、验收等程序是否合规。（3）查阅资金支付财务凭证，了解资金拨付手续是否齐全、资金使用是否符合《招标投标法》《政府采购法》《医院高质量发展专项资金使用管理办法》以及相关财务制度的规定，共查阅资金支付凭证金额5761万元，占资金指标总额54.8%。（4）形成评价结论，撰写评价报告。通过对相关资料进行综合分析，按照确定的评价指标和标准，结合现场评价情况，得出评价结论，形成绩效评价报告。</w:t>
      </w:r>
    </w:p>
    <w:p w14:paraId="205B613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50" w:lineRule="exact"/>
        <w:ind w:leftChars="0" w:firstLine="624"/>
        <w:textAlignment w:val="baseline"/>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四</w:t>
      </w:r>
      <w:r>
        <w:rPr>
          <w:rFonts w:hint="eastAsia" w:ascii="黑体" w:hAnsi="黑体" w:eastAsia="黑体" w:cs="黑体"/>
          <w:sz w:val="32"/>
          <w:szCs w:val="32"/>
        </w:rPr>
        <w:t>、评价结论</w:t>
      </w:r>
      <w:r>
        <w:rPr>
          <w:rFonts w:hint="eastAsia" w:ascii="黑体" w:hAnsi="黑体" w:eastAsia="黑体" w:cs="黑体"/>
          <w:sz w:val="32"/>
          <w:szCs w:val="32"/>
          <w:lang w:eastAsia="zh-CN"/>
        </w:rPr>
        <w:t>和绩效分析</w:t>
      </w:r>
    </w:p>
    <w:p w14:paraId="5AC161E9">
      <w:pPr>
        <w:keepNext w:val="0"/>
        <w:keepLines w:val="0"/>
        <w:pageBreakBefore w:val="0"/>
        <w:widowControl w:val="0"/>
        <w:kinsoku/>
        <w:wordWrap/>
        <w:overflowPunct/>
        <w:topLinePunct/>
        <w:autoSpaceDE/>
        <w:autoSpaceDN/>
        <w:bidi w:val="0"/>
        <w:adjustRightInd/>
        <w:snapToGrid/>
        <w:spacing w:line="550" w:lineRule="exact"/>
        <w:ind w:firstLine="640" w:firstLineChars="200"/>
        <w:textAlignment w:val="auto"/>
        <w:rPr>
          <w:rFonts w:hint="eastAsia" w:ascii="楷体" w:hAnsi="楷体" w:eastAsia="楷体" w:cs="楷体"/>
          <w:b w:val="0"/>
          <w:bCs w:val="0"/>
          <w:snapToGrid w:val="0"/>
          <w:color w:val="000000"/>
          <w:kern w:val="0"/>
          <w:sz w:val="32"/>
          <w:szCs w:val="32"/>
          <w:shd w:val="clear" w:color="auto" w:fill="FFFFFF"/>
          <w:lang w:val="en-US" w:eastAsia="zh-CN" w:bidi="ar-SA"/>
        </w:rPr>
      </w:pPr>
      <w:r>
        <w:rPr>
          <w:rFonts w:hint="eastAsia" w:ascii="楷体" w:hAnsi="楷体" w:eastAsia="楷体" w:cs="楷体"/>
          <w:b w:val="0"/>
          <w:bCs w:val="0"/>
          <w:snapToGrid w:val="0"/>
          <w:color w:val="000000"/>
          <w:kern w:val="0"/>
          <w:sz w:val="32"/>
          <w:szCs w:val="32"/>
          <w:shd w:val="clear" w:color="auto" w:fill="FFFFFF"/>
          <w:lang w:val="en-US" w:eastAsia="zh-CN" w:bidi="ar-SA"/>
        </w:rPr>
        <w:t>（一）评价结论</w:t>
      </w:r>
    </w:p>
    <w:p w14:paraId="31E07B5F">
      <w:pPr>
        <w:keepNext w:val="0"/>
        <w:keepLines w:val="0"/>
        <w:pageBreakBefore w:val="0"/>
        <w:widowControl w:val="0"/>
        <w:kinsoku/>
        <w:wordWrap/>
        <w:overflowPunct/>
        <w:topLinePunct/>
        <w:autoSpaceDE/>
        <w:autoSpaceDN/>
        <w:bidi w:val="0"/>
        <w:adjustRightInd/>
        <w:snapToGrid/>
        <w:spacing w:after="0" w:afterLines="50" w:line="550" w:lineRule="exact"/>
        <w:ind w:firstLine="640" w:firstLineChars="200"/>
        <w:textAlignment w:val="auto"/>
        <w:rPr>
          <w:rFonts w:hint="eastAsia" w:ascii="仿宋" w:hAnsi="仿宋" w:eastAsia="仿宋" w:cs="仿宋"/>
          <w:snapToGrid w:val="0"/>
          <w:color w:val="000000"/>
          <w:kern w:val="0"/>
          <w:sz w:val="32"/>
          <w:szCs w:val="32"/>
          <w:shd w:val="clear" w:color="auto" w:fill="FFFFFF"/>
          <w:lang w:val="en-US" w:eastAsia="zh-CN" w:bidi="ar-SA"/>
        </w:rPr>
      </w:pPr>
      <w:bookmarkStart w:id="0" w:name="bookmark48"/>
      <w:bookmarkEnd w:id="0"/>
      <w:bookmarkStart w:id="1" w:name="bookmark46"/>
      <w:bookmarkEnd w:id="1"/>
      <w:bookmarkStart w:id="2" w:name="bookmark47"/>
      <w:bookmarkEnd w:id="2"/>
      <w:r>
        <w:rPr>
          <w:rFonts w:hint="eastAsia" w:ascii="仿宋" w:hAnsi="仿宋" w:eastAsia="仿宋" w:cs="仿宋"/>
          <w:snapToGrid w:val="0"/>
          <w:color w:val="000000"/>
          <w:kern w:val="0"/>
          <w:sz w:val="32"/>
          <w:szCs w:val="32"/>
          <w:shd w:val="clear" w:color="auto" w:fill="FFFFFF"/>
          <w:lang w:val="en-US" w:eastAsia="zh-CN" w:bidi="ar-SA"/>
        </w:rPr>
        <w:t>根据由评价组设计并经相关部门确认的评价指标体系及评分标准，通过数据采集、对比、现场核查及访谈等方式，对益阳市中心医院高质量发展绩效目标和指标实现程度进行客观评价，绩效评价总分值100分，最终评分结果为92.24 分，结论为“优”级。各部分权重和绩效分值如下：</w:t>
      </w:r>
    </w:p>
    <w:tbl>
      <w:tblPr>
        <w:tblStyle w:val="11"/>
        <w:tblW w:w="81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1"/>
        <w:gridCol w:w="1265"/>
        <w:gridCol w:w="1305"/>
        <w:gridCol w:w="1050"/>
        <w:gridCol w:w="1335"/>
        <w:gridCol w:w="1335"/>
      </w:tblGrid>
      <w:tr w14:paraId="707A8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jc w:val="center"/>
        </w:trPr>
        <w:tc>
          <w:tcPr>
            <w:tcW w:w="1851" w:type="dxa"/>
            <w:vAlign w:val="center"/>
          </w:tcPr>
          <w:p w14:paraId="1FE3FA53">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rPr>
            </w:pPr>
            <w:r>
              <w:rPr>
                <w:rFonts w:hint="eastAsia" w:ascii="仿宋" w:hAnsi="仿宋" w:eastAsia="仿宋" w:cs="仿宋"/>
                <w:b w:val="0"/>
                <w:bCs w:val="0"/>
                <w:spacing w:val="-6"/>
                <w:sz w:val="24"/>
                <w:szCs w:val="24"/>
              </w:rPr>
              <w:t>绩效指标</w:t>
            </w:r>
          </w:p>
        </w:tc>
        <w:tc>
          <w:tcPr>
            <w:tcW w:w="1265" w:type="dxa"/>
            <w:vAlign w:val="center"/>
          </w:tcPr>
          <w:p w14:paraId="08D23B6A">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lang w:eastAsia="zh-CN"/>
              </w:rPr>
            </w:pPr>
            <w:r>
              <w:rPr>
                <w:rFonts w:hint="eastAsia" w:ascii="仿宋" w:hAnsi="仿宋" w:eastAsia="仿宋" w:cs="仿宋"/>
                <w:b w:val="0"/>
                <w:bCs w:val="0"/>
                <w:spacing w:val="-6"/>
                <w:sz w:val="24"/>
                <w:szCs w:val="24"/>
                <w:lang w:eastAsia="zh-CN"/>
              </w:rPr>
              <w:t>决策</w:t>
            </w:r>
          </w:p>
        </w:tc>
        <w:tc>
          <w:tcPr>
            <w:tcW w:w="1305" w:type="dxa"/>
            <w:vAlign w:val="center"/>
          </w:tcPr>
          <w:p w14:paraId="05340591">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lang w:eastAsia="zh-CN"/>
              </w:rPr>
            </w:pPr>
            <w:r>
              <w:rPr>
                <w:rFonts w:hint="eastAsia" w:ascii="仿宋" w:hAnsi="仿宋" w:eastAsia="仿宋" w:cs="仿宋"/>
                <w:b w:val="0"/>
                <w:bCs w:val="0"/>
                <w:spacing w:val="-6"/>
                <w:sz w:val="24"/>
                <w:szCs w:val="24"/>
                <w:lang w:eastAsia="zh-CN"/>
              </w:rPr>
              <w:t>过程</w:t>
            </w:r>
          </w:p>
        </w:tc>
        <w:tc>
          <w:tcPr>
            <w:tcW w:w="1050" w:type="dxa"/>
            <w:vAlign w:val="center"/>
          </w:tcPr>
          <w:p w14:paraId="1CA05A43">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lang w:eastAsia="zh-CN"/>
              </w:rPr>
            </w:pPr>
            <w:r>
              <w:rPr>
                <w:rFonts w:hint="eastAsia" w:ascii="仿宋" w:hAnsi="仿宋" w:eastAsia="仿宋" w:cs="仿宋"/>
                <w:b w:val="0"/>
                <w:bCs w:val="0"/>
                <w:spacing w:val="-6"/>
                <w:sz w:val="24"/>
                <w:szCs w:val="24"/>
                <w:lang w:eastAsia="zh-CN"/>
              </w:rPr>
              <w:t>产出</w:t>
            </w:r>
          </w:p>
        </w:tc>
        <w:tc>
          <w:tcPr>
            <w:tcW w:w="1335" w:type="dxa"/>
            <w:vAlign w:val="center"/>
          </w:tcPr>
          <w:p w14:paraId="0BB43616">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lang w:eastAsia="zh-CN"/>
              </w:rPr>
            </w:pPr>
            <w:r>
              <w:rPr>
                <w:rFonts w:hint="eastAsia" w:ascii="仿宋" w:hAnsi="仿宋" w:eastAsia="仿宋" w:cs="仿宋"/>
                <w:b w:val="0"/>
                <w:bCs w:val="0"/>
                <w:spacing w:val="-6"/>
                <w:sz w:val="24"/>
                <w:szCs w:val="24"/>
                <w:lang w:eastAsia="zh-CN"/>
              </w:rPr>
              <w:t>效益</w:t>
            </w:r>
          </w:p>
        </w:tc>
        <w:tc>
          <w:tcPr>
            <w:tcW w:w="1335" w:type="dxa"/>
            <w:vAlign w:val="center"/>
          </w:tcPr>
          <w:p w14:paraId="12B251FB">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lang w:eastAsia="zh-CN"/>
              </w:rPr>
            </w:pPr>
            <w:r>
              <w:rPr>
                <w:rFonts w:hint="eastAsia" w:ascii="仿宋" w:hAnsi="仿宋" w:eastAsia="仿宋" w:cs="仿宋"/>
                <w:b w:val="0"/>
                <w:bCs w:val="0"/>
                <w:spacing w:val="-6"/>
                <w:sz w:val="24"/>
                <w:szCs w:val="24"/>
                <w:lang w:eastAsia="zh-CN"/>
              </w:rPr>
              <w:t>合计</w:t>
            </w:r>
          </w:p>
        </w:tc>
      </w:tr>
      <w:tr w14:paraId="630DF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jc w:val="center"/>
        </w:trPr>
        <w:tc>
          <w:tcPr>
            <w:tcW w:w="1851" w:type="dxa"/>
            <w:vAlign w:val="center"/>
          </w:tcPr>
          <w:p w14:paraId="7531A955">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rPr>
            </w:pPr>
            <w:r>
              <w:rPr>
                <w:rFonts w:hint="eastAsia" w:ascii="仿宋" w:hAnsi="仿宋" w:eastAsia="仿宋" w:cs="仿宋"/>
                <w:b w:val="0"/>
                <w:bCs w:val="0"/>
                <w:spacing w:val="-6"/>
                <w:sz w:val="24"/>
                <w:szCs w:val="24"/>
              </w:rPr>
              <w:t>权重</w:t>
            </w:r>
          </w:p>
        </w:tc>
        <w:tc>
          <w:tcPr>
            <w:tcW w:w="1265" w:type="dxa"/>
            <w:vAlign w:val="center"/>
          </w:tcPr>
          <w:p w14:paraId="33510C0B">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rPr>
            </w:pPr>
            <w:r>
              <w:rPr>
                <w:rFonts w:hint="eastAsia" w:ascii="仿宋" w:hAnsi="仿宋" w:eastAsia="仿宋" w:cs="仿宋"/>
                <w:b w:val="0"/>
                <w:bCs w:val="0"/>
                <w:spacing w:val="-6"/>
                <w:sz w:val="24"/>
                <w:szCs w:val="24"/>
                <w:lang w:val="en-US" w:eastAsia="zh-CN"/>
              </w:rPr>
              <w:t>12</w:t>
            </w:r>
            <w:r>
              <w:rPr>
                <w:rFonts w:hint="eastAsia" w:ascii="仿宋" w:hAnsi="仿宋" w:eastAsia="仿宋" w:cs="仿宋"/>
                <w:b w:val="0"/>
                <w:bCs w:val="0"/>
                <w:spacing w:val="-6"/>
                <w:sz w:val="24"/>
                <w:szCs w:val="24"/>
              </w:rPr>
              <w:t>%</w:t>
            </w:r>
          </w:p>
        </w:tc>
        <w:tc>
          <w:tcPr>
            <w:tcW w:w="1305" w:type="dxa"/>
            <w:vAlign w:val="center"/>
          </w:tcPr>
          <w:p w14:paraId="304D3722">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rPr>
            </w:pPr>
            <w:r>
              <w:rPr>
                <w:rFonts w:hint="eastAsia" w:ascii="仿宋" w:hAnsi="仿宋" w:eastAsia="仿宋" w:cs="仿宋"/>
                <w:b w:val="0"/>
                <w:bCs w:val="0"/>
                <w:spacing w:val="-6"/>
                <w:sz w:val="24"/>
                <w:szCs w:val="24"/>
                <w:lang w:val="en-US" w:eastAsia="zh-CN"/>
              </w:rPr>
              <w:t>28</w:t>
            </w:r>
            <w:r>
              <w:rPr>
                <w:rFonts w:hint="eastAsia" w:ascii="仿宋" w:hAnsi="仿宋" w:eastAsia="仿宋" w:cs="仿宋"/>
                <w:b w:val="0"/>
                <w:bCs w:val="0"/>
                <w:spacing w:val="-6"/>
                <w:sz w:val="24"/>
                <w:szCs w:val="24"/>
              </w:rPr>
              <w:t>%</w:t>
            </w:r>
          </w:p>
        </w:tc>
        <w:tc>
          <w:tcPr>
            <w:tcW w:w="1050" w:type="dxa"/>
            <w:vAlign w:val="center"/>
          </w:tcPr>
          <w:p w14:paraId="4270EF39">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rPr>
            </w:pPr>
            <w:r>
              <w:rPr>
                <w:rFonts w:hint="eastAsia" w:ascii="仿宋" w:hAnsi="仿宋" w:eastAsia="仿宋" w:cs="仿宋"/>
                <w:b w:val="0"/>
                <w:bCs w:val="0"/>
                <w:spacing w:val="-6"/>
                <w:sz w:val="24"/>
                <w:szCs w:val="24"/>
                <w:lang w:val="en-US" w:eastAsia="zh-CN"/>
              </w:rPr>
              <w:t>41</w:t>
            </w:r>
            <w:r>
              <w:rPr>
                <w:rFonts w:hint="eastAsia" w:ascii="仿宋" w:hAnsi="仿宋" w:eastAsia="仿宋" w:cs="仿宋"/>
                <w:b w:val="0"/>
                <w:bCs w:val="0"/>
                <w:spacing w:val="-6"/>
                <w:sz w:val="24"/>
                <w:szCs w:val="24"/>
              </w:rPr>
              <w:t>%</w:t>
            </w:r>
          </w:p>
        </w:tc>
        <w:tc>
          <w:tcPr>
            <w:tcW w:w="1335" w:type="dxa"/>
            <w:vAlign w:val="center"/>
          </w:tcPr>
          <w:p w14:paraId="112A557B">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rPr>
            </w:pPr>
            <w:r>
              <w:rPr>
                <w:rFonts w:hint="eastAsia" w:ascii="仿宋" w:hAnsi="仿宋" w:eastAsia="仿宋" w:cs="仿宋"/>
                <w:b w:val="0"/>
                <w:bCs w:val="0"/>
                <w:spacing w:val="-6"/>
                <w:sz w:val="24"/>
                <w:szCs w:val="24"/>
                <w:lang w:val="en-US" w:eastAsia="zh-CN"/>
              </w:rPr>
              <w:t>19</w:t>
            </w:r>
            <w:r>
              <w:rPr>
                <w:rFonts w:hint="eastAsia" w:ascii="仿宋" w:hAnsi="仿宋" w:eastAsia="仿宋" w:cs="仿宋"/>
                <w:b w:val="0"/>
                <w:bCs w:val="0"/>
                <w:spacing w:val="-6"/>
                <w:sz w:val="24"/>
                <w:szCs w:val="24"/>
              </w:rPr>
              <w:t>%</w:t>
            </w:r>
          </w:p>
        </w:tc>
        <w:tc>
          <w:tcPr>
            <w:tcW w:w="1335" w:type="dxa"/>
            <w:vAlign w:val="center"/>
          </w:tcPr>
          <w:p w14:paraId="147849D3">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default" w:ascii="仿宋" w:hAnsi="仿宋" w:eastAsia="仿宋" w:cs="仿宋"/>
                <w:b w:val="0"/>
                <w:bCs w:val="0"/>
                <w:spacing w:val="-6"/>
                <w:sz w:val="24"/>
                <w:szCs w:val="24"/>
                <w:lang w:val="en-US" w:eastAsia="zh-CN"/>
              </w:rPr>
            </w:pPr>
            <w:r>
              <w:rPr>
                <w:rFonts w:hint="eastAsia" w:ascii="仿宋" w:hAnsi="仿宋" w:eastAsia="仿宋" w:cs="仿宋"/>
                <w:b w:val="0"/>
                <w:bCs w:val="0"/>
                <w:spacing w:val="-6"/>
                <w:sz w:val="24"/>
                <w:szCs w:val="24"/>
                <w:lang w:val="en-US" w:eastAsia="zh-CN"/>
              </w:rPr>
              <w:t>100%</w:t>
            </w:r>
          </w:p>
        </w:tc>
      </w:tr>
      <w:tr w14:paraId="20D02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jc w:val="center"/>
        </w:trPr>
        <w:tc>
          <w:tcPr>
            <w:tcW w:w="1851" w:type="dxa"/>
            <w:vAlign w:val="center"/>
          </w:tcPr>
          <w:p w14:paraId="01275296">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rPr>
            </w:pPr>
            <w:r>
              <w:rPr>
                <w:rFonts w:hint="eastAsia" w:ascii="仿宋" w:hAnsi="仿宋" w:eastAsia="仿宋" w:cs="仿宋"/>
                <w:b w:val="0"/>
                <w:bCs w:val="0"/>
                <w:spacing w:val="-6"/>
                <w:sz w:val="24"/>
                <w:szCs w:val="24"/>
              </w:rPr>
              <w:t>得分</w:t>
            </w:r>
          </w:p>
        </w:tc>
        <w:tc>
          <w:tcPr>
            <w:tcW w:w="1265" w:type="dxa"/>
            <w:vAlign w:val="center"/>
          </w:tcPr>
          <w:p w14:paraId="2EFBC7DE">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default" w:ascii="仿宋" w:hAnsi="仿宋" w:eastAsia="仿宋" w:cs="仿宋"/>
                <w:b w:val="0"/>
                <w:bCs w:val="0"/>
                <w:spacing w:val="-6"/>
                <w:sz w:val="24"/>
                <w:szCs w:val="24"/>
                <w:lang w:val="en-US" w:eastAsia="zh-CN"/>
              </w:rPr>
            </w:pPr>
            <w:r>
              <w:rPr>
                <w:rFonts w:hint="eastAsia" w:ascii="仿宋" w:hAnsi="仿宋" w:eastAsia="仿宋" w:cs="仿宋"/>
                <w:b w:val="0"/>
                <w:bCs w:val="0"/>
                <w:spacing w:val="-6"/>
                <w:sz w:val="24"/>
                <w:szCs w:val="24"/>
                <w:lang w:val="en-US" w:eastAsia="zh-CN"/>
              </w:rPr>
              <w:t>10</w:t>
            </w:r>
          </w:p>
        </w:tc>
        <w:tc>
          <w:tcPr>
            <w:tcW w:w="1305" w:type="dxa"/>
            <w:vAlign w:val="center"/>
          </w:tcPr>
          <w:p w14:paraId="05963D62">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 w:hAnsi="仿宋" w:eastAsia="仿宋" w:cs="仿宋"/>
                <w:b w:val="0"/>
                <w:bCs w:val="0"/>
                <w:spacing w:val="-6"/>
                <w:sz w:val="24"/>
                <w:szCs w:val="24"/>
                <w:lang w:val="en-US" w:eastAsia="zh-CN"/>
              </w:rPr>
            </w:pPr>
            <w:r>
              <w:rPr>
                <w:rFonts w:hint="eastAsia" w:ascii="仿宋" w:hAnsi="仿宋" w:eastAsia="仿宋" w:cs="仿宋"/>
                <w:b w:val="0"/>
                <w:bCs w:val="0"/>
                <w:spacing w:val="-6"/>
                <w:sz w:val="24"/>
                <w:szCs w:val="24"/>
                <w:lang w:val="en-US" w:eastAsia="zh-CN"/>
              </w:rPr>
              <w:t>24.47</w:t>
            </w:r>
          </w:p>
        </w:tc>
        <w:tc>
          <w:tcPr>
            <w:tcW w:w="1050" w:type="dxa"/>
            <w:vAlign w:val="center"/>
          </w:tcPr>
          <w:p w14:paraId="2BAC6FA6">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default" w:ascii="仿宋" w:hAnsi="仿宋" w:eastAsia="仿宋" w:cs="仿宋"/>
                <w:b w:val="0"/>
                <w:bCs w:val="0"/>
                <w:spacing w:val="-6"/>
                <w:sz w:val="24"/>
                <w:szCs w:val="24"/>
                <w:lang w:val="en-US" w:eastAsia="zh-CN"/>
              </w:rPr>
            </w:pPr>
            <w:r>
              <w:rPr>
                <w:rFonts w:hint="eastAsia" w:ascii="仿宋" w:hAnsi="仿宋" w:eastAsia="仿宋" w:cs="仿宋"/>
                <w:b w:val="0"/>
                <w:bCs w:val="0"/>
                <w:spacing w:val="-6"/>
                <w:sz w:val="24"/>
                <w:szCs w:val="24"/>
                <w:lang w:val="en-US" w:eastAsia="zh-CN"/>
              </w:rPr>
              <w:t>39.74</w:t>
            </w:r>
          </w:p>
        </w:tc>
        <w:tc>
          <w:tcPr>
            <w:tcW w:w="1335" w:type="dxa"/>
            <w:vAlign w:val="center"/>
          </w:tcPr>
          <w:p w14:paraId="0C20EA7B">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default" w:ascii="仿宋" w:hAnsi="仿宋" w:eastAsia="仿宋" w:cs="仿宋"/>
                <w:b w:val="0"/>
                <w:bCs w:val="0"/>
                <w:spacing w:val="-6"/>
                <w:sz w:val="24"/>
                <w:szCs w:val="24"/>
                <w:lang w:val="en-US" w:eastAsia="zh-CN"/>
              </w:rPr>
            </w:pPr>
            <w:r>
              <w:rPr>
                <w:rFonts w:hint="eastAsia" w:ascii="仿宋" w:hAnsi="仿宋" w:eastAsia="仿宋" w:cs="仿宋"/>
                <w:b w:val="0"/>
                <w:bCs w:val="0"/>
                <w:spacing w:val="-6"/>
                <w:sz w:val="24"/>
                <w:szCs w:val="24"/>
                <w:lang w:val="en-US" w:eastAsia="zh-CN"/>
              </w:rPr>
              <w:t>18.03</w:t>
            </w:r>
          </w:p>
        </w:tc>
        <w:tc>
          <w:tcPr>
            <w:tcW w:w="1335" w:type="dxa"/>
            <w:vAlign w:val="center"/>
          </w:tcPr>
          <w:p w14:paraId="78E735E8">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default" w:ascii="仿宋" w:hAnsi="仿宋" w:eastAsia="仿宋" w:cs="仿宋"/>
                <w:b w:val="0"/>
                <w:bCs w:val="0"/>
                <w:spacing w:val="-6"/>
                <w:sz w:val="24"/>
                <w:szCs w:val="24"/>
                <w:lang w:val="en-US" w:eastAsia="zh-CN"/>
              </w:rPr>
            </w:pPr>
            <w:r>
              <w:rPr>
                <w:rFonts w:hint="eastAsia" w:ascii="仿宋" w:hAnsi="仿宋" w:eastAsia="仿宋" w:cs="仿宋"/>
                <w:b w:val="0"/>
                <w:bCs w:val="0"/>
                <w:spacing w:val="-6"/>
                <w:sz w:val="24"/>
                <w:szCs w:val="24"/>
                <w:lang w:val="en-US" w:eastAsia="zh-CN"/>
              </w:rPr>
              <w:t>92.24</w:t>
            </w:r>
          </w:p>
        </w:tc>
      </w:tr>
    </w:tbl>
    <w:p w14:paraId="30B00453">
      <w:pPr>
        <w:keepNext w:val="0"/>
        <w:keepLines w:val="0"/>
        <w:pageBreakBefore w:val="0"/>
        <w:widowControl w:val="0"/>
        <w:numPr>
          <w:ilvl w:val="0"/>
          <w:numId w:val="3"/>
        </w:numPr>
        <w:kinsoku/>
        <w:wordWrap/>
        <w:overflowPunct/>
        <w:topLinePunct/>
        <w:autoSpaceDE/>
        <w:autoSpaceDN/>
        <w:bidi w:val="0"/>
        <w:adjustRightInd/>
        <w:snapToGrid/>
        <w:spacing w:before="157" w:beforeLines="50" w:after="0" w:line="560" w:lineRule="exact"/>
        <w:ind w:left="0" w:leftChars="0" w:firstLine="640" w:firstLineChars="200"/>
        <w:textAlignment w:val="auto"/>
        <w:rPr>
          <w:rFonts w:hint="eastAsia" w:ascii="楷体" w:hAnsi="楷体" w:eastAsia="楷体" w:cs="楷体"/>
          <w:snapToGrid w:val="0"/>
          <w:color w:val="000000"/>
          <w:kern w:val="0"/>
          <w:sz w:val="32"/>
          <w:szCs w:val="32"/>
          <w:shd w:val="clear" w:color="auto" w:fill="FFFFFF"/>
          <w:lang w:val="en-US" w:eastAsia="zh-CN" w:bidi="ar-SA"/>
        </w:rPr>
      </w:pPr>
      <w:r>
        <w:rPr>
          <w:rFonts w:hint="eastAsia" w:ascii="楷体" w:hAnsi="楷体" w:eastAsia="楷体" w:cs="楷体"/>
          <w:snapToGrid w:val="0"/>
          <w:color w:val="000000"/>
          <w:kern w:val="0"/>
          <w:sz w:val="32"/>
          <w:szCs w:val="32"/>
          <w:shd w:val="clear" w:color="auto" w:fill="FFFFFF"/>
          <w:lang w:val="en-US" w:eastAsia="zh-CN" w:bidi="ar-SA"/>
        </w:rPr>
        <w:t>绩效分析</w:t>
      </w:r>
    </w:p>
    <w:p w14:paraId="4299B9B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b/>
          <w:bCs/>
          <w:snapToGrid w:val="0"/>
          <w:color w:val="000000"/>
          <w:kern w:val="0"/>
          <w:sz w:val="32"/>
          <w:szCs w:val="32"/>
          <w:shd w:val="clear" w:color="auto" w:fill="FFFFFF"/>
          <w:lang w:val="en-US" w:eastAsia="zh-CN" w:bidi="ar-SA"/>
        </w:rPr>
        <w:t>1.决策指标</w:t>
      </w:r>
      <w:r>
        <w:rPr>
          <w:rFonts w:hint="eastAsia" w:ascii="仿宋" w:hAnsi="仿宋" w:eastAsia="仿宋" w:cs="仿宋"/>
          <w:b w:val="0"/>
          <w:bCs w:val="0"/>
          <w:snapToGrid w:val="0"/>
          <w:color w:val="000000"/>
          <w:kern w:val="0"/>
          <w:sz w:val="32"/>
          <w:szCs w:val="32"/>
          <w:shd w:val="clear" w:color="auto" w:fill="FFFFFF"/>
          <w:lang w:val="en-US" w:eastAsia="zh-CN" w:bidi="ar-SA"/>
        </w:rPr>
        <w:t>（12分），得10分：</w:t>
      </w:r>
    </w:p>
    <w:p w14:paraId="3E7EA6A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（1）项目立项（4分），得4分</w:t>
      </w:r>
    </w:p>
    <w:p w14:paraId="373AE3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①立项依据充分性（2分）：项目符合《益阳市推动公立医</w:t>
      </w:r>
    </w:p>
    <w:p w14:paraId="0EA1EDB0">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院高质量发展实施方案》要求，经市人民政府2023 年第 16 次常务会议研究同意立项，市人民政府2023 年第 30次常务会议研究决定设立专项资金，支持中心医院高质量发展。根据评分标准，本项指标得满分２分。</w:t>
      </w:r>
    </w:p>
    <w:p w14:paraId="74C4C21B">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②立项程序规范性（2分）：同上。本项指标得满分２分。</w:t>
      </w:r>
    </w:p>
    <w:p w14:paraId="0DA38B65">
      <w:pPr>
        <w:keepNext w:val="0"/>
        <w:keepLines w:val="0"/>
        <w:pageBreakBefore w:val="0"/>
        <w:widowControl/>
        <w:numPr>
          <w:ilvl w:val="0"/>
          <w:numId w:val="4"/>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绩效目标（4分），得2分</w:t>
      </w:r>
    </w:p>
    <w:p w14:paraId="5B99CBA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①绩效目标合理性（2分）：市中心医院按照《益阳市推动公立医院高质量发展实施方案》确立的建设目标和任务制定本院2023-2029年高质量发展规划和绩效目标，绩效目标合理，根据评分标准，本项指标得满分2分。</w:t>
      </w:r>
    </w:p>
    <w:p w14:paraId="0BB52DD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②绩效指标明确性（2分）：市中心医院未量化高质量发展阶段性绩效指标，根据评分标准，本项指标得0分。</w:t>
      </w:r>
    </w:p>
    <w:p w14:paraId="0D94FCF7">
      <w:pPr>
        <w:pStyle w:val="6"/>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资金投入（4分）：得4分</w:t>
      </w:r>
    </w:p>
    <w:p w14:paraId="56C29EB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firstLine="624"/>
        <w:jc w:val="both"/>
        <w:textAlignment w:val="baseline"/>
        <w:outlineLvl w:val="0"/>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①预算编制科学性（2分）：市中心医院制定年度高质量发展预算编制，预算内容与项目匹配，预算额度测算依据充分，预算确定的项目投资额或资金量与工作任务相匹配，根据评分标准，本项指标得满分2分。</w:t>
      </w:r>
    </w:p>
    <w:p w14:paraId="5BE9117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firstLine="624"/>
        <w:jc w:val="both"/>
        <w:textAlignment w:val="baseline"/>
        <w:outlineLvl w:val="0"/>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②</w:t>
      </w:r>
      <w:r>
        <w:rPr>
          <w:rFonts w:hint="eastAsia" w:ascii="仿宋" w:hAnsi="仿宋" w:eastAsia="仿宋" w:cs="仿宋"/>
          <w:color w:val="000000"/>
          <w:kern w:val="0"/>
          <w:sz w:val="31"/>
          <w:szCs w:val="31"/>
          <w:lang w:val="en-US" w:eastAsia="zh-CN" w:bidi="ar"/>
        </w:rPr>
        <w:t>资金分配合理性（2分）：</w:t>
      </w:r>
      <w:r>
        <w:rPr>
          <w:rFonts w:hint="eastAsia" w:ascii="仿宋" w:hAnsi="仿宋" w:eastAsia="仿宋" w:cs="仿宋"/>
          <w:i w:val="0"/>
          <w:iCs w:val="0"/>
          <w:caps w:val="0"/>
          <w:color w:val="000000"/>
          <w:spacing w:val="0"/>
          <w:sz w:val="32"/>
          <w:szCs w:val="32"/>
          <w:shd w:val="clear" w:fill="FFFFFF"/>
          <w:lang w:val="en-US" w:eastAsia="zh-CN"/>
        </w:rPr>
        <w:t>按实施计划编制投资预算，                                                                        计划与项目相符，资金已全部到位，未影响项目进度，根据评</w:t>
      </w:r>
    </w:p>
    <w:p w14:paraId="641FD8A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both"/>
        <w:textAlignment w:val="baseline"/>
        <w:outlineLvl w:val="0"/>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标准，本项指标得满分2分。</w:t>
      </w:r>
    </w:p>
    <w:p w14:paraId="53C32A9D">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i w:val="0"/>
          <w:iCs w:val="0"/>
          <w:caps w:val="0"/>
          <w:color w:val="000000"/>
          <w:spacing w:val="0"/>
          <w:sz w:val="32"/>
          <w:szCs w:val="32"/>
          <w:shd w:val="clear" w:fill="FFFFFF"/>
          <w:lang w:val="en-US" w:eastAsia="zh-CN"/>
        </w:rPr>
      </w:pPr>
      <w:r>
        <w:rPr>
          <w:rFonts w:hint="eastAsia" w:ascii="仿宋" w:hAnsi="仿宋" w:eastAsia="仿宋" w:cs="仿宋"/>
          <w:b/>
          <w:bCs/>
          <w:i w:val="0"/>
          <w:iCs w:val="0"/>
          <w:caps w:val="0"/>
          <w:color w:val="000000"/>
          <w:spacing w:val="0"/>
          <w:sz w:val="32"/>
          <w:szCs w:val="32"/>
          <w:shd w:val="clear" w:fill="FFFFFF"/>
          <w:lang w:val="en-US" w:eastAsia="zh-CN"/>
        </w:rPr>
        <w:t>2.过程指标（28分），得24.47分</w:t>
      </w:r>
    </w:p>
    <w:p w14:paraId="241E01B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 xml:space="preserve">   （1）资金管理（16分），得13.97分</w:t>
      </w:r>
    </w:p>
    <w:p w14:paraId="62294FD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①资金到位率（3分）：2023年、2024年财政拨付</w:t>
      </w:r>
      <w:r>
        <w:rPr>
          <w:rFonts w:hint="eastAsia" w:ascii="仿宋" w:hAnsi="仿宋" w:eastAsia="仿宋" w:cs="仿宋"/>
          <w:color w:val="000000"/>
          <w:kern w:val="0"/>
          <w:sz w:val="31"/>
          <w:szCs w:val="31"/>
          <w:lang w:val="en-US" w:eastAsia="zh-CN" w:bidi="ar"/>
        </w:rPr>
        <w:t>10505.95</w:t>
      </w:r>
    </w:p>
    <w:p w14:paraId="3EBA8FF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both"/>
        <w:textAlignment w:val="baseline"/>
        <w:outlineLvl w:val="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万元全部到位，到位率100%，根据评分标准，</w:t>
      </w:r>
      <w:r>
        <w:rPr>
          <w:rFonts w:hint="eastAsia" w:ascii="仿宋" w:hAnsi="仿宋" w:eastAsia="仿宋" w:cs="仿宋"/>
          <w:i w:val="0"/>
          <w:iCs w:val="0"/>
          <w:caps w:val="0"/>
          <w:color w:val="000000"/>
          <w:spacing w:val="0"/>
          <w:sz w:val="32"/>
          <w:szCs w:val="32"/>
          <w:shd w:val="clear" w:fill="FFFFFF"/>
          <w:lang w:val="en-US" w:eastAsia="zh-CN"/>
        </w:rPr>
        <w:t>本项指标得满分</w:t>
      </w:r>
      <w:r>
        <w:rPr>
          <w:rFonts w:hint="eastAsia" w:ascii="仿宋" w:hAnsi="仿宋" w:eastAsia="仿宋" w:cs="仿宋"/>
          <w:color w:val="000000"/>
          <w:kern w:val="0"/>
          <w:sz w:val="31"/>
          <w:szCs w:val="31"/>
          <w:lang w:val="en-US" w:eastAsia="zh-CN" w:bidi="ar"/>
        </w:rPr>
        <w:t>3分。</w:t>
      </w:r>
    </w:p>
    <w:p w14:paraId="30B1887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jc w:val="distribute"/>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color w:val="000000"/>
          <w:kern w:val="0"/>
          <w:sz w:val="31"/>
          <w:szCs w:val="31"/>
          <w:lang w:val="en-US" w:eastAsia="zh-CN" w:bidi="ar"/>
        </w:rPr>
        <w:t xml:space="preserve">    </w:t>
      </w:r>
      <w:r>
        <w:rPr>
          <w:rFonts w:hint="eastAsia" w:ascii="仿宋" w:hAnsi="仿宋" w:eastAsia="仿宋" w:cs="仿宋"/>
          <w:i w:val="0"/>
          <w:iCs w:val="0"/>
          <w:caps w:val="0"/>
          <w:color w:val="000000"/>
          <w:spacing w:val="0"/>
          <w:sz w:val="32"/>
          <w:szCs w:val="32"/>
          <w:shd w:val="clear" w:fill="FFFFFF"/>
          <w:lang w:val="en-US" w:eastAsia="zh-CN"/>
        </w:rPr>
        <w:t>②预算执行率（3分）：2023年12月至2024年到位资金</w:t>
      </w:r>
      <w:r>
        <w:rPr>
          <w:rFonts w:hint="eastAsia" w:ascii="仿宋" w:hAnsi="仿宋" w:eastAsia="仿宋" w:cs="仿宋"/>
          <w:color w:val="000000"/>
          <w:kern w:val="0"/>
          <w:sz w:val="31"/>
          <w:szCs w:val="31"/>
          <w:lang w:val="en-US" w:eastAsia="zh-CN" w:bidi="ar"/>
        </w:rPr>
        <w:t>10505.95</w:t>
      </w:r>
      <w:r>
        <w:rPr>
          <w:rFonts w:hint="eastAsia" w:ascii="仿宋" w:hAnsi="仿宋" w:eastAsia="仿宋" w:cs="仿宋"/>
          <w:i w:val="0"/>
          <w:iCs w:val="0"/>
          <w:caps w:val="0"/>
          <w:color w:val="000000"/>
          <w:spacing w:val="0"/>
          <w:sz w:val="32"/>
          <w:szCs w:val="32"/>
          <w:shd w:val="clear" w:fill="FFFFFF"/>
          <w:lang w:val="en-US" w:eastAsia="zh-CN"/>
        </w:rPr>
        <w:t>万元，实际预算执行8179.83万元，结转70.17万元，实际支付率99.15%，根据评分标准，本项指标得2.97分。</w:t>
      </w:r>
    </w:p>
    <w:p w14:paraId="667797C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资金使用合规性（4分）：经查财务支付凭证，有11笔支付款项计39.66万元用于家属区的房屋和路面维修改造，不符合高质量发展专项资金管理使用办法的规定，根据评分标准，扣2分；资金的拨付有完整的审批程序和手续，计1分；资金支付符合项目合同规定的用途，得1分。本项指标共计得2分。</w:t>
      </w:r>
    </w:p>
    <w:p w14:paraId="5CC8F50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④资金支付及时性（2分）：经抽查部分财务支付资料，各</w:t>
      </w:r>
    </w:p>
    <w:p w14:paraId="69EEC571">
      <w:pPr>
        <w:keepNext w:val="0"/>
        <w:keepLines w:val="0"/>
        <w:pageBreakBefore w:val="0"/>
        <w:widowControl/>
        <w:suppressLineNumbers w:val="0"/>
        <w:kinsoku/>
        <w:wordWrap/>
        <w:overflowPunct/>
        <w:topLinePunct w:val="0"/>
        <w:autoSpaceDE/>
        <w:autoSpaceDN/>
        <w:bidi w:val="0"/>
        <w:adjustRightInd/>
        <w:snapToGrid/>
        <w:spacing w:line="552" w:lineRule="exact"/>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种项目合同款按合同约定并经质量验收后及时支付，无超付现象。根据评分标准，根据评分标准，本项指标得满分2分。</w:t>
      </w:r>
    </w:p>
    <w:p w14:paraId="15DE6C89">
      <w:pPr>
        <w:keepNext w:val="0"/>
        <w:keepLines w:val="0"/>
        <w:pageBreakBefore w:val="0"/>
        <w:widowControl/>
        <w:suppressLineNumbers w:val="0"/>
        <w:kinsoku/>
        <w:wordWrap/>
        <w:overflowPunct/>
        <w:topLinePunct w:val="0"/>
        <w:autoSpaceDE/>
        <w:autoSpaceDN/>
        <w:bidi w:val="0"/>
        <w:adjustRightInd/>
        <w:snapToGrid/>
        <w:spacing w:line="552" w:lineRule="exact"/>
        <w:ind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 xml:space="preserve"> ⑤会计信息（4分）：经抽查部分资金支出会计核算资料、固定资产管理台账，会计信息真实、规范、完整。根据评分标准，</w:t>
      </w:r>
    </w:p>
    <w:p w14:paraId="04A782BA">
      <w:pPr>
        <w:keepNext w:val="0"/>
        <w:keepLines w:val="0"/>
        <w:pageBreakBefore w:val="0"/>
        <w:widowControl/>
        <w:suppressLineNumbers w:val="0"/>
        <w:kinsoku/>
        <w:wordWrap/>
        <w:overflowPunct/>
        <w:topLinePunct w:val="0"/>
        <w:autoSpaceDE/>
        <w:autoSpaceDN/>
        <w:bidi w:val="0"/>
        <w:adjustRightInd/>
        <w:snapToGrid/>
        <w:spacing w:line="552" w:lineRule="exact"/>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lang w:val="en-US" w:eastAsia="zh-CN"/>
        </w:rPr>
        <w:t xml:space="preserve"> </w:t>
      </w:r>
      <w:r>
        <w:rPr>
          <w:rFonts w:hint="eastAsia" w:ascii="仿宋" w:hAnsi="仿宋" w:eastAsia="仿宋" w:cs="仿宋"/>
          <w:i w:val="0"/>
          <w:iCs w:val="0"/>
          <w:caps w:val="0"/>
          <w:color w:val="000000"/>
          <w:spacing w:val="0"/>
          <w:sz w:val="32"/>
          <w:szCs w:val="32"/>
          <w:shd w:val="clear" w:fill="FFFFFF"/>
          <w:lang w:val="en-US" w:eastAsia="zh-CN"/>
        </w:rPr>
        <w:t>本项指标得满分4分。</w:t>
      </w:r>
    </w:p>
    <w:p w14:paraId="0ABAC62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2" w:lineRule="exact"/>
        <w:ind w:left="0" w:right="0" w:firstLine="640" w:firstLineChars="200"/>
        <w:jc w:val="both"/>
        <w:textAlignment w:val="baseline"/>
        <w:rPr>
          <w:rFonts w:hint="eastAsia" w:ascii="仿宋" w:hAnsi="仿宋" w:eastAsia="仿宋" w:cs="仿宋"/>
          <w:b w:val="0"/>
          <w:bCs w:val="0"/>
          <w:snapToGrid w:val="0"/>
          <w:color w:val="000000"/>
          <w:kern w:val="0"/>
          <w:sz w:val="32"/>
          <w:szCs w:val="32"/>
          <w:shd w:val="clear" w:color="auto" w:fill="FFFFFF"/>
          <w:lang w:val="en-US" w:eastAsia="zh-CN" w:bidi="ar-SA"/>
        </w:rPr>
      </w:pPr>
      <w:r>
        <w:rPr>
          <w:rFonts w:hint="eastAsia" w:ascii="仿宋" w:hAnsi="仿宋" w:eastAsia="仿宋" w:cs="仿宋"/>
          <w:b w:val="0"/>
          <w:bCs w:val="0"/>
          <w:snapToGrid w:val="0"/>
          <w:color w:val="000000"/>
          <w:kern w:val="0"/>
          <w:sz w:val="32"/>
          <w:szCs w:val="32"/>
          <w:shd w:val="clear" w:color="auto" w:fill="FFFFFF"/>
          <w:lang w:val="en-US" w:eastAsia="zh-CN" w:bidi="ar-SA"/>
        </w:rPr>
        <w:t>（2）组织实施指标（12分），得10.5分</w:t>
      </w:r>
    </w:p>
    <w:p w14:paraId="35819EBF">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①</w:t>
      </w:r>
      <w:r>
        <w:rPr>
          <w:rFonts w:hint="eastAsia" w:ascii="仿宋" w:hAnsi="仿宋" w:eastAsia="仿宋" w:cs="仿宋"/>
          <w:i w:val="0"/>
          <w:iCs w:val="0"/>
          <w:caps w:val="0"/>
          <w:color w:val="000000"/>
          <w:spacing w:val="0"/>
          <w:sz w:val="32"/>
          <w:szCs w:val="32"/>
          <w:shd w:val="clear" w:fill="FFFFFF"/>
          <w:lang w:eastAsia="zh-CN"/>
        </w:rPr>
        <w:t>管理制度健全性（</w:t>
      </w:r>
      <w:r>
        <w:rPr>
          <w:rFonts w:hint="eastAsia" w:ascii="仿宋" w:hAnsi="仿宋" w:eastAsia="仿宋" w:cs="仿宋"/>
          <w:i w:val="0"/>
          <w:iCs w:val="0"/>
          <w:caps w:val="0"/>
          <w:color w:val="000000"/>
          <w:spacing w:val="0"/>
          <w:sz w:val="32"/>
          <w:szCs w:val="32"/>
          <w:shd w:val="clear" w:fill="FFFFFF"/>
          <w:lang w:val="en-US" w:eastAsia="zh-CN"/>
        </w:rPr>
        <w:t>2分</w:t>
      </w:r>
      <w:r>
        <w:rPr>
          <w:rFonts w:hint="eastAsia" w:ascii="仿宋" w:hAnsi="仿宋" w:eastAsia="仿宋" w:cs="仿宋"/>
          <w:i w:val="0"/>
          <w:iCs w:val="0"/>
          <w:caps w:val="0"/>
          <w:color w:val="000000"/>
          <w:spacing w:val="0"/>
          <w:sz w:val="32"/>
          <w:szCs w:val="32"/>
          <w:shd w:val="clear" w:fill="FFFFFF"/>
          <w:lang w:eastAsia="zh-CN"/>
        </w:rPr>
        <w:t>）：市中心医院制定了《高质量发展专项资金管理使用办法》《招标采购管理办法》《医院财务制度》，制度和管理办法合法、合规、完整，</w:t>
      </w:r>
      <w:r>
        <w:rPr>
          <w:rFonts w:hint="eastAsia" w:ascii="仿宋" w:hAnsi="仿宋" w:eastAsia="仿宋" w:cs="仿宋"/>
          <w:i w:val="0"/>
          <w:iCs w:val="0"/>
          <w:caps w:val="0"/>
          <w:color w:val="000000"/>
          <w:spacing w:val="0"/>
          <w:sz w:val="32"/>
          <w:szCs w:val="32"/>
          <w:shd w:val="clear" w:fill="FFFFFF"/>
          <w:lang w:val="en-US" w:eastAsia="zh-CN"/>
        </w:rPr>
        <w:t>根据评分标准，本项指标得</w:t>
      </w:r>
      <w:r>
        <w:rPr>
          <w:rFonts w:hint="eastAsia" w:ascii="仿宋" w:hAnsi="仿宋" w:eastAsia="仿宋" w:cs="仿宋"/>
          <w:i w:val="0"/>
          <w:iCs w:val="0"/>
          <w:caps w:val="0"/>
          <w:color w:val="000000"/>
          <w:spacing w:val="0"/>
          <w:sz w:val="32"/>
          <w:szCs w:val="32"/>
          <w:shd w:val="clear" w:fill="FFFFFF"/>
          <w:lang w:eastAsia="zh-CN"/>
        </w:rPr>
        <w:t>满分</w:t>
      </w:r>
      <w:r>
        <w:rPr>
          <w:rFonts w:hint="eastAsia" w:ascii="仿宋" w:hAnsi="仿宋" w:eastAsia="仿宋" w:cs="仿宋"/>
          <w:i w:val="0"/>
          <w:iCs w:val="0"/>
          <w:caps w:val="0"/>
          <w:color w:val="000000"/>
          <w:spacing w:val="0"/>
          <w:sz w:val="32"/>
          <w:szCs w:val="32"/>
          <w:shd w:val="clear" w:fill="FFFFFF"/>
          <w:lang w:val="en-US" w:eastAsia="zh-CN"/>
        </w:rPr>
        <w:t>2分。</w:t>
      </w:r>
    </w:p>
    <w:p w14:paraId="53A0DDAC">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 xml:space="preserve">②制度执行有效性(4分)：遵守相关法律法规和相关管理规定，项目调整及支出调整手续完备，项目合同书、验收报告、技术鉴定等资料齐全并及时归档，项目实施的人员条件、场地设备、信息支撑等落实到位，根据评分标准，本项指标得满分4分。 </w:t>
      </w:r>
    </w:p>
    <w:p w14:paraId="32A01669">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项目管理规范性（4分）：合同管理规范方面有9个设备临时维修维保和房屋零星维修项目未签订施工维修合同，扣1分，项目验收管理规范，得1分，资金管理规范，严格执行财务制度，得1分，本项指标共计得分3分。</w:t>
      </w:r>
    </w:p>
    <w:p w14:paraId="4C393183">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④绩效自评（2分）：对2024年度项目支出进行了绩效自评，绩效自评报告内容、数据基本符合要求，评审结果为“良”，根据评分标准，本项指标得分1.5分。</w:t>
      </w:r>
    </w:p>
    <w:p w14:paraId="61DDA625">
      <w:pPr>
        <w:keepNext w:val="0"/>
        <w:keepLines w:val="0"/>
        <w:pageBreakBefore w:val="0"/>
        <w:kinsoku/>
        <w:wordWrap/>
        <w:overflowPunct/>
        <w:topLinePunct w:val="0"/>
        <w:autoSpaceDE/>
        <w:autoSpaceDN/>
        <w:bidi w:val="0"/>
        <w:adjustRightInd/>
        <w:snapToGrid/>
        <w:spacing w:line="552" w:lineRule="exact"/>
        <w:ind w:firstLine="643" w:firstLineChars="200"/>
        <w:jc w:val="both"/>
        <w:rPr>
          <w:rFonts w:hint="default" w:ascii="仿宋" w:hAnsi="仿宋" w:eastAsia="仿宋" w:cs="仿宋"/>
          <w:b/>
          <w:bCs/>
          <w:i w:val="0"/>
          <w:iCs w:val="0"/>
          <w:caps w:val="0"/>
          <w:color w:val="000000"/>
          <w:spacing w:val="0"/>
          <w:sz w:val="32"/>
          <w:szCs w:val="32"/>
          <w:shd w:val="clear" w:fill="FFFFFF"/>
          <w:lang w:val="en-US" w:eastAsia="zh-CN"/>
        </w:rPr>
      </w:pPr>
      <w:r>
        <w:rPr>
          <w:rFonts w:hint="eastAsia" w:ascii="仿宋" w:hAnsi="仿宋" w:eastAsia="仿宋" w:cs="仿宋"/>
          <w:b/>
          <w:bCs/>
          <w:i w:val="0"/>
          <w:iCs w:val="0"/>
          <w:caps w:val="0"/>
          <w:color w:val="000000"/>
          <w:spacing w:val="0"/>
          <w:sz w:val="32"/>
          <w:szCs w:val="32"/>
          <w:shd w:val="clear" w:fill="FFFFFF"/>
          <w:lang w:val="en-US" w:eastAsia="zh-CN"/>
        </w:rPr>
        <w:t>3.产出指标（41分）：得39.74分</w:t>
      </w:r>
    </w:p>
    <w:p w14:paraId="157D7886">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（1）党建引领（10分）,得10分</w:t>
      </w:r>
    </w:p>
    <w:p w14:paraId="227C80C8">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①党委领导下的院长负责制落实情况（4分），得4分</w:t>
      </w:r>
    </w:p>
    <w:p w14:paraId="11EA4073">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A)把“实行党委领导下的院长负责制”内容写入医院章程(1分)：根据中共中央办公厅《关于加强公立医院党的建设工作的意见》( 中办发〔2018〕35号)、国家卫生健康委党组《关于加强公立医院党的建设工作的意见实施办法》( 国卫健党发〔2018〕29号)、《国务院办公厅关于推动公立医院高质量发展的意见》( 国办发〔2021〕18号)等文件要求，全国所有公立医院实行党委领导下的院长负责制。市中心医院把“实行党委领导下的院长负责制”写入医院章程，并认真贯彻执行，根据评分标准，本项指标得满分1分；</w:t>
      </w:r>
    </w:p>
    <w:p w14:paraId="23DD878E">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B)把“三重一大”等重大问题由院长办公会研究讨论纳入医院党委会和院长办公会议事规则内容（1分）。经查医院党委会和院长办公会议事规则已经明确为主要内容，根据评分标准，本项指标得满分1分。</w:t>
      </w:r>
    </w:p>
    <w:p w14:paraId="35F7661F">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C)医院党委会会议纪要（2分）：每季度提供一份会议纪要,议定事项能够体现党委领导作用。提供了2024年度每季一份会议纪要，议定事项体现了党委领导作用，根据评分标准，本项指标得满分2分。</w:t>
      </w:r>
    </w:p>
    <w:p w14:paraId="210855F8">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②党组织和党员队伍建设情况（4分），得4分</w:t>
      </w:r>
    </w:p>
    <w:p w14:paraId="5FCC3272">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医院实施临床医技科室党支部书记“双带头人”培育工程，建立健全把业务骨干培养成党员,把党员培养成医疗、教学、科研、管理骨干的“双培养”机制,党支部和党员发挥作用情况。</w:t>
      </w:r>
    </w:p>
    <w:p w14:paraId="0AD6CB45">
      <w:pPr>
        <w:keepNext w:val="0"/>
        <w:keepLines w:val="0"/>
        <w:pageBreakBefore w:val="0"/>
        <w:kinsoku/>
        <w:wordWrap/>
        <w:overflowPunct/>
        <w:topLinePunct w:val="0"/>
        <w:autoSpaceDE/>
        <w:autoSpaceDN/>
        <w:bidi w:val="0"/>
        <w:adjustRightInd/>
        <w:snapToGrid/>
        <w:spacing w:line="552" w:lineRule="exact"/>
        <w:ind w:firstLine="640" w:firstLineChars="200"/>
        <w:jc w:val="both"/>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2024年在岗卫生技术人员中的党员人数1002人，占在岗卫生技术人员总数47.8%，在岗高知群体中的党员数809人,占党员总人数95.74 %，占在岗高知群体人数80.74%。发展党员工作注重发展医疗专家、学科带头人、优秀青年医务人员入党，党组织和党员作用发挥突出。根据评分标准，本项指标得满分4分。</w:t>
      </w:r>
    </w:p>
    <w:p w14:paraId="672E00B0">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党委承担党建工作主体责任，强化党建工作保障，建立健全党务工作机构，配齐配强专职党务工作人员（1分）。医院有党总(支部)31个,31名党总（支部）书记全部由内设机构负责人担任。根据国家卫生健康委党组《关于加强公立医院党的建设工作的意见实施办法》要求，按照不低于职工总数的0.5%,配齐配强专职党务工作人员，2024年末在职职工人数2543人，应配专职党务工作人员12.7人，实配14人，有力地推动党务工作队伍专业化职业化建设，落实了党建工作主体责任，根据评分标准，本项指标得满分1分。</w:t>
      </w:r>
    </w:p>
    <w:p w14:paraId="6CAAF3AC">
      <w:pPr>
        <w:keepNext w:val="0"/>
        <w:keepLines w:val="0"/>
        <w:pageBreakBefore w:val="0"/>
        <w:numPr>
          <w:ilvl w:val="0"/>
          <w:numId w:val="5"/>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政府责任落实（6分），得6分</w:t>
      </w:r>
    </w:p>
    <w:p w14:paraId="16E42A37">
      <w:pPr>
        <w:keepNext w:val="0"/>
        <w:keepLines w:val="0"/>
        <w:pageBreakBefore w:val="0"/>
        <w:numPr>
          <w:ilvl w:val="0"/>
          <w:numId w:val="0"/>
        </w:numPr>
        <w:kinsoku/>
        <w:wordWrap/>
        <w:overflowPunct/>
        <w:topLinePunct w:val="0"/>
        <w:autoSpaceDE/>
        <w:autoSpaceDN/>
        <w:bidi w:val="0"/>
        <w:adjustRightInd/>
        <w:snapToGrid/>
        <w:spacing w:line="560" w:lineRule="exact"/>
        <w:jc w:val="both"/>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 xml:space="preserve">    ① 财政补助收入占总支出比重(2分)：2023年财政补助6654.74万元，2024年财政补助16079.93万元，分别占总支出4.4%、6.59%，财政补助收入占比逐步提高。根据评分标准，本项指标得满分2分。</w:t>
      </w:r>
    </w:p>
    <w:p w14:paraId="548C7C3C">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②</w:t>
      </w:r>
      <w:r>
        <w:rPr>
          <w:rFonts w:hint="eastAsia" w:ascii="仿宋" w:hAnsi="仿宋" w:eastAsia="仿宋" w:cs="仿宋"/>
          <w:i w:val="0"/>
          <w:iCs w:val="0"/>
          <w:caps w:val="0"/>
          <w:color w:val="000000"/>
          <w:spacing w:val="0"/>
          <w:sz w:val="32"/>
          <w:szCs w:val="32"/>
          <w:shd w:val="clear" w:fill="FFFFFF"/>
          <w:lang w:val="en-US" w:eastAsia="zh-CN"/>
        </w:rPr>
        <w:t>医院医护比（2分）：《益阳市推动公立医院高质量发展实施方案》中提出，通过五年努力，公立医院医护比逐步达到1</w:t>
      </w:r>
      <w:r>
        <w:rPr>
          <w:rFonts w:hint="eastAsia" w:ascii="仿宋" w:hAnsi="仿宋" w:eastAsia="仿宋" w:cs="仿宋"/>
          <w:i w:val="0"/>
          <w:iCs w:val="0"/>
          <w:caps w:val="0"/>
          <w:color w:val="000000"/>
          <w:spacing w:val="0"/>
          <w:sz w:val="32"/>
          <w:szCs w:val="32"/>
          <w:shd w:val="clear" w:fill="FFFFFF"/>
        </w:rPr>
        <w:t>：2左右。</w:t>
      </w:r>
      <w:r>
        <w:rPr>
          <w:rFonts w:hint="eastAsia" w:ascii="仿宋" w:hAnsi="仿宋" w:eastAsia="仿宋" w:cs="仿宋"/>
          <w:i w:val="0"/>
          <w:iCs w:val="0"/>
          <w:caps w:val="0"/>
          <w:color w:val="000000"/>
          <w:spacing w:val="0"/>
          <w:sz w:val="32"/>
          <w:szCs w:val="32"/>
          <w:shd w:val="clear" w:fill="FFFFFF"/>
          <w:lang w:val="en-US" w:eastAsia="zh-CN"/>
        </w:rPr>
        <w:t>2023、2024年市中心医院医护比分别为1:1.71、1：1.78，基本达到现阶段要求，根据评分标准，本项指标得满分2分。</w:t>
      </w:r>
    </w:p>
    <w:p w14:paraId="0DF9287B">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③医院人员薪酬中固定部分占比（2分）：2024年薪酬中固定部分占比达41.6%，较2023年同期提高0.28%，实现逐步提高目标。根据评分标准，本项指标得满分2分。</w:t>
      </w:r>
    </w:p>
    <w:p w14:paraId="0A4D1E4D">
      <w:pPr>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医院专科能力（9分），得8.54分</w:t>
      </w:r>
    </w:p>
    <w:p w14:paraId="4830E9D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①</w:t>
      </w:r>
      <w:r>
        <w:rPr>
          <w:rFonts w:hint="eastAsia" w:ascii="仿宋" w:hAnsi="仿宋" w:eastAsia="仿宋" w:cs="仿宋"/>
          <w:i w:val="0"/>
          <w:iCs w:val="0"/>
          <w:caps w:val="0"/>
          <w:color w:val="000000"/>
          <w:spacing w:val="0"/>
          <w:sz w:val="32"/>
          <w:szCs w:val="32"/>
          <w:shd w:val="clear" w:fill="FFFFFF"/>
          <w:lang w:val="en-US" w:eastAsia="zh-CN"/>
        </w:rPr>
        <w:t>出院患者四级手术占出院患者手术比例（%）3分：2024年占比17.7%，较2023年占比18.8%，下降1.1%。参照2023年全国公立三级医院平均占比20.09%，确定2024年目标值为20%，因此2024年出院患者四级手术百分率差2.3%,根据评分标准，每欠1%扣0.2分，故扣0.46分，本项指标得2.54分。</w:t>
      </w:r>
    </w:p>
    <w:p w14:paraId="3D82050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②出院手术患者微创手术占出</w:t>
      </w:r>
      <w:r>
        <w:rPr>
          <w:rFonts w:hint="eastAsia" w:ascii="仿宋" w:hAnsi="仿宋" w:eastAsia="仿宋" w:cs="仿宋"/>
          <w:i w:val="0"/>
          <w:iCs w:val="0"/>
          <w:caps w:val="0"/>
          <w:color w:val="000000"/>
          <w:spacing w:val="0"/>
          <w:sz w:val="32"/>
          <w:szCs w:val="32"/>
          <w:shd w:val="clear" w:fill="FFFFFF"/>
          <w:lang w:val="en-US" w:eastAsia="zh-CN"/>
        </w:rPr>
        <w:t>院患者手术比例（%）3分：2024年出院手术患者微创手术占比达22.47%，虽下降了0.82%，仍高于2023年全国公立三级医院平均20.59%的比例，根据评分标准，本项指标得满分3分。</w:t>
      </w:r>
    </w:p>
    <w:p w14:paraId="0DC60D25">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default"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w:t>
      </w:r>
      <w:r>
        <w:rPr>
          <w:rFonts w:hint="eastAsia" w:ascii="仿宋" w:hAnsi="仿宋" w:eastAsia="仿宋" w:cs="仿宋"/>
          <w:i w:val="0"/>
          <w:iCs w:val="0"/>
          <w:caps w:val="0"/>
          <w:color w:val="000000"/>
          <w:spacing w:val="0"/>
          <w:sz w:val="32"/>
          <w:szCs w:val="32"/>
          <w:highlight w:val="none"/>
          <w:shd w:val="clear" w:fill="FFFFFF"/>
          <w:lang w:val="en-US" w:eastAsia="zh-CN"/>
        </w:rPr>
        <w:t>患者平均住院日（1分），2024年患者平均住院日为7.7天，达到2024年全国公立三级医院的平均水平，</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1分。</w:t>
      </w:r>
    </w:p>
    <w:p w14:paraId="66BBA7B4">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④</w:t>
      </w:r>
      <w:r>
        <w:rPr>
          <w:rFonts w:hint="default" w:ascii="仿宋" w:hAnsi="仿宋" w:eastAsia="仿宋" w:cs="仿宋"/>
          <w:i w:val="0"/>
          <w:iCs w:val="0"/>
          <w:caps w:val="0"/>
          <w:color w:val="000000"/>
          <w:spacing w:val="0"/>
          <w:sz w:val="32"/>
          <w:szCs w:val="32"/>
          <w:highlight w:val="none"/>
          <w:shd w:val="clear" w:fill="FFFFFF"/>
          <w:lang w:val="en-US" w:eastAsia="zh-CN"/>
        </w:rPr>
        <w:t>人均住院费用增长率</w:t>
      </w:r>
      <w:r>
        <w:rPr>
          <w:rFonts w:hint="eastAsia" w:ascii="仿宋" w:hAnsi="仿宋" w:eastAsia="仿宋" w:cs="仿宋"/>
          <w:i w:val="0"/>
          <w:iCs w:val="0"/>
          <w:caps w:val="0"/>
          <w:color w:val="000000"/>
          <w:spacing w:val="0"/>
          <w:sz w:val="32"/>
          <w:szCs w:val="32"/>
          <w:highlight w:val="none"/>
          <w:shd w:val="clear" w:fill="FFFFFF"/>
          <w:lang w:val="en-US" w:eastAsia="zh-CN"/>
        </w:rPr>
        <w:t>（2分）：2024年</w:t>
      </w:r>
      <w:r>
        <w:rPr>
          <w:rFonts w:hint="default" w:ascii="仿宋" w:hAnsi="仿宋" w:eastAsia="仿宋" w:cs="仿宋"/>
          <w:i w:val="0"/>
          <w:iCs w:val="0"/>
          <w:caps w:val="0"/>
          <w:color w:val="000000"/>
          <w:spacing w:val="0"/>
          <w:sz w:val="32"/>
          <w:szCs w:val="32"/>
          <w:highlight w:val="none"/>
          <w:shd w:val="clear" w:fill="FFFFFF"/>
          <w:lang w:val="en-US" w:eastAsia="zh-CN"/>
        </w:rPr>
        <w:t>人均住院费用</w:t>
      </w:r>
      <w:r>
        <w:rPr>
          <w:rFonts w:hint="eastAsia" w:ascii="仿宋" w:hAnsi="仿宋" w:eastAsia="仿宋" w:cs="仿宋"/>
          <w:i w:val="0"/>
          <w:iCs w:val="0"/>
          <w:caps w:val="0"/>
          <w:color w:val="000000"/>
          <w:spacing w:val="0"/>
          <w:sz w:val="32"/>
          <w:szCs w:val="32"/>
          <w:highlight w:val="none"/>
          <w:shd w:val="clear" w:fill="FFFFFF"/>
          <w:lang w:val="en-US" w:eastAsia="zh-CN"/>
        </w:rPr>
        <w:t>11462.45元，较2023年下降11.68%，且低于全国公立三级医院平均费用</w:t>
      </w:r>
      <w:r>
        <w:rPr>
          <w:rFonts w:ascii="仿宋" w:hAnsi="仿宋" w:eastAsia="仿宋" w:cs="仿宋"/>
          <w:i w:val="0"/>
          <w:iCs w:val="0"/>
          <w:caps w:val="0"/>
          <w:color w:val="484848"/>
          <w:spacing w:val="0"/>
          <w:sz w:val="32"/>
          <w:szCs w:val="32"/>
        </w:rPr>
        <w:t>12031.3</w:t>
      </w:r>
      <w:r>
        <w:rPr>
          <w:rFonts w:hint="eastAsia" w:ascii="仿宋" w:hAnsi="仿宋" w:eastAsia="仿宋" w:cs="仿宋"/>
          <w:i w:val="0"/>
          <w:iCs w:val="0"/>
          <w:caps w:val="0"/>
          <w:color w:val="000000"/>
          <w:spacing w:val="0"/>
          <w:sz w:val="32"/>
          <w:szCs w:val="32"/>
          <w:highlight w:val="none"/>
          <w:shd w:val="clear" w:fill="FFFFFF"/>
          <w:lang w:val="en-US" w:eastAsia="zh-CN"/>
        </w:rPr>
        <w:t>元，实现5%增幅控制目标，</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2分。</w:t>
      </w:r>
      <w:bookmarkStart w:id="3" w:name="_GoBack"/>
      <w:bookmarkEnd w:id="3"/>
    </w:p>
    <w:p w14:paraId="70304473">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（4）</w:t>
      </w:r>
      <w:r>
        <w:rPr>
          <w:rFonts w:hint="eastAsia" w:ascii="仿宋" w:hAnsi="仿宋" w:eastAsia="仿宋" w:cs="仿宋"/>
          <w:i w:val="0"/>
          <w:iCs w:val="0"/>
          <w:caps w:val="0"/>
          <w:color w:val="000000"/>
          <w:spacing w:val="0"/>
          <w:sz w:val="32"/>
          <w:szCs w:val="32"/>
          <w:shd w:val="clear" w:fill="FFFFFF"/>
          <w:lang w:val="en-US" w:eastAsia="zh-CN"/>
        </w:rPr>
        <w:t>医疗质量安全（9分）,得9分</w:t>
      </w:r>
    </w:p>
    <w:p w14:paraId="2EF55DE8">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①</w:t>
      </w:r>
      <w:r>
        <w:rPr>
          <w:rFonts w:hint="eastAsia" w:ascii="仿宋" w:hAnsi="仿宋" w:eastAsia="仿宋" w:cs="仿宋"/>
          <w:i w:val="0"/>
          <w:iCs w:val="0"/>
          <w:caps w:val="0"/>
          <w:color w:val="000000"/>
          <w:spacing w:val="0"/>
          <w:sz w:val="32"/>
          <w:szCs w:val="32"/>
          <w:shd w:val="clear" w:fill="FFFFFF"/>
          <w:lang w:val="en-US" w:eastAsia="zh-CN"/>
        </w:rPr>
        <w:t>基于择期手术患者并发症发生率（2分）：2023年下半年为0.51%，2024年为0.005%。2023年全国三级公立医院手术患者并发症发生率为0.73%，通过对比，手术患者并发症发生率低于全国三级医院平均占比。根据评分标准，本项指标得满分2分。</w:t>
      </w:r>
    </w:p>
    <w:p w14:paraId="120C5501">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②</w:t>
      </w:r>
      <w:r>
        <w:rPr>
          <w:rFonts w:hint="eastAsia" w:ascii="仿宋" w:hAnsi="仿宋" w:eastAsia="仿宋" w:cs="仿宋"/>
          <w:i w:val="0"/>
          <w:iCs w:val="0"/>
          <w:caps w:val="0"/>
          <w:color w:val="000000"/>
          <w:spacing w:val="0"/>
          <w:sz w:val="32"/>
          <w:szCs w:val="32"/>
          <w:shd w:val="clear" w:fill="FFFFFF"/>
          <w:lang w:val="en-US" w:eastAsia="zh-CN"/>
        </w:rPr>
        <w:t>Ⅰ类切口手术部位感染率（2分）：2023年下半年为0.02%，2024年为0.0013%。根据2023年三级公立医院绩效考核指标，Ⅰ类切口手术部位感染率的目标值为≤1%（优秀）。2023、2024年感染率处于较低水平，居优秀行列。根据评分标准，本项指标得满分2分。</w:t>
      </w:r>
    </w:p>
    <w:p w14:paraId="61F9534B">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③低风险组病例死亡率（2分）：2023、2024年均无死亡病例。根据评分标准，本项指标得满分2分。</w:t>
      </w:r>
    </w:p>
    <w:p w14:paraId="363142B0">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④CMI值（病例组合指数）2分：2024年CMI值为0.96，较2023年提高了0.01，根据评分标准，有提升，计2分，每下降0.01，扣0.1，根据评分标准，本项指标得满分2分。</w:t>
      </w:r>
    </w:p>
    <w:p w14:paraId="6B4F7B92">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⑤</w:t>
      </w:r>
      <w:r>
        <w:rPr>
          <w:rFonts w:hint="eastAsia" w:ascii="仿宋" w:hAnsi="仿宋" w:eastAsia="仿宋" w:cs="仿宋"/>
          <w:i w:val="0"/>
          <w:iCs w:val="0"/>
          <w:caps w:val="0"/>
          <w:color w:val="000000"/>
          <w:spacing w:val="0"/>
          <w:sz w:val="32"/>
          <w:szCs w:val="32"/>
          <w:highlight w:val="none"/>
          <w:shd w:val="clear" w:fill="FFFFFF"/>
          <w:lang w:val="en-US" w:eastAsia="zh-CN"/>
        </w:rPr>
        <w:t>抗菌药物使用强度(DDDs)1分：抗菌药物使用强度2024年为35.08，较2023年下降0.79，</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1分。</w:t>
      </w:r>
    </w:p>
    <w:p w14:paraId="4AB9BFD3">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（5）医疗服务效率（7分），得6.2分</w:t>
      </w:r>
    </w:p>
    <w:p w14:paraId="6BB32A8D">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①住院医师规范化培训制度落实效果（2分）：新进医疗岗位的本科及以上学历临床医师培训率100%，结业综合考试合格率100%，</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2分。</w:t>
      </w:r>
    </w:p>
    <w:p w14:paraId="3D74646E">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②时间消耗指数（2分）：</w:t>
      </w:r>
      <w:r>
        <w:rPr>
          <w:rFonts w:hint="eastAsia" w:ascii="仿宋" w:hAnsi="仿宋" w:eastAsia="仿宋" w:cs="仿宋"/>
          <w:i w:val="0"/>
          <w:iCs w:val="0"/>
          <w:caps w:val="0"/>
          <w:color w:val="000000"/>
          <w:spacing w:val="0"/>
          <w:sz w:val="32"/>
          <w:szCs w:val="32"/>
          <w:shd w:val="clear" w:fill="FFFFFF"/>
          <w:lang w:val="en-US" w:eastAsia="zh-CN"/>
        </w:rPr>
        <w:t>2024年时间消耗指数为1.12，较2023年增加了0.01，根据评分标准，时间消耗指数值2024年较2023年有减少，计2分，未减少，每增加0.01，扣0.2分。时间消耗指数2024年较2023年增加了0.01，本项指标扣0.2分，得1.8分。</w:t>
      </w:r>
    </w:p>
    <w:p w14:paraId="0BA6121E">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w:t>
      </w:r>
      <w:r>
        <w:rPr>
          <w:rFonts w:hint="eastAsia" w:ascii="仿宋" w:hAnsi="仿宋" w:eastAsia="仿宋" w:cs="仿宋"/>
          <w:i w:val="0"/>
          <w:iCs w:val="0"/>
          <w:caps w:val="0"/>
          <w:color w:val="000000"/>
          <w:spacing w:val="0"/>
          <w:sz w:val="32"/>
          <w:szCs w:val="32"/>
          <w:highlight w:val="none"/>
          <w:shd w:val="clear" w:fill="FFFFFF"/>
          <w:lang w:val="en-US" w:eastAsia="zh-CN"/>
        </w:rPr>
        <w:t>次均门诊费用增长率（1分）：2024年次均门诊费用为302.28元，较2023年同期下降12.2%，且低于全国公立三级医院平均费用384.5元，实现5%增幅控制目标，</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1分。</w:t>
      </w:r>
    </w:p>
    <w:p w14:paraId="64903CA3">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default"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④</w:t>
      </w:r>
      <w:r>
        <w:rPr>
          <w:rFonts w:hint="default" w:ascii="仿宋" w:hAnsi="仿宋" w:eastAsia="仿宋" w:cs="仿宋"/>
          <w:i w:val="0"/>
          <w:iCs w:val="0"/>
          <w:caps w:val="0"/>
          <w:color w:val="000000"/>
          <w:spacing w:val="0"/>
          <w:sz w:val="32"/>
          <w:szCs w:val="32"/>
          <w:highlight w:val="none"/>
          <w:shd w:val="clear" w:fill="FFFFFF"/>
          <w:lang w:val="en-US" w:eastAsia="zh-CN"/>
        </w:rPr>
        <w:t>出院人次数</w:t>
      </w:r>
      <w:r>
        <w:rPr>
          <w:rFonts w:hint="eastAsia" w:ascii="仿宋" w:hAnsi="仿宋" w:eastAsia="仿宋" w:cs="仿宋"/>
          <w:i w:val="0"/>
          <w:iCs w:val="0"/>
          <w:caps w:val="0"/>
          <w:color w:val="000000"/>
          <w:spacing w:val="0"/>
          <w:sz w:val="32"/>
          <w:szCs w:val="32"/>
          <w:highlight w:val="none"/>
          <w:shd w:val="clear" w:fill="FFFFFF"/>
          <w:lang w:val="en-US" w:eastAsia="zh-CN"/>
        </w:rPr>
        <w:t>占</w:t>
      </w:r>
      <w:r>
        <w:rPr>
          <w:rFonts w:hint="default" w:ascii="仿宋" w:hAnsi="仿宋" w:eastAsia="仿宋" w:cs="仿宋"/>
          <w:i w:val="0"/>
          <w:iCs w:val="0"/>
          <w:caps w:val="0"/>
          <w:color w:val="000000"/>
          <w:spacing w:val="0"/>
          <w:sz w:val="32"/>
          <w:szCs w:val="32"/>
          <w:highlight w:val="none"/>
          <w:shd w:val="clear" w:fill="FFFFFF"/>
          <w:lang w:val="en-US" w:eastAsia="zh-CN"/>
        </w:rPr>
        <w:t>门诊人次数</w:t>
      </w:r>
      <w:r>
        <w:rPr>
          <w:rFonts w:hint="eastAsia" w:ascii="仿宋" w:hAnsi="仿宋" w:eastAsia="仿宋" w:cs="仿宋"/>
          <w:i w:val="0"/>
          <w:iCs w:val="0"/>
          <w:caps w:val="0"/>
          <w:color w:val="000000"/>
          <w:spacing w:val="0"/>
          <w:sz w:val="32"/>
          <w:szCs w:val="32"/>
          <w:highlight w:val="none"/>
          <w:shd w:val="clear" w:fill="FFFFFF"/>
          <w:lang w:val="en-US" w:eastAsia="zh-CN"/>
        </w:rPr>
        <w:t>比率（1分）：2024年出院人次数87484人次，占</w:t>
      </w:r>
      <w:r>
        <w:rPr>
          <w:rFonts w:hint="default" w:ascii="仿宋" w:hAnsi="仿宋" w:eastAsia="仿宋" w:cs="仿宋"/>
          <w:i w:val="0"/>
          <w:iCs w:val="0"/>
          <w:caps w:val="0"/>
          <w:color w:val="000000"/>
          <w:spacing w:val="0"/>
          <w:sz w:val="32"/>
          <w:szCs w:val="32"/>
          <w:highlight w:val="none"/>
          <w:shd w:val="clear" w:fill="FFFFFF"/>
          <w:lang w:val="en-US" w:eastAsia="zh-CN"/>
        </w:rPr>
        <w:t>门诊人次</w:t>
      </w:r>
      <w:r>
        <w:rPr>
          <w:rFonts w:hint="eastAsia" w:ascii="仿宋" w:hAnsi="仿宋" w:eastAsia="仿宋" w:cs="仿宋"/>
          <w:i w:val="0"/>
          <w:iCs w:val="0"/>
          <w:caps w:val="0"/>
          <w:color w:val="000000"/>
          <w:spacing w:val="0"/>
          <w:sz w:val="32"/>
          <w:szCs w:val="32"/>
          <w:highlight w:val="none"/>
          <w:shd w:val="clear" w:fill="FFFFFF"/>
          <w:lang w:val="en-US" w:eastAsia="zh-CN"/>
        </w:rPr>
        <w:t>总</w:t>
      </w:r>
      <w:r>
        <w:rPr>
          <w:rFonts w:hint="default" w:ascii="仿宋" w:hAnsi="仿宋" w:eastAsia="仿宋" w:cs="仿宋"/>
          <w:i w:val="0"/>
          <w:iCs w:val="0"/>
          <w:caps w:val="0"/>
          <w:color w:val="000000"/>
          <w:spacing w:val="0"/>
          <w:sz w:val="32"/>
          <w:szCs w:val="32"/>
          <w:highlight w:val="none"/>
          <w:shd w:val="clear" w:fill="FFFFFF"/>
          <w:lang w:val="en-US" w:eastAsia="zh-CN"/>
        </w:rPr>
        <w:t>数</w:t>
      </w:r>
      <w:r>
        <w:rPr>
          <w:rFonts w:hint="eastAsia" w:ascii="仿宋" w:hAnsi="仿宋" w:eastAsia="仿宋" w:cs="仿宋"/>
          <w:i w:val="0"/>
          <w:iCs w:val="0"/>
          <w:caps w:val="0"/>
          <w:color w:val="000000"/>
          <w:spacing w:val="0"/>
          <w:sz w:val="32"/>
          <w:szCs w:val="32"/>
          <w:highlight w:val="none"/>
          <w:shd w:val="clear" w:fill="FFFFFF"/>
          <w:lang w:val="en-US" w:eastAsia="zh-CN"/>
        </w:rPr>
        <w:t>8.25%，较2023年下降0.82%，未实现逐年提高目标值。根据评分标准，本项指标扣0.3分，得0.7分。</w:t>
      </w:r>
    </w:p>
    <w:p w14:paraId="071AA87A">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⑤病床使用率（1分）：</w:t>
      </w:r>
      <w:r>
        <w:rPr>
          <w:rFonts w:hint="eastAsia" w:ascii="仿宋" w:hAnsi="仿宋" w:eastAsia="仿宋" w:cs="仿宋"/>
          <w:i w:val="0"/>
          <w:iCs w:val="0"/>
          <w:caps w:val="0"/>
          <w:color w:val="000000"/>
          <w:spacing w:val="0"/>
          <w:sz w:val="32"/>
          <w:szCs w:val="32"/>
          <w:highlight w:val="none"/>
          <w:shd w:val="clear" w:fill="FFFFFF"/>
          <w:lang w:val="en-US" w:eastAsia="zh-CN"/>
        </w:rPr>
        <w:t>通常情况下，医院的病床合理使用率在</w:t>
      </w:r>
      <w:r>
        <w:rPr>
          <w:rFonts w:hint="default" w:ascii="仿宋" w:hAnsi="仿宋" w:eastAsia="仿宋" w:cs="仿宋"/>
          <w:i w:val="0"/>
          <w:iCs w:val="0"/>
          <w:caps w:val="0"/>
          <w:color w:val="000000"/>
          <w:spacing w:val="0"/>
          <w:sz w:val="32"/>
          <w:szCs w:val="32"/>
          <w:highlight w:val="none"/>
          <w:shd w:val="clear" w:fill="FFFFFF"/>
          <w:lang w:val="en-US" w:eastAsia="zh-CN"/>
        </w:rPr>
        <w:t> 85%～93% 之间</w:t>
      </w:r>
      <w:r>
        <w:rPr>
          <w:rFonts w:hint="eastAsia" w:ascii="仿宋" w:hAnsi="仿宋" w:eastAsia="仿宋" w:cs="仿宋"/>
          <w:i w:val="0"/>
          <w:iCs w:val="0"/>
          <w:caps w:val="0"/>
          <w:color w:val="000000"/>
          <w:spacing w:val="0"/>
          <w:sz w:val="32"/>
          <w:szCs w:val="32"/>
          <w:highlight w:val="none"/>
          <w:shd w:val="clear" w:fill="FFFFFF"/>
          <w:lang w:val="en-US" w:eastAsia="zh-CN"/>
        </w:rPr>
        <w:t>，以</w:t>
      </w:r>
      <w:r>
        <w:rPr>
          <w:rFonts w:hint="default" w:ascii="仿宋" w:hAnsi="仿宋" w:eastAsia="仿宋" w:cs="仿宋"/>
          <w:i w:val="0"/>
          <w:iCs w:val="0"/>
          <w:caps w:val="0"/>
          <w:color w:val="000000"/>
          <w:spacing w:val="0"/>
          <w:sz w:val="32"/>
          <w:szCs w:val="32"/>
          <w:highlight w:val="none"/>
          <w:shd w:val="clear" w:fill="FFFFFF"/>
          <w:lang w:val="en-US" w:eastAsia="zh-CN"/>
        </w:rPr>
        <w:t>85%</w:t>
      </w:r>
      <w:r>
        <w:rPr>
          <w:rFonts w:hint="eastAsia" w:ascii="仿宋" w:hAnsi="仿宋" w:eastAsia="仿宋" w:cs="仿宋"/>
          <w:i w:val="0"/>
          <w:iCs w:val="0"/>
          <w:caps w:val="0"/>
          <w:color w:val="000000"/>
          <w:spacing w:val="0"/>
          <w:sz w:val="32"/>
          <w:szCs w:val="32"/>
          <w:highlight w:val="none"/>
          <w:shd w:val="clear" w:fill="FFFFFF"/>
          <w:lang w:val="en-US" w:eastAsia="zh-CN"/>
        </w:rPr>
        <w:t>为评分依据，少于85%，每欠1%，扣0.1分，2024年的病床使用为81.33%，计欠3.67%，扣0.3分，得0.7分。</w:t>
      </w:r>
    </w:p>
    <w:p w14:paraId="1001AAEB">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b/>
          <w:bCs/>
          <w:i w:val="0"/>
          <w:iCs w:val="0"/>
          <w:caps w:val="0"/>
          <w:color w:val="000000"/>
          <w:spacing w:val="0"/>
          <w:sz w:val="32"/>
          <w:szCs w:val="32"/>
          <w:shd w:val="clear" w:fill="FFFFFF"/>
          <w:lang w:val="en-US" w:eastAsia="zh-CN"/>
        </w:rPr>
        <w:t>4.效益指标（19分），得18.03分</w:t>
      </w:r>
    </w:p>
    <w:p w14:paraId="643A06BF">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（1）医院可持续运营（5分），得4.28分</w:t>
      </w:r>
    </w:p>
    <w:p w14:paraId="3643C5E6">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①医疗费用增长率控制（1分）：医疗费用增长率控制指标为≤10%，2024年较2023年增长幅度为2.04%，小于控制指标，</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1分。</w:t>
      </w:r>
    </w:p>
    <w:p w14:paraId="64FEE709">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②</w:t>
      </w:r>
      <w:r>
        <w:rPr>
          <w:rFonts w:hint="default" w:ascii="仿宋" w:hAnsi="仿宋" w:eastAsia="仿宋" w:cs="仿宋"/>
          <w:i w:val="0"/>
          <w:iCs w:val="0"/>
          <w:caps w:val="0"/>
          <w:color w:val="000000"/>
          <w:spacing w:val="0"/>
          <w:sz w:val="32"/>
          <w:szCs w:val="32"/>
          <w:shd w:val="clear" w:fill="FFFFFF"/>
          <w:lang w:val="en-US" w:eastAsia="zh-CN"/>
        </w:rPr>
        <w:t>医疗服务收入</w:t>
      </w:r>
      <w:r>
        <w:rPr>
          <w:rFonts w:hint="eastAsia" w:ascii="仿宋" w:hAnsi="仿宋" w:eastAsia="仿宋" w:cs="仿宋"/>
          <w:i w:val="0"/>
          <w:iCs w:val="0"/>
          <w:caps w:val="0"/>
          <w:color w:val="000000"/>
          <w:spacing w:val="0"/>
          <w:sz w:val="32"/>
          <w:szCs w:val="32"/>
          <w:shd w:val="clear" w:fill="FFFFFF"/>
          <w:lang w:val="en-US" w:eastAsia="zh-CN"/>
        </w:rPr>
        <w:t>与医疗收入</w:t>
      </w:r>
      <w:r>
        <w:rPr>
          <w:rFonts w:hint="default" w:ascii="仿宋" w:hAnsi="仿宋" w:eastAsia="仿宋" w:cs="仿宋"/>
          <w:i w:val="0"/>
          <w:iCs w:val="0"/>
          <w:caps w:val="0"/>
          <w:color w:val="000000"/>
          <w:spacing w:val="0"/>
          <w:sz w:val="32"/>
          <w:szCs w:val="32"/>
          <w:shd w:val="clear" w:fill="FFFFFF"/>
          <w:lang w:val="en-US" w:eastAsia="zh-CN"/>
        </w:rPr>
        <w:t>占比</w:t>
      </w:r>
      <w:r>
        <w:rPr>
          <w:rFonts w:hint="eastAsia" w:ascii="仿宋" w:hAnsi="仿宋" w:eastAsia="仿宋" w:cs="仿宋"/>
          <w:i w:val="0"/>
          <w:iCs w:val="0"/>
          <w:caps w:val="0"/>
          <w:color w:val="000000"/>
          <w:spacing w:val="0"/>
          <w:sz w:val="32"/>
          <w:szCs w:val="32"/>
          <w:shd w:val="clear" w:fill="FFFFFF"/>
          <w:lang w:val="en-US" w:eastAsia="zh-CN"/>
        </w:rPr>
        <w:t>（1分）：2024年</w:t>
      </w:r>
      <w:r>
        <w:rPr>
          <w:rFonts w:hint="default" w:ascii="仿宋" w:hAnsi="仿宋" w:eastAsia="仿宋" w:cs="仿宋"/>
          <w:i w:val="0"/>
          <w:iCs w:val="0"/>
          <w:caps w:val="0"/>
          <w:color w:val="000000"/>
          <w:spacing w:val="0"/>
          <w:sz w:val="32"/>
          <w:szCs w:val="32"/>
          <w:shd w:val="clear" w:fill="FFFFFF"/>
          <w:lang w:val="en-US" w:eastAsia="zh-CN"/>
        </w:rPr>
        <w:t>医疗服务收入</w:t>
      </w:r>
      <w:r>
        <w:rPr>
          <w:rFonts w:hint="eastAsia" w:ascii="仿宋" w:hAnsi="仿宋" w:eastAsia="仿宋" w:cs="仿宋"/>
          <w:i w:val="0"/>
          <w:iCs w:val="0"/>
          <w:caps w:val="0"/>
          <w:color w:val="000000"/>
          <w:spacing w:val="0"/>
          <w:sz w:val="32"/>
          <w:szCs w:val="32"/>
          <w:shd w:val="clear" w:fill="FFFFFF"/>
          <w:lang w:val="en-US" w:eastAsia="zh-CN"/>
        </w:rPr>
        <w:t>（不含药品、耗材 、检查、检验收入）占医疗收入总额34.28%，自2022年始，每年增长5%，离现阶段35%目标值，差0.72%，根据评分标准，每欠0.5%扣0.1分。本项指标扣0.1分，得0.9分。</w:t>
      </w:r>
    </w:p>
    <w:p w14:paraId="3BAD057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default" w:ascii="仿宋" w:hAnsi="仿宋" w:eastAsia="仿宋" w:cs="仿宋"/>
          <w:i w:val="0"/>
          <w:iCs w:val="0"/>
          <w:caps w:val="0"/>
          <w:color w:val="000000"/>
          <w:spacing w:val="0"/>
          <w:sz w:val="32"/>
          <w:szCs w:val="32"/>
          <w:shd w:val="clear" w:fill="FFFFFF"/>
          <w:lang w:val="en-US" w:eastAsia="zh-CN"/>
        </w:rPr>
        <w:t>③人员经费</w:t>
      </w:r>
      <w:r>
        <w:rPr>
          <w:rFonts w:hint="eastAsia" w:ascii="仿宋" w:hAnsi="仿宋" w:eastAsia="仿宋" w:cs="仿宋"/>
          <w:i w:val="0"/>
          <w:iCs w:val="0"/>
          <w:caps w:val="0"/>
          <w:color w:val="000000"/>
          <w:spacing w:val="0"/>
          <w:sz w:val="32"/>
          <w:szCs w:val="32"/>
          <w:shd w:val="clear" w:fill="FFFFFF"/>
          <w:lang w:val="en-US" w:eastAsia="zh-CN"/>
        </w:rPr>
        <w:t>与</w:t>
      </w:r>
      <w:r>
        <w:rPr>
          <w:rFonts w:hint="default" w:ascii="仿宋" w:hAnsi="仿宋" w:eastAsia="仿宋" w:cs="仿宋"/>
          <w:i w:val="0"/>
          <w:iCs w:val="0"/>
          <w:caps w:val="0"/>
          <w:color w:val="000000"/>
          <w:spacing w:val="0"/>
          <w:sz w:val="32"/>
          <w:szCs w:val="32"/>
          <w:shd w:val="clear" w:fill="FFFFFF"/>
          <w:lang w:val="en-US" w:eastAsia="zh-CN"/>
        </w:rPr>
        <w:t>医疗活动费用占比</w:t>
      </w:r>
      <w:r>
        <w:rPr>
          <w:rFonts w:hint="eastAsia" w:ascii="仿宋" w:hAnsi="仿宋" w:eastAsia="仿宋" w:cs="仿宋"/>
          <w:i w:val="0"/>
          <w:iCs w:val="0"/>
          <w:caps w:val="0"/>
          <w:color w:val="000000"/>
          <w:spacing w:val="0"/>
          <w:sz w:val="32"/>
          <w:szCs w:val="32"/>
          <w:shd w:val="clear" w:fill="FFFFFF"/>
          <w:lang w:val="en-US" w:eastAsia="zh-CN"/>
        </w:rPr>
        <w:t>（1分），2022年、2023年、2024年的</w:t>
      </w:r>
      <w:r>
        <w:rPr>
          <w:rFonts w:hint="default" w:ascii="仿宋" w:hAnsi="仿宋" w:eastAsia="仿宋" w:cs="仿宋"/>
          <w:i w:val="0"/>
          <w:iCs w:val="0"/>
          <w:caps w:val="0"/>
          <w:color w:val="000000"/>
          <w:spacing w:val="0"/>
          <w:sz w:val="32"/>
          <w:szCs w:val="32"/>
          <w:shd w:val="clear" w:fill="FFFFFF"/>
          <w:lang w:val="en-US" w:eastAsia="zh-CN"/>
        </w:rPr>
        <w:t>人员经费</w:t>
      </w:r>
      <w:r>
        <w:rPr>
          <w:rFonts w:hint="eastAsia" w:ascii="仿宋" w:hAnsi="仿宋" w:eastAsia="仿宋" w:cs="仿宋"/>
          <w:i w:val="0"/>
          <w:iCs w:val="0"/>
          <w:caps w:val="0"/>
          <w:color w:val="000000"/>
          <w:spacing w:val="0"/>
          <w:sz w:val="32"/>
          <w:szCs w:val="32"/>
          <w:shd w:val="clear" w:fill="FFFFFF"/>
          <w:lang w:val="en-US" w:eastAsia="zh-CN"/>
        </w:rPr>
        <w:t>占</w:t>
      </w:r>
      <w:r>
        <w:rPr>
          <w:rFonts w:hint="default" w:ascii="仿宋" w:hAnsi="仿宋" w:eastAsia="仿宋" w:cs="仿宋"/>
          <w:i w:val="0"/>
          <w:iCs w:val="0"/>
          <w:caps w:val="0"/>
          <w:color w:val="000000"/>
          <w:spacing w:val="0"/>
          <w:sz w:val="32"/>
          <w:szCs w:val="32"/>
          <w:shd w:val="clear" w:fill="FFFFFF"/>
          <w:lang w:val="en-US" w:eastAsia="zh-CN"/>
        </w:rPr>
        <w:t>医疗活动费用</w:t>
      </w:r>
      <w:r>
        <w:rPr>
          <w:rFonts w:hint="eastAsia" w:ascii="仿宋" w:hAnsi="仿宋" w:eastAsia="仿宋" w:cs="仿宋"/>
          <w:i w:val="0"/>
          <w:iCs w:val="0"/>
          <w:caps w:val="0"/>
          <w:color w:val="000000"/>
          <w:spacing w:val="0"/>
          <w:sz w:val="32"/>
          <w:szCs w:val="32"/>
          <w:shd w:val="clear" w:fill="FFFFFF"/>
          <w:lang w:val="en-US" w:eastAsia="zh-CN"/>
        </w:rPr>
        <w:t>总额的38.59%、40.34%、43.34%，2023年、2024年</w:t>
      </w:r>
      <w:r>
        <w:rPr>
          <w:rFonts w:hint="default" w:ascii="仿宋" w:hAnsi="仿宋" w:eastAsia="仿宋" w:cs="仿宋"/>
          <w:i w:val="0"/>
          <w:iCs w:val="0"/>
          <w:caps w:val="0"/>
          <w:color w:val="000000"/>
          <w:spacing w:val="0"/>
          <w:sz w:val="32"/>
          <w:szCs w:val="32"/>
          <w:shd w:val="clear" w:fill="FFFFFF"/>
          <w:lang w:val="en-US" w:eastAsia="zh-CN"/>
        </w:rPr>
        <w:t>人员经费</w:t>
      </w:r>
      <w:r>
        <w:rPr>
          <w:rFonts w:hint="eastAsia" w:ascii="仿宋" w:hAnsi="仿宋" w:eastAsia="仿宋" w:cs="仿宋"/>
          <w:i w:val="0"/>
          <w:iCs w:val="0"/>
          <w:caps w:val="0"/>
          <w:color w:val="000000"/>
          <w:spacing w:val="0"/>
          <w:sz w:val="32"/>
          <w:szCs w:val="32"/>
          <w:shd w:val="clear" w:fill="FFFFFF"/>
          <w:lang w:val="en-US" w:eastAsia="zh-CN"/>
        </w:rPr>
        <w:t>占比分别提高了1.75%、3%，实现逐步提高目标值，根据评分标准，本项指标得满分1分。</w:t>
      </w:r>
    </w:p>
    <w:p w14:paraId="08A3F2E9">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④</w:t>
      </w:r>
      <w:r>
        <w:rPr>
          <w:rFonts w:hint="eastAsia" w:ascii="仿宋" w:hAnsi="仿宋" w:eastAsia="仿宋" w:cs="仿宋"/>
          <w:i w:val="0"/>
          <w:iCs w:val="0"/>
          <w:caps w:val="0"/>
          <w:color w:val="000000"/>
          <w:spacing w:val="0"/>
          <w:sz w:val="32"/>
          <w:szCs w:val="32"/>
          <w:highlight w:val="none"/>
          <w:shd w:val="clear" w:fill="FFFFFF"/>
          <w:lang w:val="en-US" w:eastAsia="zh-CN"/>
        </w:rPr>
        <w:t>资产负债率（1分）：2024年度的资产负债率为63.13%，较2023年增长了8.44%。公立医院正常负责率为40%～60%之间。根据评分标准，超出60%，每出1%扣0.2分，共扣0.62分，得分0.38分。</w:t>
      </w:r>
    </w:p>
    <w:p w14:paraId="2D11CBFB">
      <w:pPr>
        <w:keepNext w:val="0"/>
        <w:keepLines w:val="0"/>
        <w:pageBreakBefore w:val="0"/>
        <w:numPr>
          <w:ilvl w:val="0"/>
          <w:numId w:val="0"/>
        </w:numPr>
        <w:kinsoku/>
        <w:wordWrap/>
        <w:overflowPunct/>
        <w:topLinePunct w:val="0"/>
        <w:autoSpaceDE/>
        <w:autoSpaceDN/>
        <w:bidi w:val="0"/>
        <w:adjustRightInd/>
        <w:snapToGrid/>
        <w:spacing w:line="560" w:lineRule="exact"/>
        <w:ind w:firstLine="64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⑤</w:t>
      </w:r>
      <w:r>
        <w:rPr>
          <w:rFonts w:hint="eastAsia" w:ascii="仿宋" w:hAnsi="仿宋" w:eastAsia="仿宋" w:cs="仿宋"/>
          <w:i w:val="0"/>
          <w:iCs w:val="0"/>
          <w:caps w:val="0"/>
          <w:color w:val="000000"/>
          <w:spacing w:val="0"/>
          <w:sz w:val="32"/>
          <w:szCs w:val="32"/>
          <w:highlight w:val="none"/>
          <w:shd w:val="clear" w:fill="FFFFFF"/>
          <w:lang w:val="en-US" w:eastAsia="zh-CN"/>
        </w:rPr>
        <w:t>设备购置长期负债占比（1分）：2023年下降1.48%，2024年下降3.19%，负债占比为0.22%，实现逐年下降目标，</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1分。</w:t>
      </w:r>
    </w:p>
    <w:p w14:paraId="27231359">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（2）创新增效（8分）：得7.8分</w:t>
      </w:r>
    </w:p>
    <w:p w14:paraId="1297A01A">
      <w:pPr>
        <w:keepNext w:val="0"/>
        <w:keepLines w:val="0"/>
        <w:pageBreakBefore w:val="0"/>
        <w:numPr>
          <w:ilvl w:val="0"/>
          <w:numId w:val="0"/>
        </w:numPr>
        <w:tabs>
          <w:tab w:val="center" w:pos="4422"/>
        </w:tabs>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①</w:t>
      </w:r>
      <w:r>
        <w:rPr>
          <w:rFonts w:hint="eastAsia" w:ascii="仿宋" w:hAnsi="仿宋" w:eastAsia="仿宋" w:cs="仿宋"/>
          <w:i w:val="0"/>
          <w:iCs w:val="0"/>
          <w:caps w:val="0"/>
          <w:color w:val="000000"/>
          <w:spacing w:val="0"/>
          <w:sz w:val="32"/>
          <w:szCs w:val="32"/>
          <w:shd w:val="clear" w:fill="FFFFFF"/>
          <w:lang w:val="en-US" w:eastAsia="zh-CN"/>
        </w:rPr>
        <w:t>智慧医院建设成效（2分），智慧医院系统运行正常，综合服务能力得到提高，电子病历系统功能应用水平分级达4级，实现患者就医全流程信息（包括用药、检查、检验、护理、治疗、手术等处理）的信息在全院范围内安全共享。实现药品配伍、相互作用自动审核，合理用药监测等功能提供临床诊疗规范、合理用药、临床路径等统一的知识库。根据评分标准，本项指标得满分2分。</w:t>
      </w:r>
    </w:p>
    <w:p w14:paraId="4A7045E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②每百名卫生技术人员科研项目经费（2分）：暂无数据。不扣分，得2分。</w:t>
      </w:r>
    </w:p>
    <w:p w14:paraId="6158046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w:t>
      </w:r>
      <w:r>
        <w:rPr>
          <w:rFonts w:hint="default" w:ascii="仿宋" w:hAnsi="仿宋" w:eastAsia="仿宋" w:cs="仿宋"/>
          <w:i w:val="0"/>
          <w:iCs w:val="0"/>
          <w:caps w:val="0"/>
          <w:color w:val="000000"/>
          <w:spacing w:val="0"/>
          <w:sz w:val="32"/>
          <w:szCs w:val="32"/>
          <w:highlight w:val="none"/>
          <w:shd w:val="clear" w:fill="FFFFFF"/>
          <w:lang w:val="en-US" w:eastAsia="zh-CN"/>
        </w:rPr>
        <w:t>万元收入能耗占比</w:t>
      </w:r>
      <w:r>
        <w:rPr>
          <w:rFonts w:hint="eastAsia" w:ascii="仿宋" w:hAnsi="仿宋" w:eastAsia="仿宋" w:cs="仿宋"/>
          <w:i w:val="0"/>
          <w:iCs w:val="0"/>
          <w:caps w:val="0"/>
          <w:color w:val="000000"/>
          <w:spacing w:val="0"/>
          <w:sz w:val="32"/>
          <w:szCs w:val="32"/>
          <w:highlight w:val="none"/>
          <w:shd w:val="clear" w:fill="FFFFFF"/>
          <w:lang w:val="en-US" w:eastAsia="zh-CN"/>
        </w:rPr>
        <w:t>（2分）：2024年万元收入的能耗占比为1.56%，较2023年下降0.1%，实现了逐年下降的目标，</w:t>
      </w:r>
      <w:r>
        <w:rPr>
          <w:rFonts w:hint="eastAsia" w:ascii="仿宋" w:hAnsi="仿宋" w:eastAsia="仿宋" w:cs="仿宋"/>
          <w:i w:val="0"/>
          <w:iCs w:val="0"/>
          <w:caps w:val="0"/>
          <w:color w:val="000000"/>
          <w:spacing w:val="0"/>
          <w:sz w:val="32"/>
          <w:szCs w:val="32"/>
          <w:shd w:val="clear" w:fill="FFFFFF"/>
          <w:lang w:val="en-US" w:eastAsia="zh-CN"/>
        </w:rPr>
        <w:t>根据评分标准，本项指标得满分</w:t>
      </w:r>
      <w:r>
        <w:rPr>
          <w:rFonts w:hint="eastAsia" w:ascii="仿宋" w:hAnsi="仿宋" w:eastAsia="仿宋" w:cs="仿宋"/>
          <w:i w:val="0"/>
          <w:iCs w:val="0"/>
          <w:caps w:val="0"/>
          <w:color w:val="000000"/>
          <w:spacing w:val="0"/>
          <w:sz w:val="32"/>
          <w:szCs w:val="32"/>
          <w:highlight w:val="none"/>
          <w:shd w:val="clear" w:fill="FFFFFF"/>
          <w:lang w:val="en-US" w:eastAsia="zh-CN"/>
        </w:rPr>
        <w:t>2分。</w:t>
      </w:r>
    </w:p>
    <w:p w14:paraId="5CE3969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④</w:t>
      </w:r>
      <w:r>
        <w:rPr>
          <w:rFonts w:hint="default" w:ascii="仿宋" w:hAnsi="仿宋" w:eastAsia="仿宋" w:cs="仿宋"/>
          <w:i w:val="0"/>
          <w:iCs w:val="0"/>
          <w:caps w:val="0"/>
          <w:color w:val="000000"/>
          <w:spacing w:val="0"/>
          <w:sz w:val="32"/>
          <w:szCs w:val="32"/>
          <w:highlight w:val="none"/>
          <w:shd w:val="clear" w:fill="FFFFFF"/>
          <w:lang w:val="en-US" w:eastAsia="zh-CN"/>
        </w:rPr>
        <w:t>费用消耗指数</w:t>
      </w:r>
      <w:r>
        <w:rPr>
          <w:rFonts w:hint="eastAsia" w:ascii="仿宋" w:hAnsi="仿宋" w:eastAsia="仿宋" w:cs="仿宋"/>
          <w:i w:val="0"/>
          <w:iCs w:val="0"/>
          <w:caps w:val="0"/>
          <w:color w:val="000000"/>
          <w:spacing w:val="0"/>
          <w:sz w:val="32"/>
          <w:szCs w:val="32"/>
          <w:highlight w:val="none"/>
          <w:shd w:val="clear" w:fill="FFFFFF"/>
          <w:lang w:val="en-US" w:eastAsia="zh-CN"/>
        </w:rPr>
        <w:t>（2分）：2024年度费用消耗指数为1.05，与2023年指数持平，未下降，根据评分标准，本项指标扣0.2分，得1.8分。</w:t>
      </w:r>
    </w:p>
    <w:p w14:paraId="6D33732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（3）满意度指标（6分），得5.95分</w:t>
      </w:r>
    </w:p>
    <w:p w14:paraId="29EBA87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经全国公立三级以上医院满意度调查平台调查数据，满意率如下：</w:t>
      </w:r>
    </w:p>
    <w:p w14:paraId="14F776D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①门诊患者满意度（2分）：2023年门诊患者在就医过程中对医患沟通、医务人员回应性、环境与标识等方面满意程度为98.95%左右，</w:t>
      </w:r>
      <w:r>
        <w:rPr>
          <w:rFonts w:hint="eastAsia" w:ascii="仿宋" w:hAnsi="仿宋" w:eastAsia="仿宋" w:cs="仿宋"/>
          <w:i w:val="0"/>
          <w:iCs w:val="0"/>
          <w:caps w:val="0"/>
          <w:color w:val="000000"/>
          <w:spacing w:val="0"/>
          <w:sz w:val="32"/>
          <w:szCs w:val="32"/>
          <w:shd w:val="clear" w:fill="FFFFFF"/>
          <w:lang w:val="en-US" w:eastAsia="zh-CN"/>
        </w:rPr>
        <w:t>根据评分标准，本项指标得</w:t>
      </w:r>
      <w:r>
        <w:rPr>
          <w:rFonts w:hint="eastAsia" w:ascii="仿宋" w:hAnsi="仿宋" w:eastAsia="仿宋" w:cs="仿宋"/>
          <w:i w:val="0"/>
          <w:iCs w:val="0"/>
          <w:caps w:val="0"/>
          <w:color w:val="000000"/>
          <w:spacing w:val="0"/>
          <w:sz w:val="32"/>
          <w:szCs w:val="32"/>
          <w:highlight w:val="none"/>
          <w:shd w:val="clear" w:fill="FFFFFF"/>
          <w:lang w:val="en-US" w:eastAsia="zh-CN"/>
        </w:rPr>
        <w:t>1.98分。</w:t>
      </w:r>
    </w:p>
    <w:p w14:paraId="41D9C49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highlight w:val="none"/>
          <w:shd w:val="clear" w:fill="FFFFFF"/>
          <w:lang w:val="en-US" w:eastAsia="zh-CN"/>
        </w:rPr>
        <w:t>②住院患者满意度（2分）：2023年住院患者在就医过程中对医患沟通、医务人员回应性、环境与标识等方面满意程度为99.06%，</w:t>
      </w:r>
      <w:r>
        <w:rPr>
          <w:rFonts w:hint="eastAsia" w:ascii="仿宋" w:hAnsi="仿宋" w:eastAsia="仿宋" w:cs="仿宋"/>
          <w:i w:val="0"/>
          <w:iCs w:val="0"/>
          <w:caps w:val="0"/>
          <w:color w:val="000000"/>
          <w:spacing w:val="0"/>
          <w:sz w:val="32"/>
          <w:szCs w:val="32"/>
          <w:shd w:val="clear" w:fill="FFFFFF"/>
          <w:lang w:val="en-US" w:eastAsia="zh-CN"/>
        </w:rPr>
        <w:t>根据评分标准，本项指标得</w:t>
      </w:r>
      <w:r>
        <w:rPr>
          <w:rFonts w:hint="eastAsia" w:ascii="仿宋" w:hAnsi="仿宋" w:eastAsia="仿宋" w:cs="仿宋"/>
          <w:i w:val="0"/>
          <w:iCs w:val="0"/>
          <w:caps w:val="0"/>
          <w:color w:val="000000"/>
          <w:spacing w:val="0"/>
          <w:sz w:val="32"/>
          <w:szCs w:val="32"/>
          <w:highlight w:val="none"/>
          <w:shd w:val="clear" w:fill="FFFFFF"/>
          <w:lang w:val="en-US" w:eastAsia="zh-CN"/>
        </w:rPr>
        <w:t>1.99分。</w:t>
      </w:r>
    </w:p>
    <w:p w14:paraId="07FDCE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000000"/>
          <w:spacing w:val="0"/>
          <w:sz w:val="32"/>
          <w:szCs w:val="32"/>
          <w:highlight w:val="none"/>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③医务人员</w:t>
      </w:r>
      <w:r>
        <w:rPr>
          <w:rFonts w:hint="eastAsia" w:ascii="仿宋" w:hAnsi="仿宋" w:eastAsia="仿宋" w:cs="仿宋"/>
          <w:i w:val="0"/>
          <w:iCs w:val="0"/>
          <w:caps w:val="0"/>
          <w:color w:val="000000"/>
          <w:spacing w:val="0"/>
          <w:sz w:val="32"/>
          <w:szCs w:val="32"/>
          <w:highlight w:val="none"/>
          <w:shd w:val="clear" w:fill="FFFFFF"/>
          <w:lang w:val="en-US" w:eastAsia="zh-CN"/>
        </w:rPr>
        <w:t>满意度（2分）：2023年医务人员对薪酬福利、发展晋升、工作内容与环境、上下级关系、同级关系等方面满意程度达99.52%以上，</w:t>
      </w:r>
      <w:r>
        <w:rPr>
          <w:rFonts w:hint="eastAsia" w:ascii="仿宋" w:hAnsi="仿宋" w:eastAsia="仿宋" w:cs="仿宋"/>
          <w:i w:val="0"/>
          <w:iCs w:val="0"/>
          <w:caps w:val="0"/>
          <w:color w:val="000000"/>
          <w:spacing w:val="0"/>
          <w:sz w:val="32"/>
          <w:szCs w:val="32"/>
          <w:shd w:val="clear" w:fill="FFFFFF"/>
          <w:lang w:val="en-US" w:eastAsia="zh-CN"/>
        </w:rPr>
        <w:t>根据评分标准，本项指标得</w:t>
      </w:r>
      <w:r>
        <w:rPr>
          <w:rFonts w:hint="eastAsia" w:ascii="仿宋" w:hAnsi="仿宋" w:eastAsia="仿宋" w:cs="仿宋"/>
          <w:i w:val="0"/>
          <w:iCs w:val="0"/>
          <w:caps w:val="0"/>
          <w:color w:val="000000"/>
          <w:spacing w:val="0"/>
          <w:sz w:val="32"/>
          <w:szCs w:val="32"/>
          <w:highlight w:val="none"/>
          <w:shd w:val="clear" w:fill="FFFFFF"/>
          <w:lang w:val="en-US" w:eastAsia="zh-CN"/>
        </w:rPr>
        <w:t>1.99分。</w:t>
      </w:r>
    </w:p>
    <w:p w14:paraId="0E85EC60">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i w:val="0"/>
          <w:iCs w:val="0"/>
          <w:caps w:val="0"/>
          <w:color w:val="000000"/>
          <w:spacing w:val="0"/>
          <w:sz w:val="32"/>
          <w:szCs w:val="32"/>
          <w:highlight w:val="none"/>
          <w:shd w:val="clear" w:fill="FFFFFF"/>
          <w:lang w:val="en-US" w:eastAsia="zh-CN"/>
        </w:rPr>
      </w:pPr>
      <w:r>
        <w:rPr>
          <w:rFonts w:hint="eastAsia" w:ascii="黑体" w:hAnsi="黑体" w:eastAsia="黑体" w:cs="黑体"/>
          <w:i w:val="0"/>
          <w:iCs w:val="0"/>
          <w:caps w:val="0"/>
          <w:color w:val="000000"/>
          <w:spacing w:val="0"/>
          <w:sz w:val="32"/>
          <w:szCs w:val="32"/>
          <w:highlight w:val="none"/>
          <w:shd w:val="clear" w:fill="FFFFFF"/>
          <w:lang w:val="en-US" w:eastAsia="zh-CN"/>
        </w:rPr>
        <w:t>主要绩效</w:t>
      </w:r>
    </w:p>
    <w:p w14:paraId="6B0CBF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i w:val="0"/>
          <w:iCs w:val="0"/>
          <w:caps w:val="0"/>
          <w:color w:val="000000"/>
          <w:spacing w:val="0"/>
          <w:sz w:val="32"/>
          <w:szCs w:val="32"/>
          <w:highlight w:val="none"/>
          <w:shd w:val="clear" w:fill="FFFFFF"/>
          <w:lang w:val="en-US" w:eastAsia="zh-CN"/>
        </w:rPr>
      </w:pPr>
      <w:r>
        <w:rPr>
          <w:rFonts w:hint="eastAsia" w:ascii="楷体" w:hAnsi="楷体" w:eastAsia="楷体" w:cs="楷体"/>
          <w:b w:val="0"/>
          <w:bCs w:val="0"/>
          <w:snapToGrid w:val="0"/>
          <w:color w:val="000000"/>
          <w:kern w:val="0"/>
          <w:sz w:val="32"/>
          <w:szCs w:val="32"/>
          <w:shd w:val="clear" w:color="auto" w:fill="FFFFFF"/>
          <w:lang w:val="en-US" w:eastAsia="zh-CN" w:bidi="ar-SA"/>
        </w:rPr>
        <w:t>（一）党建引领医院高质量发展作用发挥突出。</w:t>
      </w:r>
      <w:r>
        <w:rPr>
          <w:rFonts w:hint="eastAsia" w:ascii="仿宋" w:hAnsi="仿宋" w:eastAsia="仿宋" w:cs="仿宋"/>
          <w:b w:val="0"/>
          <w:bCs w:val="0"/>
          <w:snapToGrid w:val="0"/>
          <w:color w:val="000000"/>
          <w:kern w:val="0"/>
          <w:sz w:val="32"/>
          <w:szCs w:val="32"/>
          <w:shd w:val="clear" w:color="auto" w:fill="FFFFFF"/>
          <w:lang w:val="en-US" w:eastAsia="zh-CN" w:bidi="ar-SA"/>
        </w:rPr>
        <w:t>严格执行中</w:t>
      </w:r>
    </w:p>
    <w:p w14:paraId="7B10E24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仿宋" w:hAnsi="仿宋" w:eastAsia="仿宋" w:cs="仿宋"/>
          <w:b w:val="0"/>
          <w:bCs w:val="0"/>
          <w:snapToGrid w:val="0"/>
          <w:color w:val="000000"/>
          <w:kern w:val="0"/>
          <w:sz w:val="32"/>
          <w:szCs w:val="32"/>
          <w:shd w:val="clear" w:color="auto" w:fill="FFFFFF"/>
          <w:lang w:val="en-US" w:eastAsia="zh-CN" w:bidi="ar-SA"/>
        </w:rPr>
      </w:pPr>
      <w:r>
        <w:rPr>
          <w:rFonts w:hint="eastAsia" w:ascii="仿宋" w:hAnsi="仿宋" w:eastAsia="仿宋" w:cs="仿宋"/>
          <w:b w:val="0"/>
          <w:bCs w:val="0"/>
          <w:snapToGrid w:val="0"/>
          <w:color w:val="000000"/>
          <w:kern w:val="0"/>
          <w:sz w:val="32"/>
          <w:szCs w:val="32"/>
          <w:shd w:val="clear" w:color="auto" w:fill="FFFFFF"/>
          <w:lang w:val="en-US" w:eastAsia="zh-CN" w:bidi="ar-SA"/>
        </w:rPr>
        <w:t>共中央办公厅、国务院办公厅、国家卫生健康委党组相关加强公立医院党的工作建设意见和实施办法文件精神，医院实行党委领导下的院长负责制，党组织充分发挥把方向、管大局、作决策、促改革、保落实的领导作用。医院实施临床医技科室党支部书记“双带头人”培育工程,建立健全把业务骨干培养成党员,把党员培养成医疗、教学、科研、管理骨干的“双培养”机制,配齐配强党支部书记和专职党务工作人员，保证了高质量发展有序推进。</w:t>
      </w:r>
    </w:p>
    <w:p w14:paraId="50400CFB">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textAlignment w:val="auto"/>
        <w:rPr>
          <w:rFonts w:hint="default" w:ascii="仿宋" w:hAnsi="仿宋" w:eastAsia="仿宋" w:cs="方正仿宋_GB2312"/>
          <w:sz w:val="32"/>
          <w:szCs w:val="32"/>
          <w:lang w:val="en-US" w:eastAsia="zh-CN"/>
        </w:rPr>
      </w:pPr>
      <w:r>
        <w:rPr>
          <w:rFonts w:hint="eastAsia" w:ascii="楷体" w:hAnsi="楷体" w:eastAsia="楷体" w:cs="楷体"/>
          <w:b w:val="0"/>
          <w:bCs w:val="0"/>
          <w:snapToGrid w:val="0"/>
          <w:color w:val="000000"/>
          <w:kern w:val="0"/>
          <w:sz w:val="32"/>
          <w:szCs w:val="32"/>
          <w:shd w:val="clear" w:color="auto" w:fill="FFFFFF"/>
          <w:lang w:val="en-US" w:eastAsia="zh-CN" w:bidi="ar-SA"/>
        </w:rPr>
        <w:t>（二）卫生技术人员结构得到明显改善。</w:t>
      </w:r>
      <w:r>
        <w:rPr>
          <w:rFonts w:hint="eastAsia" w:ascii="仿宋" w:hAnsi="仿宋" w:eastAsia="仿宋" w:cs="方正仿宋_GB2312"/>
          <w:sz w:val="32"/>
          <w:szCs w:val="32"/>
          <w:lang w:val="en-US" w:eastAsia="zh-CN"/>
        </w:rPr>
        <w:t>2024年新招聘用博士研究生2人，硕士研究生57人。为2023年人才引进数的140.5%。柔性引才在医学领域具有卓越成就和丰富经验的专家教授6人并签订合作协议。卫生技术人员结构趋于合理，具有研究生以上学历或副高以上职称的高知群体人员总数占在职人员的34.4%。其中副高以上职称440人，占卫生技术人员总数19.2%，较2023年提高12.5%。</w:t>
      </w:r>
    </w:p>
    <w:p w14:paraId="0C941270">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textAlignment w:val="auto"/>
        <w:rPr>
          <w:rFonts w:hint="eastAsia" w:ascii="仿宋" w:hAnsi="仿宋" w:eastAsia="仿宋" w:cs="方正仿宋_GB2312"/>
          <w:sz w:val="32"/>
          <w:szCs w:val="32"/>
        </w:rPr>
      </w:pPr>
      <w:r>
        <w:rPr>
          <w:rFonts w:hint="eastAsia" w:ascii="楷体" w:hAnsi="楷体" w:eastAsia="楷体" w:cs="楷体"/>
          <w:b w:val="0"/>
          <w:bCs w:val="0"/>
          <w:sz w:val="32"/>
          <w:szCs w:val="32"/>
          <w:lang w:val="en-US" w:eastAsia="zh-CN"/>
        </w:rPr>
        <w:t>（三）</w:t>
      </w:r>
      <w:r>
        <w:rPr>
          <w:rFonts w:hint="eastAsia" w:ascii="楷体" w:hAnsi="楷体" w:eastAsia="楷体" w:cs="楷体"/>
          <w:b w:val="0"/>
          <w:bCs w:val="0"/>
          <w:color w:val="000000"/>
          <w:kern w:val="0"/>
          <w:sz w:val="31"/>
          <w:szCs w:val="31"/>
          <w:lang w:val="en-US" w:eastAsia="zh-CN" w:bidi="ar"/>
        </w:rPr>
        <w:t>医疗科技创新能力稳步提升。</w:t>
      </w:r>
      <w:r>
        <w:rPr>
          <w:rFonts w:hint="eastAsia" w:ascii="仿宋_GB2312" w:hAnsi="仿宋_GB2312" w:eastAsia="仿宋_GB2312" w:cs="仿宋_GB2312"/>
          <w:color w:val="000000"/>
          <w:kern w:val="0"/>
          <w:sz w:val="31"/>
          <w:szCs w:val="31"/>
          <w:lang w:val="en-US" w:eastAsia="zh-CN" w:bidi="ar"/>
        </w:rPr>
        <w:t>2023年每百名卫生技术人员科研项目经费为117.95万元，较2022年增长3.1%，开展</w:t>
      </w:r>
      <w:r>
        <w:rPr>
          <w:rFonts w:hint="eastAsia" w:ascii="仿宋" w:hAnsi="仿宋" w:eastAsia="仿宋" w:cs="仿宋"/>
          <w:b w:val="0"/>
          <w:bCs w:val="0"/>
          <w:snapToGrid w:val="0"/>
          <w:color w:val="000000"/>
          <w:kern w:val="0"/>
          <w:sz w:val="32"/>
          <w:szCs w:val="32"/>
          <w:shd w:val="clear" w:color="auto" w:fill="FFFFFF"/>
          <w:lang w:val="en-US" w:eastAsia="zh-CN" w:bidi="ar-SA"/>
        </w:rPr>
        <w:t>新技术新项目51个，较2023年增加9个。其中治疗新技术新项目45个（A类项目2个，B类项目24个，C类项目19个）；护理新技术新项目6个(B类3个，C类3个)。科研成果丰硕。</w:t>
      </w:r>
      <w:r>
        <w:rPr>
          <w:rFonts w:hint="eastAsia" w:ascii="仿宋" w:hAnsi="仿宋" w:eastAsia="仿宋" w:cs="方正仿宋_GB2312"/>
          <w:sz w:val="32"/>
          <w:szCs w:val="32"/>
        </w:rPr>
        <w:t>全</w:t>
      </w:r>
      <w:r>
        <w:rPr>
          <w:rFonts w:hint="eastAsia" w:ascii="仿宋" w:hAnsi="仿宋" w:eastAsia="仿宋" w:cs="方正仿宋_GB2312"/>
          <w:sz w:val="32"/>
          <w:szCs w:val="32"/>
          <w:lang w:val="en-US" w:eastAsia="zh-CN"/>
        </w:rPr>
        <w:t>年</w:t>
      </w:r>
      <w:r>
        <w:rPr>
          <w:rFonts w:hint="eastAsia" w:ascii="仿宋" w:hAnsi="仿宋" w:eastAsia="仿宋" w:cs="方正仿宋_GB2312"/>
          <w:sz w:val="32"/>
          <w:szCs w:val="32"/>
        </w:rPr>
        <w:t>共发表学术论文62篇</w:t>
      </w:r>
      <w:r>
        <w:rPr>
          <w:rFonts w:hint="eastAsia" w:ascii="仿宋" w:hAnsi="仿宋" w:eastAsia="仿宋" w:cs="方正仿宋_GB2312"/>
          <w:sz w:val="32"/>
          <w:szCs w:val="32"/>
          <w:lang w:eastAsia="zh-CN"/>
        </w:rPr>
        <w:t>，较</w:t>
      </w:r>
      <w:r>
        <w:rPr>
          <w:rFonts w:hint="eastAsia" w:ascii="仿宋" w:hAnsi="仿宋" w:eastAsia="仿宋" w:cs="方正仿宋_GB2312"/>
          <w:sz w:val="32"/>
          <w:szCs w:val="32"/>
          <w:lang w:val="en-US" w:eastAsia="zh-CN"/>
        </w:rPr>
        <w:t>2023年增加9篇，</w:t>
      </w:r>
      <w:r>
        <w:rPr>
          <w:rFonts w:hint="eastAsia" w:ascii="仿宋" w:hAnsi="仿宋" w:eastAsia="仿宋" w:cs="方正仿宋_GB2312"/>
          <w:sz w:val="32"/>
          <w:szCs w:val="32"/>
        </w:rPr>
        <w:t>其中SCI收录9篇，中文核心期刊3篇，普通期刊50篇；获得国家专利8项，其中发明专利1项，实用新型专利7项。</w:t>
      </w:r>
    </w:p>
    <w:p w14:paraId="5C6FC8BB">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textAlignment w:val="auto"/>
        <w:rPr>
          <w:rFonts w:hint="default" w:ascii="仿宋" w:hAnsi="仿宋" w:eastAsia="仿宋" w:cs="方正仿宋_GB2312"/>
          <w:sz w:val="32"/>
          <w:szCs w:val="32"/>
          <w:lang w:val="en-US" w:eastAsia="zh-CN"/>
        </w:rPr>
      </w:pPr>
      <w:r>
        <w:rPr>
          <w:rFonts w:hint="eastAsia" w:ascii="楷体" w:hAnsi="楷体" w:eastAsia="楷体" w:cs="楷体"/>
          <w:b w:val="0"/>
          <w:bCs w:val="0"/>
          <w:sz w:val="32"/>
          <w:szCs w:val="32"/>
          <w:lang w:eastAsia="zh-CN"/>
        </w:rPr>
        <w:t>（四）</w:t>
      </w:r>
      <w:r>
        <w:rPr>
          <w:rFonts w:hint="eastAsia" w:ascii="楷体" w:hAnsi="楷体" w:eastAsia="楷体" w:cs="楷体"/>
          <w:b w:val="0"/>
          <w:bCs w:val="0"/>
          <w:sz w:val="32"/>
          <w:szCs w:val="32"/>
          <w:lang w:val="en-US" w:eastAsia="zh-CN"/>
        </w:rPr>
        <w:t>医疗服务效率持续提升。</w:t>
      </w:r>
      <w:r>
        <w:rPr>
          <w:rFonts w:hint="eastAsia" w:ascii="仿宋" w:hAnsi="仿宋" w:eastAsia="仿宋" w:cs="方正仿宋_GB2312"/>
          <w:sz w:val="32"/>
          <w:szCs w:val="32"/>
          <w:lang w:val="en-US" w:eastAsia="zh-CN"/>
        </w:rPr>
        <w:t>2024年总诊疗人数1060461人次，较2023年增长25.25%，出院人次数87484人次，较2023年增长25.93%，均高于在职职工数的增幅。平均住院日7.7天，较2023年下降0.4天，床位使用率81.33%，时间消耗指数较2022年降低0.25。医疗费用增长2.04%,控制在合理范围；次均门诊费用、人均住院费用分别为302.28元、11462.45元，均低于全国公立三级医院平均费用，较2023年分别下降12.2%、11.68%。医疗服务收入 (不含药品、耗材 、检查、检验收入)占医疗总账收入比例34.28%，较2023年增长5.11%，通过努力，有望实现40%的建设目标。</w:t>
      </w:r>
    </w:p>
    <w:p w14:paraId="71DE26F6">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textAlignment w:val="auto"/>
        <w:rPr>
          <w:rFonts w:hint="eastAsia" w:ascii="仿宋" w:hAnsi="仿宋" w:eastAsia="仿宋" w:cs="方正仿宋_GB2312"/>
          <w:sz w:val="32"/>
          <w:szCs w:val="32"/>
          <w:lang w:val="en-US" w:eastAsia="zh-CN"/>
        </w:rPr>
      </w:pPr>
      <w:r>
        <w:rPr>
          <w:rFonts w:hint="eastAsia" w:ascii="楷体" w:hAnsi="楷体" w:eastAsia="楷体" w:cs="楷体"/>
          <w:b w:val="0"/>
          <w:bCs w:val="0"/>
          <w:sz w:val="32"/>
          <w:szCs w:val="32"/>
          <w:lang w:val="en-US" w:eastAsia="zh-CN"/>
        </w:rPr>
        <w:t>（五）疑难危重患者救治能力不断增强。</w:t>
      </w:r>
      <w:r>
        <w:rPr>
          <w:rFonts w:hint="eastAsia" w:ascii="仿宋" w:hAnsi="仿宋" w:eastAsia="仿宋" w:cs="方正仿宋_GB2312"/>
          <w:sz w:val="32"/>
          <w:szCs w:val="32"/>
          <w:lang w:val="en-US" w:eastAsia="zh-CN"/>
        </w:rPr>
        <w:t>2024年出院患者手术占比28.08%，较2023年提高1.93%，微创手术占比22.47%，四级手术比例保持稳定，CMI值（病例综合指数）较2023年提高0.01%，2024年11月，成功实施益阳市首例血型不相容亲体肾移植手术，完成了两台A型主动脉夹层急诊手术，展现了医院疑难危重患者高水平救治能力。</w:t>
      </w:r>
    </w:p>
    <w:p w14:paraId="0CCDC97A">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textAlignment w:val="auto"/>
        <w:rPr>
          <w:rFonts w:hint="default" w:ascii="仿宋" w:hAnsi="仿宋" w:eastAsia="仿宋" w:cs="方正仿宋_GB2312"/>
          <w:sz w:val="32"/>
          <w:szCs w:val="32"/>
          <w:lang w:val="en-US" w:eastAsia="zh-CN"/>
        </w:rPr>
      </w:pPr>
      <w:r>
        <w:rPr>
          <w:rFonts w:hint="eastAsia" w:ascii="楷体" w:hAnsi="楷体" w:eastAsia="楷体" w:cs="楷体"/>
          <w:b w:val="0"/>
          <w:bCs w:val="0"/>
          <w:sz w:val="32"/>
          <w:szCs w:val="32"/>
          <w:lang w:val="en-US" w:eastAsia="zh-CN"/>
        </w:rPr>
        <w:t>（六）医疗质量安全指数不断提高。</w:t>
      </w:r>
      <w:r>
        <w:rPr>
          <w:rFonts w:hint="eastAsia" w:ascii="仿宋" w:hAnsi="仿宋" w:eastAsia="仿宋" w:cs="方正仿宋_GB2312"/>
          <w:b w:val="0"/>
          <w:bCs w:val="0"/>
          <w:sz w:val="32"/>
          <w:szCs w:val="32"/>
          <w:lang w:val="en-US" w:eastAsia="zh-CN"/>
        </w:rPr>
        <w:t>一是医疗安全持续提高。</w:t>
      </w:r>
      <w:r>
        <w:rPr>
          <w:rFonts w:hint="eastAsia" w:ascii="仿宋" w:hAnsi="仿宋" w:eastAsia="仿宋" w:cs="方正仿宋_GB2312"/>
          <w:sz w:val="32"/>
          <w:szCs w:val="32"/>
          <w:lang w:val="en-US" w:eastAsia="zh-CN"/>
        </w:rPr>
        <w:t>2024年手术患者并发症发生率为0.005%，低于全国公立三级医院平均占比比例；I类切口手术部位感染率0.0013%；低风险组病例死亡率为零死亡；</w:t>
      </w:r>
      <w:r>
        <w:rPr>
          <w:rFonts w:hint="eastAsia" w:ascii="仿宋" w:hAnsi="仿宋" w:eastAsia="仿宋" w:cs="方正仿宋_GB2312"/>
          <w:b w:val="0"/>
          <w:bCs w:val="0"/>
          <w:sz w:val="32"/>
          <w:szCs w:val="32"/>
          <w:lang w:val="en-US" w:eastAsia="zh-CN"/>
        </w:rPr>
        <w:t>二是用药合理性水平进一步提高。</w:t>
      </w:r>
      <w:r>
        <w:rPr>
          <w:rFonts w:hint="eastAsia" w:ascii="仿宋" w:hAnsi="仿宋" w:eastAsia="仿宋" w:cs="方正仿宋_GB2312"/>
          <w:sz w:val="32"/>
          <w:szCs w:val="32"/>
          <w:lang w:val="en-US" w:eastAsia="zh-CN"/>
        </w:rPr>
        <w:t>抗菌药物临床应用合理性增强。抗菌药物使用强度持续优于40DDDs的国家要求(35.08DDDs) ，较2023年下降0.79；基本药物使用占比进一步增加。门诊患者和住院患者基本药物处方使用占比较2023年分别提高4.08%、12.5%；采购并使用国家组织药品集中采购中标药品的积极性逐步提高。2024年国家组织药品集中采购中选药品完成比例稳定在99%左右，集中采购中标药品使用比例为99.06%，较2023年增加2.38%；持续落实处方动态监测。医院点评处方占处方总数的比例、点评出院患者医嘱比例分别保持在0.8%、19%左右；</w:t>
      </w:r>
      <w:r>
        <w:rPr>
          <w:rFonts w:hint="eastAsia" w:ascii="仿宋" w:hAnsi="仿宋" w:eastAsia="仿宋" w:cs="方正仿宋_GB2312"/>
          <w:b w:val="0"/>
          <w:bCs w:val="0"/>
          <w:sz w:val="32"/>
          <w:szCs w:val="32"/>
          <w:lang w:val="en-US" w:eastAsia="zh-CN"/>
        </w:rPr>
        <w:t>三是实验室检测能力持续提高。2024年通过国家室间质量评价的临床检验项目数199项，较2023年增加120项，参加率100%、合格率均为97.5%，较2023年分别提高20.56%、8.68%；四是大型医用设备使用与管理规范，</w:t>
      </w:r>
      <w:r>
        <w:rPr>
          <w:rFonts w:hint="eastAsia" w:ascii="仿宋" w:hAnsi="仿宋" w:eastAsia="仿宋" w:cs="方正仿宋_GB2312"/>
          <w:sz w:val="32"/>
          <w:szCs w:val="32"/>
          <w:lang w:val="en-US" w:eastAsia="zh-CN"/>
        </w:rPr>
        <w:t>大型医用设备检查阳性率持续100%。</w:t>
      </w:r>
    </w:p>
    <w:p w14:paraId="2CA900CB">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textAlignment w:val="auto"/>
        <w:rPr>
          <w:rFonts w:hint="eastAsia" w:ascii="仿宋" w:hAnsi="仿宋" w:eastAsia="仿宋" w:cs="方正仿宋_GB2312"/>
          <w:sz w:val="32"/>
          <w:szCs w:val="32"/>
          <w:lang w:val="en-US" w:eastAsia="zh-CN"/>
        </w:rPr>
      </w:pPr>
      <w:r>
        <w:rPr>
          <w:rFonts w:hint="eastAsia" w:ascii="仿宋" w:hAnsi="仿宋" w:eastAsia="仿宋" w:cs="方正仿宋_GB2312"/>
          <w:sz w:val="32"/>
          <w:szCs w:val="32"/>
          <w:lang w:val="en-US" w:eastAsia="zh-CN"/>
        </w:rPr>
        <w:t xml:space="preserve">   </w:t>
      </w:r>
      <w:r>
        <w:rPr>
          <w:rFonts w:hint="eastAsia" w:ascii="仿宋" w:hAnsi="仿宋" w:eastAsia="仿宋" w:cs="方正仿宋_GB2312"/>
          <w:b/>
          <w:bCs/>
          <w:sz w:val="32"/>
          <w:szCs w:val="32"/>
          <w:lang w:val="en-US" w:eastAsia="zh-CN"/>
        </w:rPr>
        <w:t xml:space="preserve"> </w:t>
      </w:r>
      <w:r>
        <w:rPr>
          <w:rFonts w:hint="eastAsia" w:ascii="楷体" w:hAnsi="楷体" w:eastAsia="楷体" w:cs="楷体"/>
          <w:b w:val="0"/>
          <w:bCs w:val="0"/>
          <w:sz w:val="32"/>
          <w:szCs w:val="32"/>
          <w:lang w:val="en-US" w:eastAsia="zh-CN"/>
        </w:rPr>
        <w:t>（七）重点学科、临床重点专科建设取得重大突破。</w:t>
      </w:r>
      <w:r>
        <w:rPr>
          <w:rFonts w:hint="eastAsia" w:ascii="仿宋" w:hAnsi="仿宋" w:eastAsia="仿宋" w:cs="仿宋"/>
          <w:b w:val="0"/>
          <w:bCs w:val="0"/>
          <w:snapToGrid w:val="0"/>
          <w:color w:val="000000"/>
          <w:kern w:val="0"/>
          <w:sz w:val="32"/>
          <w:szCs w:val="32"/>
          <w:shd w:val="clear" w:color="auto" w:fill="FFFFFF"/>
          <w:lang w:val="en-US" w:eastAsia="zh-CN" w:bidi="ar-SA"/>
        </w:rPr>
        <w:t>呼吸与危重症医学科</w:t>
      </w:r>
      <w:r>
        <w:rPr>
          <w:rFonts w:hint="eastAsia" w:ascii="仿宋" w:hAnsi="仿宋" w:eastAsia="仿宋" w:cs="方正仿宋_GB2312"/>
          <w:sz w:val="32"/>
          <w:szCs w:val="32"/>
          <w:lang w:val="en-US" w:eastAsia="zh-CN"/>
        </w:rPr>
        <w:t>2023年被纳入为国家临床重点专科培育项目，2024年被遴选为湖南省国家临床重点专科建设项目，这是该院继重症医学科、心血管内科、神经外科之后，又一临床专科入选国家临床重点专科培育项目，2024年8月，骨科获评为国家级临床重点专科培育项目。</w:t>
      </w:r>
    </w:p>
    <w:p w14:paraId="5453F93C">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方正仿宋_GB2312"/>
          <w:sz w:val="32"/>
          <w:szCs w:val="32"/>
          <w:lang w:val="en-US" w:eastAsia="zh-CN"/>
        </w:rPr>
      </w:pPr>
      <w:r>
        <w:rPr>
          <w:rFonts w:hint="eastAsia" w:ascii="楷体" w:hAnsi="楷体" w:eastAsia="楷体" w:cs="楷体"/>
          <w:b w:val="0"/>
          <w:bCs w:val="0"/>
          <w:sz w:val="32"/>
          <w:szCs w:val="32"/>
          <w:lang w:val="en-US" w:eastAsia="zh-CN"/>
        </w:rPr>
        <w:t>（八）人才培养机制不断健全。</w:t>
      </w:r>
      <w:r>
        <w:rPr>
          <w:rFonts w:hint="eastAsia" w:ascii="仿宋" w:hAnsi="仿宋" w:eastAsia="仿宋" w:cs="方正仿宋_GB2312"/>
          <w:sz w:val="32"/>
          <w:szCs w:val="32"/>
          <w:lang w:val="en-US" w:eastAsia="zh-CN"/>
        </w:rPr>
        <w:t>医院致力于“人才强院”战略，通过内培外引，打造益阳医学人才高地。一是落实住院医师规范化培训。严格对标国家住培大纲，注重培训效果，狠抓教培质量，严把住培全程的“出口关”，2025年住培结业考核创历史最优，临床实践技能考核继续维持100%全员通过，理论考试通过率高达98.2%；二是实施专业学位高层次应用人才培养计划。与暨南大学合作，联合培养30名博士研究生，与南华大学、湖南中医药大学、吉首大学合作，在院培养51名医学硕士研究生，为推动临床学科建设，打造一批国家级重点学科，助力医院高质量发展奠定了人才基础。三是与解放军总医院相关专科签约医联体，充分利用其技术、人才、科研等资源优势，加强交流与合作，赋能人才培养、学科建设、专科发展。</w:t>
      </w:r>
    </w:p>
    <w:p w14:paraId="5C7FE39E">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方正仿宋_GB2312"/>
          <w:sz w:val="32"/>
          <w:szCs w:val="32"/>
          <w:lang w:val="en-US" w:eastAsia="zh-CN"/>
        </w:rPr>
      </w:pPr>
      <w:r>
        <w:rPr>
          <w:rFonts w:hint="eastAsia" w:ascii="楷体" w:hAnsi="楷体" w:eastAsia="楷体" w:cs="楷体"/>
          <w:b w:val="0"/>
          <w:bCs w:val="0"/>
          <w:sz w:val="32"/>
          <w:szCs w:val="32"/>
          <w:lang w:val="en-US" w:eastAsia="zh-CN"/>
        </w:rPr>
        <w:t>（九）运营管理科学化和信息化程度进一步提高。</w:t>
      </w:r>
      <w:r>
        <w:rPr>
          <w:rFonts w:hint="eastAsia" w:ascii="仿宋" w:hAnsi="仿宋" w:eastAsia="仿宋" w:cs="方正仿宋_GB2312"/>
          <w:b w:val="0"/>
          <w:bCs w:val="0"/>
          <w:sz w:val="32"/>
          <w:szCs w:val="32"/>
          <w:lang w:val="en-US" w:eastAsia="zh-CN"/>
        </w:rPr>
        <w:t>一是信息化支撑作用不断强化。</w:t>
      </w:r>
      <w:r>
        <w:rPr>
          <w:rFonts w:hint="eastAsia" w:ascii="仿宋" w:hAnsi="仿宋" w:eastAsia="仿宋" w:cs="方正仿宋_GB2312"/>
          <w:sz w:val="32"/>
          <w:szCs w:val="32"/>
          <w:lang w:val="en-US" w:eastAsia="zh-CN"/>
        </w:rPr>
        <w:t>智慧医院建设项目正式上线启用，患者通过自助服务一体机或手机终端就能享受挂号、缴费、报告单打印、门诊和住院信息查询等综合服务，有效解决了群众挂号难、就医难等“老大难”问题，提升了看病就医的效率，大大方便了人民群众。以电子病历为核心的信息化建设和应用水平的持续提升,为保障医疗质量和安全、提高医疗服务效率、改善群众就医体验、加强医疗服务监管等奠定良好基础。电子病历系统应用水平达4级。以“智慧医疗、智慧服务、智慧管理”三位一体的数智化发展格局为核心，推动数智技术与医疗深度交融。</w:t>
      </w:r>
      <w:r>
        <w:rPr>
          <w:rFonts w:hint="eastAsia" w:ascii="仿宋" w:hAnsi="仿宋" w:eastAsia="仿宋" w:cs="方正仿宋_GB2312"/>
          <w:b w:val="0"/>
          <w:bCs w:val="0"/>
          <w:sz w:val="32"/>
          <w:szCs w:val="32"/>
          <w:lang w:val="en-US" w:eastAsia="zh-CN"/>
        </w:rPr>
        <w:t>二是收支结构不断优化。</w:t>
      </w:r>
      <w:r>
        <w:rPr>
          <w:rFonts w:hint="eastAsia" w:ascii="仿宋" w:hAnsi="仿宋" w:eastAsia="仿宋" w:cs="方正仿宋_GB2312"/>
          <w:sz w:val="32"/>
          <w:szCs w:val="32"/>
          <w:lang w:val="en-US" w:eastAsia="zh-CN"/>
        </w:rPr>
        <w:t>医疗服务价格动态调整并持续优化,医务人员的技术劳务价值得到进一步体现。2024年医院医疗服务收入（不含药品、耗材、检查检验收入）占医疗收入比例为34.28%，较2023年提升5.11个百分点；药品收入占医疗收入比例为22.16%，较2023年下降3.4%，重点监控高值医用耗材收入下降为零收入。在人员经费支出方面,人员经费占比为43.34%,较2023年提升3%。</w:t>
      </w:r>
    </w:p>
    <w:p w14:paraId="753A39DB">
      <w:pPr>
        <w:keepNext w:val="0"/>
        <w:keepLines w:val="0"/>
        <w:pageBreakBefore w:val="0"/>
        <w:widowControl w:val="0"/>
        <w:numPr>
          <w:ilvl w:val="0"/>
          <w:numId w:val="7"/>
        </w:numPr>
        <w:kinsoku/>
        <w:wordWrap/>
        <w:overflowPunct/>
        <w:topLinePunct w:val="0"/>
        <w:autoSpaceDE/>
        <w:autoSpaceDN/>
        <w:bidi w:val="0"/>
        <w:adjustRightInd/>
        <w:snapToGrid/>
        <w:spacing w:before="0" w:line="560" w:lineRule="exact"/>
        <w:ind w:firstLine="640"/>
        <w:textAlignment w:val="auto"/>
        <w:rPr>
          <w:rFonts w:hint="eastAsia" w:ascii="仿宋" w:hAnsi="仿宋" w:eastAsia="仿宋" w:cs="方正仿宋_GB2312"/>
          <w:sz w:val="32"/>
          <w:szCs w:val="32"/>
          <w:lang w:val="en-US" w:eastAsia="zh-CN"/>
        </w:rPr>
      </w:pPr>
      <w:r>
        <w:rPr>
          <w:rFonts w:hint="eastAsia" w:ascii="楷体" w:hAnsi="楷体" w:eastAsia="楷体" w:cs="楷体"/>
          <w:b w:val="0"/>
          <w:bCs w:val="0"/>
          <w:sz w:val="32"/>
          <w:szCs w:val="32"/>
          <w:lang w:val="en-US" w:eastAsia="zh-CN"/>
        </w:rPr>
        <w:t>人民群众就医满意度持续提升。</w:t>
      </w:r>
      <w:r>
        <w:rPr>
          <w:rFonts w:hint="eastAsia" w:ascii="仿宋" w:hAnsi="仿宋" w:eastAsia="仿宋" w:cs="方正仿宋_GB2312"/>
          <w:sz w:val="32"/>
          <w:szCs w:val="32"/>
          <w:lang w:val="en-US" w:eastAsia="zh-CN"/>
        </w:rPr>
        <w:t>2023年、2024年门诊患者、住院患者在就医过程中对医患沟通、医务人员回应性、环境与标识等方面满意程度，医务人员对薪酬福利、发展晋升、工作内容与环境、上下级关系、同级关系等方面满意程度持续保持99%左右。</w:t>
      </w:r>
    </w:p>
    <w:p w14:paraId="3B3B297C">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textAlignment w:val="auto"/>
        <w:rPr>
          <w:rFonts w:hint="default" w:ascii="仿宋" w:hAnsi="仿宋" w:eastAsia="仿宋" w:cs="方正仿宋_GB2312"/>
          <w:sz w:val="32"/>
          <w:szCs w:val="32"/>
          <w:lang w:val="en-US" w:eastAsia="zh-CN"/>
        </w:rPr>
      </w:pPr>
      <w:r>
        <w:rPr>
          <w:rFonts w:hint="eastAsia" w:ascii="仿宋" w:hAnsi="仿宋" w:eastAsia="仿宋" w:cs="方正仿宋_GB2312"/>
          <w:sz w:val="32"/>
          <w:szCs w:val="32"/>
          <w:lang w:val="en-US" w:eastAsia="zh-CN"/>
        </w:rPr>
        <w:t xml:space="preserve"> </w:t>
      </w:r>
      <w:r>
        <w:rPr>
          <w:rFonts w:hint="eastAsia" w:ascii="黑体" w:hAnsi="黑体" w:eastAsia="黑体" w:cs="黑体"/>
          <w:b/>
          <w:bCs/>
          <w:sz w:val="32"/>
          <w:szCs w:val="32"/>
          <w:lang w:val="en-US" w:eastAsia="zh-CN"/>
        </w:rPr>
        <w:t xml:space="preserve">  </w:t>
      </w:r>
      <w:r>
        <w:rPr>
          <w:rFonts w:hint="eastAsia" w:ascii="黑体" w:hAnsi="黑体" w:eastAsia="黑体" w:cs="黑体"/>
          <w:b w:val="0"/>
          <w:bCs w:val="0"/>
          <w:sz w:val="32"/>
          <w:szCs w:val="32"/>
          <w:lang w:val="en-US" w:eastAsia="zh-CN"/>
        </w:rPr>
        <w:t xml:space="preserve"> 六、存在的主要问题及整改建议</w:t>
      </w:r>
    </w:p>
    <w:p w14:paraId="707571B9">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楷体" w:hAnsi="楷体" w:eastAsia="楷体" w:cs="楷体"/>
          <w:i w:val="0"/>
          <w:iCs w:val="0"/>
          <w:caps w:val="0"/>
          <w:color w:val="000000"/>
          <w:spacing w:val="0"/>
          <w:sz w:val="32"/>
          <w:szCs w:val="32"/>
          <w:highlight w:val="none"/>
          <w:shd w:val="clear" w:fill="FFFFFF"/>
          <w:lang w:val="en-US" w:eastAsia="zh-CN"/>
        </w:rPr>
      </w:pPr>
      <w:r>
        <w:rPr>
          <w:rFonts w:hint="eastAsia" w:ascii="楷体" w:hAnsi="楷体" w:eastAsia="楷体" w:cs="楷体"/>
          <w:i w:val="0"/>
          <w:iCs w:val="0"/>
          <w:caps w:val="0"/>
          <w:color w:val="000000"/>
          <w:spacing w:val="0"/>
          <w:sz w:val="32"/>
          <w:szCs w:val="32"/>
          <w:highlight w:val="none"/>
          <w:shd w:val="clear" w:fill="FFFFFF"/>
          <w:lang w:val="en-US" w:eastAsia="zh-CN"/>
        </w:rPr>
        <w:t>（一）存在的主要问题</w:t>
      </w:r>
    </w:p>
    <w:p w14:paraId="0BFC8D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kern w:val="2"/>
          <w:sz w:val="32"/>
          <w:szCs w:val="32"/>
          <w:shd w:val="clear" w:fill="FFFFFF"/>
          <w:lang w:val="en-US" w:eastAsia="zh-CN" w:bidi="ar-SA"/>
        </w:rPr>
        <w:t>1.</w:t>
      </w:r>
      <w:r>
        <w:rPr>
          <w:rFonts w:hint="eastAsia" w:ascii="仿宋" w:hAnsi="仿宋" w:eastAsia="仿宋" w:cs="仿宋"/>
          <w:i w:val="0"/>
          <w:iCs w:val="0"/>
          <w:caps w:val="0"/>
          <w:color w:val="000000"/>
          <w:spacing w:val="0"/>
          <w:sz w:val="32"/>
          <w:szCs w:val="32"/>
          <w:highlight w:val="none"/>
          <w:shd w:val="clear" w:fill="FFFFFF"/>
          <w:lang w:val="en-US" w:eastAsia="zh-CN"/>
        </w:rPr>
        <w:t>部分资金使用与高质量发展无关的项目。主要是11笔</w:t>
      </w:r>
      <w:r>
        <w:rPr>
          <w:rFonts w:hint="eastAsia" w:ascii="仿宋" w:hAnsi="仿宋" w:eastAsia="仿宋" w:cs="仿宋"/>
          <w:i w:val="0"/>
          <w:iCs w:val="0"/>
          <w:caps w:val="0"/>
          <w:color w:val="000000"/>
          <w:spacing w:val="0"/>
          <w:sz w:val="32"/>
          <w:szCs w:val="32"/>
          <w:shd w:val="clear" w:fill="FFFFFF"/>
          <w:lang w:val="en-US" w:eastAsia="zh-CN"/>
        </w:rPr>
        <w:t>用于支付主院区家属区主供水管抢修、零星维修改造和地面沉降改造费用共计39.66万元与专项资金使用管理办法规定不符。</w:t>
      </w:r>
    </w:p>
    <w:p w14:paraId="0A43014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2.房屋、设备零星维修改造未签订施工合同。经抽查财务支付凭证，发现设备维修、房屋零星维修、供水主管管道维修项目有5万元以上50万元以下的6个项目，0.9万元以上1.5万元以下3个项目只有预算、结算审核资料，无项目施工合同。</w:t>
      </w:r>
    </w:p>
    <w:p w14:paraId="73F08FCA">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3.医院资产负债率偏高。2024年资产负债率为63.13%，较2023年增长8.44%。其中非流动负债（长期借款）114176.04万元，占总负债63.14%，较2023年增长93.8%。2020年全国三级公立医院平均资产负债率为44.09%，2021年政府办医院负债率升至45%，63.1%的负债率远超均值，接近部分债务危机医院水平。根据负债及偿债能力流动比率155%、速动比率144%、现金比率103%，以及本期财政盈余1.64亿元、医疗盈余0.28亿元财务数据，医院的偿债能力呈现短期偿付能力极强，但长期负债压力显著的特征。若财政补贴政策调整或医保支付方式改革加剧亏损（如DIP支付导致30%亏损），偿债压力将陡增。若财政紧张削减补贴，将直接影响偿债能力。</w:t>
      </w:r>
    </w:p>
    <w:p w14:paraId="737CF7F4">
      <w:pPr>
        <w:keepNext w:val="0"/>
        <w:keepLines w:val="0"/>
        <w:pageBreakBefore w:val="0"/>
        <w:numPr>
          <w:ilvl w:val="0"/>
          <w:numId w:val="0"/>
        </w:numPr>
        <w:tabs>
          <w:tab w:val="left" w:pos="3864"/>
        </w:tabs>
        <w:kinsoku/>
        <w:wordWrap/>
        <w:overflowPunct/>
        <w:topLinePunct w:val="0"/>
        <w:autoSpaceDE/>
        <w:autoSpaceDN/>
        <w:bidi w:val="0"/>
        <w:adjustRightInd/>
        <w:snapToGrid/>
        <w:spacing w:line="540" w:lineRule="exact"/>
        <w:ind w:firstLine="640" w:firstLineChars="200"/>
        <w:jc w:val="both"/>
        <w:textAlignment w:val="auto"/>
        <w:rPr>
          <w:rFonts w:hint="default" w:ascii="仿宋" w:hAnsi="仿宋" w:eastAsia="仿宋" w:cs="仿宋"/>
          <w:i w:val="0"/>
          <w:iCs w:val="0"/>
          <w:caps w:val="0"/>
          <w:color w:val="000000"/>
          <w:spacing w:val="0"/>
          <w:sz w:val="32"/>
          <w:szCs w:val="32"/>
          <w:shd w:val="clear" w:fill="FFFFFF"/>
          <w:lang w:val="en-US" w:eastAsia="zh-CN"/>
        </w:rPr>
      </w:pPr>
      <w:r>
        <w:rPr>
          <w:rFonts w:hint="eastAsia" w:ascii="楷体" w:hAnsi="楷体" w:eastAsia="楷体" w:cs="楷体"/>
          <w:i w:val="0"/>
          <w:iCs w:val="0"/>
          <w:caps w:val="0"/>
          <w:color w:val="000000"/>
          <w:spacing w:val="0"/>
          <w:sz w:val="32"/>
          <w:szCs w:val="32"/>
          <w:shd w:val="clear" w:fill="FFFFFF"/>
          <w:lang w:val="en-US" w:eastAsia="zh-CN"/>
        </w:rPr>
        <w:t>（二）建议</w:t>
      </w:r>
      <w:r>
        <w:rPr>
          <w:rFonts w:hint="eastAsia" w:ascii="仿宋" w:hAnsi="仿宋" w:eastAsia="仿宋" w:cs="仿宋"/>
          <w:i w:val="0"/>
          <w:iCs w:val="0"/>
          <w:caps w:val="0"/>
          <w:color w:val="000000"/>
          <w:spacing w:val="0"/>
          <w:sz w:val="32"/>
          <w:szCs w:val="32"/>
          <w:shd w:val="clear" w:fill="FFFFFF"/>
          <w:lang w:val="en-US" w:eastAsia="zh-CN"/>
        </w:rPr>
        <w:tab/>
      </w:r>
    </w:p>
    <w:p w14:paraId="48CC34E3">
      <w:pPr>
        <w:keepNext w:val="0"/>
        <w:keepLines w:val="0"/>
        <w:pageBreakBefore w:val="0"/>
        <w:numPr>
          <w:ilvl w:val="0"/>
          <w:numId w:val="0"/>
        </w:numPr>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1.严格执行专项资金使用管理办法，规范资金使用。要严把资金预算、申报、审核关，相关职能部门要不定期对专项资金的使用情况进行抽查或全面检查，对检查发现的问题进行归类，提出整改、完善意见，保证专项资金使用合规，最大限度发挥专项资金效益。对主院区家属区的维修改造费用建议调整列由房屋维修基金支出。</w:t>
      </w:r>
    </w:p>
    <w:p w14:paraId="36B853D0">
      <w:pPr>
        <w:keepNext w:val="0"/>
        <w:keepLines w:val="0"/>
        <w:pageBreakBefore w:val="0"/>
        <w:numPr>
          <w:ilvl w:val="0"/>
          <w:numId w:val="0"/>
        </w:numPr>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2.完善合同管理，规范财务审批流程。签订施工合同是保障</w:t>
      </w:r>
    </w:p>
    <w:p w14:paraId="59ABA51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40" w:lineRule="exact"/>
        <w:textAlignment w:val="auto"/>
        <w:rPr>
          <w:rFonts w:hint="default"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维修质量和双方权益的重要手段，也</w:t>
      </w:r>
      <w:r>
        <w:rPr>
          <w:rFonts w:hint="default" w:ascii="仿宋" w:hAnsi="仿宋" w:eastAsia="仿宋" w:cs="仿宋"/>
          <w:i w:val="0"/>
          <w:iCs w:val="0"/>
          <w:caps w:val="0"/>
          <w:color w:val="000000"/>
          <w:spacing w:val="0"/>
          <w:sz w:val="32"/>
          <w:szCs w:val="32"/>
          <w:shd w:val="clear" w:fill="FFFFFF"/>
          <w:lang w:val="en-US" w:eastAsia="zh-CN"/>
        </w:rPr>
        <w:t>是财务报销、审计的必要凭证</w:t>
      </w:r>
      <w:r>
        <w:rPr>
          <w:rFonts w:hint="eastAsia" w:ascii="仿宋" w:hAnsi="仿宋" w:eastAsia="仿宋" w:cs="仿宋"/>
          <w:i w:val="0"/>
          <w:iCs w:val="0"/>
          <w:caps w:val="0"/>
          <w:color w:val="000000"/>
          <w:spacing w:val="0"/>
          <w:sz w:val="32"/>
          <w:szCs w:val="32"/>
          <w:shd w:val="clear" w:fill="FFFFFF"/>
          <w:lang w:val="en-US" w:eastAsia="zh-CN"/>
        </w:rPr>
        <w:t>，房屋设备零星维修应当签订施工合同，从而规范双方权利义务、规避风险。</w:t>
      </w:r>
      <w:r>
        <w:rPr>
          <w:rFonts w:hint="default" w:ascii="仿宋" w:hAnsi="仿宋" w:eastAsia="仿宋" w:cs="仿宋"/>
          <w:i w:val="0"/>
          <w:iCs w:val="0"/>
          <w:caps w:val="0"/>
          <w:color w:val="000000"/>
          <w:spacing w:val="0"/>
          <w:sz w:val="32"/>
          <w:szCs w:val="32"/>
          <w:shd w:val="clear" w:fill="FFFFFF"/>
          <w:lang w:val="en-US" w:eastAsia="zh-CN"/>
        </w:rPr>
        <w:t>建议</w:t>
      </w:r>
      <w:r>
        <w:rPr>
          <w:rFonts w:hint="eastAsia" w:ascii="仿宋" w:hAnsi="仿宋" w:eastAsia="仿宋" w:cs="仿宋"/>
          <w:i w:val="0"/>
          <w:iCs w:val="0"/>
          <w:caps w:val="0"/>
          <w:color w:val="000000"/>
          <w:spacing w:val="0"/>
          <w:sz w:val="32"/>
          <w:szCs w:val="32"/>
          <w:shd w:val="clear" w:fill="FFFFFF"/>
          <w:lang w:val="en-US" w:eastAsia="zh-CN"/>
        </w:rPr>
        <w:t>对5万元以下零星维修项目</w:t>
      </w:r>
      <w:r>
        <w:rPr>
          <w:rFonts w:hint="default" w:ascii="仿宋" w:hAnsi="仿宋" w:eastAsia="仿宋" w:cs="仿宋"/>
          <w:i w:val="0"/>
          <w:iCs w:val="0"/>
          <w:caps w:val="0"/>
          <w:color w:val="000000"/>
          <w:spacing w:val="0"/>
          <w:sz w:val="32"/>
          <w:szCs w:val="32"/>
          <w:shd w:val="clear" w:fill="FFFFFF"/>
          <w:lang w:val="en-US" w:eastAsia="zh-CN"/>
        </w:rPr>
        <w:t>签订</w:t>
      </w:r>
      <w:r>
        <w:rPr>
          <w:rFonts w:hint="eastAsia" w:ascii="仿宋" w:hAnsi="仿宋" w:eastAsia="仿宋" w:cs="仿宋"/>
          <w:i w:val="0"/>
          <w:iCs w:val="0"/>
          <w:caps w:val="0"/>
          <w:color w:val="000000"/>
          <w:spacing w:val="0"/>
          <w:sz w:val="32"/>
          <w:szCs w:val="32"/>
          <w:shd w:val="clear" w:fill="FFFFFF"/>
          <w:lang w:val="en-US" w:eastAsia="zh-CN"/>
        </w:rPr>
        <w:t>简易</w:t>
      </w:r>
      <w:r>
        <w:rPr>
          <w:rFonts w:hint="default" w:ascii="仿宋" w:hAnsi="仿宋" w:eastAsia="仿宋" w:cs="仿宋"/>
          <w:i w:val="0"/>
          <w:iCs w:val="0"/>
          <w:caps w:val="0"/>
          <w:color w:val="000000"/>
          <w:spacing w:val="0"/>
          <w:sz w:val="32"/>
          <w:szCs w:val="32"/>
          <w:shd w:val="clear" w:fill="FFFFFF"/>
          <w:lang w:val="en-US" w:eastAsia="zh-CN"/>
        </w:rPr>
        <w:t>书面合同</w:t>
      </w:r>
      <w:r>
        <w:rPr>
          <w:rFonts w:hint="eastAsia" w:ascii="仿宋" w:hAnsi="仿宋" w:eastAsia="仿宋" w:cs="仿宋"/>
          <w:i w:val="0"/>
          <w:iCs w:val="0"/>
          <w:caps w:val="0"/>
          <w:color w:val="000000"/>
          <w:spacing w:val="0"/>
          <w:sz w:val="32"/>
          <w:szCs w:val="32"/>
          <w:shd w:val="clear" w:fill="FFFFFF"/>
          <w:lang w:val="en-US" w:eastAsia="zh-CN"/>
        </w:rPr>
        <w:t>。5万～15万</w:t>
      </w:r>
      <w:r>
        <w:rPr>
          <w:rFonts w:hint="default" w:ascii="仿宋" w:hAnsi="仿宋" w:eastAsia="仿宋" w:cs="仿宋"/>
          <w:i w:val="0"/>
          <w:iCs w:val="0"/>
          <w:caps w:val="0"/>
          <w:color w:val="000000"/>
          <w:spacing w:val="0"/>
          <w:sz w:val="32"/>
          <w:szCs w:val="32"/>
          <w:shd w:val="clear" w:fill="FFFFFF"/>
          <w:lang w:val="en-US" w:eastAsia="zh-CN"/>
        </w:rPr>
        <w:t>元项目通过询价确定服务商，</w:t>
      </w:r>
      <w:r>
        <w:rPr>
          <w:rFonts w:hint="eastAsia" w:ascii="仿宋" w:hAnsi="仿宋" w:eastAsia="仿宋" w:cs="仿宋"/>
          <w:i w:val="0"/>
          <w:iCs w:val="0"/>
          <w:caps w:val="0"/>
          <w:color w:val="000000"/>
          <w:spacing w:val="0"/>
          <w:sz w:val="32"/>
          <w:szCs w:val="32"/>
          <w:shd w:val="clear" w:fill="FFFFFF"/>
          <w:lang w:val="en-US" w:eastAsia="zh-CN"/>
        </w:rPr>
        <w:t>15万～30万</w:t>
      </w:r>
      <w:r>
        <w:rPr>
          <w:rFonts w:hint="default" w:ascii="仿宋" w:hAnsi="仿宋" w:eastAsia="仿宋" w:cs="仿宋"/>
          <w:i w:val="0"/>
          <w:iCs w:val="0"/>
          <w:caps w:val="0"/>
          <w:color w:val="000000"/>
          <w:spacing w:val="0"/>
          <w:sz w:val="32"/>
          <w:szCs w:val="32"/>
          <w:shd w:val="clear" w:fill="FFFFFF"/>
          <w:lang w:val="en-US" w:eastAsia="zh-CN"/>
        </w:rPr>
        <w:t>元项目通过竞争性谈判确定</w:t>
      </w:r>
      <w:r>
        <w:rPr>
          <w:rFonts w:hint="eastAsia" w:ascii="仿宋" w:hAnsi="仿宋" w:eastAsia="仿宋" w:cs="仿宋"/>
          <w:i w:val="0"/>
          <w:iCs w:val="0"/>
          <w:caps w:val="0"/>
          <w:color w:val="000000"/>
          <w:spacing w:val="0"/>
          <w:sz w:val="32"/>
          <w:szCs w:val="32"/>
          <w:shd w:val="clear" w:fill="FFFFFF"/>
          <w:lang w:val="en-US" w:eastAsia="zh-CN"/>
        </w:rPr>
        <w:t>，30万～50万元可通过公开招标确定。涉及公共安全（如消防设施维修）或需资质的项目（如电梯维修），合同需附加服务商资质证明。</w:t>
      </w:r>
    </w:p>
    <w:p w14:paraId="59EADCC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3.多措并举，化解医院负债风险。一是优化债务结构，将短期盈余用于置换高息长期债务，降低财务成本。二是控制扩张规模，避免非必要基建投入，防止因扩建陷入债务危机。三是强化医保控费，提升DIP/DRG下的病案管理和成本管控能力，减少结算亏损。四是创新医疗服务模式，提高经济效益，逐步缓解债务问题。高负债率与政策环境叠加可能引发长期风险。需优先降低杠杆率，并建立政策波动应对机制以维持偿债韧性。</w:t>
      </w:r>
    </w:p>
    <w:p w14:paraId="07C9276D">
      <w:pPr>
        <w:tabs>
          <w:tab w:val="left" w:pos="5397"/>
        </w:tabs>
        <w:bidi w:val="0"/>
        <w:jc w:val="left"/>
        <w:rPr>
          <w:rFonts w:hint="eastAsia" w:ascii="黑体" w:hAnsi="黑体" w:eastAsia="黑体" w:cs="黑体"/>
          <w:kern w:val="2"/>
          <w:sz w:val="32"/>
          <w:szCs w:val="32"/>
          <w:lang w:val="en-US" w:eastAsia="zh-CN" w:bidi="ar-SA"/>
        </w:rPr>
      </w:pPr>
      <w:r>
        <w:rPr>
          <w:rFonts w:hint="eastAsia" w:cstheme="minorBidi"/>
          <w:kern w:val="2"/>
          <w:sz w:val="21"/>
          <w:szCs w:val="24"/>
          <w:lang w:val="en-US" w:eastAsia="zh-CN" w:bidi="ar-SA"/>
        </w:rPr>
        <w:t xml:space="preserve">    </w:t>
      </w:r>
      <w:r>
        <w:rPr>
          <w:rFonts w:hint="eastAsia" w:ascii="黑体" w:hAnsi="黑体" w:eastAsia="黑体" w:cs="黑体"/>
          <w:kern w:val="2"/>
          <w:sz w:val="32"/>
          <w:szCs w:val="32"/>
          <w:lang w:val="en-US" w:eastAsia="zh-CN" w:bidi="ar-SA"/>
        </w:rPr>
        <w:t xml:space="preserve">  七、其他说明：</w:t>
      </w:r>
    </w:p>
    <w:p w14:paraId="30967D6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2024年全国公立三级医院绩效考核结果尚未公布，部分项目暂无数据支撑，如专科能力指数、住院患者重点病种监测覆盖率目前无数据，不作评价。医生和患者满意度参照2023年度调查结果为评价依据。</w:t>
      </w:r>
    </w:p>
    <w:p w14:paraId="7CF520B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p>
    <w:p w14:paraId="0B65AB3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附件：</w:t>
      </w:r>
    </w:p>
    <w:p w14:paraId="3EED90BC">
      <w:pPr>
        <w:keepNext w:val="0"/>
        <w:keepLines w:val="0"/>
        <w:pageBreakBefore w:val="0"/>
        <w:numPr>
          <w:ilvl w:val="0"/>
          <w:numId w:val="0"/>
        </w:numPr>
        <w:kinsoku/>
        <w:wordWrap/>
        <w:overflowPunct/>
        <w:topLinePunct w:val="0"/>
        <w:autoSpaceDE/>
        <w:autoSpaceDN/>
        <w:bidi w:val="0"/>
        <w:adjustRightInd/>
        <w:snapToGrid/>
        <w:spacing w:line="560" w:lineRule="exact"/>
        <w:ind w:firstLine="616" w:firstLineChars="200"/>
        <w:jc w:val="both"/>
        <w:rPr>
          <w:rFonts w:hint="eastAsia" w:ascii="仿宋" w:hAnsi="仿宋" w:eastAsia="仿宋" w:cs="仿宋"/>
          <w:i w:val="0"/>
          <w:iCs w:val="0"/>
          <w:caps w:val="0"/>
          <w:color w:val="000000"/>
          <w:spacing w:val="-6"/>
          <w:sz w:val="32"/>
          <w:szCs w:val="32"/>
          <w:shd w:val="clear" w:fill="FFFFFF"/>
          <w:lang w:val="en-US" w:eastAsia="zh-CN"/>
        </w:rPr>
      </w:pPr>
      <w:r>
        <w:rPr>
          <w:rFonts w:hint="eastAsia" w:ascii="仿宋" w:hAnsi="仿宋" w:eastAsia="仿宋" w:cs="仿宋"/>
          <w:i w:val="0"/>
          <w:iCs w:val="0"/>
          <w:caps w:val="0"/>
          <w:color w:val="000000"/>
          <w:spacing w:val="-6"/>
          <w:sz w:val="32"/>
          <w:szCs w:val="32"/>
          <w:shd w:val="clear" w:fill="FFFFFF"/>
          <w:lang w:val="en-US" w:eastAsia="zh-CN"/>
        </w:rPr>
        <w:t>1.益阳市中心医院医疗事业高质量发展专项资金绩效评价指标评分表</w:t>
      </w:r>
    </w:p>
    <w:p w14:paraId="7EEC0448">
      <w:pPr>
        <w:keepNext w:val="0"/>
        <w:keepLines w:val="0"/>
        <w:pageBreakBefore w:val="0"/>
        <w:numPr>
          <w:ilvl w:val="0"/>
          <w:numId w:val="0"/>
        </w:numPr>
        <w:kinsoku/>
        <w:wordWrap/>
        <w:overflowPunct/>
        <w:topLinePunct w:val="0"/>
        <w:autoSpaceDE/>
        <w:autoSpaceDN/>
        <w:bidi w:val="0"/>
        <w:adjustRightInd/>
        <w:snapToGrid/>
        <w:spacing w:line="560" w:lineRule="exact"/>
        <w:ind w:firstLine="616" w:firstLineChars="200"/>
        <w:jc w:val="both"/>
        <w:rPr>
          <w:rFonts w:hint="default" w:ascii="仿宋" w:hAnsi="仿宋" w:eastAsia="仿宋" w:cs="仿宋"/>
          <w:i w:val="0"/>
          <w:iCs w:val="0"/>
          <w:caps w:val="0"/>
          <w:color w:val="000000"/>
          <w:spacing w:val="-6"/>
          <w:sz w:val="32"/>
          <w:szCs w:val="32"/>
          <w:shd w:val="clear" w:fill="FFFFFF"/>
          <w:lang w:val="en-US" w:eastAsia="zh-CN"/>
        </w:rPr>
      </w:pPr>
      <w:r>
        <w:rPr>
          <w:rFonts w:hint="eastAsia" w:ascii="仿宋" w:hAnsi="仿宋" w:eastAsia="仿宋" w:cs="仿宋"/>
          <w:i w:val="0"/>
          <w:iCs w:val="0"/>
          <w:caps w:val="0"/>
          <w:color w:val="000000"/>
          <w:spacing w:val="-6"/>
          <w:sz w:val="32"/>
          <w:szCs w:val="32"/>
          <w:shd w:val="clear" w:fill="FFFFFF"/>
          <w:lang w:val="en-US" w:eastAsia="zh-CN"/>
        </w:rPr>
        <w:t>2.</w:t>
      </w:r>
      <w:r>
        <w:rPr>
          <w:rFonts w:hint="default" w:ascii="仿宋" w:hAnsi="仿宋" w:eastAsia="仿宋" w:cs="仿宋"/>
          <w:i w:val="0"/>
          <w:iCs w:val="0"/>
          <w:caps w:val="0"/>
          <w:color w:val="000000"/>
          <w:spacing w:val="-6"/>
          <w:sz w:val="32"/>
          <w:szCs w:val="32"/>
          <w:shd w:val="clear" w:fill="FFFFFF"/>
          <w:lang w:val="en-US" w:eastAsia="zh-CN"/>
        </w:rPr>
        <w:t>益阳市中心医院高质量发展专项资金使用情况统计汇总表</w:t>
      </w:r>
    </w:p>
    <w:p w14:paraId="4DBFA79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3.益阳中心医院医疗事业高质量发展专项资金绩效评价指标分析数据支撑表</w:t>
      </w:r>
    </w:p>
    <w:p w14:paraId="05682FD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p>
    <w:p w14:paraId="1CB0676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 xml:space="preserve">              湖南世纪金源工程咨询有限公司</w:t>
      </w:r>
    </w:p>
    <w:p w14:paraId="56045E4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i w:val="0"/>
          <w:iCs w:val="0"/>
          <w:caps w:val="0"/>
          <w:color w:val="000000"/>
          <w:spacing w:val="0"/>
          <w:sz w:val="32"/>
          <w:szCs w:val="32"/>
          <w:shd w:val="clear" w:fill="FFFFFF"/>
          <w:lang w:val="en-US" w:eastAsia="zh-CN"/>
        </w:rPr>
        <w:t xml:space="preserve">                   </w:t>
      </w:r>
      <w:r>
        <w:rPr>
          <w:rFonts w:hint="eastAsia" w:cstheme="minorBidi"/>
          <w:kern w:val="2"/>
          <w:sz w:val="21"/>
          <w:szCs w:val="24"/>
          <w:lang w:val="en-US" w:eastAsia="zh-CN" w:bidi="ar-SA"/>
        </w:rPr>
        <w:t xml:space="preserve">    </w:t>
      </w:r>
      <w:r>
        <w:rPr>
          <w:rFonts w:hint="eastAsia" w:ascii="仿宋" w:hAnsi="仿宋" w:eastAsia="仿宋" w:cs="仿宋"/>
          <w:kern w:val="2"/>
          <w:sz w:val="32"/>
          <w:szCs w:val="32"/>
          <w:lang w:val="en-US" w:eastAsia="zh-CN" w:bidi="ar-SA"/>
        </w:rPr>
        <w:t>2025年8月7日</w:t>
      </w:r>
    </w:p>
    <w:p w14:paraId="5EA6CC7D">
      <w:pPr>
        <w:tabs>
          <w:tab w:val="left" w:pos="5397"/>
        </w:tabs>
        <w:bidi w:val="0"/>
        <w:jc w:val="left"/>
        <w:rPr>
          <w:rFonts w:hint="eastAsia" w:cstheme="minorBidi"/>
          <w:kern w:val="2"/>
          <w:sz w:val="21"/>
          <w:szCs w:val="24"/>
          <w:lang w:val="en-US" w:eastAsia="zh-CN" w:bidi="ar-SA"/>
        </w:rPr>
      </w:pPr>
    </w:p>
    <w:p w14:paraId="5920993D">
      <w:pPr>
        <w:tabs>
          <w:tab w:val="left" w:pos="5397"/>
        </w:tabs>
        <w:bidi w:val="0"/>
        <w:jc w:val="left"/>
        <w:rPr>
          <w:rFonts w:hint="eastAsia" w:cstheme="minorBidi"/>
          <w:kern w:val="2"/>
          <w:sz w:val="21"/>
          <w:szCs w:val="24"/>
          <w:lang w:val="en-US" w:eastAsia="zh-CN" w:bidi="ar-SA"/>
        </w:rPr>
      </w:pPr>
    </w:p>
    <w:p w14:paraId="7706D2DF">
      <w:pPr>
        <w:tabs>
          <w:tab w:val="left" w:pos="5397"/>
        </w:tabs>
        <w:bidi w:val="0"/>
        <w:jc w:val="left"/>
        <w:rPr>
          <w:rFonts w:hint="eastAsia" w:cstheme="minorBidi"/>
          <w:kern w:val="2"/>
          <w:sz w:val="21"/>
          <w:szCs w:val="24"/>
          <w:lang w:val="en-US" w:eastAsia="zh-CN" w:bidi="ar-SA"/>
        </w:rPr>
      </w:pPr>
    </w:p>
    <w:p w14:paraId="3E597049">
      <w:pPr>
        <w:tabs>
          <w:tab w:val="left" w:pos="5397"/>
        </w:tabs>
        <w:bidi w:val="0"/>
        <w:jc w:val="left"/>
        <w:rPr>
          <w:rFonts w:hint="eastAsia" w:cstheme="minorBidi"/>
          <w:kern w:val="2"/>
          <w:sz w:val="21"/>
          <w:szCs w:val="24"/>
          <w:lang w:val="en-US" w:eastAsia="zh-CN" w:bidi="ar-SA"/>
        </w:rPr>
      </w:pPr>
    </w:p>
    <w:p w14:paraId="40EA52B5">
      <w:pPr>
        <w:tabs>
          <w:tab w:val="left" w:pos="5397"/>
        </w:tabs>
        <w:bidi w:val="0"/>
        <w:jc w:val="left"/>
        <w:rPr>
          <w:rFonts w:hint="eastAsia" w:cstheme="minorBidi"/>
          <w:kern w:val="2"/>
          <w:sz w:val="21"/>
          <w:szCs w:val="24"/>
          <w:lang w:val="en-US" w:eastAsia="zh-CN" w:bidi="ar-SA"/>
        </w:rPr>
      </w:pPr>
    </w:p>
    <w:p w14:paraId="01B75261">
      <w:pPr>
        <w:tabs>
          <w:tab w:val="left" w:pos="5397"/>
        </w:tabs>
        <w:bidi w:val="0"/>
        <w:jc w:val="left"/>
        <w:rPr>
          <w:rFonts w:hint="eastAsia" w:cstheme="minorBidi"/>
          <w:kern w:val="2"/>
          <w:sz w:val="21"/>
          <w:szCs w:val="24"/>
          <w:lang w:val="en-US" w:eastAsia="zh-CN" w:bidi="ar-SA"/>
        </w:rPr>
      </w:pPr>
    </w:p>
    <w:p w14:paraId="587B7579">
      <w:pPr>
        <w:tabs>
          <w:tab w:val="left" w:pos="5397"/>
        </w:tabs>
        <w:bidi w:val="0"/>
        <w:jc w:val="left"/>
        <w:rPr>
          <w:rFonts w:hint="eastAsia" w:cstheme="minorBidi"/>
          <w:kern w:val="2"/>
          <w:sz w:val="21"/>
          <w:szCs w:val="24"/>
          <w:lang w:val="en-US" w:eastAsia="zh-CN" w:bidi="ar-SA"/>
        </w:rPr>
      </w:pPr>
    </w:p>
    <w:p w14:paraId="6B67C828">
      <w:pPr>
        <w:tabs>
          <w:tab w:val="left" w:pos="5397"/>
        </w:tabs>
        <w:bidi w:val="0"/>
        <w:jc w:val="left"/>
        <w:rPr>
          <w:rFonts w:hint="eastAsia" w:cstheme="minorBidi"/>
          <w:kern w:val="2"/>
          <w:sz w:val="21"/>
          <w:szCs w:val="24"/>
          <w:lang w:val="en-US" w:eastAsia="zh-CN" w:bidi="ar-SA"/>
        </w:rPr>
      </w:pPr>
    </w:p>
    <w:p w14:paraId="43B4C760">
      <w:pPr>
        <w:tabs>
          <w:tab w:val="left" w:pos="5397"/>
        </w:tabs>
        <w:bidi w:val="0"/>
        <w:jc w:val="left"/>
        <w:rPr>
          <w:rFonts w:hint="eastAsia" w:cstheme="minorBidi"/>
          <w:kern w:val="2"/>
          <w:sz w:val="21"/>
          <w:szCs w:val="24"/>
          <w:lang w:val="en-US" w:eastAsia="zh-CN" w:bidi="ar-SA"/>
        </w:rPr>
        <w:sectPr>
          <w:footerReference r:id="rId3"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14:paraId="2B3B2BAD">
      <w:pPr>
        <w:keepNext w:val="0"/>
        <w:keepLines w:val="0"/>
        <w:pageBreakBefore w:val="0"/>
        <w:widowControl w:val="0"/>
        <w:tabs>
          <w:tab w:val="left" w:pos="5397"/>
        </w:tabs>
        <w:kinsoku/>
        <w:wordWrap/>
        <w:overflowPunct/>
        <w:topLinePunct w:val="0"/>
        <w:autoSpaceDE/>
        <w:autoSpaceDN/>
        <w:bidi w:val="0"/>
        <w:adjustRightInd/>
        <w:snapToGrid/>
        <w:spacing w:line="440" w:lineRule="exact"/>
        <w:jc w:val="left"/>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附件1</w:t>
      </w:r>
    </w:p>
    <w:p w14:paraId="7C381103">
      <w:pPr>
        <w:keepNext w:val="0"/>
        <w:keepLines w:val="0"/>
        <w:pageBreakBefore w:val="0"/>
        <w:widowControl w:val="0"/>
        <w:tabs>
          <w:tab w:val="left" w:pos="5397"/>
        </w:tabs>
        <w:kinsoku/>
        <w:wordWrap/>
        <w:overflowPunct/>
        <w:topLinePunct w:val="0"/>
        <w:autoSpaceDE/>
        <w:autoSpaceDN/>
        <w:bidi w:val="0"/>
        <w:adjustRightInd/>
        <w:snapToGrid/>
        <w:spacing w:after="159" w:afterLines="50" w:line="440" w:lineRule="exact"/>
        <w:jc w:val="center"/>
        <w:textAlignment w:val="auto"/>
        <w:rPr>
          <w:rFonts w:hint="default" w:cstheme="minorBidi"/>
          <w:kern w:val="2"/>
          <w:sz w:val="32"/>
          <w:szCs w:val="32"/>
          <w:lang w:val="en-US" w:eastAsia="zh-CN" w:bidi="ar-SA"/>
        </w:rPr>
      </w:pPr>
      <w:r>
        <w:rPr>
          <w:rFonts w:hint="eastAsia" w:ascii="仿宋" w:hAnsi="仿宋" w:eastAsia="仿宋" w:cs="仿宋"/>
          <w:kern w:val="2"/>
          <w:sz w:val="30"/>
          <w:szCs w:val="30"/>
          <w:lang w:val="en-US" w:eastAsia="zh-CN" w:bidi="ar-SA"/>
        </w:rPr>
        <w:t>2024年益阳市中心医院医疗事业高质量发展专项资金绩效评价指标评分表</w:t>
      </w:r>
    </w:p>
    <w:tbl>
      <w:tblPr>
        <w:tblStyle w:val="7"/>
        <w:tblW w:w="15338" w:type="dxa"/>
        <w:tblInd w:w="25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3"/>
        <w:gridCol w:w="1010"/>
        <w:gridCol w:w="1002"/>
        <w:gridCol w:w="2988"/>
        <w:gridCol w:w="592"/>
        <w:gridCol w:w="792"/>
        <w:gridCol w:w="5002"/>
        <w:gridCol w:w="1407"/>
        <w:gridCol w:w="932"/>
        <w:gridCol w:w="660"/>
      </w:tblGrid>
      <w:tr w14:paraId="37A1E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6B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一级指标</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AD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二级指标</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DD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三级指标</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C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指标说明</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6E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分值</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D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现阶段   目标值</w:t>
            </w:r>
          </w:p>
        </w:tc>
        <w:tc>
          <w:tcPr>
            <w:tcW w:w="5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D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计分标准</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64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数据来源</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2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实现    目标值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9BC3">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得分</w:t>
            </w:r>
          </w:p>
        </w:tc>
      </w:tr>
      <w:tr w14:paraId="127DC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0D8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决策(12分）</w:t>
            </w:r>
          </w:p>
        </w:tc>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9BD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项目立项（4分）</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15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立项依据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充分性</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DFCF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项目立项是否符合法律法规、相关政策、发展规划以及部门职责，用以反映和考核项目立项依据情况。</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F1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5982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EF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项目立项符合国家法律法规、国民经济发展规划和相关政策，计0.5分；②项目立项符合行业发展规划和政策要求，计0.5分；③项目立项与部门职责范围相符，属于部门履职所需，计0.5分；④项目不与相关部门同类项目或部门内部相关项目重复，计0.5分。 以上每有1项不符，扣相应指标分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25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项目决策立项相关资料（包括相关文件、会议纪要）。</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7F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38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B07F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EAD5D">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65F6A">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D8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立项程序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规范性</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4F0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项目申请、设立过程是否符合相关要求，用以反映和考核项目立项的规范情况。</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897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86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4601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①项目按照规定的程序申请设立，计0.5分；②审批文件、材料符合相关要求，计0.5分；③事前已经过必要的可行性研究、专家论证、风险评估、绩效评估、集体决策，计1分。 以上每有1项不符，扣相应指标分。   </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D42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项目审批文件材料、前期准备资料及批复</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660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A82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7D60D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5B694">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A191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绩效目标（4分）</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86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绩效目标  合理性</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F5FC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项目所设定的绩效目标是否依据充分，是否符合客观实际，用以反映和考核项目绩效目标与项目实施的相符情况。</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C10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F0D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7B1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①项目有绩效目标，计1分；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②项目绩效目标与实际工作内容具有相关性，计0.5分；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③项目预期产出效益和效果符合正常的业绩水平，计0.5分；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④与预算确定的项目投资额或资金量相匹配，计0.5分。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306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建设项目绩效目标申报表或相关工作计划、项目实施方案</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89A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未制定绩效目标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B4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C30D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8FAED">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74ABB">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E3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绩效指标  明确性</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0B1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依据绩效目标设定的绩效指标是否清晰、细化、可衡量等，用以反映和考核项目绩效目标的明细化情况。</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CBE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D24E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A43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①将项目绩效目标细化分解为具体的绩效指标，计1分；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②通过清晰、可衡量的指标值予以体现，计0.5分；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③与项目目标任务数或计划数相对应，计0.5分。                               以上每有1项不符，扣相应指标分。   </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82B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建设项目绩效指标申报批复表。</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82A4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未制定绩效指标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4AB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14:paraId="70D86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8"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CD074">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49B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资金投入（4分）</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3F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预算编制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科学性</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CEB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项目预算编制是否经过科学论证、有明确标准，资金额度与工作任务是否相适应，用以反映和考核项目预算编制的科学性、合理性情况。</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D72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D5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077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①预算编制经过科学论证，计0.5分；②预算内容与项目是否匹配，计0.5分；③预算额度测算依据充分，是否按照标准编制，计0.5分；④预算确定的项目投资额或资金量与工作任务相匹配，计0.5分。 以上每有1项不符，扣相应指标分。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464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项目预算文件及批复</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398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1A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AE8D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92BC5">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93306">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99F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资金分配</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合理性</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F05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项目是否按实施计划编制投资预算。</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C0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449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4F3C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①按实施计划编制投资预算，计1分，未编制投资预算，计0分； ②计划与项目相符，计0.5分，有1例不符，扣0.1分；                                           ③资金已到位，未影响项目进度的，计0.5分，每欠5%～0.1分。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CE6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资金指标文件、合同资料、资金拨付凭证等。</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E60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C3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2</w:t>
            </w:r>
          </w:p>
        </w:tc>
      </w:tr>
    </w:tbl>
    <w:p w14:paraId="1102F961">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ascii="仿宋" w:hAnsi="仿宋" w:eastAsia="仿宋" w:cs="仿宋"/>
          <w:kern w:val="2"/>
          <w:sz w:val="21"/>
          <w:szCs w:val="24"/>
          <w:lang w:val="en-US" w:eastAsia="zh-CN" w:bidi="ar-SA"/>
        </w:rPr>
      </w:pPr>
    </w:p>
    <w:tbl>
      <w:tblPr>
        <w:tblStyle w:val="7"/>
        <w:tblW w:w="15330" w:type="dxa"/>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1"/>
        <w:gridCol w:w="957"/>
        <w:gridCol w:w="1025"/>
        <w:gridCol w:w="2987"/>
        <w:gridCol w:w="588"/>
        <w:gridCol w:w="787"/>
        <w:gridCol w:w="5000"/>
        <w:gridCol w:w="1425"/>
        <w:gridCol w:w="917"/>
        <w:gridCol w:w="663"/>
      </w:tblGrid>
      <w:tr w14:paraId="44D88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B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一级指标</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D07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二级指标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4BE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三级指标</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97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指标说明</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5CA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分值</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70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现阶段   目标值</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1A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计分标准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B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数据来源</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C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实现    目标值</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61A89">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得分</w:t>
            </w:r>
          </w:p>
        </w:tc>
      </w:tr>
      <w:tr w14:paraId="1A781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981" w:type="dxa"/>
            <w:vMerge w:val="restart"/>
            <w:tcBorders>
              <w:top w:val="single" w:color="000000" w:sz="4" w:space="0"/>
              <w:left w:val="single" w:color="000000" w:sz="4" w:space="0"/>
              <w:right w:val="single" w:color="000000" w:sz="4" w:space="0"/>
            </w:tcBorders>
            <w:shd w:val="clear" w:color="auto" w:fill="auto"/>
            <w:vAlign w:val="center"/>
          </w:tcPr>
          <w:p w14:paraId="6DD2F7B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过程（28分）</w:t>
            </w:r>
          </w:p>
        </w:tc>
        <w:tc>
          <w:tcPr>
            <w:tcW w:w="957" w:type="dxa"/>
            <w:vMerge w:val="restart"/>
            <w:tcBorders>
              <w:top w:val="single" w:color="000000" w:sz="4" w:space="0"/>
              <w:left w:val="single" w:color="000000" w:sz="4" w:space="0"/>
              <w:right w:val="single" w:color="000000" w:sz="4" w:space="0"/>
            </w:tcBorders>
            <w:shd w:val="clear" w:color="auto" w:fill="auto"/>
            <w:vAlign w:val="center"/>
          </w:tcPr>
          <w:p w14:paraId="52D2516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资金管理（16分）</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CD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资金到位率</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638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实际到位资金与预算资金的比率，用以反映和考核资金落实情况对项目实施的总体保障程度。</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67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5BB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2EA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资金到位率=（实际到位资金/预算资金）×100%，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实际到位资金：一定时期（本年度或项目期）内落实到具体项目的资金。预算资金：一定时期（本年度或项目期）内预算安排到具体项目的资金。未到位的，按比例扣分。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012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资金指标文件及拨付凭证等。</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5ED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D59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0E74A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81" w:type="dxa"/>
            <w:vMerge w:val="continue"/>
            <w:tcBorders>
              <w:left w:val="single" w:color="000000" w:sz="4" w:space="0"/>
              <w:right w:val="single" w:color="000000" w:sz="4" w:space="0"/>
            </w:tcBorders>
            <w:shd w:val="clear" w:color="auto" w:fill="auto"/>
            <w:vAlign w:val="center"/>
          </w:tcPr>
          <w:p w14:paraId="23BE247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20"/>
                <w:szCs w:val="20"/>
                <w:u w:val="none"/>
              </w:rPr>
            </w:pPr>
          </w:p>
        </w:tc>
        <w:tc>
          <w:tcPr>
            <w:tcW w:w="957" w:type="dxa"/>
            <w:vMerge w:val="continue"/>
            <w:tcBorders>
              <w:left w:val="single" w:color="000000" w:sz="4" w:space="0"/>
              <w:right w:val="single" w:color="000000" w:sz="4" w:space="0"/>
            </w:tcBorders>
            <w:shd w:val="clear" w:color="auto" w:fill="auto"/>
            <w:vAlign w:val="center"/>
          </w:tcPr>
          <w:p w14:paraId="3A2849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99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预算执行率</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DB23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项目预算资金是否按照计划执行，用以反映或考核项目预算执行情况。</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70C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E83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01E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预算执行率=（实际支出资金/实际到位资金）×100%。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实际支出资金：一定时期（本年度或项目期）内项目实际拨付的资金。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66F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资金拨付凭证、项目结算支付材料</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71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99.15%</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FA5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2.97</w:t>
            </w:r>
          </w:p>
        </w:tc>
      </w:tr>
      <w:tr w14:paraId="0FF40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981" w:type="dxa"/>
            <w:vMerge w:val="continue"/>
            <w:tcBorders>
              <w:left w:val="single" w:color="000000" w:sz="4" w:space="0"/>
              <w:right w:val="single" w:color="000000" w:sz="4" w:space="0"/>
            </w:tcBorders>
            <w:shd w:val="clear" w:color="auto" w:fill="auto"/>
            <w:vAlign w:val="center"/>
          </w:tcPr>
          <w:p w14:paraId="397C3416">
            <w:pPr>
              <w:keepNext w:val="0"/>
              <w:keepLines w:val="0"/>
              <w:pageBreakBefore w:val="0"/>
              <w:widowControl/>
              <w:kinsoku/>
              <w:wordWrap/>
              <w:overflowPunct/>
              <w:topLinePunct w:val="0"/>
              <w:autoSpaceDE/>
              <w:autoSpaceDN/>
              <w:bidi w:val="0"/>
              <w:adjustRightInd/>
              <w:snapToGrid/>
              <w:spacing w:line="260" w:lineRule="exact"/>
              <w:rPr>
                <w:rFonts w:hint="eastAsia" w:ascii="仿宋" w:hAnsi="仿宋" w:eastAsia="仿宋" w:cs="仿宋"/>
                <w:i w:val="0"/>
                <w:iCs w:val="0"/>
                <w:color w:val="000000"/>
                <w:sz w:val="20"/>
                <w:szCs w:val="20"/>
                <w:u w:val="none"/>
              </w:rPr>
            </w:pPr>
          </w:p>
        </w:tc>
        <w:tc>
          <w:tcPr>
            <w:tcW w:w="957" w:type="dxa"/>
            <w:vMerge w:val="continue"/>
            <w:tcBorders>
              <w:left w:val="single" w:color="000000" w:sz="4" w:space="0"/>
              <w:right w:val="single" w:color="000000" w:sz="4" w:space="0"/>
            </w:tcBorders>
            <w:shd w:val="clear" w:color="auto" w:fill="auto"/>
            <w:vAlign w:val="center"/>
          </w:tcPr>
          <w:p w14:paraId="4C413868">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97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资金使用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合规性</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8AA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项目资金使用是否符合相关的财务管理制度规定，用以反映和考核项目资金的规范运行情况。</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A9B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48D2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3AF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符合国家财经法规、高质量发展专项资金管理使用办法和财务管理制度的规定，计2分，1例不符合，扣0.1分。②资金拨付是否有完整的审批程序和手续，计1分，1例不符，扣0.1分③符合项目预算批复或合同规定的用途，计1分，1例不符合，扣0.1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2545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项目（设备采购）合同文件和资金拨付审批资料、等。</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059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29项支出不符合资金管理办法规定</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C7B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076DD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81" w:type="dxa"/>
            <w:vMerge w:val="continue"/>
            <w:tcBorders>
              <w:left w:val="single" w:color="000000" w:sz="4" w:space="0"/>
              <w:right w:val="single" w:color="000000" w:sz="4" w:space="0"/>
            </w:tcBorders>
            <w:shd w:val="clear" w:color="auto" w:fill="auto"/>
            <w:vAlign w:val="center"/>
          </w:tcPr>
          <w:p w14:paraId="6B6613EE">
            <w:pPr>
              <w:keepNext w:val="0"/>
              <w:keepLines w:val="0"/>
              <w:pageBreakBefore w:val="0"/>
              <w:widowControl/>
              <w:kinsoku/>
              <w:wordWrap/>
              <w:overflowPunct/>
              <w:topLinePunct w:val="0"/>
              <w:autoSpaceDE/>
              <w:autoSpaceDN/>
              <w:bidi w:val="0"/>
              <w:adjustRightInd/>
              <w:snapToGrid/>
              <w:spacing w:line="260" w:lineRule="exact"/>
              <w:rPr>
                <w:rFonts w:hint="eastAsia" w:ascii="仿宋" w:hAnsi="仿宋" w:eastAsia="仿宋" w:cs="仿宋"/>
                <w:i w:val="0"/>
                <w:iCs w:val="0"/>
                <w:color w:val="000000"/>
                <w:sz w:val="20"/>
                <w:szCs w:val="20"/>
                <w:u w:val="none"/>
              </w:rPr>
            </w:pPr>
          </w:p>
        </w:tc>
        <w:tc>
          <w:tcPr>
            <w:tcW w:w="957" w:type="dxa"/>
            <w:vMerge w:val="continue"/>
            <w:tcBorders>
              <w:left w:val="single" w:color="000000" w:sz="4" w:space="0"/>
              <w:right w:val="single" w:color="000000" w:sz="4" w:space="0"/>
            </w:tcBorders>
            <w:shd w:val="clear" w:color="auto" w:fill="auto"/>
            <w:vAlign w:val="center"/>
          </w:tcPr>
          <w:p w14:paraId="5D97E81D">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CA6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资金支付及时性</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C6B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项目资金是否按合同约定及时支付。</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A31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85D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0906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按合同约定及时支付工程（设备采购）款，计2分。有1例未按合同约定支，扣0.1分。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D57C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项目合同、资金支付审批资料</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F2F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44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7C6F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981" w:type="dxa"/>
            <w:vMerge w:val="continue"/>
            <w:tcBorders>
              <w:left w:val="single" w:color="000000" w:sz="4" w:space="0"/>
              <w:right w:val="single" w:color="000000" w:sz="4" w:space="0"/>
            </w:tcBorders>
            <w:shd w:val="clear" w:color="auto" w:fill="auto"/>
            <w:vAlign w:val="center"/>
          </w:tcPr>
          <w:p w14:paraId="38B81404">
            <w:pPr>
              <w:keepNext w:val="0"/>
              <w:keepLines w:val="0"/>
              <w:pageBreakBefore w:val="0"/>
              <w:widowControl/>
              <w:kinsoku/>
              <w:wordWrap/>
              <w:overflowPunct/>
              <w:topLinePunct w:val="0"/>
              <w:autoSpaceDE/>
              <w:autoSpaceDN/>
              <w:bidi w:val="0"/>
              <w:adjustRightInd/>
              <w:snapToGrid/>
              <w:spacing w:line="260" w:lineRule="exact"/>
              <w:rPr>
                <w:rFonts w:hint="eastAsia" w:ascii="仿宋" w:hAnsi="仿宋" w:eastAsia="仿宋" w:cs="仿宋"/>
                <w:i w:val="0"/>
                <w:iCs w:val="0"/>
                <w:color w:val="000000"/>
                <w:sz w:val="20"/>
                <w:szCs w:val="20"/>
                <w:u w:val="none"/>
              </w:rPr>
            </w:pPr>
          </w:p>
        </w:tc>
        <w:tc>
          <w:tcPr>
            <w:tcW w:w="957" w:type="dxa"/>
            <w:vMerge w:val="continue"/>
            <w:tcBorders>
              <w:left w:val="single" w:color="000000" w:sz="4" w:space="0"/>
              <w:bottom w:val="single" w:color="000000" w:sz="4" w:space="0"/>
              <w:right w:val="single" w:color="000000" w:sz="4" w:space="0"/>
            </w:tcBorders>
            <w:shd w:val="clear" w:color="auto" w:fill="auto"/>
            <w:vAlign w:val="center"/>
          </w:tcPr>
          <w:p w14:paraId="69BCA081">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A1B9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会计信息</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A62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实际发生支出的会计核算是否真实；项目资金投入、支出、资产等会计核算资料是否完整；各类会计核算资料提供是否及时，已经完成项目是否及时进行决算与审计，项目形成的固定资产是否及时登记入账等情况。</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62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361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3294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项目实际发生支出的会计核算真实、准确和规范，计1分，1例不符合扣0.2分；②项目资金投入、支出、资产等会计核算资料的完整，计1分，1例不符合扣0.2分；③各类会计核算资料提供及时，已完成项目及时进行决算与审计，计1分，未及时提供或及时进行决算与审计，1例不符合，扣0.2分；项目形成的固定资产及时登记入账等情况，计1分，1例不符合扣0.2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82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财务支付凭证、附件；固定资产管理台账。</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97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42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14:paraId="034BA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81" w:type="dxa"/>
            <w:vMerge w:val="continue"/>
            <w:tcBorders>
              <w:left w:val="single" w:color="000000" w:sz="4" w:space="0"/>
              <w:right w:val="single" w:color="000000" w:sz="4" w:space="0"/>
            </w:tcBorders>
            <w:shd w:val="clear" w:color="auto" w:fill="auto"/>
            <w:vAlign w:val="center"/>
          </w:tcPr>
          <w:p w14:paraId="3915EC40">
            <w:pPr>
              <w:keepNext w:val="0"/>
              <w:keepLines w:val="0"/>
              <w:pageBreakBefore w:val="0"/>
              <w:widowControl/>
              <w:kinsoku/>
              <w:wordWrap/>
              <w:overflowPunct/>
              <w:topLinePunct w:val="0"/>
              <w:autoSpaceDE/>
              <w:autoSpaceDN/>
              <w:bidi w:val="0"/>
              <w:adjustRightInd/>
              <w:snapToGrid/>
              <w:spacing w:line="260" w:lineRule="exact"/>
              <w:rPr>
                <w:rFonts w:hint="eastAsia" w:ascii="仿宋" w:hAnsi="仿宋" w:eastAsia="仿宋" w:cs="仿宋"/>
                <w:i w:val="0"/>
                <w:iCs w:val="0"/>
                <w:color w:val="000000"/>
                <w:sz w:val="20"/>
                <w:szCs w:val="20"/>
                <w:u w:val="none"/>
              </w:rPr>
            </w:pPr>
          </w:p>
        </w:tc>
        <w:tc>
          <w:tcPr>
            <w:tcW w:w="9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157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组织实施（12分）</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23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管理制度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健全性</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4E48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项目实施单位的财务和业务管理制度是否健全，用以反映和考核财务和业务管理制度对项目顺利实施的保障情况。</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35F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A32E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D51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①已制定或具有相应的专项资金管理办法和业务管理制度，计1分；未制定，计0分。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②财务和业务管理制度合法、合规、完整，计1分。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6F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专项资金管理办法、财务管理制度资料</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82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9D0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816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1" w:type="dxa"/>
            <w:vMerge w:val="continue"/>
            <w:tcBorders>
              <w:left w:val="single" w:color="000000" w:sz="4" w:space="0"/>
              <w:bottom w:val="single" w:color="000000" w:sz="4" w:space="0"/>
              <w:right w:val="single" w:color="000000" w:sz="4" w:space="0"/>
            </w:tcBorders>
            <w:shd w:val="clear" w:color="auto" w:fill="auto"/>
            <w:vAlign w:val="center"/>
          </w:tcPr>
          <w:p w14:paraId="528AE8C5">
            <w:pPr>
              <w:keepNext w:val="0"/>
              <w:keepLines w:val="0"/>
              <w:pageBreakBefore w:val="0"/>
              <w:widowControl/>
              <w:kinsoku/>
              <w:wordWrap/>
              <w:overflowPunct/>
              <w:topLinePunct w:val="0"/>
              <w:autoSpaceDE/>
              <w:autoSpaceDN/>
              <w:bidi w:val="0"/>
              <w:adjustRightInd/>
              <w:snapToGrid/>
              <w:spacing w:line="260" w:lineRule="exact"/>
              <w:rPr>
                <w:rFonts w:hint="eastAsia" w:ascii="仿宋" w:hAnsi="仿宋" w:eastAsia="仿宋" w:cs="仿宋"/>
                <w:i w:val="0"/>
                <w:iCs w:val="0"/>
                <w:color w:val="000000"/>
                <w:sz w:val="20"/>
                <w:szCs w:val="20"/>
                <w:u w:val="none"/>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5F28D">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7FB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制度执行有效性</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041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项目实施是否符合相关管理规定，用以反映和考核相关管理制度的有效执行情况。</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37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41C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5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B2F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①遵守相关法律法规和相关管理规定，计1分；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②项目调整及支出调整手续完备，计1分；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③项目合同书、验收报告、技术鉴定等资料齐全并及时归档，计1分；④项目实施的人员条件、场地设备、信息支撑等落实到位，计1分。 以上每有1项不符，扣相应指标分。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25A0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管理制度、项目管理机构、检查记录台账、现场监督检查影像资料、考核记录（通报）。</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9E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符合要求</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5B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bl>
    <w:p w14:paraId="6D50039B">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ascii="仿宋" w:hAnsi="仿宋" w:eastAsia="仿宋" w:cs="仿宋"/>
          <w:kern w:val="2"/>
          <w:sz w:val="21"/>
          <w:szCs w:val="24"/>
          <w:lang w:val="en-US" w:eastAsia="zh-CN" w:bidi="ar-SA"/>
        </w:rPr>
      </w:pPr>
    </w:p>
    <w:tbl>
      <w:tblPr>
        <w:tblStyle w:val="7"/>
        <w:tblW w:w="154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4"/>
        <w:gridCol w:w="996"/>
        <w:gridCol w:w="1050"/>
        <w:gridCol w:w="2945"/>
        <w:gridCol w:w="600"/>
        <w:gridCol w:w="791"/>
        <w:gridCol w:w="5004"/>
        <w:gridCol w:w="1405"/>
        <w:gridCol w:w="955"/>
        <w:gridCol w:w="750"/>
      </w:tblGrid>
      <w:tr w14:paraId="40C8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blHeader/>
          <w:jc w:val="center"/>
        </w:trPr>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B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一级指标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8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二级指标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0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三级指标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2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指标说明</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F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分值</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09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现阶段   目标值</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66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计分标准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8F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数据来源</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F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实现    目标值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4812">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得分</w:t>
            </w:r>
          </w:p>
        </w:tc>
      </w:tr>
      <w:tr w14:paraId="12BDE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jc w:val="center"/>
        </w:trPr>
        <w:tc>
          <w:tcPr>
            <w:tcW w:w="954" w:type="dxa"/>
            <w:vMerge w:val="restart"/>
            <w:tcBorders>
              <w:top w:val="single" w:color="000000" w:sz="4" w:space="0"/>
              <w:left w:val="single" w:color="000000" w:sz="4" w:space="0"/>
              <w:right w:val="single" w:color="000000" w:sz="4" w:space="0"/>
            </w:tcBorders>
            <w:shd w:val="clear" w:color="auto" w:fill="auto"/>
            <w:vAlign w:val="center"/>
          </w:tcPr>
          <w:p w14:paraId="01A0C4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过程</w:t>
            </w:r>
          </w:p>
        </w:tc>
        <w:tc>
          <w:tcPr>
            <w:tcW w:w="996" w:type="dxa"/>
            <w:vMerge w:val="restart"/>
            <w:tcBorders>
              <w:top w:val="single" w:color="000000" w:sz="4" w:space="0"/>
              <w:left w:val="single" w:color="000000" w:sz="4" w:space="0"/>
              <w:right w:val="single" w:color="000000" w:sz="4" w:space="0"/>
            </w:tcBorders>
            <w:shd w:val="clear" w:color="auto" w:fill="auto"/>
            <w:vAlign w:val="center"/>
          </w:tcPr>
          <w:p w14:paraId="68B92F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组织实施</w:t>
            </w:r>
          </w:p>
          <w:p w14:paraId="71137F3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035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项目管理  规范性</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70D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是否按照相关法律法规和程序规定组织项目建设。</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5EA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D4EC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CE1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①依法依规组织建设（设备采购）项目公开招投标，计1分；每有1例不规范，扣0.2分                                                 ②合同管理规范，计1分；不规范，每出现1例不合规，扣0.2分。  ③项目验收管理规范，计1分，每出现1例不验收，扣0.2分。                                             ④资金管理规范，严格执行财务制度， 计1分，每有1例不合规，扣0.2分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07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招投标文件、项目合同、设计变更审批资料、工程报建资料、竣工验收资料</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4031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零星维修项目9项未签合同</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141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w:t>
            </w:r>
          </w:p>
        </w:tc>
      </w:tr>
      <w:tr w14:paraId="551C4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jc w:val="center"/>
        </w:trPr>
        <w:tc>
          <w:tcPr>
            <w:tcW w:w="954" w:type="dxa"/>
            <w:vMerge w:val="continue"/>
            <w:tcBorders>
              <w:left w:val="single" w:color="000000" w:sz="4" w:space="0"/>
              <w:bottom w:val="single" w:color="000000" w:sz="4" w:space="0"/>
              <w:right w:val="single" w:color="000000" w:sz="4" w:space="0"/>
            </w:tcBorders>
            <w:shd w:val="clear" w:color="auto" w:fill="auto"/>
            <w:vAlign w:val="center"/>
          </w:tcPr>
          <w:p w14:paraId="76307E1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bottom w:val="single" w:color="000000" w:sz="4" w:space="0"/>
              <w:right w:val="single" w:color="000000" w:sz="4" w:space="0"/>
            </w:tcBorders>
            <w:shd w:val="clear" w:color="auto" w:fill="auto"/>
            <w:vAlign w:val="center"/>
          </w:tcPr>
          <w:p w14:paraId="7642713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7B19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绩效自评</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53C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是否按要求开展绩效自评工作，自评报告数据是否全面、真实、准确；绩效指标是否细化量化和科学合理；绩效自评反映的问题是否具体，意见是否可行。</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97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94F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评审为优</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B7A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①评审为优，计2分；②评审为良，计1.5分；③评审为中，计1分；④评审为差，计0分。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442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绩效自评报告</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FF2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评审为良</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6A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w:t>
            </w:r>
          </w:p>
        </w:tc>
      </w:tr>
      <w:tr w14:paraId="4C6B7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C61C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509B873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A2BB9F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2DCD1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A4C237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F067A8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745490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396687B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6B4042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产出（41分）</w:t>
            </w:r>
          </w:p>
          <w:p w14:paraId="6981A8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A0DF3D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550661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E3D37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66211F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5C8BB1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FC64B7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8AC7F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67302E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351233B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44C32E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95921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6D58B7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922A36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E4468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61C6FD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439BBF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2D45FB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3CA9A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62CBE6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10CAE9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2A658F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385147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产出</w:t>
            </w:r>
          </w:p>
          <w:p w14:paraId="6BCAC2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0FA22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40E856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677A86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C7BD1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4C38AD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67D34B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7EA0BA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4962ED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075AE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0F5F9C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1A8A8B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12E036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02F573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99A1E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25B2DA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A58F8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F0445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2D27113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仿宋" w:hAnsi="仿宋" w:eastAsia="仿宋" w:cs="仿宋"/>
                <w:i w:val="0"/>
                <w:iCs w:val="0"/>
                <w:color w:val="000000"/>
                <w:kern w:val="0"/>
                <w:sz w:val="18"/>
                <w:szCs w:val="18"/>
                <w:u w:val="none"/>
                <w:lang w:val="en-US" w:eastAsia="zh-CN" w:bidi="ar"/>
              </w:rPr>
            </w:pPr>
          </w:p>
          <w:p w14:paraId="7D3BBD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7A0191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20AD88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0D3AED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718F54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6E1823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76BAD4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产出</w:t>
            </w:r>
          </w:p>
          <w:p w14:paraId="4E2A81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24042A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401B1A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8693C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p w14:paraId="5EE2A34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仿宋" w:hAnsi="仿宋" w:eastAsia="仿宋" w:cs="仿宋"/>
                <w:i w:val="0"/>
                <w:iCs w:val="0"/>
                <w:color w:val="000000"/>
                <w:kern w:val="0"/>
                <w:sz w:val="18"/>
                <w:szCs w:val="18"/>
                <w:u w:val="none"/>
                <w:lang w:val="en-US" w:eastAsia="zh-CN" w:bidi="ar"/>
              </w:rPr>
            </w:pPr>
          </w:p>
          <w:p w14:paraId="5986DE93">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46E46E43">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74437A81">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088CABE3">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2E4A6DB8">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67B49FDC">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36228619">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71DAED61">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3574D9C2">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0616E7D5">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2EAE922D">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29BA7EBC">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589948B3">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623B061F">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109B9BFD">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4E1956D2">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p w14:paraId="4A469C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0103233">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产出</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2FD6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党建引领（10分）</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51A8A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党委领导下的院长负责制落实情况</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279A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医院章程中相关内容是否把“实行党委领导下的院长负责制”写入医院章程。</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5A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607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E30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符合要求，计1分，未制定医院章程或把“实行党委领导下的院长负责制”写入医院章程，不计分。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18D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医院章程</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2C50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08F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65244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826C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E6B9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9121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768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医院党委会和院长办公会议事规则相关内容是否“三重一大”等重大问题由院长办公会研究讨论。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D0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60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161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医院党委会和院长办公会议事规则相关内容:“三重一大”等重大问题由院长办公会研究讨论，计1分，议事规则无研究“三重一大”内容，不计分。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7F9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医院党委会和院长办公会议事规则</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35E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A67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2A0FA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10E2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EB07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3C2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5D0A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医院党委会会议纪要:每季度提供一份会议纪要,议定事项能够体现党委领导作用。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91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B3F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3583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提供2024年党委会会议纪要4份，每季度1份，计2分，每欠1份，扣0.5分。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C619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医院党委会会议纪要</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585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6B1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3D008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3C8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47BB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2400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党组织和党员队伍建设情况</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87D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在岗卫生技术人员中的党员人数,同时提供医院同期在岗卫生技术人员总数。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0A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C69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018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在岗卫生技术人员中的党员人数占在岗卫生技术人员总数30%，计2分，每欠1%扣0.1分。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65D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党员名册</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6808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63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5EBA2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ACFF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6935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1ABB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80C9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在岗高知群体中的党员人数,同时提供医院同期在岗高知群体人员总数。考察注重发展医疗专家、学科带头人、优秀青年医务人员入党情况</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A7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BDB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A0C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注重发展医疗专家、学科带头人、优秀青年医务人员入党。高知群体党员数全部党员数占70%及以上，计2分，每欠1%扣0.1分。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8091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党员名册</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8EA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68B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2B83D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C50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A06A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3A5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党建工作主体责任落实相关情况</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2A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是否配齐配强专职党务工作人员。且党支部书记是内设机构负责人，体现实施党支部书记“双带头人”培育工程的力度。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C4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640B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专职党务13人，党支部书记全部为内设机构负责人</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A19B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根据国卫健党发〔2018〕29号要求,按照不低于职工总数的0.5% ,配齐配强专职党务工作人员。专职党务工作人员达13人，计1分，每欠1人扣0.1分。党支部书记全部为内设机构负责人，计1分，每有1名非内设机构负责人，扣0.1分。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D4FF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年度党组织统计报表</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7708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符合要求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CD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37068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70A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restart"/>
            <w:tcBorders>
              <w:top w:val="single" w:color="000000" w:sz="4" w:space="0"/>
              <w:left w:val="single" w:color="000000" w:sz="4" w:space="0"/>
              <w:right w:val="single" w:color="000000" w:sz="4" w:space="0"/>
            </w:tcBorders>
            <w:shd w:val="clear" w:color="auto" w:fill="auto"/>
            <w:vAlign w:val="center"/>
          </w:tcPr>
          <w:p w14:paraId="74707FC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政府责任落实（6分）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D278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财政补助收入占总支出比重</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2BA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财政补助收入/业务总支出*100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E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69D7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5%～8%</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EF89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财政补助收入占总支出的比重，2024年较2022年、2023年有增长，占比率≥5%，计1分，3%&lt;占比率&lt;5%，计0.6分，占比率1%～3%，计0.2分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683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69A5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6.59%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F4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30E6C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20C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14:paraId="7A8D170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E5A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医院医护比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EB5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医师人员数/医师（不含药剂管理人员）+注册护士人员总数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1B4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5755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逐年提高至1：2左右</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58C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2024年度医护比达1：2计1分，护士比例每欠0.1扣0.1分。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7C90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B55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1：1.78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D4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36DFF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E5B9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bottom w:val="single" w:color="000000" w:sz="4" w:space="0"/>
              <w:right w:val="single" w:color="000000" w:sz="4" w:space="0"/>
            </w:tcBorders>
            <w:shd w:val="clear" w:color="auto" w:fill="auto"/>
            <w:vAlign w:val="center"/>
          </w:tcPr>
          <w:p w14:paraId="7F32F45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024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医院人员薪酬中固定部分占比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FA5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固定薪酬（不含绩效奖金）/总收入*100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682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298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逐步提高</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F9C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2024年较2023年同期有提高，计2分，如有下降，每下降1%扣0.1分。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7EEF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FA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44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6F23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B58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8E7A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医院专科能力（9分）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956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出院患者四级手术占出院患者手术比例（%）</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D417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出院患者四级手术占比=出院患者四级手术人数/出院患者手术人数*100%。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519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84D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25F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2024年出院患者四级手术占比达20%（2023年全国公立三级医院平均占比20.09%），计3分，每欠1%扣0.2分。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FF0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A5E5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F23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2.54</w:t>
            </w:r>
          </w:p>
        </w:tc>
      </w:tr>
      <w:tr w14:paraId="740D9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A187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2114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B11F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出院手术患者微创手术占比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1C5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患者微创手术占比=患者微创手术人数/出院手术患者人数*100。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F55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F7A7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3435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2024年出院手术患者微创手术占比达21%（2023年全国公立三级医院平均占比20.59%），计3分，每欠1%扣0.1分。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92E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3189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22.47%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11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w:t>
            </w:r>
          </w:p>
        </w:tc>
      </w:tr>
      <w:tr w14:paraId="21305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D269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406F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EA41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患者平均住院日</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361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平均住院日 = 出院患者占用总床日数 / 同期出院人数。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31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7AE5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≤8天</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AA75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2024年较2023年平均住院日≤8天，计1分，每超0.5天%扣0.2分,直到扣完本项分。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C6FB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86CE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7.7天</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05F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4138E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B92E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B510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B25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人均住院费用增长率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2AC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（本年同期住院费用总额-上年同期住院费用总额）/上年同期数×100%。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C5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EC4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D055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2024年较2023年增长幅度≤5%，计2分，每超1%扣0.2分，直到扣完本项分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DFCA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58D3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C1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5F869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9A6B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restart"/>
            <w:tcBorders>
              <w:top w:val="single" w:color="000000" w:sz="4" w:space="0"/>
              <w:left w:val="single" w:color="000000" w:sz="4" w:space="0"/>
              <w:right w:val="single" w:color="000000" w:sz="4" w:space="0"/>
            </w:tcBorders>
            <w:shd w:val="clear" w:color="auto" w:fill="auto"/>
            <w:vAlign w:val="center"/>
          </w:tcPr>
          <w:p w14:paraId="225871F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医疗质量安全（9分）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0788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基于择期手术患者并发症发生率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89B0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指标发生率=该指标实际发生例数÷同期手术患者总数×100%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A99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9370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逐步降低</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C998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2024年并发症率较2023年有降低，计2分，未降低，不计分</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D56FD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公立医院绩效考核管理平台。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7C17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-0.005%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89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4897E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9C61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14:paraId="1492BAD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F87B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I类切口手术部位感染率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302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I类切口手术部位感染人次数/同期I类切口手术台次数×100%。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99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B11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逐步降低</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E53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2024年感染率较2023年有降低，计2分，未降低，不计分</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E29F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55C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-0.0013%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A8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64C64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FD48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14:paraId="28501F3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8A2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低风险组病例死亡率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9351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低风险组病例死亡率 = （低风险组死亡例数 / 低风险组病例数）× 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05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C752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逐步降低</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A14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2024年病例死亡率较2023年有降低，计2分，未降低，不计分。</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CAC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6976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零死亡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B3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2BD7D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C827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14:paraId="0C5F61B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E297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CMI值（病例组合指数）</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9ECB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DIP付费：CMI值=医院DIP入组病例总病种分值/医院DIP入组病例总病例数/病种分值计算时的系数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2E3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4FC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逐步提高</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83F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CMI值2024年较2023年有提高，计2分，每下降0.01，扣0.1分.</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7DBB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DB9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20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782AF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F7978">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bottom w:val="single" w:color="000000" w:sz="4" w:space="0"/>
              <w:right w:val="single" w:color="000000" w:sz="4" w:space="0"/>
            </w:tcBorders>
            <w:shd w:val="clear" w:color="auto" w:fill="auto"/>
            <w:vAlign w:val="center"/>
          </w:tcPr>
          <w:p w14:paraId="3EC1621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73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抗菌药物使用强度(DDDs)</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FA0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住院患者抗菌药物消耗量（累计DDD数）/同期收治患者人天数×100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DA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3BA0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BF3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通过2022、2023年数据比较，2024年抗菌药物使用强度(DDDs)有降低，计1分，未降低，不计分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03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公立医院绩效考核管理平台。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FF9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（35.08）-0.79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A1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49F92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3300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5EC5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31A8BD5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3BD4AA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1595E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医院服务效率（7分）</w:t>
            </w:r>
          </w:p>
          <w:p w14:paraId="0672CB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5A4701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3B52B3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AA81D2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9DDF0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2751F3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B0810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E1B913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582A55C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医院服务效率</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635D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住院医师规范化培训制度落实效果</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9E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新进医疗岗位的本科及以上学历临床医师培训率（参加培训人数/新进人数*100）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4D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8AD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21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培训率100%，计1分，95%计0.4分，90%，计0.3分，90%以下0.1分</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10B7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住院医师规范化培训管理平台等</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D9C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CA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3AC0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E197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4BCD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F1B4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01C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结业综合考试合格率（结业综合考试合格人数/参加考试人数*100）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E94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7102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E3AE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结业综合考试合格率100%，计1分，95%计0.4分，90%，计0.3分，90%以下0.1分</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4122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FC5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09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69DCA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B477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2A4C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75B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时间消耗指数</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04C1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时间消耗指数=∑ (医院各DRG组平均住院日与区域同 DRG组平均住院日比值×医院该DRG组病例数)/医院分析病例数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08D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365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逐年降低</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B573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2024年度时间消耗指数较2023年有降低，计2分，未降低，每增加0.01，扣0.2分。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0E2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公立医院绩效考核管理平台。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51CF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1BD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w:t>
            </w:r>
          </w:p>
        </w:tc>
      </w:tr>
      <w:tr w14:paraId="5090B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8F54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D3A1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341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次均门诊费用增长率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BE0A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衡量一定时期内门诊次均费用变化程度：（当年门诊次均费用 - 上年门诊次均费用）/ 上年门诊次均费用 × 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DE0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0DB9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DB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2024年较2023年增长幅度≤5%，且不超过394.14元（2023年全国平均数361.6元+2024年益阳医疗保健指数上涨0.09），计1分，每超1%扣0.2分，直到扣完本项分。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ED4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FBE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0C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464FA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4767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8C67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D13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门诊人次数与出院人次数比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66A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三甲医院出院人次占门诊人次的比重。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F83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A51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逐年提高</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C8C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2024年较2023年出院人次数与门诊人次数占比有提高，计1分，有下降，每下降0.5%，扣0.2分，下降1%以上至10%，扣0.5分。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A194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5AB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BE8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r>
      <w:tr w14:paraId="292BA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D8AF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F2AA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873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病床使用率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09C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床位使用率=（期内实际占用床日数/期内实际开放总床日数）×100%。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3A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1818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85%～93%</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2B1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2024年床位使用率达85%，计1分，每欠1%扣0.1分。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8E8B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3FDB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81.33%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71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r>
      <w:tr w14:paraId="140A8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8B09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98819F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9D8782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7E5280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CE28F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02F091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AA8F55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6B5D51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547DDE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723748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效益（19分）</w:t>
            </w:r>
          </w:p>
          <w:p w14:paraId="02519FC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34C807F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35B5A94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A0389D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3FDD75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5A6DFC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C431F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C605AD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FBB401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DC7259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634DDE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C33AB6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878049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35D46A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6A58BF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009E030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3D976D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C68C3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78203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7B77D5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DBF8AF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75D69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3C1CBC1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A2F9C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效益</w:t>
            </w:r>
          </w:p>
        </w:tc>
        <w:tc>
          <w:tcPr>
            <w:tcW w:w="996" w:type="dxa"/>
            <w:vMerge w:val="restart"/>
            <w:tcBorders>
              <w:top w:val="single" w:color="000000" w:sz="4" w:space="0"/>
              <w:left w:val="single" w:color="000000" w:sz="4" w:space="0"/>
              <w:right w:val="single" w:color="000000" w:sz="4" w:space="0"/>
            </w:tcBorders>
            <w:shd w:val="clear" w:color="auto" w:fill="auto"/>
            <w:vAlign w:val="center"/>
          </w:tcPr>
          <w:p w14:paraId="1EA68C9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医院可持续运营发展（5分）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E453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医疗费用增长率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BED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反映医院医疗费用增长情况：（当年医院医疗费用-上年医院医疗费用）/上上年医院医疗费用× 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6E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E75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E2AB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2024年较2023年增长幅度≤10%，计1分，每超1%扣0.2分,直到扣完本项分。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E16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05E7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AD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2F542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0BA0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14:paraId="791FC3A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77EA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医疗服务收入占比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8DBA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(不含药品、耗材 、检查、检验收入)占医疗收入的比例。</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44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14C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35%</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6BD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2024年医疗服务收入占比达35%，计1分，每欠0.5%扣0.1分。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74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ABD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32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r>
      <w:tr w14:paraId="5468A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117E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14:paraId="43B046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8CA1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人员经费占比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B5D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人员经费占比=人员经费/医疗活动费用 ×100%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AB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837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逐年提高</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C09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2024年较2023年人员经费占医疗活动费用比例有提高，计1分，每降低5%扣0.2分。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BB0E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1B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01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3437E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B5D3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right w:val="single" w:color="000000" w:sz="4" w:space="0"/>
            </w:tcBorders>
            <w:shd w:val="clear" w:color="auto" w:fill="auto"/>
            <w:vAlign w:val="center"/>
          </w:tcPr>
          <w:p w14:paraId="32AB52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8C70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资产负债率</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D1C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资产负债率=负债总额÷资产总额×100%。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AD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0FA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2B7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公立医院正常负责率为40%～60%之间。2024年资产负债率不超过60%，计1分，每超1%扣0.2分。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314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C7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63.13%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D6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0.38</w:t>
            </w:r>
          </w:p>
        </w:tc>
      </w:tr>
      <w:tr w14:paraId="3F235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1750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left w:val="single" w:color="000000" w:sz="4" w:space="0"/>
              <w:bottom w:val="single" w:color="000000" w:sz="4" w:space="0"/>
              <w:right w:val="single" w:color="000000" w:sz="4" w:space="0"/>
            </w:tcBorders>
            <w:shd w:val="clear" w:color="auto" w:fill="auto"/>
            <w:vAlign w:val="center"/>
          </w:tcPr>
          <w:p w14:paraId="05CE00C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5C3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设备购置长期负债占比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85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设备购置长期负债占总资产比率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6F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EA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逐年下降</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9966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2024年较2023年下降，下降幅度≥3%得1分;3%&gt;下降幅度≥2%，计0.5分，下降幅度2%以下计0.1分。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B81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45F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C1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r>
      <w:tr w14:paraId="416CC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DE9D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3B1C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B72E51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创新增效（6分）</w:t>
            </w:r>
          </w:p>
          <w:p w14:paraId="5D0094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79F636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399DF2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6BDA0E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10B8B3B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4479294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7AF529E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p w14:paraId="256798F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创新增效</w:t>
            </w:r>
          </w:p>
          <w:p w14:paraId="2AC0506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B6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智慧医院建设成效</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9586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智慧医疗、智慧服务、智慧管理、人工智能与数据管理融合、电子病历应用功能水平分级实现程度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CE8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2C6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4级</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66B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智慧医院系统运行正常，电子病历应用功能水平分级实现4级，得2分，未实现，不计分。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C81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公立医院电子病历系统功能应用水平分级评价</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50F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49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5D34D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FF04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06E9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A57B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每百名卫生技术人员科研项目经费</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0E3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当年立项批复或签订合同的项目金额，包括纵向（各级政府机构和上级主管部门下达）、横向（非政府机构和上级主管部门下达，含GCP临床试验)的科研项目。</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7C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06A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逐步提高</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3D55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通过2022、2023年数据比较，2024年每百名卫技人员科研项目经费占比有提高，计2分，未提高，不计分。（2024年暂无数据，以2023年度数据为评分依据）</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AA9F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公立医院绩效考核管理平台，卫生健康财务年报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F21C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E4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26F65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50E3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2648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A0C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万元收入能耗占比</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2B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万元收入能耗占比=年总能耗/年总收入×10000，反映医疗机构的节能减排情况以及对环境影响的减少程度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39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CC1F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逐年下降</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FC0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2024年较2023年万元收入能耗有降低，计2分，未降低，每超0.1%扣0.2分,直到扣完本项分。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4FD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公立医院绩效考核管理平台，卫生健康财务年报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32A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18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r>
      <w:tr w14:paraId="6D119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73AE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9C4B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5FA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费用消耗指数</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A80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费用消耗指数=∑(医院各DRG组患者住院例均费用与区域同DRG组住院例均费用比值×医院该DRG组病例数)/医院分析病例数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08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31EE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逐年下降</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94F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2024年较2023年同期费用消耗指数有下降，计2分，未下降，计1.8分,有增加，指数每增加0.1，扣0.5分，直至扣完本项分。</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CEA3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公立医院绩效考核管理平台，卫生健康财务年报</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6F8F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未下降</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3CD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w:t>
            </w:r>
          </w:p>
        </w:tc>
      </w:tr>
      <w:tr w14:paraId="2DC00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4904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40126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满意度(6分)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CC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门诊患者</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64C7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门诊患者在就医过程中对医患沟通、医务人员回应性、环境与标识等方面满意程度。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1E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0B25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D5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满意率&gt;60%的，则满意率×本项指标分，满意率&lt;60%，不计分（2024度数据尚未公布，以2023年度数据作为评分依据）</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0A9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公立医院满意度调查平台；公立医院绩效考核管理平台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87DC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98.95%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68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1.98</w:t>
            </w:r>
          </w:p>
        </w:tc>
      </w:tr>
      <w:tr w14:paraId="7B691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6A3C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9BDE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0E0A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住院患者</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6F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住院患者在就医过程中对医患沟通、医务人员回应性、环境与标识等方面满意程度。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BA2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2E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592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满意率&gt;60%的，则满意率×本项指标分，满意率&lt;60%，不计分（2024度数据尚未公布，以2023年度数据作为评分依据）</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E1B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公立医院满意度调查平台；公立医院绩效考核管理平台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341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08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1.98</w:t>
            </w:r>
          </w:p>
        </w:tc>
      </w:tr>
      <w:tr w14:paraId="0706A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BFB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1AF2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C04C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医务人员</w:t>
            </w:r>
          </w:p>
        </w:tc>
        <w:tc>
          <w:tcPr>
            <w:tcW w:w="2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3CE4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医务人员对薪酬福利、发展晋升、工作内容与环境、上下级关系、同级关系等方面满意程度。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35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608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6E8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满意率&gt;60%的，则满意率×本项指标分，满意率&lt;60%，不计分（2024度数据尚未公布，以2023年度数据作为评分依据）</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6706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公立医院满意度调查平台；公立医院绩效考核管理平台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154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C2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1.99</w:t>
            </w:r>
          </w:p>
        </w:tc>
      </w:tr>
      <w:tr w14:paraId="5A036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9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AC41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合  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9A5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EA3E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5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4800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C1E9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4E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18"/>
                <w:szCs w:val="18"/>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17BA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92.24</w:t>
            </w:r>
          </w:p>
        </w:tc>
      </w:tr>
    </w:tbl>
    <w:p w14:paraId="428656DA">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2C7B82A">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6E93AAFE">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662CB858">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70FA543">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65A5A3D">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2FAE0742">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44380F1E">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0FE04343">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7B56BE45">
      <w:pPr>
        <w:keepNext w:val="0"/>
        <w:keepLines w:val="0"/>
        <w:pageBreakBefore w:val="0"/>
        <w:widowControl w:val="0"/>
        <w:tabs>
          <w:tab w:val="left" w:pos="3990"/>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1E9540CF">
      <w:pPr>
        <w:keepNext w:val="0"/>
        <w:keepLines w:val="0"/>
        <w:pageBreakBefore w:val="0"/>
        <w:widowControl w:val="0"/>
        <w:tabs>
          <w:tab w:val="left" w:pos="5397"/>
        </w:tabs>
        <w:kinsoku/>
        <w:wordWrap/>
        <w:overflowPunct/>
        <w:topLinePunct w:val="0"/>
        <w:autoSpaceDE/>
        <w:autoSpaceDN/>
        <w:bidi w:val="0"/>
        <w:adjustRightInd/>
        <w:snapToGrid/>
        <w:spacing w:line="460" w:lineRule="exact"/>
        <w:ind w:firstLine="42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0"/>
          <w:szCs w:val="30"/>
          <w:lang w:val="en-US" w:eastAsia="zh-CN" w:bidi="ar-SA"/>
        </w:rPr>
        <w:t>附件2</w:t>
      </w:r>
    </w:p>
    <w:p w14:paraId="50900077">
      <w:pPr>
        <w:keepNext w:val="0"/>
        <w:keepLines w:val="0"/>
        <w:pageBreakBefore w:val="0"/>
        <w:widowControl w:val="0"/>
        <w:tabs>
          <w:tab w:val="left" w:pos="5397"/>
        </w:tabs>
        <w:kinsoku/>
        <w:wordWrap/>
        <w:overflowPunct/>
        <w:topLinePunct w:val="0"/>
        <w:autoSpaceDE/>
        <w:autoSpaceDN/>
        <w:bidi w:val="0"/>
        <w:adjustRightInd/>
        <w:snapToGrid/>
        <w:spacing w:after="159" w:afterLines="50" w:line="460" w:lineRule="exact"/>
        <w:ind w:firstLine="420"/>
        <w:jc w:val="center"/>
        <w:textAlignment w:val="auto"/>
        <w:rPr>
          <w:rFonts w:hint="eastAsia" w:ascii="仿宋" w:hAnsi="仿宋" w:eastAsia="仿宋" w:cs="仿宋"/>
          <w:kern w:val="2"/>
          <w:sz w:val="30"/>
          <w:szCs w:val="30"/>
          <w:lang w:val="en-US" w:eastAsia="zh-CN" w:bidi="ar-SA"/>
        </w:rPr>
      </w:pPr>
      <w:r>
        <w:rPr>
          <w:rFonts w:hint="eastAsia" w:ascii="仿宋" w:hAnsi="仿宋" w:eastAsia="仿宋" w:cs="仿宋"/>
          <w:i w:val="0"/>
          <w:iCs w:val="0"/>
          <w:color w:val="000000"/>
          <w:kern w:val="0"/>
          <w:sz w:val="30"/>
          <w:szCs w:val="30"/>
          <w:u w:val="none"/>
          <w:lang w:val="en-US" w:eastAsia="zh-CN" w:bidi="ar"/>
        </w:rPr>
        <w:t>益阳市中心医院高质量发展专项资金使用情况统计汇总表</w:t>
      </w:r>
    </w:p>
    <w:tbl>
      <w:tblPr>
        <w:tblStyle w:val="7"/>
        <w:tblW w:w="147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17"/>
        <w:gridCol w:w="1953"/>
        <w:gridCol w:w="1619"/>
        <w:gridCol w:w="1688"/>
        <w:gridCol w:w="1750"/>
        <w:gridCol w:w="1554"/>
        <w:gridCol w:w="1401"/>
      </w:tblGrid>
      <w:tr w14:paraId="18AF0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tblHeader/>
          <w:jc w:val="center"/>
        </w:trPr>
        <w:tc>
          <w:tcPr>
            <w:tcW w:w="4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mc:AlternateContent>
              <mc:Choice Requires="wpsCustomData">
                <wpsCustomData:diagonals>
                  <wpsCustomData:diagonal from="10000" to="34500">
                    <wpsCustomData:border w:val="single" w:color="000000" w:sz="4" w:space="0"/>
                  </wpsCustomData:diagonal>
                  <wpsCustomData:diagonal from="10000" to="26200">
                    <wpsCustomData:border w:val="single" w:color="000000" w:sz="4" w:space="0"/>
                  </wpsCustomData:diagonal>
                </wpsCustomData:diagonals>
              </mc:Choice>
            </mc:AlternateContent>
          </w:tcPr>
          <w:p w14:paraId="305B7CFE">
            <w:pPr>
              <w:keepNext w:val="0"/>
              <w:keepLines w:val="0"/>
              <w:widowControl/>
              <w:suppressLineNumbers w:val="0"/>
              <w:snapToGrid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w:t>
            </w:r>
          </w:p>
          <w:p w14:paraId="05B4FADB">
            <w:pPr>
              <w:keepNext w:val="0"/>
              <w:keepLines w:val="0"/>
              <w:widowControl/>
              <w:suppressLineNumbers w:val="0"/>
              <w:snapToGrid w:val="0"/>
              <w:jc w:val="left"/>
              <w:textAlignment w:val="center"/>
              <w:rPr>
                <w:rFonts w:hint="eastAsia" w:ascii="宋体" w:hAnsi="宋体" w:eastAsia="宋体" w:cs="宋体"/>
                <w:i w:val="0"/>
                <w:iCs w:val="0"/>
                <w:color w:val="000000"/>
                <w:kern w:val="0"/>
                <w:sz w:val="22"/>
                <w:szCs w:val="22"/>
                <w:u w:val="none"/>
                <w:lang w:val="en-US" w:eastAsia="zh-CN" w:bidi="ar"/>
              </w:rPr>
            </w:pPr>
          </w:p>
          <w:p w14:paraId="43F5C583">
            <w:pPr>
              <w:keepNext w:val="0"/>
              <w:keepLines w:val="0"/>
              <w:widowControl/>
              <w:suppressLineNumbers w:val="0"/>
              <w:snapToGrid w:val="0"/>
              <w:jc w:val="left"/>
              <w:textAlignment w:val="center"/>
              <w:rPr>
                <w:rFonts w:hint="eastAsia" w:ascii="宋体" w:hAnsi="宋体" w:eastAsia="宋体" w:cs="宋体"/>
                <w:i w:val="0"/>
                <w:iCs w:val="0"/>
                <w:color w:val="000000"/>
                <w:kern w:val="0"/>
                <w:sz w:val="22"/>
                <w:szCs w:val="22"/>
                <w:u w:val="none"/>
                <w:lang w:val="en-US" w:eastAsia="zh-CN" w:bidi="ar"/>
              </w:rPr>
            </w:pPr>
          </w:p>
          <w:p w14:paraId="2A0968CC">
            <w:pPr>
              <w:keepNext w:val="0"/>
              <w:keepLines w:val="0"/>
              <w:widowControl/>
              <w:suppressLineNumbers w:val="0"/>
              <w:snapToGrid w:val="0"/>
              <w:ind w:firstLine="440" w:firstLineChars="200"/>
              <w:jc w:val="left"/>
              <w:textAlignment w:val="center"/>
              <mc:AlternateContent>
                <mc:Choice Requires="wpsCustomData">
                  <wpsCustomData:diagonalParaType/>
                </mc:Choice>
              </mc:AlternateContent>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项目名称</w:t>
            </w:r>
            <w:r>
              <w:rPr>
                <w:rFonts w:hint="eastAsia" w:ascii="宋体" w:hAnsi="宋体" w:eastAsia="宋体" w:cs="宋体"/>
                <w:i w:val="0"/>
                <w:iCs w:val="0"/>
                <w:color w:val="000000"/>
                <w:kern w:val="0"/>
                <w:sz w:val="22"/>
                <w:szCs w:val="22"/>
                <w:u w:val="none"/>
                <w:lang w:val="en-US" w:eastAsia="zh-CN" w:bidi="ar"/>
              </w:rPr>
              <w:t xml:space="preserve">                                </w:t>
            </w:r>
          </w:p>
          <w:p w14:paraId="4089F6A6">
            <w:pPr>
              <w:keepNext w:val="0"/>
              <w:keepLines w:val="0"/>
              <w:widowControl/>
              <w:suppressLineNumbers w:val="0"/>
              <w:snapToGrid w:val="0"/>
              <w:jc w:val="left"/>
              <w:textAlignment w:val="center"/>
              <w:rPr>
                <w:rFonts w:hint="eastAsia" w:ascii="宋体" w:hAnsi="宋体" w:eastAsia="宋体" w:cs="宋体"/>
                <w:i w:val="0"/>
                <w:iCs w:val="0"/>
                <w:color w:val="000000"/>
                <w:sz w:val="22"/>
                <w:szCs w:val="22"/>
                <w:u w:val="none"/>
              </w:rPr>
            </w:pPr>
          </w:p>
          <w:p w14:paraId="6C9BF679">
            <w:pPr>
              <w:keepNext w:val="0"/>
              <w:keepLines w:val="0"/>
              <w:widowControl/>
              <w:suppressLineNumbers w:val="0"/>
              <w:snapToGrid w:val="0"/>
              <w:jc w:val="left"/>
              <w:textAlignment w:val="center"/>
              <w:rPr>
                <w:rFonts w:hint="eastAsia" w:ascii="宋体" w:hAnsi="宋体" w:eastAsia="宋体" w:cs="宋体"/>
                <w:i w:val="0"/>
                <w:iCs w:val="0"/>
                <w:color w:val="000000"/>
                <w:sz w:val="22"/>
                <w:szCs w:val="22"/>
                <w:u w:val="none"/>
              </w:rPr>
            </w:pPr>
          </w:p>
          <w:p w14:paraId="2D331D79">
            <w:pPr>
              <w:keepNext w:val="0"/>
              <w:keepLines w:val="0"/>
              <w:widowControl/>
              <w:suppressLineNumbers w:val="0"/>
              <w:snapToGrid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 xml:space="preserve">  </w:t>
            </w:r>
            <w:r>
              <w:rPr>
                <w:rFonts w:hint="eastAsia" w:ascii="仿宋" w:hAnsi="仿宋" w:eastAsia="仿宋" w:cs="仿宋"/>
                <w:i w:val="0"/>
                <w:iCs w:val="0"/>
                <w:color w:val="000000"/>
                <w:sz w:val="22"/>
                <w:szCs w:val="22"/>
                <w:u w:val="none"/>
                <w:lang w:val="en-US" w:eastAsia="zh-CN"/>
              </w:rPr>
              <w:t xml:space="preserve">  支付金额</w:t>
            </w:r>
          </w:p>
          <w:p w14:paraId="4C8A09F6">
            <w:pPr>
              <w:keepNext w:val="0"/>
              <w:keepLines w:val="0"/>
              <w:widowControl/>
              <w:suppressLineNumbers w:val="0"/>
              <w:snapToGrid w:val="0"/>
              <w:jc w:val="left"/>
              <w:textAlignment w:val="center"/>
              <w:rPr>
                <w:rFonts w:hint="eastAsia" w:ascii="宋体" w:hAnsi="宋体" w:eastAsia="宋体" w:cs="宋体"/>
                <w:i w:val="0"/>
                <w:iCs w:val="0"/>
                <w:color w:val="000000"/>
                <w:sz w:val="22"/>
                <w:szCs w:val="22"/>
                <w:u w:val="none"/>
                <w:lang w:val="en-US" w:eastAsia="zh-CN"/>
              </w:rPr>
            </w:pPr>
          </w:p>
          <w:p w14:paraId="2C0F6B7C">
            <w:pPr>
              <w:keepNext w:val="0"/>
              <w:keepLines w:val="0"/>
              <w:widowControl/>
              <w:suppressLineNumbers w:val="0"/>
              <w:snapToGrid w:val="0"/>
              <w:jc w:val="left"/>
              <w:textAlignment w:val="center"/>
              <w:rPr>
                <w:rFonts w:hint="default" w:ascii="宋体" w:hAnsi="宋体" w:eastAsia="宋体" w:cs="宋体"/>
                <w:i w:val="0"/>
                <w:iCs w:val="0"/>
                <w:color w:val="000000"/>
                <w:sz w:val="22"/>
                <w:szCs w:val="22"/>
                <w:u w:val="none"/>
                <w:lang w:val="en-US" w:eastAsia="zh-CN"/>
              </w:rPr>
            </w:pPr>
          </w:p>
          <w:p w14:paraId="5432ACC3">
            <w:pPr>
              <w:keepNext w:val="0"/>
              <w:keepLines w:val="0"/>
              <w:widowControl/>
              <w:suppressLineNumbers w:val="0"/>
              <w:snapToGrid w:val="0"/>
              <w:jc w:val="left"/>
              <w:textAlignment w:val="center"/>
              <mc:AlternateContent>
                <mc:Choice Requires="wpsCustomData">
                  <wpsCustomData:diagonalParaType/>
                </mc:Choice>
              </mc:AlternateContent>
              <w:rPr>
                <w:rFonts w:hint="default" w:ascii="宋体" w:hAnsi="宋体" w:eastAsia="宋体" w:cs="宋体"/>
                <w:i w:val="0"/>
                <w:iCs w:val="0"/>
                <w:color w:val="000000"/>
                <w:sz w:val="22"/>
                <w:szCs w:val="22"/>
                <w:u w:val="none"/>
                <w:lang w:val="en-US" w:eastAsia="zh-CN"/>
              </w:rPr>
            </w:pPr>
          </w:p>
          <w:p w14:paraId="26D154D9">
            <w:pPr>
              <w:keepNext w:val="0"/>
              <w:keepLines w:val="0"/>
              <w:pageBreakBefore w:val="0"/>
              <w:widowControl/>
              <w:suppressLineNumbers w:val="0"/>
              <w:tabs>
                <w:tab w:val="left" w:pos="3650"/>
              </w:tabs>
              <w:kinsoku/>
              <w:wordWrap/>
              <w:overflowPunct/>
              <w:topLinePunct w:val="0"/>
              <w:autoSpaceDE/>
              <w:autoSpaceDN/>
              <w:bidi w:val="0"/>
              <w:adjustRightInd/>
              <w:snapToGrid/>
              <w:spacing w:line="560" w:lineRule="exact"/>
              <w:ind w:firstLine="1100" w:firstLineChars="500"/>
              <w:jc w:val="left"/>
              <w:textAlignment w:val="center"/>
              <w:rPr>
                <w:rFonts w:hint="eastAsia" w:ascii="仿宋" w:hAnsi="仿宋" w:eastAsia="仿宋" w:cs="仿宋"/>
                <w:i w:val="0"/>
                <w:iCs w:val="0"/>
                <w:color w:val="000000"/>
                <w:sz w:val="22"/>
                <w:szCs w:val="22"/>
                <w:u w:val="none"/>
                <w:lang w:eastAsia="zh-CN"/>
              </w:rPr>
            </w:pPr>
            <w:r>
              <w:rPr>
                <w:rFonts w:hint="eastAsia" w:ascii="仿宋" w:hAnsi="仿宋" w:eastAsia="仿宋" w:cs="仿宋"/>
                <w:i w:val="0"/>
                <w:iCs w:val="0"/>
                <w:color w:val="000000"/>
                <w:sz w:val="22"/>
                <w:szCs w:val="22"/>
                <w:u w:val="none"/>
                <w:lang w:eastAsia="zh-CN"/>
              </w:rPr>
              <w:t>资金指标</w:t>
            </w:r>
          </w:p>
          <w:p w14:paraId="1DAB0215">
            <w:pPr>
              <w:keepNext w:val="0"/>
              <w:keepLines w:val="0"/>
              <w:pageBreakBefore w:val="0"/>
              <w:widowControl/>
              <w:suppressLineNumbers w:val="0"/>
              <w:tabs>
                <w:tab w:val="left" w:pos="3650"/>
              </w:tabs>
              <w:kinsoku/>
              <w:wordWrap/>
              <w:overflowPunct/>
              <w:topLinePunct w:val="0"/>
              <w:autoSpaceDE/>
              <w:autoSpaceDN/>
              <w:bidi w:val="0"/>
              <w:adjustRightInd/>
              <w:snapToGrid/>
              <w:spacing w:line="500" w:lineRule="exact"/>
              <w:ind w:firstLine="1540" w:firstLineChars="700"/>
              <w:jc w:val="left"/>
              <w:textAlignment w:val="center"/>
              <w:rPr>
                <w:rFonts w:hint="eastAsia" w:ascii="宋体" w:hAnsi="宋体" w:eastAsia="宋体" w:cs="宋体"/>
                <w:i w:val="0"/>
                <w:iCs w:val="0"/>
                <w:color w:val="000000"/>
                <w:sz w:val="22"/>
                <w:szCs w:val="22"/>
                <w:u w:val="none"/>
                <w:lang w:eastAsia="zh-CN"/>
              </w:rPr>
            </w:pPr>
          </w:p>
          <w:p w14:paraId="35850D5E">
            <w:pPr>
              <w:keepNext w:val="0"/>
              <w:keepLines w:val="0"/>
              <w:pageBreakBefore w:val="0"/>
              <w:widowControl/>
              <w:suppressLineNumbers w:val="0"/>
              <w:tabs>
                <w:tab w:val="left" w:pos="3650"/>
              </w:tabs>
              <w:kinsoku/>
              <w:wordWrap/>
              <w:overflowPunct/>
              <w:topLinePunct w:val="0"/>
              <w:autoSpaceDE/>
              <w:autoSpaceDN/>
              <w:bidi w:val="0"/>
              <w:adjustRightInd/>
              <w:snapToGrid/>
              <w:spacing w:line="500" w:lineRule="exact"/>
              <w:ind w:firstLine="1540" w:firstLineChars="70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ab/>
            </w:r>
          </w:p>
        </w:tc>
        <w:tc>
          <w:tcPr>
            <w:tcW w:w="1953" w:type="dxa"/>
            <w:vMerge w:val="restart"/>
            <w:tcBorders>
              <w:top w:val="single" w:color="000000" w:sz="4" w:space="0"/>
              <w:left w:val="single" w:color="000000" w:sz="4" w:space="0"/>
              <w:bottom w:val="single" w:color="000000" w:sz="4" w:space="0"/>
              <w:right w:val="nil"/>
            </w:tcBorders>
            <w:shd w:val="clear" w:color="auto" w:fill="auto"/>
            <w:vAlign w:val="center"/>
          </w:tcPr>
          <w:p w14:paraId="57BBB6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2023社指0877号2255.95万元</w:t>
            </w:r>
          </w:p>
        </w:tc>
        <w:tc>
          <w:tcPr>
            <w:tcW w:w="1619" w:type="dxa"/>
            <w:vMerge w:val="restart"/>
            <w:tcBorders>
              <w:top w:val="single" w:color="000000" w:sz="4" w:space="0"/>
              <w:left w:val="single" w:color="000000" w:sz="4" w:space="0"/>
              <w:bottom w:val="single" w:color="000000" w:sz="4" w:space="0"/>
              <w:right w:val="nil"/>
            </w:tcBorders>
            <w:shd w:val="clear" w:color="auto" w:fill="auto"/>
            <w:vAlign w:val="center"/>
          </w:tcPr>
          <w:p w14:paraId="0FD874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2024社指0112号5600万元</w:t>
            </w:r>
          </w:p>
        </w:tc>
        <w:tc>
          <w:tcPr>
            <w:tcW w:w="1688" w:type="dxa"/>
            <w:vMerge w:val="restart"/>
            <w:tcBorders>
              <w:top w:val="single" w:color="000000" w:sz="4" w:space="0"/>
              <w:left w:val="single" w:color="000000" w:sz="4" w:space="0"/>
              <w:bottom w:val="single" w:color="000000" w:sz="4" w:space="0"/>
              <w:right w:val="nil"/>
            </w:tcBorders>
            <w:shd w:val="clear" w:color="auto" w:fill="auto"/>
            <w:vAlign w:val="center"/>
          </w:tcPr>
          <w:p w14:paraId="6D94B3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2024社指0475号2000万元</w:t>
            </w:r>
          </w:p>
        </w:tc>
        <w:tc>
          <w:tcPr>
            <w:tcW w:w="1750" w:type="dxa"/>
            <w:vMerge w:val="restart"/>
            <w:tcBorders>
              <w:top w:val="single" w:color="000000" w:sz="4" w:space="0"/>
              <w:left w:val="single" w:color="000000" w:sz="4" w:space="0"/>
              <w:bottom w:val="single" w:color="000000" w:sz="4" w:space="0"/>
              <w:right w:val="nil"/>
            </w:tcBorders>
            <w:shd w:val="clear" w:color="auto" w:fill="auto"/>
            <w:vAlign w:val="center"/>
          </w:tcPr>
          <w:p w14:paraId="16818A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2024社指0582号6500万元</w:t>
            </w:r>
          </w:p>
        </w:tc>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BE5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合计</w:t>
            </w:r>
          </w:p>
        </w:tc>
        <w:tc>
          <w:tcPr>
            <w:tcW w:w="14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D1A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占使用资金总额的比例（%）</w:t>
            </w:r>
          </w:p>
        </w:tc>
      </w:tr>
      <w:tr w14:paraId="32A8A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blHeader/>
          <w:jc w:val="center"/>
        </w:trPr>
        <w:tc>
          <w:tcPr>
            <w:tcW w:w="4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FAEF1">
            <w:pPr>
              <w:jc w:val="left"/>
              <w:rPr>
                <w:rFonts w:hint="eastAsia" w:ascii="宋体" w:hAnsi="宋体" w:eastAsia="宋体" w:cs="宋体"/>
                <w:i w:val="0"/>
                <w:iCs w:val="0"/>
                <w:color w:val="000000"/>
                <w:sz w:val="22"/>
                <w:szCs w:val="22"/>
                <w:u w:val="none"/>
              </w:rPr>
            </w:pPr>
          </w:p>
        </w:tc>
        <w:tc>
          <w:tcPr>
            <w:tcW w:w="1953" w:type="dxa"/>
            <w:vMerge w:val="continue"/>
            <w:tcBorders>
              <w:top w:val="single" w:color="000000" w:sz="4" w:space="0"/>
              <w:left w:val="single" w:color="000000" w:sz="4" w:space="0"/>
              <w:bottom w:val="single" w:color="000000" w:sz="4" w:space="0"/>
              <w:right w:val="nil"/>
            </w:tcBorders>
            <w:shd w:val="clear" w:color="auto" w:fill="auto"/>
            <w:vAlign w:val="center"/>
          </w:tcPr>
          <w:p w14:paraId="35E57961">
            <w:pPr>
              <w:jc w:val="center"/>
              <w:rPr>
                <w:rFonts w:hint="eastAsia" w:ascii="宋体" w:hAnsi="宋体" w:eastAsia="宋体" w:cs="宋体"/>
                <w:i w:val="0"/>
                <w:iCs w:val="0"/>
                <w:color w:val="000000"/>
                <w:sz w:val="22"/>
                <w:szCs w:val="22"/>
                <w:u w:val="none"/>
              </w:rPr>
            </w:pPr>
          </w:p>
        </w:tc>
        <w:tc>
          <w:tcPr>
            <w:tcW w:w="1619" w:type="dxa"/>
            <w:vMerge w:val="continue"/>
            <w:tcBorders>
              <w:top w:val="single" w:color="000000" w:sz="4" w:space="0"/>
              <w:left w:val="single" w:color="000000" w:sz="4" w:space="0"/>
              <w:bottom w:val="single" w:color="000000" w:sz="4" w:space="0"/>
              <w:right w:val="nil"/>
            </w:tcBorders>
            <w:shd w:val="clear" w:color="auto" w:fill="auto"/>
            <w:vAlign w:val="center"/>
          </w:tcPr>
          <w:p w14:paraId="470C5A4A">
            <w:pPr>
              <w:jc w:val="center"/>
              <w:rPr>
                <w:rFonts w:hint="eastAsia" w:ascii="宋体" w:hAnsi="宋体" w:eastAsia="宋体" w:cs="宋体"/>
                <w:i w:val="0"/>
                <w:iCs w:val="0"/>
                <w:color w:val="000000"/>
                <w:sz w:val="22"/>
                <w:szCs w:val="22"/>
                <w:u w:val="none"/>
              </w:rPr>
            </w:pPr>
          </w:p>
        </w:tc>
        <w:tc>
          <w:tcPr>
            <w:tcW w:w="1688" w:type="dxa"/>
            <w:vMerge w:val="continue"/>
            <w:tcBorders>
              <w:top w:val="single" w:color="000000" w:sz="4" w:space="0"/>
              <w:left w:val="single" w:color="000000" w:sz="4" w:space="0"/>
              <w:bottom w:val="single" w:color="000000" w:sz="4" w:space="0"/>
              <w:right w:val="nil"/>
            </w:tcBorders>
            <w:shd w:val="clear" w:color="auto" w:fill="auto"/>
            <w:vAlign w:val="center"/>
          </w:tcPr>
          <w:p w14:paraId="2B01F6A1">
            <w:pPr>
              <w:jc w:val="center"/>
              <w:rPr>
                <w:rFonts w:hint="eastAsia" w:ascii="宋体" w:hAnsi="宋体" w:eastAsia="宋体" w:cs="宋体"/>
                <w:i w:val="0"/>
                <w:iCs w:val="0"/>
                <w:color w:val="000000"/>
                <w:sz w:val="22"/>
                <w:szCs w:val="22"/>
                <w:u w:val="none"/>
              </w:rPr>
            </w:pPr>
          </w:p>
        </w:tc>
        <w:tc>
          <w:tcPr>
            <w:tcW w:w="1750" w:type="dxa"/>
            <w:vMerge w:val="continue"/>
            <w:tcBorders>
              <w:top w:val="single" w:color="000000" w:sz="4" w:space="0"/>
              <w:left w:val="single" w:color="000000" w:sz="4" w:space="0"/>
              <w:bottom w:val="single" w:color="000000" w:sz="4" w:space="0"/>
              <w:right w:val="nil"/>
            </w:tcBorders>
            <w:shd w:val="clear" w:color="auto" w:fill="auto"/>
            <w:vAlign w:val="center"/>
          </w:tcPr>
          <w:p w14:paraId="066B4DB8">
            <w:pPr>
              <w:jc w:val="center"/>
              <w:rPr>
                <w:rFonts w:hint="eastAsia" w:ascii="宋体" w:hAnsi="宋体" w:eastAsia="宋体" w:cs="宋体"/>
                <w:i w:val="0"/>
                <w:iCs w:val="0"/>
                <w:color w:val="000000"/>
                <w:sz w:val="22"/>
                <w:szCs w:val="22"/>
                <w:u w:val="none"/>
              </w:rPr>
            </w:pPr>
          </w:p>
        </w:tc>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BFED3">
            <w:pPr>
              <w:jc w:val="center"/>
              <w:rPr>
                <w:rFonts w:hint="eastAsia" w:ascii="宋体" w:hAnsi="宋体" w:eastAsia="宋体" w:cs="宋体"/>
                <w:i w:val="0"/>
                <w:iCs w:val="0"/>
                <w:color w:val="000000"/>
                <w:sz w:val="22"/>
                <w:szCs w:val="22"/>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B10B5">
            <w:pPr>
              <w:jc w:val="center"/>
              <w:rPr>
                <w:rFonts w:hint="eastAsia" w:ascii="宋体" w:hAnsi="宋体" w:eastAsia="宋体" w:cs="宋体"/>
                <w:i w:val="0"/>
                <w:iCs w:val="0"/>
                <w:color w:val="000000"/>
                <w:sz w:val="22"/>
                <w:szCs w:val="22"/>
                <w:u w:val="none"/>
              </w:rPr>
            </w:pPr>
          </w:p>
        </w:tc>
      </w:tr>
      <w:tr w14:paraId="2E62A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34904B8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一、设备购置</w:t>
            </w:r>
          </w:p>
        </w:tc>
        <w:tc>
          <w:tcPr>
            <w:tcW w:w="1953" w:type="dxa"/>
            <w:tcBorders>
              <w:top w:val="single" w:color="000000" w:sz="4" w:space="0"/>
              <w:left w:val="nil"/>
              <w:bottom w:val="single" w:color="000000" w:sz="4" w:space="0"/>
              <w:right w:val="nil"/>
            </w:tcBorders>
            <w:shd w:val="clear" w:color="auto" w:fill="auto"/>
            <w:noWrap/>
            <w:vAlign w:val="center"/>
          </w:tcPr>
          <w:p w14:paraId="1D54D53C">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716ABE99">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489D059C">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single" w:color="000000" w:sz="4" w:space="0"/>
            </w:tcBorders>
            <w:shd w:val="clear" w:color="auto" w:fill="auto"/>
            <w:noWrap/>
            <w:vAlign w:val="center"/>
          </w:tcPr>
          <w:p w14:paraId="247FCD6A">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E4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38701116.86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B34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37.09 </w:t>
            </w:r>
          </w:p>
        </w:tc>
      </w:tr>
      <w:tr w14:paraId="0F88C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612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1.固定资产</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337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6992622.3</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2F6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29657921.3</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C4DB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117133.26</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0D74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05769">
            <w:pPr>
              <w:jc w:val="center"/>
              <w:rPr>
                <w:rFonts w:hint="eastAsia" w:ascii="仿宋" w:hAnsi="仿宋" w:eastAsia="仿宋" w:cs="仿宋"/>
                <w:i w:val="0"/>
                <w:iCs w:val="0"/>
                <w:color w:val="000000"/>
                <w:sz w:val="21"/>
                <w:szCs w:val="21"/>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CDFF">
            <w:pPr>
              <w:jc w:val="center"/>
              <w:rPr>
                <w:rFonts w:hint="eastAsia" w:ascii="仿宋" w:hAnsi="仿宋" w:eastAsia="仿宋" w:cs="仿宋"/>
                <w:i w:val="0"/>
                <w:iCs w:val="0"/>
                <w:color w:val="000000"/>
                <w:sz w:val="21"/>
                <w:szCs w:val="21"/>
                <w:u w:val="none"/>
              </w:rPr>
            </w:pPr>
          </w:p>
        </w:tc>
      </w:tr>
      <w:tr w14:paraId="6B75E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0E2C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2.无形资产（管理系统软件）</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F4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6C9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1903440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2B6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0807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E8D5E">
            <w:pPr>
              <w:jc w:val="center"/>
              <w:rPr>
                <w:rFonts w:hint="eastAsia" w:ascii="仿宋" w:hAnsi="仿宋" w:eastAsia="仿宋" w:cs="仿宋"/>
                <w:i w:val="0"/>
                <w:iCs w:val="0"/>
                <w:color w:val="000000"/>
                <w:sz w:val="21"/>
                <w:szCs w:val="21"/>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603FE">
            <w:pPr>
              <w:jc w:val="center"/>
              <w:rPr>
                <w:rFonts w:hint="eastAsia" w:ascii="仿宋" w:hAnsi="仿宋" w:eastAsia="仿宋" w:cs="仿宋"/>
                <w:i w:val="0"/>
                <w:iCs w:val="0"/>
                <w:color w:val="000000"/>
                <w:sz w:val="21"/>
                <w:szCs w:val="21"/>
                <w:u w:val="none"/>
              </w:rPr>
            </w:pPr>
          </w:p>
        </w:tc>
      </w:tr>
      <w:tr w14:paraId="121B5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3009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二、办公家具</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F22C3">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96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25147</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4A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36580.2</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DCB8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E9C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61727.2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32A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0.06 </w:t>
            </w:r>
          </w:p>
        </w:tc>
      </w:tr>
      <w:tr w14:paraId="32A98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FFDD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三、设备维保</w:t>
            </w:r>
          </w:p>
        </w:tc>
        <w:tc>
          <w:tcPr>
            <w:tcW w:w="1953" w:type="dxa"/>
            <w:tcBorders>
              <w:top w:val="nil"/>
              <w:left w:val="nil"/>
              <w:bottom w:val="nil"/>
              <w:right w:val="nil"/>
            </w:tcBorders>
            <w:shd w:val="clear" w:color="auto" w:fill="auto"/>
            <w:noWrap/>
            <w:vAlign w:val="center"/>
          </w:tcPr>
          <w:p w14:paraId="361BBD6D">
            <w:pPr>
              <w:jc w:val="center"/>
              <w:rPr>
                <w:rFonts w:hint="eastAsia" w:ascii="仿宋" w:hAnsi="仿宋" w:eastAsia="仿宋" w:cs="仿宋"/>
                <w:i w:val="0"/>
                <w:iCs w:val="0"/>
                <w:color w:val="000000"/>
                <w:sz w:val="21"/>
                <w:szCs w:val="21"/>
                <w:u w:val="none"/>
              </w:rPr>
            </w:pPr>
          </w:p>
        </w:tc>
        <w:tc>
          <w:tcPr>
            <w:tcW w:w="1619" w:type="dxa"/>
            <w:tcBorders>
              <w:top w:val="nil"/>
              <w:left w:val="nil"/>
              <w:bottom w:val="nil"/>
              <w:right w:val="nil"/>
            </w:tcBorders>
            <w:shd w:val="clear" w:color="auto" w:fill="auto"/>
            <w:noWrap/>
            <w:vAlign w:val="center"/>
          </w:tcPr>
          <w:p w14:paraId="27CEC645">
            <w:pPr>
              <w:jc w:val="center"/>
              <w:rPr>
                <w:rFonts w:hint="eastAsia" w:ascii="仿宋" w:hAnsi="仿宋" w:eastAsia="仿宋" w:cs="仿宋"/>
                <w:i w:val="0"/>
                <w:iCs w:val="0"/>
                <w:color w:val="000000"/>
                <w:sz w:val="21"/>
                <w:szCs w:val="21"/>
                <w:u w:val="none"/>
              </w:rPr>
            </w:pPr>
          </w:p>
        </w:tc>
        <w:tc>
          <w:tcPr>
            <w:tcW w:w="1688" w:type="dxa"/>
            <w:tcBorders>
              <w:top w:val="nil"/>
              <w:left w:val="nil"/>
              <w:bottom w:val="nil"/>
              <w:right w:val="nil"/>
            </w:tcBorders>
            <w:shd w:val="clear" w:color="auto" w:fill="auto"/>
            <w:noWrap/>
            <w:vAlign w:val="center"/>
          </w:tcPr>
          <w:p w14:paraId="283907D3">
            <w:pPr>
              <w:jc w:val="center"/>
              <w:rPr>
                <w:rFonts w:hint="eastAsia" w:ascii="仿宋" w:hAnsi="仿宋" w:eastAsia="仿宋" w:cs="仿宋"/>
                <w:i w:val="0"/>
                <w:iCs w:val="0"/>
                <w:color w:val="000000"/>
                <w:sz w:val="21"/>
                <w:szCs w:val="21"/>
                <w:u w:val="none"/>
              </w:rPr>
            </w:pPr>
          </w:p>
        </w:tc>
        <w:tc>
          <w:tcPr>
            <w:tcW w:w="1750" w:type="dxa"/>
            <w:tcBorders>
              <w:top w:val="nil"/>
              <w:left w:val="nil"/>
              <w:bottom w:val="nil"/>
              <w:right w:val="nil"/>
            </w:tcBorders>
            <w:shd w:val="clear" w:color="auto" w:fill="auto"/>
            <w:noWrap/>
            <w:vAlign w:val="center"/>
          </w:tcPr>
          <w:p w14:paraId="690CDE7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66C1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7859736.46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50E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7.53 </w:t>
            </w:r>
          </w:p>
        </w:tc>
      </w:tr>
      <w:tr w14:paraId="21C9B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A035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1.消防设备设施维保（修）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7C0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90110.41</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670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80850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C8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128525</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E90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66500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CFE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365985.41</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CA9F">
            <w:pPr>
              <w:jc w:val="center"/>
              <w:rPr>
                <w:rFonts w:hint="eastAsia" w:ascii="仿宋" w:hAnsi="仿宋" w:eastAsia="仿宋" w:cs="仿宋"/>
                <w:i w:val="0"/>
                <w:iCs w:val="0"/>
                <w:color w:val="000000"/>
                <w:sz w:val="21"/>
                <w:szCs w:val="21"/>
                <w:u w:val="none"/>
              </w:rPr>
            </w:pPr>
          </w:p>
        </w:tc>
      </w:tr>
      <w:tr w14:paraId="05D69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C217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2.医疗设备零星维保（修）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822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293214.46</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BF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3349568.32</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FE7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183323.68</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66F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33660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F64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3859766.46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83BA2">
            <w:pPr>
              <w:jc w:val="center"/>
              <w:rPr>
                <w:rFonts w:hint="eastAsia" w:ascii="仿宋" w:hAnsi="仿宋" w:eastAsia="仿宋" w:cs="仿宋"/>
                <w:i w:val="0"/>
                <w:iCs w:val="0"/>
                <w:color w:val="000000"/>
                <w:sz w:val="21"/>
                <w:szCs w:val="21"/>
                <w:u w:val="none"/>
              </w:rPr>
            </w:pPr>
          </w:p>
        </w:tc>
      </w:tr>
      <w:tr w14:paraId="220A8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E36D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3.（中央）空调设备维保（修）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B9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617380.66</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429F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1913416.68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9A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942191.25</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634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DF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3478488.59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C3259">
            <w:pPr>
              <w:jc w:val="center"/>
              <w:rPr>
                <w:rFonts w:hint="eastAsia" w:ascii="仿宋" w:hAnsi="仿宋" w:eastAsia="仿宋" w:cs="仿宋"/>
                <w:i w:val="0"/>
                <w:iCs w:val="0"/>
                <w:color w:val="000000"/>
                <w:sz w:val="21"/>
                <w:szCs w:val="21"/>
                <w:u w:val="none"/>
              </w:rPr>
            </w:pPr>
          </w:p>
        </w:tc>
      </w:tr>
      <w:tr w14:paraId="0C225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B5DA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4.电梯维修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5F38">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54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155496</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DDB1D">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F3C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59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155496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0C4AF">
            <w:pPr>
              <w:jc w:val="center"/>
              <w:rPr>
                <w:rFonts w:hint="eastAsia" w:ascii="仿宋" w:hAnsi="仿宋" w:eastAsia="仿宋" w:cs="仿宋"/>
                <w:i w:val="0"/>
                <w:iCs w:val="0"/>
                <w:color w:val="000000"/>
                <w:sz w:val="21"/>
                <w:szCs w:val="21"/>
                <w:u w:val="none"/>
              </w:rPr>
            </w:pPr>
          </w:p>
        </w:tc>
      </w:tr>
      <w:tr w14:paraId="6745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292D055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四、电力设施设备维保（修）</w:t>
            </w:r>
          </w:p>
        </w:tc>
        <w:tc>
          <w:tcPr>
            <w:tcW w:w="1953" w:type="dxa"/>
            <w:tcBorders>
              <w:top w:val="single" w:color="000000" w:sz="4" w:space="0"/>
              <w:left w:val="nil"/>
              <w:bottom w:val="single" w:color="000000" w:sz="4" w:space="0"/>
              <w:right w:val="nil"/>
            </w:tcBorders>
            <w:shd w:val="clear" w:color="auto" w:fill="auto"/>
            <w:noWrap/>
            <w:vAlign w:val="center"/>
          </w:tcPr>
          <w:p w14:paraId="1B543C73">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1EC15ABE">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34B39E1F">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single" w:color="000000" w:sz="4" w:space="0"/>
            </w:tcBorders>
            <w:shd w:val="clear" w:color="auto" w:fill="auto"/>
            <w:noWrap/>
            <w:vAlign w:val="center"/>
          </w:tcPr>
          <w:p w14:paraId="3031692E">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291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2103493.94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4A58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2.02 </w:t>
            </w:r>
          </w:p>
        </w:tc>
      </w:tr>
      <w:tr w14:paraId="46F5B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nil"/>
              <w:left w:val="single" w:color="000000" w:sz="4" w:space="0"/>
              <w:bottom w:val="single" w:color="000000" w:sz="4" w:space="0"/>
              <w:right w:val="single" w:color="000000" w:sz="4" w:space="0"/>
            </w:tcBorders>
            <w:shd w:val="clear" w:color="auto" w:fill="auto"/>
            <w:noWrap/>
            <w:vAlign w:val="center"/>
          </w:tcPr>
          <w:p w14:paraId="3E9F3E9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1.增容电力改造工程维保（修）</w:t>
            </w:r>
          </w:p>
        </w:tc>
        <w:tc>
          <w:tcPr>
            <w:tcW w:w="1953" w:type="dxa"/>
            <w:tcBorders>
              <w:top w:val="nil"/>
              <w:left w:val="single" w:color="000000" w:sz="4" w:space="0"/>
              <w:bottom w:val="single" w:color="000000" w:sz="4" w:space="0"/>
              <w:right w:val="single" w:color="000000" w:sz="4" w:space="0"/>
            </w:tcBorders>
            <w:shd w:val="clear" w:color="auto" w:fill="auto"/>
            <w:noWrap/>
            <w:vAlign w:val="center"/>
          </w:tcPr>
          <w:p w14:paraId="3C718144">
            <w:pPr>
              <w:jc w:val="center"/>
              <w:rPr>
                <w:rFonts w:hint="eastAsia" w:ascii="仿宋" w:hAnsi="仿宋" w:eastAsia="仿宋" w:cs="仿宋"/>
                <w:i w:val="0"/>
                <w:iCs w:val="0"/>
                <w:color w:val="000000"/>
                <w:sz w:val="21"/>
                <w:szCs w:val="21"/>
                <w:u w:val="none"/>
              </w:rPr>
            </w:pPr>
          </w:p>
        </w:tc>
        <w:tc>
          <w:tcPr>
            <w:tcW w:w="1619" w:type="dxa"/>
            <w:tcBorders>
              <w:top w:val="nil"/>
              <w:left w:val="single" w:color="000000" w:sz="4" w:space="0"/>
              <w:bottom w:val="single" w:color="000000" w:sz="4" w:space="0"/>
              <w:right w:val="single" w:color="000000" w:sz="4" w:space="0"/>
            </w:tcBorders>
            <w:shd w:val="clear" w:color="auto" w:fill="auto"/>
            <w:noWrap/>
            <w:vAlign w:val="center"/>
          </w:tcPr>
          <w:p w14:paraId="2F6BA2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582360</w:t>
            </w:r>
          </w:p>
        </w:tc>
        <w:tc>
          <w:tcPr>
            <w:tcW w:w="1688" w:type="dxa"/>
            <w:tcBorders>
              <w:top w:val="nil"/>
              <w:left w:val="single" w:color="000000" w:sz="4" w:space="0"/>
              <w:bottom w:val="single" w:color="000000" w:sz="4" w:space="0"/>
              <w:right w:val="single" w:color="000000" w:sz="4" w:space="0"/>
            </w:tcBorders>
            <w:shd w:val="clear" w:color="auto" w:fill="auto"/>
            <w:noWrap/>
            <w:vAlign w:val="center"/>
          </w:tcPr>
          <w:p w14:paraId="6196AAB3">
            <w:pPr>
              <w:jc w:val="center"/>
              <w:rPr>
                <w:rFonts w:hint="eastAsia" w:ascii="仿宋" w:hAnsi="仿宋" w:eastAsia="仿宋" w:cs="仿宋"/>
                <w:i w:val="0"/>
                <w:iCs w:val="0"/>
                <w:color w:val="000000"/>
                <w:sz w:val="21"/>
                <w:szCs w:val="21"/>
                <w:u w:val="none"/>
              </w:rPr>
            </w:pPr>
          </w:p>
        </w:tc>
        <w:tc>
          <w:tcPr>
            <w:tcW w:w="1750" w:type="dxa"/>
            <w:tcBorders>
              <w:top w:val="nil"/>
              <w:left w:val="single" w:color="000000" w:sz="4" w:space="0"/>
              <w:bottom w:val="single" w:color="000000" w:sz="4" w:space="0"/>
              <w:right w:val="single" w:color="000000" w:sz="4" w:space="0"/>
            </w:tcBorders>
            <w:shd w:val="clear" w:color="auto" w:fill="auto"/>
            <w:noWrap/>
            <w:vAlign w:val="center"/>
          </w:tcPr>
          <w:p w14:paraId="3C069C9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6B1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582360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BF999">
            <w:pPr>
              <w:jc w:val="center"/>
              <w:rPr>
                <w:rFonts w:hint="eastAsia" w:ascii="仿宋" w:hAnsi="仿宋" w:eastAsia="仿宋" w:cs="仿宋"/>
                <w:i w:val="0"/>
                <w:iCs w:val="0"/>
                <w:color w:val="000000"/>
                <w:sz w:val="21"/>
                <w:szCs w:val="21"/>
                <w:u w:val="none"/>
              </w:rPr>
            </w:pPr>
          </w:p>
        </w:tc>
      </w:tr>
      <w:tr w14:paraId="3E2BD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331B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2.高低压配电柜改造工程维保（修）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0ED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1EF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576932.76</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892D8">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A803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22F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576932.76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2D0BE">
            <w:pPr>
              <w:jc w:val="center"/>
              <w:rPr>
                <w:rFonts w:hint="eastAsia" w:ascii="仿宋" w:hAnsi="仿宋" w:eastAsia="仿宋" w:cs="仿宋"/>
                <w:i w:val="0"/>
                <w:iCs w:val="0"/>
                <w:color w:val="000000"/>
                <w:sz w:val="21"/>
                <w:szCs w:val="21"/>
                <w:u w:val="none"/>
              </w:rPr>
            </w:pPr>
          </w:p>
        </w:tc>
      </w:tr>
      <w:tr w14:paraId="75576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7A06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3.电缆更换、电源安装改造</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61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67533</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FA14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257579</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33A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354852</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462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C3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679964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AE8C4">
            <w:pPr>
              <w:jc w:val="center"/>
              <w:rPr>
                <w:rFonts w:hint="eastAsia" w:ascii="仿宋" w:hAnsi="仿宋" w:eastAsia="仿宋" w:cs="仿宋"/>
                <w:i w:val="0"/>
                <w:iCs w:val="0"/>
                <w:color w:val="000000"/>
                <w:sz w:val="21"/>
                <w:szCs w:val="21"/>
                <w:u w:val="none"/>
              </w:rPr>
            </w:pPr>
          </w:p>
        </w:tc>
      </w:tr>
      <w:tr w14:paraId="7FB9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9897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4.电力线路抢检修、试验、砍青</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42A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72912.44</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0C4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191324.74</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83A12">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9275">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E529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264237.18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F2EE">
            <w:pPr>
              <w:jc w:val="center"/>
              <w:rPr>
                <w:rFonts w:hint="eastAsia" w:ascii="仿宋" w:hAnsi="仿宋" w:eastAsia="仿宋" w:cs="仿宋"/>
                <w:i w:val="0"/>
                <w:iCs w:val="0"/>
                <w:color w:val="000000"/>
                <w:sz w:val="21"/>
                <w:szCs w:val="21"/>
                <w:u w:val="none"/>
              </w:rPr>
            </w:pPr>
          </w:p>
        </w:tc>
      </w:tr>
      <w:tr w14:paraId="2D879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72F8835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五、信息技术升级服务维保（修）</w:t>
            </w:r>
          </w:p>
        </w:tc>
        <w:tc>
          <w:tcPr>
            <w:tcW w:w="1953" w:type="dxa"/>
            <w:tcBorders>
              <w:top w:val="single" w:color="000000" w:sz="4" w:space="0"/>
              <w:left w:val="nil"/>
              <w:bottom w:val="single" w:color="000000" w:sz="4" w:space="0"/>
              <w:right w:val="nil"/>
            </w:tcBorders>
            <w:shd w:val="clear" w:color="auto" w:fill="auto"/>
            <w:noWrap/>
            <w:vAlign w:val="center"/>
          </w:tcPr>
          <w:p w14:paraId="65F132A2">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2ADB9388">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1BFB217E">
            <w:pP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02496">
            <w:pPr>
              <w:rPr>
                <w:rFonts w:hint="eastAsia" w:ascii="仿宋" w:hAnsi="仿宋" w:eastAsia="仿宋" w:cs="仿宋"/>
                <w:i w:val="0"/>
                <w:iCs w:val="0"/>
                <w:color w:val="000000"/>
                <w:sz w:val="21"/>
                <w:szCs w:val="21"/>
                <w:u w:val="none"/>
              </w:rPr>
            </w:pPr>
          </w:p>
        </w:tc>
        <w:tc>
          <w:tcPr>
            <w:tcW w:w="1554" w:type="dxa"/>
            <w:tcBorders>
              <w:top w:val="single" w:color="000000" w:sz="4" w:space="0"/>
              <w:left w:val="nil"/>
              <w:bottom w:val="single" w:color="000000" w:sz="4" w:space="0"/>
              <w:right w:val="single" w:color="000000" w:sz="4" w:space="0"/>
            </w:tcBorders>
            <w:shd w:val="clear" w:color="auto" w:fill="auto"/>
            <w:noWrap/>
            <w:vAlign w:val="center"/>
          </w:tcPr>
          <w:p w14:paraId="3EC236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12847812.64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541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12.31 </w:t>
            </w:r>
          </w:p>
        </w:tc>
      </w:tr>
      <w:tr w14:paraId="472D9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nil"/>
              <w:left w:val="single" w:color="000000" w:sz="4" w:space="0"/>
              <w:bottom w:val="single" w:color="000000" w:sz="4" w:space="0"/>
              <w:right w:val="single" w:color="000000" w:sz="4" w:space="0"/>
            </w:tcBorders>
            <w:shd w:val="clear" w:color="auto" w:fill="auto"/>
            <w:noWrap/>
            <w:vAlign w:val="center"/>
          </w:tcPr>
          <w:p w14:paraId="12AE308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1.软件信息系统升级维护</w:t>
            </w:r>
          </w:p>
        </w:tc>
        <w:tc>
          <w:tcPr>
            <w:tcW w:w="1953" w:type="dxa"/>
            <w:tcBorders>
              <w:top w:val="nil"/>
              <w:left w:val="single" w:color="000000" w:sz="4" w:space="0"/>
              <w:bottom w:val="single" w:color="000000" w:sz="4" w:space="0"/>
              <w:right w:val="single" w:color="000000" w:sz="4" w:space="0"/>
            </w:tcBorders>
            <w:shd w:val="clear" w:color="auto" w:fill="auto"/>
            <w:noWrap/>
            <w:vAlign w:val="center"/>
          </w:tcPr>
          <w:p w14:paraId="052EC9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541153.85</w:t>
            </w:r>
          </w:p>
        </w:tc>
        <w:tc>
          <w:tcPr>
            <w:tcW w:w="1619" w:type="dxa"/>
            <w:tcBorders>
              <w:top w:val="nil"/>
              <w:left w:val="single" w:color="000000" w:sz="4" w:space="0"/>
              <w:bottom w:val="single" w:color="000000" w:sz="4" w:space="0"/>
              <w:right w:val="single" w:color="000000" w:sz="4" w:space="0"/>
            </w:tcBorders>
            <w:shd w:val="clear" w:color="auto" w:fill="auto"/>
            <w:noWrap/>
            <w:vAlign w:val="center"/>
          </w:tcPr>
          <w:p w14:paraId="1587BC0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442956.1</w:t>
            </w:r>
          </w:p>
        </w:tc>
        <w:tc>
          <w:tcPr>
            <w:tcW w:w="1688" w:type="dxa"/>
            <w:tcBorders>
              <w:top w:val="nil"/>
              <w:left w:val="single" w:color="000000" w:sz="4" w:space="0"/>
              <w:bottom w:val="single" w:color="000000" w:sz="4" w:space="0"/>
              <w:right w:val="single" w:color="000000" w:sz="4" w:space="0"/>
            </w:tcBorders>
            <w:shd w:val="clear" w:color="auto" w:fill="auto"/>
            <w:noWrap/>
            <w:vAlign w:val="center"/>
          </w:tcPr>
          <w:p w14:paraId="7D33AC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1040493.6</w:t>
            </w:r>
          </w:p>
        </w:tc>
        <w:tc>
          <w:tcPr>
            <w:tcW w:w="1750" w:type="dxa"/>
            <w:tcBorders>
              <w:top w:val="nil"/>
              <w:left w:val="single" w:color="000000" w:sz="4" w:space="0"/>
              <w:bottom w:val="single" w:color="000000" w:sz="4" w:space="0"/>
              <w:right w:val="single" w:color="000000" w:sz="4" w:space="0"/>
            </w:tcBorders>
            <w:shd w:val="clear" w:color="auto" w:fill="auto"/>
            <w:noWrap/>
            <w:vAlign w:val="center"/>
          </w:tcPr>
          <w:p w14:paraId="77377C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465920.68</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FF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2490524.23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B2BAC">
            <w:pPr>
              <w:jc w:val="center"/>
              <w:rPr>
                <w:rFonts w:hint="eastAsia" w:ascii="仿宋" w:hAnsi="仿宋" w:eastAsia="仿宋" w:cs="仿宋"/>
                <w:i w:val="0"/>
                <w:iCs w:val="0"/>
                <w:color w:val="000000"/>
                <w:sz w:val="21"/>
                <w:szCs w:val="21"/>
                <w:u w:val="none"/>
              </w:rPr>
            </w:pPr>
          </w:p>
        </w:tc>
      </w:tr>
      <w:tr w14:paraId="2193B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7553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2.自助机、电脑、打印机维修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F3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74900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55E65">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384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385665</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820A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7E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460565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9C075">
            <w:pPr>
              <w:jc w:val="center"/>
              <w:rPr>
                <w:rFonts w:hint="eastAsia" w:ascii="仿宋" w:hAnsi="仿宋" w:eastAsia="仿宋" w:cs="仿宋"/>
                <w:i w:val="0"/>
                <w:iCs w:val="0"/>
                <w:color w:val="000000"/>
                <w:sz w:val="21"/>
                <w:szCs w:val="21"/>
                <w:u w:val="none"/>
              </w:rPr>
            </w:pPr>
          </w:p>
        </w:tc>
      </w:tr>
      <w:tr w14:paraId="0430A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BA2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3.网络接入、使用、升级、改造</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E50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146522.2</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14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64304</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E67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FE16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6724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275826.2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B4E5A">
            <w:pPr>
              <w:jc w:val="center"/>
              <w:rPr>
                <w:rFonts w:hint="eastAsia" w:ascii="仿宋" w:hAnsi="仿宋" w:eastAsia="仿宋" w:cs="仿宋"/>
                <w:i w:val="0"/>
                <w:iCs w:val="0"/>
                <w:color w:val="000000"/>
                <w:sz w:val="21"/>
                <w:szCs w:val="21"/>
                <w:u w:val="none"/>
              </w:rPr>
            </w:pPr>
          </w:p>
        </w:tc>
      </w:tr>
      <w:tr w14:paraId="13A52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4ED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4.云数据中心项目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F30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3814209.35</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DC0D">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C8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4903983.45</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D393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E26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8718192.8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6DF3">
            <w:pPr>
              <w:jc w:val="center"/>
              <w:rPr>
                <w:rFonts w:hint="eastAsia" w:ascii="仿宋" w:hAnsi="仿宋" w:eastAsia="仿宋" w:cs="仿宋"/>
                <w:i w:val="0"/>
                <w:iCs w:val="0"/>
                <w:color w:val="000000"/>
                <w:sz w:val="21"/>
                <w:szCs w:val="21"/>
                <w:u w:val="none"/>
              </w:rPr>
            </w:pPr>
          </w:p>
        </w:tc>
      </w:tr>
      <w:tr w14:paraId="32D81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EC53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5.宽带费、固话、光猫设备更换</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2D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28453.2</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C4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66615.21</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86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268</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E5B6E">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96A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95336.41</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9FEB">
            <w:pPr>
              <w:jc w:val="center"/>
              <w:rPr>
                <w:rFonts w:hint="eastAsia" w:ascii="仿宋" w:hAnsi="仿宋" w:eastAsia="仿宋" w:cs="仿宋"/>
                <w:i w:val="0"/>
                <w:iCs w:val="0"/>
                <w:color w:val="000000"/>
                <w:sz w:val="21"/>
                <w:szCs w:val="21"/>
                <w:u w:val="none"/>
              </w:rPr>
            </w:pPr>
          </w:p>
        </w:tc>
      </w:tr>
      <w:tr w14:paraId="18F2C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509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6.医疗一体化信息系统</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73BA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594000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51B59">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0A79A">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7C9B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86B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594000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5811">
            <w:pPr>
              <w:jc w:val="center"/>
              <w:rPr>
                <w:rFonts w:hint="eastAsia" w:ascii="仿宋" w:hAnsi="仿宋" w:eastAsia="仿宋" w:cs="仿宋"/>
                <w:i w:val="0"/>
                <w:iCs w:val="0"/>
                <w:color w:val="000000"/>
                <w:sz w:val="21"/>
                <w:szCs w:val="21"/>
                <w:u w:val="none"/>
              </w:rPr>
            </w:pPr>
          </w:p>
        </w:tc>
      </w:tr>
      <w:tr w14:paraId="5650C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F6BF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7.系统平台年费、认证费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0F4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29B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13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67700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C6E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268</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A83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68868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0A4E9">
            <w:pPr>
              <w:jc w:val="center"/>
              <w:rPr>
                <w:rFonts w:hint="eastAsia" w:ascii="仿宋" w:hAnsi="仿宋" w:eastAsia="仿宋" w:cs="仿宋"/>
                <w:i w:val="0"/>
                <w:iCs w:val="0"/>
                <w:color w:val="000000"/>
                <w:sz w:val="21"/>
                <w:szCs w:val="21"/>
                <w:u w:val="none"/>
              </w:rPr>
            </w:pPr>
          </w:p>
        </w:tc>
      </w:tr>
      <w:tr w14:paraId="3DC71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833B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8.新旧HIS系统数据处理</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F3AD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84F7B">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D601F">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E9E5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ECA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FB84F">
            <w:pPr>
              <w:jc w:val="center"/>
              <w:rPr>
                <w:rFonts w:hint="eastAsia" w:ascii="仿宋" w:hAnsi="仿宋" w:eastAsia="仿宋" w:cs="仿宋"/>
                <w:i w:val="0"/>
                <w:iCs w:val="0"/>
                <w:color w:val="000000"/>
                <w:sz w:val="21"/>
                <w:szCs w:val="21"/>
                <w:u w:val="none"/>
              </w:rPr>
            </w:pPr>
          </w:p>
        </w:tc>
      </w:tr>
      <w:tr w14:paraId="697B3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nil"/>
              <w:right w:val="single" w:color="000000" w:sz="4" w:space="0"/>
            </w:tcBorders>
            <w:shd w:val="clear" w:color="auto" w:fill="auto"/>
            <w:noWrap/>
            <w:vAlign w:val="center"/>
          </w:tcPr>
          <w:p w14:paraId="7716A64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9.联通移动数据专线业务</w:t>
            </w:r>
          </w:p>
        </w:tc>
        <w:tc>
          <w:tcPr>
            <w:tcW w:w="1953" w:type="dxa"/>
            <w:tcBorders>
              <w:top w:val="single" w:color="000000" w:sz="4" w:space="0"/>
              <w:left w:val="single" w:color="000000" w:sz="4" w:space="0"/>
              <w:bottom w:val="nil"/>
              <w:right w:val="single" w:color="000000" w:sz="4" w:space="0"/>
            </w:tcBorders>
            <w:shd w:val="clear" w:color="auto" w:fill="auto"/>
            <w:noWrap/>
            <w:vAlign w:val="center"/>
          </w:tcPr>
          <w:p w14:paraId="558EAB88">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nil"/>
              <w:right w:val="single" w:color="000000" w:sz="4" w:space="0"/>
            </w:tcBorders>
            <w:shd w:val="clear" w:color="auto" w:fill="auto"/>
            <w:noWrap/>
            <w:vAlign w:val="center"/>
          </w:tcPr>
          <w:p w14:paraId="1CAC9BA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36000</w:t>
            </w:r>
          </w:p>
        </w:tc>
        <w:tc>
          <w:tcPr>
            <w:tcW w:w="1688" w:type="dxa"/>
            <w:tcBorders>
              <w:top w:val="single" w:color="000000" w:sz="4" w:space="0"/>
              <w:left w:val="single" w:color="000000" w:sz="4" w:space="0"/>
              <w:bottom w:val="nil"/>
              <w:right w:val="single" w:color="000000" w:sz="4" w:space="0"/>
            </w:tcBorders>
            <w:shd w:val="clear" w:color="auto" w:fill="auto"/>
            <w:noWrap/>
            <w:vAlign w:val="center"/>
          </w:tcPr>
          <w:p w14:paraId="5CDC5B9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65000</w:t>
            </w:r>
          </w:p>
        </w:tc>
        <w:tc>
          <w:tcPr>
            <w:tcW w:w="1750" w:type="dxa"/>
            <w:tcBorders>
              <w:top w:val="single" w:color="000000" w:sz="4" w:space="0"/>
              <w:left w:val="single" w:color="000000" w:sz="4" w:space="0"/>
              <w:bottom w:val="nil"/>
              <w:right w:val="single" w:color="000000" w:sz="4" w:space="0"/>
            </w:tcBorders>
            <w:shd w:val="clear" w:color="auto" w:fill="auto"/>
            <w:noWrap/>
            <w:vAlign w:val="center"/>
          </w:tcPr>
          <w:p w14:paraId="3936626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25B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101000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E979">
            <w:pPr>
              <w:jc w:val="center"/>
              <w:rPr>
                <w:rFonts w:hint="eastAsia" w:ascii="仿宋" w:hAnsi="仿宋" w:eastAsia="仿宋" w:cs="仿宋"/>
                <w:i w:val="0"/>
                <w:iCs w:val="0"/>
                <w:color w:val="000000"/>
                <w:sz w:val="21"/>
                <w:szCs w:val="21"/>
                <w:u w:val="none"/>
              </w:rPr>
            </w:pPr>
          </w:p>
        </w:tc>
      </w:tr>
      <w:tr w14:paraId="72EF8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6CEB9AF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六、房屋设备设施维修</w:t>
            </w:r>
          </w:p>
        </w:tc>
        <w:tc>
          <w:tcPr>
            <w:tcW w:w="1953" w:type="dxa"/>
            <w:tcBorders>
              <w:top w:val="single" w:color="000000" w:sz="4" w:space="0"/>
              <w:left w:val="nil"/>
              <w:bottom w:val="single" w:color="000000" w:sz="4" w:space="0"/>
              <w:right w:val="nil"/>
            </w:tcBorders>
            <w:shd w:val="clear" w:color="auto" w:fill="auto"/>
            <w:noWrap/>
            <w:vAlign w:val="center"/>
          </w:tcPr>
          <w:p w14:paraId="2D5716F4">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659CEA11">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16676F1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19A516C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nil"/>
              <w:bottom w:val="single" w:color="000000" w:sz="4" w:space="0"/>
              <w:right w:val="single" w:color="000000" w:sz="4" w:space="0"/>
            </w:tcBorders>
            <w:shd w:val="clear" w:color="auto" w:fill="auto"/>
            <w:noWrap/>
            <w:vAlign w:val="center"/>
          </w:tcPr>
          <w:p w14:paraId="62CCAF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8052394.44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959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7.72 </w:t>
            </w:r>
          </w:p>
        </w:tc>
      </w:tr>
      <w:tr w14:paraId="090B7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9BD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1.风雨连廊工程项目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FB6B1">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88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13089</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0D9D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5978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33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13089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32A4A">
            <w:pPr>
              <w:jc w:val="center"/>
              <w:rPr>
                <w:rFonts w:hint="eastAsia" w:ascii="仿宋" w:hAnsi="仿宋" w:eastAsia="仿宋" w:cs="仿宋"/>
                <w:i w:val="0"/>
                <w:iCs w:val="0"/>
                <w:color w:val="000000"/>
                <w:sz w:val="21"/>
                <w:szCs w:val="21"/>
                <w:u w:val="none"/>
              </w:rPr>
            </w:pPr>
          </w:p>
        </w:tc>
      </w:tr>
      <w:tr w14:paraId="03E70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5DDE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2.一站式服务中心形象墙设计安装</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78F8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F3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68823</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B3673">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76C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933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68823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4B5D">
            <w:pPr>
              <w:jc w:val="center"/>
              <w:rPr>
                <w:rFonts w:hint="eastAsia" w:ascii="仿宋" w:hAnsi="仿宋" w:eastAsia="仿宋" w:cs="仿宋"/>
                <w:i w:val="0"/>
                <w:iCs w:val="0"/>
                <w:color w:val="000000"/>
                <w:sz w:val="21"/>
                <w:szCs w:val="21"/>
                <w:u w:val="none"/>
              </w:rPr>
            </w:pPr>
          </w:p>
        </w:tc>
      </w:tr>
      <w:tr w14:paraId="1AA19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D91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3.机房改造设计与施工</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3C22">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1997">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FACC">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D23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FCE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69838">
            <w:pPr>
              <w:jc w:val="center"/>
              <w:rPr>
                <w:rFonts w:hint="eastAsia" w:ascii="仿宋" w:hAnsi="仿宋" w:eastAsia="仿宋" w:cs="仿宋"/>
                <w:i w:val="0"/>
                <w:iCs w:val="0"/>
                <w:color w:val="000000"/>
                <w:sz w:val="21"/>
                <w:szCs w:val="21"/>
                <w:u w:val="none"/>
              </w:rPr>
            </w:pPr>
          </w:p>
        </w:tc>
      </w:tr>
      <w:tr w14:paraId="0C893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17B1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4.房屋维修、改造</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C7DA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523456.02</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B5E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3562408.67</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19A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1505578</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551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514324</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5E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6105766.69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CB45">
            <w:pPr>
              <w:jc w:val="center"/>
              <w:rPr>
                <w:rFonts w:hint="eastAsia" w:ascii="仿宋" w:hAnsi="仿宋" w:eastAsia="仿宋" w:cs="仿宋"/>
                <w:i w:val="0"/>
                <w:iCs w:val="0"/>
                <w:color w:val="000000"/>
                <w:sz w:val="21"/>
                <w:szCs w:val="21"/>
                <w:u w:val="none"/>
              </w:rPr>
            </w:pPr>
          </w:p>
        </w:tc>
      </w:tr>
      <w:tr w14:paraId="177A0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0174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5.高新院区防坠网项目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F994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A64F9">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61140">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41BF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6D5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189E6">
            <w:pPr>
              <w:jc w:val="center"/>
              <w:rPr>
                <w:rFonts w:hint="eastAsia" w:ascii="仿宋" w:hAnsi="仿宋" w:eastAsia="仿宋" w:cs="仿宋"/>
                <w:i w:val="0"/>
                <w:iCs w:val="0"/>
                <w:color w:val="000000"/>
                <w:sz w:val="21"/>
                <w:szCs w:val="21"/>
                <w:u w:val="none"/>
              </w:rPr>
            </w:pPr>
          </w:p>
        </w:tc>
      </w:tr>
      <w:tr w14:paraId="7073F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34CA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6.管道加装、维修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A09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83089</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F0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168683</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9CD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128075</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EE80E">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AEE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379847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109B">
            <w:pPr>
              <w:jc w:val="center"/>
              <w:rPr>
                <w:rFonts w:hint="eastAsia" w:ascii="仿宋" w:hAnsi="仿宋" w:eastAsia="仿宋" w:cs="仿宋"/>
                <w:i w:val="0"/>
                <w:iCs w:val="0"/>
                <w:color w:val="000000"/>
                <w:sz w:val="21"/>
                <w:szCs w:val="21"/>
                <w:u w:val="none"/>
              </w:rPr>
            </w:pPr>
          </w:p>
        </w:tc>
      </w:tr>
      <w:tr w14:paraId="5CA4B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50E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7.五金材料费用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04523">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6BB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62084</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941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69976</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0CD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33277</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D25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165337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1602B">
            <w:pPr>
              <w:jc w:val="center"/>
              <w:rPr>
                <w:rFonts w:hint="eastAsia" w:ascii="仿宋" w:hAnsi="仿宋" w:eastAsia="仿宋" w:cs="仿宋"/>
                <w:i w:val="0"/>
                <w:iCs w:val="0"/>
                <w:color w:val="000000"/>
                <w:sz w:val="21"/>
                <w:szCs w:val="21"/>
                <w:u w:val="none"/>
              </w:rPr>
            </w:pPr>
          </w:p>
        </w:tc>
      </w:tr>
      <w:tr w14:paraId="766FE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905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8.水泵、真空泵、空气压缩机维修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B8DA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66D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E12B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F7E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AA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E404">
            <w:pPr>
              <w:jc w:val="center"/>
              <w:rPr>
                <w:rFonts w:hint="eastAsia" w:ascii="仿宋" w:hAnsi="仿宋" w:eastAsia="仿宋" w:cs="仿宋"/>
                <w:i w:val="0"/>
                <w:iCs w:val="0"/>
                <w:color w:val="000000"/>
                <w:sz w:val="21"/>
                <w:szCs w:val="21"/>
                <w:u w:val="none"/>
              </w:rPr>
            </w:pPr>
          </w:p>
        </w:tc>
      </w:tr>
      <w:tr w14:paraId="490D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2A96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9.地坪塌陷维修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A22F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3D0C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26561</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734CB">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AE14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7A8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26561</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F116">
            <w:pPr>
              <w:jc w:val="center"/>
              <w:rPr>
                <w:rFonts w:hint="eastAsia" w:ascii="仿宋" w:hAnsi="仿宋" w:eastAsia="仿宋" w:cs="仿宋"/>
                <w:i w:val="0"/>
                <w:iCs w:val="0"/>
                <w:color w:val="000000"/>
                <w:sz w:val="21"/>
                <w:szCs w:val="21"/>
                <w:u w:val="none"/>
              </w:rPr>
            </w:pPr>
          </w:p>
        </w:tc>
      </w:tr>
      <w:tr w14:paraId="15ADA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9F25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10.窗帘维修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183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12680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7EA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8D3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85997</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5E6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8650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68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107327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A1BA6">
            <w:pPr>
              <w:jc w:val="center"/>
              <w:rPr>
                <w:rFonts w:hint="eastAsia" w:ascii="仿宋" w:hAnsi="仿宋" w:eastAsia="仿宋" w:cs="仿宋"/>
                <w:i w:val="0"/>
                <w:iCs w:val="0"/>
                <w:color w:val="000000"/>
                <w:sz w:val="21"/>
                <w:szCs w:val="21"/>
                <w:u w:val="none"/>
              </w:rPr>
            </w:pPr>
          </w:p>
        </w:tc>
      </w:tr>
      <w:tr w14:paraId="17AFB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275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11.家具（家电、电器）维修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5DA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490397</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7CF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179827</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FA2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8580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3E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5BE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679854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AA63E">
            <w:pPr>
              <w:jc w:val="center"/>
              <w:rPr>
                <w:rFonts w:hint="eastAsia" w:ascii="仿宋" w:hAnsi="仿宋" w:eastAsia="仿宋" w:cs="仿宋"/>
                <w:i w:val="0"/>
                <w:iCs w:val="0"/>
                <w:color w:val="000000"/>
                <w:sz w:val="21"/>
                <w:szCs w:val="21"/>
                <w:u w:val="none"/>
              </w:rPr>
            </w:pPr>
          </w:p>
        </w:tc>
      </w:tr>
      <w:tr w14:paraId="5EE49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05C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12.水电维修费用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BF7C2">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ECE90">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C6B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34997</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A845">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258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34997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58A19">
            <w:pPr>
              <w:jc w:val="center"/>
              <w:rPr>
                <w:rFonts w:hint="eastAsia" w:ascii="仿宋" w:hAnsi="仿宋" w:eastAsia="仿宋" w:cs="仿宋"/>
                <w:i w:val="0"/>
                <w:iCs w:val="0"/>
                <w:color w:val="000000"/>
                <w:sz w:val="21"/>
                <w:szCs w:val="21"/>
                <w:u w:val="none"/>
              </w:rPr>
            </w:pPr>
          </w:p>
        </w:tc>
      </w:tr>
      <w:tr w14:paraId="75995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nil"/>
              <w:right w:val="single" w:color="000000" w:sz="4" w:space="0"/>
            </w:tcBorders>
            <w:shd w:val="clear" w:color="auto" w:fill="auto"/>
            <w:noWrap/>
            <w:vAlign w:val="center"/>
          </w:tcPr>
          <w:p w14:paraId="45FEE6B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13.PVC地面保养</w:t>
            </w:r>
          </w:p>
        </w:tc>
        <w:tc>
          <w:tcPr>
            <w:tcW w:w="1953" w:type="dxa"/>
            <w:tcBorders>
              <w:top w:val="single" w:color="000000" w:sz="4" w:space="0"/>
              <w:left w:val="single" w:color="000000" w:sz="4" w:space="0"/>
              <w:bottom w:val="nil"/>
              <w:right w:val="single" w:color="000000" w:sz="4" w:space="0"/>
            </w:tcBorders>
            <w:shd w:val="clear" w:color="auto" w:fill="auto"/>
            <w:noWrap/>
            <w:vAlign w:val="center"/>
          </w:tcPr>
          <w:p w14:paraId="1ED95B1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36D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457992.75</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F210A">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32F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36EB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457992.75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B9030">
            <w:pPr>
              <w:jc w:val="center"/>
              <w:rPr>
                <w:rFonts w:hint="eastAsia" w:ascii="仿宋" w:hAnsi="仿宋" w:eastAsia="仿宋" w:cs="仿宋"/>
                <w:i w:val="0"/>
                <w:iCs w:val="0"/>
                <w:color w:val="000000"/>
                <w:sz w:val="21"/>
                <w:szCs w:val="21"/>
                <w:u w:val="none"/>
              </w:rPr>
            </w:pPr>
          </w:p>
        </w:tc>
      </w:tr>
      <w:tr w14:paraId="60339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5F02E01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七、学习、交流、培训、进修</w:t>
            </w:r>
          </w:p>
        </w:tc>
        <w:tc>
          <w:tcPr>
            <w:tcW w:w="1953" w:type="dxa"/>
            <w:tcBorders>
              <w:top w:val="single" w:color="000000" w:sz="4" w:space="0"/>
              <w:left w:val="nil"/>
              <w:bottom w:val="single" w:color="000000" w:sz="4" w:space="0"/>
              <w:right w:val="nil"/>
            </w:tcBorders>
            <w:shd w:val="clear" w:color="auto" w:fill="auto"/>
            <w:noWrap/>
            <w:vAlign w:val="center"/>
          </w:tcPr>
          <w:p w14:paraId="53621EEC">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26369FF7">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5288751F">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37C99AB8">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2C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6107254.74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16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5.85 </w:t>
            </w:r>
          </w:p>
        </w:tc>
      </w:tr>
      <w:tr w14:paraId="5884D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nil"/>
              <w:left w:val="single" w:color="000000" w:sz="4" w:space="0"/>
              <w:bottom w:val="single" w:color="000000" w:sz="4" w:space="0"/>
              <w:right w:val="single" w:color="000000" w:sz="4" w:space="0"/>
            </w:tcBorders>
            <w:shd w:val="clear" w:color="auto" w:fill="auto"/>
            <w:noWrap/>
            <w:vAlign w:val="center"/>
          </w:tcPr>
          <w:p w14:paraId="364B13C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1.各类培训、大会</w:t>
            </w:r>
          </w:p>
        </w:tc>
        <w:tc>
          <w:tcPr>
            <w:tcW w:w="1953" w:type="dxa"/>
            <w:tcBorders>
              <w:top w:val="nil"/>
              <w:left w:val="single" w:color="000000" w:sz="4" w:space="0"/>
              <w:bottom w:val="single" w:color="000000" w:sz="4" w:space="0"/>
              <w:right w:val="single" w:color="000000" w:sz="4" w:space="0"/>
            </w:tcBorders>
            <w:shd w:val="clear" w:color="auto" w:fill="auto"/>
            <w:noWrap/>
            <w:vAlign w:val="center"/>
          </w:tcPr>
          <w:p w14:paraId="22FBB7A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305320.28</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31B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300158.32</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26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312413.73</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C0B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106642</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B25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1024534.33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2551">
            <w:pPr>
              <w:jc w:val="center"/>
              <w:rPr>
                <w:rFonts w:hint="eastAsia" w:ascii="仿宋" w:hAnsi="仿宋" w:eastAsia="仿宋" w:cs="仿宋"/>
                <w:i w:val="0"/>
                <w:iCs w:val="0"/>
                <w:color w:val="000000"/>
                <w:sz w:val="21"/>
                <w:szCs w:val="21"/>
                <w:u w:val="none"/>
              </w:rPr>
            </w:pPr>
          </w:p>
        </w:tc>
      </w:tr>
      <w:tr w14:paraId="62704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653B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2.（指导、带教）授课津贴</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7E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183783</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632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59000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78F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50250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18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24900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E7B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317933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4D8BB">
            <w:pPr>
              <w:jc w:val="center"/>
              <w:rPr>
                <w:rFonts w:hint="eastAsia" w:ascii="仿宋" w:hAnsi="仿宋" w:eastAsia="仿宋" w:cs="仿宋"/>
                <w:i w:val="0"/>
                <w:iCs w:val="0"/>
                <w:color w:val="000000"/>
                <w:sz w:val="21"/>
                <w:szCs w:val="21"/>
                <w:u w:val="none"/>
              </w:rPr>
            </w:pPr>
          </w:p>
        </w:tc>
      </w:tr>
      <w:tr w14:paraId="0B2C6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EBC8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3.学术交流、论坛、研讨会等</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864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169813.83</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8F1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347728.04</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2C6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332038.02</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BF4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122847.32</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10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972427.21</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2E681">
            <w:pPr>
              <w:jc w:val="center"/>
              <w:rPr>
                <w:rFonts w:hint="eastAsia" w:ascii="仿宋" w:hAnsi="仿宋" w:eastAsia="仿宋" w:cs="仿宋"/>
                <w:i w:val="0"/>
                <w:iCs w:val="0"/>
                <w:color w:val="000000"/>
                <w:sz w:val="21"/>
                <w:szCs w:val="21"/>
                <w:u w:val="none"/>
              </w:rPr>
            </w:pPr>
          </w:p>
        </w:tc>
      </w:tr>
      <w:tr w14:paraId="37433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F2D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4.培训资料印刷、购买</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82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26200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543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2438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9B7D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53F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F5E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28638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6B6EE">
            <w:pPr>
              <w:jc w:val="center"/>
              <w:rPr>
                <w:rFonts w:hint="eastAsia" w:ascii="仿宋" w:hAnsi="仿宋" w:eastAsia="仿宋" w:cs="仿宋"/>
                <w:i w:val="0"/>
                <w:iCs w:val="0"/>
                <w:color w:val="000000"/>
                <w:sz w:val="21"/>
                <w:szCs w:val="21"/>
                <w:u w:val="none"/>
              </w:rPr>
            </w:pPr>
          </w:p>
        </w:tc>
      </w:tr>
      <w:tr w14:paraId="5BE79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A117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5.外出进修费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0C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181426</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3E7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309208.5</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F5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242006</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05E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95876.2</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7BC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828516.7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2BA09">
            <w:pPr>
              <w:jc w:val="center"/>
              <w:rPr>
                <w:rFonts w:hint="eastAsia" w:ascii="仿宋" w:hAnsi="仿宋" w:eastAsia="仿宋" w:cs="仿宋"/>
                <w:i w:val="0"/>
                <w:iCs w:val="0"/>
                <w:color w:val="000000"/>
                <w:sz w:val="21"/>
                <w:szCs w:val="21"/>
                <w:u w:val="none"/>
              </w:rPr>
            </w:pPr>
          </w:p>
        </w:tc>
      </w:tr>
      <w:tr w14:paraId="195EF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AFE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6.外出进修生活补助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990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380181</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401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677965</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E56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458636</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C56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389780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613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1906562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503A">
            <w:pPr>
              <w:jc w:val="center"/>
              <w:rPr>
                <w:rFonts w:hint="eastAsia" w:ascii="仿宋" w:hAnsi="仿宋" w:eastAsia="仿宋" w:cs="仿宋"/>
                <w:i w:val="0"/>
                <w:iCs w:val="0"/>
                <w:color w:val="000000"/>
                <w:sz w:val="21"/>
                <w:szCs w:val="21"/>
                <w:u w:val="none"/>
              </w:rPr>
            </w:pPr>
          </w:p>
        </w:tc>
      </w:tr>
      <w:tr w14:paraId="7B77B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1943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7.读研助学津贴</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79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207800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B431">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36DB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241200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8B9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8A7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449000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5558">
            <w:pPr>
              <w:jc w:val="center"/>
              <w:rPr>
                <w:rFonts w:hint="eastAsia" w:ascii="仿宋" w:hAnsi="仿宋" w:eastAsia="仿宋" w:cs="仿宋"/>
                <w:i w:val="0"/>
                <w:iCs w:val="0"/>
                <w:color w:val="000000"/>
                <w:sz w:val="21"/>
                <w:szCs w:val="21"/>
                <w:u w:val="none"/>
              </w:rPr>
            </w:pPr>
          </w:p>
        </w:tc>
      </w:tr>
      <w:tr w14:paraId="3A81F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68DC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8.《课题设计与项目申请》交流讲座</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A1795">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159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11998.5</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7C572">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CE67">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DFB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11998.5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092A">
            <w:pPr>
              <w:jc w:val="center"/>
              <w:rPr>
                <w:rFonts w:hint="eastAsia" w:ascii="仿宋" w:hAnsi="仿宋" w:eastAsia="仿宋" w:cs="仿宋"/>
                <w:i w:val="0"/>
                <w:iCs w:val="0"/>
                <w:color w:val="000000"/>
                <w:sz w:val="21"/>
                <w:szCs w:val="21"/>
                <w:u w:val="none"/>
              </w:rPr>
            </w:pPr>
          </w:p>
        </w:tc>
      </w:tr>
      <w:tr w14:paraId="1CF05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84C9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9.住院医师岗前培训</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CB82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DF40">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432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13300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B4006">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EC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13300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7DC2">
            <w:pPr>
              <w:jc w:val="center"/>
              <w:rPr>
                <w:rFonts w:hint="eastAsia" w:ascii="仿宋" w:hAnsi="仿宋" w:eastAsia="仿宋" w:cs="仿宋"/>
                <w:i w:val="0"/>
                <w:iCs w:val="0"/>
                <w:color w:val="000000"/>
                <w:sz w:val="21"/>
                <w:szCs w:val="21"/>
                <w:u w:val="none"/>
              </w:rPr>
            </w:pPr>
          </w:p>
        </w:tc>
      </w:tr>
      <w:tr w14:paraId="307CC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E96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10.技能培训劳务补助（含三甲复评培训补助）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49B2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828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91800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D7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64909</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6C4D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877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159109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26C05">
            <w:pPr>
              <w:jc w:val="center"/>
              <w:rPr>
                <w:rFonts w:hint="eastAsia" w:ascii="仿宋" w:hAnsi="仿宋" w:eastAsia="仿宋" w:cs="仿宋"/>
                <w:i w:val="0"/>
                <w:iCs w:val="0"/>
                <w:color w:val="000000"/>
                <w:sz w:val="21"/>
                <w:szCs w:val="21"/>
                <w:u w:val="none"/>
              </w:rPr>
            </w:pPr>
          </w:p>
        </w:tc>
      </w:tr>
      <w:tr w14:paraId="79937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47C3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11.全科转岗学员拓展活动训练</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98B0E">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9AC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34F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10080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67BB6">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7FB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10080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61823">
            <w:pPr>
              <w:jc w:val="center"/>
              <w:rPr>
                <w:rFonts w:hint="eastAsia" w:ascii="仿宋" w:hAnsi="仿宋" w:eastAsia="仿宋" w:cs="仿宋"/>
                <w:i w:val="0"/>
                <w:iCs w:val="0"/>
                <w:color w:val="000000"/>
                <w:sz w:val="21"/>
                <w:szCs w:val="21"/>
                <w:u w:val="none"/>
              </w:rPr>
            </w:pPr>
          </w:p>
        </w:tc>
      </w:tr>
      <w:tr w14:paraId="725DF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300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12.硕士研究生学位论文答辩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5652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404A1">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79315">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5B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82200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10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82200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910FF">
            <w:pPr>
              <w:jc w:val="center"/>
              <w:rPr>
                <w:rFonts w:hint="eastAsia" w:ascii="仿宋" w:hAnsi="仿宋" w:eastAsia="仿宋" w:cs="仿宋"/>
                <w:i w:val="0"/>
                <w:iCs w:val="0"/>
                <w:color w:val="000000"/>
                <w:sz w:val="21"/>
                <w:szCs w:val="21"/>
                <w:u w:val="none"/>
              </w:rPr>
            </w:pPr>
          </w:p>
        </w:tc>
      </w:tr>
      <w:tr w14:paraId="60779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5F0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13.招聘人员考试考核培训费用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085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AA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102710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7F3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11780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3770">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88F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114490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D381A">
            <w:pPr>
              <w:jc w:val="center"/>
              <w:rPr>
                <w:rFonts w:hint="eastAsia" w:ascii="仿宋" w:hAnsi="仿宋" w:eastAsia="仿宋" w:cs="仿宋"/>
                <w:i w:val="0"/>
                <w:iCs w:val="0"/>
                <w:color w:val="000000"/>
                <w:sz w:val="21"/>
                <w:szCs w:val="21"/>
                <w:u w:val="none"/>
              </w:rPr>
            </w:pPr>
          </w:p>
        </w:tc>
      </w:tr>
      <w:tr w14:paraId="7AE4A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74A7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14.DIP支付改革培训费用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089E">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264A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66246</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9791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DBD0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EC7A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66246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5FD5B">
            <w:pPr>
              <w:jc w:val="center"/>
              <w:rPr>
                <w:rFonts w:hint="eastAsia" w:ascii="仿宋" w:hAnsi="仿宋" w:eastAsia="仿宋" w:cs="仿宋"/>
                <w:i w:val="0"/>
                <w:iCs w:val="0"/>
                <w:color w:val="000000"/>
                <w:sz w:val="21"/>
                <w:szCs w:val="21"/>
                <w:u w:val="none"/>
              </w:rPr>
            </w:pPr>
          </w:p>
        </w:tc>
      </w:tr>
      <w:tr w14:paraId="15CBB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F41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15.住培教学案例竞赛视频拍摄</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CDCB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D05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5087D">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5F06">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DA78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9664">
            <w:pPr>
              <w:jc w:val="center"/>
              <w:rPr>
                <w:rFonts w:hint="eastAsia" w:ascii="仿宋" w:hAnsi="仿宋" w:eastAsia="仿宋" w:cs="仿宋"/>
                <w:i w:val="0"/>
                <w:iCs w:val="0"/>
                <w:color w:val="000000"/>
                <w:sz w:val="21"/>
                <w:szCs w:val="21"/>
                <w:u w:val="none"/>
              </w:rPr>
            </w:pPr>
          </w:p>
        </w:tc>
      </w:tr>
      <w:tr w14:paraId="52A37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5C5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16.考试基地组考演练费用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32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114220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E4ACD">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8AF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FB6AE">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8E7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114220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E9AFC">
            <w:pPr>
              <w:jc w:val="center"/>
              <w:rPr>
                <w:rFonts w:hint="eastAsia" w:ascii="仿宋" w:hAnsi="仿宋" w:eastAsia="仿宋" w:cs="仿宋"/>
                <w:i w:val="0"/>
                <w:iCs w:val="0"/>
                <w:color w:val="000000"/>
                <w:sz w:val="21"/>
                <w:szCs w:val="21"/>
                <w:u w:val="none"/>
              </w:rPr>
            </w:pPr>
          </w:p>
        </w:tc>
      </w:tr>
      <w:tr w14:paraId="1BC0D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61C7B00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八、各种竞赛活动</w:t>
            </w:r>
          </w:p>
        </w:tc>
        <w:tc>
          <w:tcPr>
            <w:tcW w:w="1953" w:type="dxa"/>
            <w:tcBorders>
              <w:top w:val="single" w:color="000000" w:sz="4" w:space="0"/>
              <w:left w:val="nil"/>
              <w:bottom w:val="single" w:color="000000" w:sz="4" w:space="0"/>
              <w:right w:val="nil"/>
            </w:tcBorders>
            <w:shd w:val="clear" w:color="auto" w:fill="auto"/>
            <w:noWrap/>
            <w:vAlign w:val="center"/>
          </w:tcPr>
          <w:p w14:paraId="5CDB0D66">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18AD31E0">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685FFD5C">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33B7DEE9">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6E0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174917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930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0.17 </w:t>
            </w:r>
          </w:p>
        </w:tc>
      </w:tr>
      <w:tr w14:paraId="515BC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E829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1.青委会健康科普大使选拔赛</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A4829">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5EAA">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59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DC7B7">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AAD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91500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89B1A">
            <w:pPr>
              <w:jc w:val="center"/>
              <w:rPr>
                <w:rFonts w:hint="eastAsia" w:ascii="仿宋" w:hAnsi="仿宋" w:eastAsia="仿宋" w:cs="仿宋"/>
                <w:i w:val="0"/>
                <w:iCs w:val="0"/>
                <w:color w:val="000000"/>
                <w:sz w:val="21"/>
                <w:szCs w:val="21"/>
                <w:u w:val="none"/>
              </w:rPr>
            </w:pPr>
          </w:p>
        </w:tc>
      </w:tr>
      <w:tr w14:paraId="676E2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4F35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2.参加湖南省医学会科普比赛</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4478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9A92">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C0D35">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0C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3150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429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3150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C72C8">
            <w:pPr>
              <w:jc w:val="center"/>
              <w:rPr>
                <w:rFonts w:hint="eastAsia" w:ascii="仿宋" w:hAnsi="仿宋" w:eastAsia="仿宋" w:cs="仿宋"/>
                <w:i w:val="0"/>
                <w:iCs w:val="0"/>
                <w:color w:val="000000"/>
                <w:sz w:val="21"/>
                <w:szCs w:val="21"/>
                <w:u w:val="none"/>
              </w:rPr>
            </w:pPr>
          </w:p>
        </w:tc>
      </w:tr>
      <w:tr w14:paraId="2A5D1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C28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3.科普竞赛、大赛视频费用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D10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9C045">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3EC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16068</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7E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88E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54648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0018">
            <w:pPr>
              <w:jc w:val="center"/>
              <w:rPr>
                <w:rFonts w:hint="eastAsia" w:ascii="仿宋" w:hAnsi="仿宋" w:eastAsia="仿宋" w:cs="仿宋"/>
                <w:i w:val="0"/>
                <w:iCs w:val="0"/>
                <w:color w:val="000000"/>
                <w:sz w:val="21"/>
                <w:szCs w:val="21"/>
                <w:u w:val="none"/>
              </w:rPr>
            </w:pPr>
          </w:p>
        </w:tc>
      </w:tr>
      <w:tr w14:paraId="44D77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E03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4.全科专业基地微课竞赛</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593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47753">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547C7">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2D1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5E1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BC9E">
            <w:pPr>
              <w:jc w:val="center"/>
              <w:rPr>
                <w:rFonts w:hint="eastAsia" w:ascii="仿宋" w:hAnsi="仿宋" w:eastAsia="仿宋" w:cs="仿宋"/>
                <w:i w:val="0"/>
                <w:iCs w:val="0"/>
                <w:color w:val="000000"/>
                <w:sz w:val="21"/>
                <w:szCs w:val="21"/>
                <w:u w:val="none"/>
              </w:rPr>
            </w:pPr>
          </w:p>
        </w:tc>
      </w:tr>
      <w:tr w14:paraId="48238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01AA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5.理学会现场救护人文路演比赛</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9FE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20AB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4259</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943DC">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556E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02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4259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DC5DC">
            <w:pPr>
              <w:jc w:val="center"/>
              <w:rPr>
                <w:rFonts w:hint="eastAsia" w:ascii="仿宋" w:hAnsi="仿宋" w:eastAsia="仿宋" w:cs="仿宋"/>
                <w:i w:val="0"/>
                <w:iCs w:val="0"/>
                <w:color w:val="000000"/>
                <w:sz w:val="21"/>
                <w:szCs w:val="21"/>
                <w:u w:val="none"/>
              </w:rPr>
            </w:pPr>
          </w:p>
        </w:tc>
      </w:tr>
      <w:tr w14:paraId="11000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ED68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6.全市护理理论知识竞赛</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54275">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649EE">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A608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B40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9360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9D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9360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9804D">
            <w:pPr>
              <w:jc w:val="center"/>
              <w:rPr>
                <w:rFonts w:hint="eastAsia" w:ascii="仿宋" w:hAnsi="仿宋" w:eastAsia="仿宋" w:cs="仿宋"/>
                <w:i w:val="0"/>
                <w:iCs w:val="0"/>
                <w:color w:val="000000"/>
                <w:sz w:val="21"/>
                <w:szCs w:val="21"/>
                <w:u w:val="none"/>
              </w:rPr>
            </w:pPr>
          </w:p>
        </w:tc>
      </w:tr>
      <w:tr w14:paraId="5A859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0F13487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九、宣传费</w:t>
            </w:r>
          </w:p>
        </w:tc>
        <w:tc>
          <w:tcPr>
            <w:tcW w:w="1953" w:type="dxa"/>
            <w:tcBorders>
              <w:top w:val="single" w:color="000000" w:sz="4" w:space="0"/>
              <w:left w:val="nil"/>
              <w:bottom w:val="single" w:color="000000" w:sz="4" w:space="0"/>
              <w:right w:val="nil"/>
            </w:tcBorders>
            <w:shd w:val="clear" w:color="auto" w:fill="auto"/>
            <w:noWrap/>
            <w:vAlign w:val="center"/>
          </w:tcPr>
          <w:p w14:paraId="1DA39BC4">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65F8F3B6">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72716609">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0F737EF7">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E46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3391379.4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18D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3.25 </w:t>
            </w:r>
          </w:p>
        </w:tc>
      </w:tr>
      <w:tr w14:paraId="6846D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386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1.科普视频、文化建设视频制作等</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7BC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D4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186579</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C7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24640.5</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B92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55403</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A2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266622.5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D177">
            <w:pPr>
              <w:jc w:val="center"/>
              <w:rPr>
                <w:rFonts w:hint="eastAsia" w:ascii="仿宋" w:hAnsi="仿宋" w:eastAsia="仿宋" w:cs="仿宋"/>
                <w:i w:val="0"/>
                <w:iCs w:val="0"/>
                <w:color w:val="000000"/>
                <w:sz w:val="21"/>
                <w:szCs w:val="21"/>
                <w:u w:val="none"/>
              </w:rPr>
            </w:pPr>
          </w:p>
        </w:tc>
      </w:tr>
      <w:tr w14:paraId="69C97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8A3A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2.技能竞赛视频制作</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C478">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1B1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629A2">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2809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401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FC0F8">
            <w:pPr>
              <w:jc w:val="center"/>
              <w:rPr>
                <w:rFonts w:hint="eastAsia" w:ascii="仿宋" w:hAnsi="仿宋" w:eastAsia="仿宋" w:cs="仿宋"/>
                <w:i w:val="0"/>
                <w:iCs w:val="0"/>
                <w:color w:val="000000"/>
                <w:sz w:val="21"/>
                <w:szCs w:val="21"/>
                <w:u w:val="none"/>
              </w:rPr>
            </w:pPr>
          </w:p>
        </w:tc>
      </w:tr>
      <w:tr w14:paraId="1A266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846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3.报刊杂志理论书籍费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FC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305686</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F8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702</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A12C">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50B6">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E4D4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306388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BF44">
            <w:pPr>
              <w:jc w:val="center"/>
              <w:rPr>
                <w:rFonts w:hint="eastAsia" w:ascii="仿宋" w:hAnsi="仿宋" w:eastAsia="仿宋" w:cs="仿宋"/>
                <w:i w:val="0"/>
                <w:iCs w:val="0"/>
                <w:color w:val="000000"/>
                <w:sz w:val="21"/>
                <w:szCs w:val="21"/>
                <w:u w:val="none"/>
              </w:rPr>
            </w:pPr>
          </w:p>
        </w:tc>
      </w:tr>
      <w:tr w14:paraId="33E87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67A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4.传播服务费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FF70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8D5E">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39FD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77EC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B2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A027A">
            <w:pPr>
              <w:jc w:val="center"/>
              <w:rPr>
                <w:rFonts w:hint="eastAsia" w:ascii="仿宋" w:hAnsi="仿宋" w:eastAsia="仿宋" w:cs="仿宋"/>
                <w:i w:val="0"/>
                <w:iCs w:val="0"/>
                <w:color w:val="000000"/>
                <w:sz w:val="21"/>
                <w:szCs w:val="21"/>
                <w:u w:val="none"/>
              </w:rPr>
            </w:pPr>
          </w:p>
        </w:tc>
      </w:tr>
      <w:tr w14:paraId="6D0C7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5708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5.医报协作宣传、医广电合作宣传</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F16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17C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8CD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330000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A5F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3E8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6C851">
            <w:pPr>
              <w:jc w:val="center"/>
              <w:rPr>
                <w:rFonts w:hint="eastAsia" w:ascii="仿宋" w:hAnsi="仿宋" w:eastAsia="仿宋" w:cs="仿宋"/>
                <w:i w:val="0"/>
                <w:iCs w:val="0"/>
                <w:color w:val="000000"/>
                <w:sz w:val="21"/>
                <w:szCs w:val="21"/>
                <w:u w:val="none"/>
              </w:rPr>
            </w:pPr>
          </w:p>
        </w:tc>
      </w:tr>
      <w:tr w14:paraId="2C986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29BD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6.数字图书馆费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79039">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01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193500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256CD">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2B8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13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193500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B9FA3">
            <w:pPr>
              <w:jc w:val="center"/>
              <w:rPr>
                <w:rFonts w:hint="eastAsia" w:ascii="仿宋" w:hAnsi="仿宋" w:eastAsia="仿宋" w:cs="仿宋"/>
                <w:i w:val="0"/>
                <w:iCs w:val="0"/>
                <w:color w:val="000000"/>
                <w:sz w:val="21"/>
                <w:szCs w:val="21"/>
                <w:u w:val="none"/>
              </w:rPr>
            </w:pPr>
          </w:p>
        </w:tc>
      </w:tr>
      <w:tr w14:paraId="66C60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706D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7.宣传手（画）册、资料</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F80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24533</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09E0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91080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0E14C">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0B78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25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115613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4BB48">
            <w:pPr>
              <w:jc w:val="center"/>
              <w:rPr>
                <w:rFonts w:hint="eastAsia" w:ascii="仿宋" w:hAnsi="仿宋" w:eastAsia="仿宋" w:cs="仿宋"/>
                <w:i w:val="0"/>
                <w:iCs w:val="0"/>
                <w:color w:val="000000"/>
                <w:sz w:val="21"/>
                <w:szCs w:val="21"/>
                <w:u w:val="none"/>
              </w:rPr>
            </w:pPr>
          </w:p>
        </w:tc>
      </w:tr>
      <w:tr w14:paraId="3CFE4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BB3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8.通讯报道宣传稿费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00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62908</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BC69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107782</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CDFCB">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80CD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D8D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170690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40A8">
            <w:pPr>
              <w:jc w:val="center"/>
              <w:rPr>
                <w:rFonts w:hint="eastAsia" w:ascii="仿宋" w:hAnsi="仿宋" w:eastAsia="仿宋" w:cs="仿宋"/>
                <w:i w:val="0"/>
                <w:iCs w:val="0"/>
                <w:color w:val="000000"/>
                <w:sz w:val="21"/>
                <w:szCs w:val="21"/>
                <w:u w:val="none"/>
              </w:rPr>
            </w:pPr>
          </w:p>
        </w:tc>
      </w:tr>
      <w:tr w14:paraId="47AA7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04E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9.三甲复评宣传资料制作</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9E7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07E8F">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517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9B9A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3D1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C42DC">
            <w:pPr>
              <w:jc w:val="center"/>
              <w:rPr>
                <w:rFonts w:hint="eastAsia" w:ascii="仿宋" w:hAnsi="仿宋" w:eastAsia="仿宋" w:cs="仿宋"/>
                <w:i w:val="0"/>
                <w:iCs w:val="0"/>
                <w:color w:val="000000"/>
                <w:sz w:val="21"/>
                <w:szCs w:val="21"/>
                <w:u w:val="none"/>
              </w:rPr>
            </w:pPr>
          </w:p>
        </w:tc>
      </w:tr>
      <w:tr w14:paraId="4E28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F8B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10.一院两区文化提升服务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C0FC2">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8CC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233400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21C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311200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7983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2D1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544600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DD648">
            <w:pPr>
              <w:jc w:val="center"/>
              <w:rPr>
                <w:rFonts w:hint="eastAsia" w:ascii="仿宋" w:hAnsi="仿宋" w:eastAsia="仿宋" w:cs="仿宋"/>
                <w:i w:val="0"/>
                <w:iCs w:val="0"/>
                <w:color w:val="000000"/>
                <w:sz w:val="21"/>
                <w:szCs w:val="21"/>
                <w:u w:val="none"/>
              </w:rPr>
            </w:pPr>
          </w:p>
        </w:tc>
      </w:tr>
      <w:tr w14:paraId="3A99A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297D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11.广告招牌、宣传（栏）</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B6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154254</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987C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470698.8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AFB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455297.6</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AB1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101715.5</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AEA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1181965.9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089D">
            <w:pPr>
              <w:jc w:val="center"/>
              <w:rPr>
                <w:rFonts w:hint="eastAsia" w:ascii="仿宋" w:hAnsi="仿宋" w:eastAsia="仿宋" w:cs="仿宋"/>
                <w:i w:val="0"/>
                <w:iCs w:val="0"/>
                <w:color w:val="000000"/>
                <w:sz w:val="21"/>
                <w:szCs w:val="21"/>
                <w:u w:val="none"/>
              </w:rPr>
            </w:pPr>
          </w:p>
        </w:tc>
      </w:tr>
      <w:tr w14:paraId="21F95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3887EC3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十、劳务费、加班费、补贴补助</w:t>
            </w:r>
          </w:p>
        </w:tc>
        <w:tc>
          <w:tcPr>
            <w:tcW w:w="1953" w:type="dxa"/>
            <w:tcBorders>
              <w:top w:val="single" w:color="000000" w:sz="4" w:space="0"/>
              <w:left w:val="nil"/>
              <w:bottom w:val="single" w:color="000000" w:sz="4" w:space="0"/>
              <w:right w:val="nil"/>
            </w:tcBorders>
            <w:shd w:val="clear" w:color="auto" w:fill="auto"/>
            <w:noWrap/>
            <w:vAlign w:val="center"/>
          </w:tcPr>
          <w:p w14:paraId="70C870A2">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6F20C518">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24F8FC55">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3692F62E">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3C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3813773.17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4B5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3.65 </w:t>
            </w:r>
          </w:p>
        </w:tc>
      </w:tr>
      <w:tr w14:paraId="663A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D66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1.临工劳务费、创文志愿者补贴</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A10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226460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01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118620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62FE3">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3F8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A044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345080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B9933">
            <w:pPr>
              <w:jc w:val="center"/>
              <w:rPr>
                <w:rFonts w:hint="eastAsia" w:ascii="仿宋" w:hAnsi="仿宋" w:eastAsia="仿宋" w:cs="仿宋"/>
                <w:i w:val="0"/>
                <w:iCs w:val="0"/>
                <w:color w:val="000000"/>
                <w:sz w:val="21"/>
                <w:szCs w:val="21"/>
                <w:u w:val="none"/>
              </w:rPr>
            </w:pPr>
          </w:p>
        </w:tc>
      </w:tr>
      <w:tr w14:paraId="67CBE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938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2.安保服务费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3A67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581984</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6A14">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011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423360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67C7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750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1005344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8223">
            <w:pPr>
              <w:jc w:val="center"/>
              <w:rPr>
                <w:rFonts w:hint="eastAsia" w:ascii="仿宋" w:hAnsi="仿宋" w:eastAsia="仿宋" w:cs="仿宋"/>
                <w:i w:val="0"/>
                <w:iCs w:val="0"/>
                <w:color w:val="000000"/>
                <w:sz w:val="21"/>
                <w:szCs w:val="21"/>
                <w:u w:val="none"/>
              </w:rPr>
            </w:pPr>
          </w:p>
        </w:tc>
      </w:tr>
      <w:tr w14:paraId="38ABD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2ED6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3.其他劳务费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CDC6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1DD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16400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E6AF4">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2687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B41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16400</w:t>
            </w:r>
          </w:p>
        </w:tc>
        <w:tc>
          <w:tcPr>
            <w:tcW w:w="1401" w:type="dxa"/>
            <w:tcBorders>
              <w:top w:val="nil"/>
              <w:left w:val="nil"/>
              <w:bottom w:val="nil"/>
              <w:right w:val="single" w:color="000000" w:sz="4" w:space="0"/>
            </w:tcBorders>
            <w:shd w:val="clear" w:color="auto" w:fill="auto"/>
            <w:noWrap/>
            <w:vAlign w:val="center"/>
          </w:tcPr>
          <w:p w14:paraId="4D32452B">
            <w:pPr>
              <w:rPr>
                <w:rFonts w:hint="eastAsia" w:ascii="仿宋" w:hAnsi="仿宋" w:eastAsia="仿宋" w:cs="仿宋"/>
                <w:i w:val="0"/>
                <w:iCs w:val="0"/>
                <w:color w:val="000000"/>
                <w:sz w:val="21"/>
                <w:szCs w:val="21"/>
                <w:u w:val="none"/>
              </w:rPr>
            </w:pPr>
          </w:p>
        </w:tc>
      </w:tr>
      <w:tr w14:paraId="4EB51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C000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4.专家（讲座）劳务费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9A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159600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A6F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FB87">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F46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DE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163400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7005E">
            <w:pPr>
              <w:jc w:val="center"/>
              <w:rPr>
                <w:rFonts w:hint="eastAsia" w:ascii="仿宋" w:hAnsi="仿宋" w:eastAsia="仿宋" w:cs="仿宋"/>
                <w:i w:val="0"/>
                <w:iCs w:val="0"/>
                <w:color w:val="000000"/>
                <w:sz w:val="21"/>
                <w:szCs w:val="21"/>
                <w:u w:val="none"/>
              </w:rPr>
            </w:pPr>
          </w:p>
        </w:tc>
      </w:tr>
      <w:tr w14:paraId="7AA0B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FED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5.三甲复（审）评补助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81BF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6E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238000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8279F">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0645">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0EC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238000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F9B88">
            <w:pPr>
              <w:jc w:val="center"/>
              <w:rPr>
                <w:rFonts w:hint="eastAsia" w:ascii="仿宋" w:hAnsi="仿宋" w:eastAsia="仿宋" w:cs="仿宋"/>
                <w:i w:val="0"/>
                <w:iCs w:val="0"/>
                <w:color w:val="000000"/>
                <w:sz w:val="21"/>
                <w:szCs w:val="21"/>
                <w:u w:val="none"/>
              </w:rPr>
            </w:pPr>
          </w:p>
        </w:tc>
      </w:tr>
      <w:tr w14:paraId="23533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05E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6.接种注射补助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C05A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09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12432</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B681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D673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A4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12432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F10CC">
            <w:pPr>
              <w:jc w:val="center"/>
              <w:rPr>
                <w:rFonts w:hint="eastAsia" w:ascii="仿宋" w:hAnsi="仿宋" w:eastAsia="仿宋" w:cs="仿宋"/>
                <w:i w:val="0"/>
                <w:iCs w:val="0"/>
                <w:color w:val="000000"/>
                <w:sz w:val="21"/>
                <w:szCs w:val="21"/>
                <w:u w:val="none"/>
              </w:rPr>
            </w:pPr>
          </w:p>
        </w:tc>
      </w:tr>
      <w:tr w14:paraId="53B3B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C09D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7.住院医师生活补助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937D0">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33E27">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800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755141.61</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1E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400140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ED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1155281.61</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D642D">
            <w:pPr>
              <w:jc w:val="center"/>
              <w:rPr>
                <w:rFonts w:hint="eastAsia" w:ascii="仿宋" w:hAnsi="仿宋" w:eastAsia="仿宋" w:cs="仿宋"/>
                <w:i w:val="0"/>
                <w:iCs w:val="0"/>
                <w:color w:val="000000"/>
                <w:sz w:val="21"/>
                <w:szCs w:val="21"/>
                <w:u w:val="none"/>
              </w:rPr>
            </w:pPr>
          </w:p>
        </w:tc>
      </w:tr>
      <w:tr w14:paraId="545D5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A17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8.住院医师基本工资</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5200">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8790D">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53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384841.8</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6E8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194236.44</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BD5F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579078.24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3DD5">
            <w:pPr>
              <w:jc w:val="center"/>
              <w:rPr>
                <w:rFonts w:hint="eastAsia" w:ascii="仿宋" w:hAnsi="仿宋" w:eastAsia="仿宋" w:cs="仿宋"/>
                <w:i w:val="0"/>
                <w:iCs w:val="0"/>
                <w:color w:val="000000"/>
                <w:sz w:val="21"/>
                <w:szCs w:val="21"/>
                <w:u w:val="none"/>
              </w:rPr>
            </w:pPr>
          </w:p>
        </w:tc>
      </w:tr>
      <w:tr w14:paraId="47E01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2C7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9.全科转岗学员生活补贴</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C1B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190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7A4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125457.32</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DFCE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B55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125457.32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4E2DF">
            <w:pPr>
              <w:jc w:val="center"/>
              <w:rPr>
                <w:rFonts w:hint="eastAsia" w:ascii="仿宋" w:hAnsi="仿宋" w:eastAsia="仿宋" w:cs="仿宋"/>
                <w:i w:val="0"/>
                <w:iCs w:val="0"/>
                <w:color w:val="000000"/>
                <w:sz w:val="21"/>
                <w:szCs w:val="21"/>
                <w:u w:val="none"/>
              </w:rPr>
            </w:pPr>
          </w:p>
        </w:tc>
      </w:tr>
      <w:tr w14:paraId="01A08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576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10.院青年科技英才计划（劳务费）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70BD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C8383">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DB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FD10">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BE8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2DCE9">
            <w:pPr>
              <w:jc w:val="center"/>
              <w:rPr>
                <w:rFonts w:hint="eastAsia" w:ascii="仿宋" w:hAnsi="仿宋" w:eastAsia="仿宋" w:cs="仿宋"/>
                <w:i w:val="0"/>
                <w:iCs w:val="0"/>
                <w:color w:val="000000"/>
                <w:sz w:val="21"/>
                <w:szCs w:val="21"/>
                <w:u w:val="none"/>
              </w:rPr>
            </w:pPr>
          </w:p>
        </w:tc>
      </w:tr>
      <w:tr w14:paraId="727EC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D450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11.科研课题经费配套资金-劳务费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D1E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B3BA8">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E9D6B">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064E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293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ECB9">
            <w:pPr>
              <w:jc w:val="center"/>
              <w:rPr>
                <w:rFonts w:hint="eastAsia" w:ascii="仿宋" w:hAnsi="仿宋" w:eastAsia="仿宋" w:cs="仿宋"/>
                <w:i w:val="0"/>
                <w:iCs w:val="0"/>
                <w:color w:val="000000"/>
                <w:sz w:val="21"/>
                <w:szCs w:val="21"/>
                <w:u w:val="none"/>
              </w:rPr>
            </w:pPr>
          </w:p>
        </w:tc>
      </w:tr>
      <w:tr w14:paraId="43441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nil"/>
              <w:right w:val="single" w:color="000000" w:sz="4" w:space="0"/>
            </w:tcBorders>
            <w:shd w:val="clear" w:color="auto" w:fill="auto"/>
            <w:noWrap/>
            <w:vAlign w:val="center"/>
          </w:tcPr>
          <w:p w14:paraId="1B59F1A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12.病历质控专家加班费</w:t>
            </w:r>
          </w:p>
        </w:tc>
        <w:tc>
          <w:tcPr>
            <w:tcW w:w="1953" w:type="dxa"/>
            <w:tcBorders>
              <w:top w:val="single" w:color="000000" w:sz="4" w:space="0"/>
              <w:left w:val="single" w:color="000000" w:sz="4" w:space="0"/>
              <w:bottom w:val="nil"/>
              <w:right w:val="single" w:color="000000" w:sz="4" w:space="0"/>
            </w:tcBorders>
            <w:shd w:val="clear" w:color="auto" w:fill="auto"/>
            <w:noWrap/>
            <w:vAlign w:val="center"/>
          </w:tcPr>
          <w:p w14:paraId="2D970A41">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nil"/>
              <w:right w:val="single" w:color="000000" w:sz="4" w:space="0"/>
            </w:tcBorders>
            <w:shd w:val="clear" w:color="auto" w:fill="auto"/>
            <w:noWrap/>
            <w:vAlign w:val="center"/>
          </w:tcPr>
          <w:p w14:paraId="622E15D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73600</w:t>
            </w:r>
          </w:p>
        </w:tc>
        <w:tc>
          <w:tcPr>
            <w:tcW w:w="1688" w:type="dxa"/>
            <w:tcBorders>
              <w:top w:val="single" w:color="000000" w:sz="4" w:space="0"/>
              <w:left w:val="single" w:color="000000" w:sz="4" w:space="0"/>
              <w:bottom w:val="nil"/>
              <w:right w:val="single" w:color="000000" w:sz="4" w:space="0"/>
            </w:tcBorders>
            <w:shd w:val="clear" w:color="auto" w:fill="auto"/>
            <w:noWrap/>
            <w:vAlign w:val="center"/>
          </w:tcPr>
          <w:p w14:paraId="2221C64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nil"/>
              <w:right w:val="single" w:color="000000" w:sz="4" w:space="0"/>
            </w:tcBorders>
            <w:shd w:val="clear" w:color="auto" w:fill="auto"/>
            <w:noWrap/>
            <w:vAlign w:val="center"/>
          </w:tcPr>
          <w:p w14:paraId="61FD90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53000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62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126600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8B2AC">
            <w:pPr>
              <w:jc w:val="center"/>
              <w:rPr>
                <w:rFonts w:hint="eastAsia" w:ascii="仿宋" w:hAnsi="仿宋" w:eastAsia="仿宋" w:cs="仿宋"/>
                <w:i w:val="0"/>
                <w:iCs w:val="0"/>
                <w:color w:val="000000"/>
                <w:sz w:val="21"/>
                <w:szCs w:val="21"/>
                <w:u w:val="none"/>
              </w:rPr>
            </w:pPr>
          </w:p>
        </w:tc>
      </w:tr>
      <w:tr w14:paraId="082AB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3D17595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十一、 举办各种活动经费</w:t>
            </w:r>
          </w:p>
        </w:tc>
        <w:tc>
          <w:tcPr>
            <w:tcW w:w="1953" w:type="dxa"/>
            <w:tcBorders>
              <w:top w:val="single" w:color="000000" w:sz="4" w:space="0"/>
              <w:left w:val="nil"/>
              <w:bottom w:val="single" w:color="000000" w:sz="4" w:space="0"/>
              <w:right w:val="nil"/>
            </w:tcBorders>
            <w:shd w:val="clear" w:color="auto" w:fill="auto"/>
            <w:noWrap/>
            <w:vAlign w:val="center"/>
          </w:tcPr>
          <w:p w14:paraId="4081F8BD">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0C48873C">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2F1DD224">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6A876534">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502D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417895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245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0.40 </w:t>
            </w:r>
          </w:p>
        </w:tc>
      </w:tr>
      <w:tr w14:paraId="79411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jc w:val="center"/>
        </w:trPr>
        <w:tc>
          <w:tcPr>
            <w:tcW w:w="4817" w:type="dxa"/>
            <w:tcBorders>
              <w:top w:val="nil"/>
              <w:left w:val="single" w:color="000000" w:sz="4" w:space="0"/>
              <w:bottom w:val="single" w:color="000000" w:sz="4" w:space="0"/>
              <w:right w:val="single" w:color="000000" w:sz="4" w:space="0"/>
            </w:tcBorders>
            <w:shd w:val="clear" w:color="auto" w:fill="auto"/>
            <w:vAlign w:val="center"/>
          </w:tcPr>
          <w:p w14:paraId="614B0B1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1.承办益阳市骨科质量控制中心学术年会费用</w:t>
            </w:r>
          </w:p>
        </w:tc>
        <w:tc>
          <w:tcPr>
            <w:tcW w:w="1953" w:type="dxa"/>
            <w:tcBorders>
              <w:top w:val="nil"/>
              <w:left w:val="single" w:color="000000" w:sz="4" w:space="0"/>
              <w:bottom w:val="single" w:color="000000" w:sz="4" w:space="0"/>
              <w:right w:val="single" w:color="000000" w:sz="4" w:space="0"/>
            </w:tcBorders>
            <w:shd w:val="clear" w:color="auto" w:fill="auto"/>
            <w:noWrap/>
            <w:vAlign w:val="center"/>
          </w:tcPr>
          <w:p w14:paraId="0EAE830C">
            <w:pPr>
              <w:jc w:val="center"/>
              <w:rPr>
                <w:rFonts w:hint="eastAsia" w:ascii="仿宋" w:hAnsi="仿宋" w:eastAsia="仿宋" w:cs="仿宋"/>
                <w:i w:val="0"/>
                <w:iCs w:val="0"/>
                <w:color w:val="000000"/>
                <w:sz w:val="21"/>
                <w:szCs w:val="21"/>
                <w:u w:val="none"/>
              </w:rPr>
            </w:pPr>
          </w:p>
        </w:tc>
        <w:tc>
          <w:tcPr>
            <w:tcW w:w="1619" w:type="dxa"/>
            <w:tcBorders>
              <w:top w:val="nil"/>
              <w:left w:val="single" w:color="000000" w:sz="4" w:space="0"/>
              <w:bottom w:val="single" w:color="000000" w:sz="4" w:space="0"/>
              <w:right w:val="single" w:color="000000" w:sz="4" w:space="0"/>
            </w:tcBorders>
            <w:shd w:val="clear" w:color="auto" w:fill="auto"/>
            <w:noWrap/>
            <w:vAlign w:val="center"/>
          </w:tcPr>
          <w:p w14:paraId="4B0AFF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688" w:type="dxa"/>
            <w:tcBorders>
              <w:top w:val="nil"/>
              <w:left w:val="single" w:color="000000" w:sz="4" w:space="0"/>
              <w:bottom w:val="single" w:color="000000" w:sz="4" w:space="0"/>
              <w:right w:val="single" w:color="000000" w:sz="4" w:space="0"/>
            </w:tcBorders>
            <w:shd w:val="clear" w:color="auto" w:fill="auto"/>
            <w:noWrap/>
            <w:vAlign w:val="center"/>
          </w:tcPr>
          <w:p w14:paraId="3DADEC2F">
            <w:pPr>
              <w:jc w:val="center"/>
              <w:rPr>
                <w:rFonts w:hint="eastAsia" w:ascii="仿宋" w:hAnsi="仿宋" w:eastAsia="仿宋" w:cs="仿宋"/>
                <w:i w:val="0"/>
                <w:iCs w:val="0"/>
                <w:color w:val="000000"/>
                <w:sz w:val="21"/>
                <w:szCs w:val="21"/>
                <w:u w:val="none"/>
              </w:rPr>
            </w:pPr>
          </w:p>
        </w:tc>
        <w:tc>
          <w:tcPr>
            <w:tcW w:w="1750" w:type="dxa"/>
            <w:tcBorders>
              <w:top w:val="nil"/>
              <w:left w:val="single" w:color="000000" w:sz="4" w:space="0"/>
              <w:bottom w:val="single" w:color="000000" w:sz="4" w:space="0"/>
              <w:right w:val="single" w:color="000000" w:sz="4" w:space="0"/>
            </w:tcBorders>
            <w:shd w:val="clear" w:color="auto" w:fill="auto"/>
            <w:noWrap/>
            <w:vAlign w:val="center"/>
          </w:tcPr>
          <w:p w14:paraId="6861D960">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DB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B1418">
            <w:pPr>
              <w:jc w:val="center"/>
              <w:rPr>
                <w:rFonts w:hint="eastAsia" w:ascii="仿宋" w:hAnsi="仿宋" w:eastAsia="仿宋" w:cs="仿宋"/>
                <w:i w:val="0"/>
                <w:iCs w:val="0"/>
                <w:color w:val="000000"/>
                <w:sz w:val="21"/>
                <w:szCs w:val="21"/>
                <w:u w:val="none"/>
              </w:rPr>
            </w:pPr>
          </w:p>
        </w:tc>
      </w:tr>
      <w:tr w14:paraId="08630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CEB2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2.重症医学科“重症心脏基层行”活动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44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D494">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02A8">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C635">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2D1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02E2">
            <w:pPr>
              <w:jc w:val="center"/>
              <w:rPr>
                <w:rFonts w:hint="eastAsia" w:ascii="仿宋" w:hAnsi="仿宋" w:eastAsia="仿宋" w:cs="仿宋"/>
                <w:i w:val="0"/>
                <w:iCs w:val="0"/>
                <w:color w:val="000000"/>
                <w:sz w:val="21"/>
                <w:szCs w:val="21"/>
                <w:u w:val="none"/>
              </w:rPr>
            </w:pPr>
          </w:p>
        </w:tc>
      </w:tr>
      <w:tr w14:paraId="229C4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D5ED9">
            <w:pPr>
              <w:keepNext w:val="0"/>
              <w:keepLines w:val="0"/>
              <w:widowControl/>
              <w:suppressLineNumbers w:val="0"/>
              <w:ind w:firstLine="210" w:firstLineChars="10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3.承办市直卫健系统五四表扬活动经费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181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77955</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D3FF3">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D404">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0AF6">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057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77955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BD06D">
            <w:pPr>
              <w:jc w:val="center"/>
              <w:rPr>
                <w:rFonts w:hint="eastAsia" w:ascii="仿宋" w:hAnsi="仿宋" w:eastAsia="仿宋" w:cs="仿宋"/>
                <w:i w:val="0"/>
                <w:iCs w:val="0"/>
                <w:color w:val="000000"/>
                <w:sz w:val="21"/>
                <w:szCs w:val="21"/>
                <w:u w:val="none"/>
              </w:rPr>
            </w:pPr>
          </w:p>
        </w:tc>
      </w:tr>
      <w:tr w14:paraId="584C3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D32C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4.全国科普日活动表演</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6FD20">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00D5">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E6F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37DC0">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499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4253">
            <w:pPr>
              <w:jc w:val="center"/>
              <w:rPr>
                <w:rFonts w:hint="eastAsia" w:ascii="仿宋" w:hAnsi="仿宋" w:eastAsia="仿宋" w:cs="仿宋"/>
                <w:i w:val="0"/>
                <w:iCs w:val="0"/>
                <w:color w:val="000000"/>
                <w:sz w:val="21"/>
                <w:szCs w:val="21"/>
                <w:u w:val="none"/>
              </w:rPr>
            </w:pPr>
          </w:p>
        </w:tc>
      </w:tr>
      <w:tr w14:paraId="16B69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124E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5.湘医情·湘医行活动等</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4554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D3F7">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2ABAD">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8E3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9D8C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6F569">
            <w:pPr>
              <w:jc w:val="center"/>
              <w:rPr>
                <w:rFonts w:hint="eastAsia" w:ascii="仿宋" w:hAnsi="仿宋" w:eastAsia="仿宋" w:cs="仿宋"/>
                <w:i w:val="0"/>
                <w:iCs w:val="0"/>
                <w:color w:val="000000"/>
                <w:sz w:val="21"/>
                <w:szCs w:val="21"/>
                <w:u w:val="none"/>
              </w:rPr>
            </w:pPr>
          </w:p>
        </w:tc>
      </w:tr>
      <w:tr w14:paraId="391B2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AE2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6.党建、团建活动费用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7051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EEE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90840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D28B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184500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AA7B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03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275340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033F5">
            <w:pPr>
              <w:jc w:val="center"/>
              <w:rPr>
                <w:rFonts w:hint="eastAsia" w:ascii="仿宋" w:hAnsi="仿宋" w:eastAsia="仿宋" w:cs="仿宋"/>
                <w:i w:val="0"/>
                <w:iCs w:val="0"/>
                <w:color w:val="000000"/>
                <w:sz w:val="21"/>
                <w:szCs w:val="21"/>
                <w:u w:val="none"/>
              </w:rPr>
            </w:pPr>
          </w:p>
        </w:tc>
      </w:tr>
      <w:tr w14:paraId="28DD2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nil"/>
              <w:right w:val="single" w:color="000000" w:sz="4" w:space="0"/>
            </w:tcBorders>
            <w:shd w:val="clear" w:color="auto" w:fill="auto"/>
            <w:noWrap/>
            <w:vAlign w:val="center"/>
          </w:tcPr>
          <w:p w14:paraId="5F02D43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7.承办第三届一次急诊医学年会</w:t>
            </w:r>
          </w:p>
        </w:tc>
        <w:tc>
          <w:tcPr>
            <w:tcW w:w="1953" w:type="dxa"/>
            <w:tcBorders>
              <w:top w:val="single" w:color="000000" w:sz="4" w:space="0"/>
              <w:left w:val="single" w:color="000000" w:sz="4" w:space="0"/>
              <w:bottom w:val="nil"/>
              <w:right w:val="single" w:color="000000" w:sz="4" w:space="0"/>
            </w:tcBorders>
            <w:shd w:val="clear" w:color="auto" w:fill="auto"/>
            <w:noWrap/>
            <w:vAlign w:val="center"/>
          </w:tcPr>
          <w:p w14:paraId="07646020">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nil"/>
              <w:right w:val="single" w:color="000000" w:sz="4" w:space="0"/>
            </w:tcBorders>
            <w:shd w:val="clear" w:color="auto" w:fill="auto"/>
            <w:noWrap/>
            <w:vAlign w:val="center"/>
          </w:tcPr>
          <w:p w14:paraId="36E4018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688" w:type="dxa"/>
            <w:tcBorders>
              <w:top w:val="single" w:color="000000" w:sz="4" w:space="0"/>
              <w:left w:val="single" w:color="000000" w:sz="4" w:space="0"/>
              <w:bottom w:val="nil"/>
              <w:right w:val="single" w:color="000000" w:sz="4" w:space="0"/>
            </w:tcBorders>
            <w:shd w:val="clear" w:color="auto" w:fill="auto"/>
            <w:noWrap/>
            <w:vAlign w:val="center"/>
          </w:tcPr>
          <w:p w14:paraId="03BD76E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nil"/>
              <w:right w:val="single" w:color="000000" w:sz="4" w:space="0"/>
            </w:tcBorders>
            <w:shd w:val="clear" w:color="auto" w:fill="auto"/>
            <w:noWrap/>
            <w:vAlign w:val="center"/>
          </w:tcPr>
          <w:p w14:paraId="066AAA4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F2E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EA446">
            <w:pPr>
              <w:jc w:val="center"/>
              <w:rPr>
                <w:rFonts w:hint="eastAsia" w:ascii="仿宋" w:hAnsi="仿宋" w:eastAsia="仿宋" w:cs="仿宋"/>
                <w:i w:val="0"/>
                <w:iCs w:val="0"/>
                <w:color w:val="000000"/>
                <w:sz w:val="21"/>
                <w:szCs w:val="21"/>
                <w:u w:val="none"/>
              </w:rPr>
            </w:pPr>
          </w:p>
        </w:tc>
      </w:tr>
      <w:tr w14:paraId="469A4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770" w:type="dxa"/>
            <w:gridSpan w:val="2"/>
            <w:tcBorders>
              <w:top w:val="single" w:color="000000" w:sz="4" w:space="0"/>
              <w:left w:val="single" w:color="000000" w:sz="4" w:space="0"/>
              <w:bottom w:val="single" w:color="000000" w:sz="4" w:space="0"/>
              <w:right w:val="nil"/>
            </w:tcBorders>
            <w:shd w:val="clear" w:color="auto" w:fill="auto"/>
            <w:noWrap/>
            <w:vAlign w:val="center"/>
          </w:tcPr>
          <w:p w14:paraId="6DD32DF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十二、各种表扬奖励费用</w:t>
            </w:r>
          </w:p>
        </w:tc>
        <w:tc>
          <w:tcPr>
            <w:tcW w:w="1619" w:type="dxa"/>
            <w:tcBorders>
              <w:top w:val="single" w:color="000000" w:sz="4" w:space="0"/>
              <w:left w:val="nil"/>
              <w:bottom w:val="single" w:color="000000" w:sz="4" w:space="0"/>
              <w:right w:val="nil"/>
            </w:tcBorders>
            <w:shd w:val="clear" w:color="auto" w:fill="auto"/>
            <w:noWrap/>
            <w:vAlign w:val="center"/>
          </w:tcPr>
          <w:p w14:paraId="3E3F7176">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2060FAD8">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78DCC2DE">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60B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3133182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B86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3.00 </w:t>
            </w:r>
          </w:p>
        </w:tc>
      </w:tr>
      <w:tr w14:paraId="6B075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nil"/>
              <w:left w:val="single" w:color="000000" w:sz="4" w:space="0"/>
              <w:bottom w:val="single" w:color="000000" w:sz="4" w:space="0"/>
              <w:right w:val="single" w:color="000000" w:sz="4" w:space="0"/>
            </w:tcBorders>
            <w:shd w:val="clear" w:color="auto" w:fill="auto"/>
            <w:noWrap/>
            <w:vAlign w:val="center"/>
          </w:tcPr>
          <w:p w14:paraId="41DB033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1.国家级表彰奖励（2021全国医疗服务价格和成本监测先进机构）</w:t>
            </w:r>
          </w:p>
        </w:tc>
        <w:tc>
          <w:tcPr>
            <w:tcW w:w="1953" w:type="dxa"/>
            <w:tcBorders>
              <w:top w:val="nil"/>
              <w:left w:val="single" w:color="000000" w:sz="4" w:space="0"/>
              <w:bottom w:val="single" w:color="000000" w:sz="4" w:space="0"/>
              <w:right w:val="single" w:color="000000" w:sz="4" w:space="0"/>
            </w:tcBorders>
            <w:shd w:val="clear" w:color="auto" w:fill="auto"/>
            <w:noWrap/>
            <w:vAlign w:val="center"/>
          </w:tcPr>
          <w:p w14:paraId="693168DB">
            <w:pPr>
              <w:jc w:val="center"/>
              <w:rPr>
                <w:rFonts w:hint="eastAsia" w:ascii="仿宋" w:hAnsi="仿宋" w:eastAsia="仿宋" w:cs="仿宋"/>
                <w:i w:val="0"/>
                <w:iCs w:val="0"/>
                <w:color w:val="000000"/>
                <w:sz w:val="21"/>
                <w:szCs w:val="21"/>
                <w:u w:val="none"/>
              </w:rPr>
            </w:pPr>
          </w:p>
        </w:tc>
        <w:tc>
          <w:tcPr>
            <w:tcW w:w="1619" w:type="dxa"/>
            <w:tcBorders>
              <w:top w:val="nil"/>
              <w:left w:val="single" w:color="000000" w:sz="4" w:space="0"/>
              <w:bottom w:val="single" w:color="000000" w:sz="4" w:space="0"/>
              <w:right w:val="single" w:color="000000" w:sz="4" w:space="0"/>
            </w:tcBorders>
            <w:shd w:val="clear" w:color="auto" w:fill="auto"/>
            <w:noWrap/>
            <w:vAlign w:val="center"/>
          </w:tcPr>
          <w:p w14:paraId="465BCC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688" w:type="dxa"/>
            <w:tcBorders>
              <w:top w:val="nil"/>
              <w:left w:val="single" w:color="000000" w:sz="4" w:space="0"/>
              <w:bottom w:val="single" w:color="000000" w:sz="4" w:space="0"/>
              <w:right w:val="single" w:color="000000" w:sz="4" w:space="0"/>
            </w:tcBorders>
            <w:shd w:val="clear" w:color="auto" w:fill="auto"/>
            <w:noWrap/>
            <w:vAlign w:val="center"/>
          </w:tcPr>
          <w:p w14:paraId="3FED8653">
            <w:pPr>
              <w:jc w:val="center"/>
              <w:rPr>
                <w:rFonts w:hint="eastAsia" w:ascii="仿宋" w:hAnsi="仿宋" w:eastAsia="仿宋" w:cs="仿宋"/>
                <w:i w:val="0"/>
                <w:iCs w:val="0"/>
                <w:color w:val="000000"/>
                <w:sz w:val="21"/>
                <w:szCs w:val="21"/>
                <w:u w:val="none"/>
              </w:rPr>
            </w:pPr>
          </w:p>
        </w:tc>
        <w:tc>
          <w:tcPr>
            <w:tcW w:w="1750" w:type="dxa"/>
            <w:tcBorders>
              <w:top w:val="nil"/>
              <w:left w:val="single" w:color="000000" w:sz="4" w:space="0"/>
              <w:bottom w:val="single" w:color="000000" w:sz="4" w:space="0"/>
              <w:right w:val="single" w:color="000000" w:sz="4" w:space="0"/>
            </w:tcBorders>
            <w:shd w:val="clear" w:color="auto" w:fill="auto"/>
            <w:noWrap/>
            <w:vAlign w:val="center"/>
          </w:tcPr>
          <w:p w14:paraId="010C640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BF6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F9DB">
            <w:pPr>
              <w:jc w:val="center"/>
              <w:rPr>
                <w:rFonts w:hint="eastAsia" w:ascii="仿宋" w:hAnsi="仿宋" w:eastAsia="仿宋" w:cs="仿宋"/>
                <w:i w:val="0"/>
                <w:iCs w:val="0"/>
                <w:color w:val="000000"/>
                <w:sz w:val="21"/>
                <w:szCs w:val="21"/>
                <w:u w:val="none"/>
              </w:rPr>
            </w:pPr>
          </w:p>
        </w:tc>
      </w:tr>
      <w:tr w14:paraId="25061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168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2.先进单位、个人荣誉奖励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7A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3DDA9">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FF5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F88A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E6F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A6D65">
            <w:pPr>
              <w:jc w:val="center"/>
              <w:rPr>
                <w:rFonts w:hint="eastAsia" w:ascii="仿宋" w:hAnsi="仿宋" w:eastAsia="仿宋" w:cs="仿宋"/>
                <w:i w:val="0"/>
                <w:iCs w:val="0"/>
                <w:color w:val="000000"/>
                <w:sz w:val="21"/>
                <w:szCs w:val="21"/>
                <w:u w:val="none"/>
              </w:rPr>
            </w:pPr>
          </w:p>
        </w:tc>
      </w:tr>
      <w:tr w14:paraId="2254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33C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3.市长热线及来电来访表扬奖励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CFAD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17500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7EF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13800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42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36700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FD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17300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FB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85300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1B90">
            <w:pPr>
              <w:jc w:val="center"/>
              <w:rPr>
                <w:rFonts w:hint="eastAsia" w:ascii="仿宋" w:hAnsi="仿宋" w:eastAsia="仿宋" w:cs="仿宋"/>
                <w:i w:val="0"/>
                <w:iCs w:val="0"/>
                <w:color w:val="000000"/>
                <w:sz w:val="21"/>
                <w:szCs w:val="21"/>
                <w:u w:val="none"/>
              </w:rPr>
            </w:pPr>
          </w:p>
        </w:tc>
      </w:tr>
      <w:tr w14:paraId="3148D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43D4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4.市管领导干部年度考核嘉奖</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370D">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B20F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B57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0F2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E4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2BFFB">
            <w:pPr>
              <w:jc w:val="center"/>
              <w:rPr>
                <w:rFonts w:hint="eastAsia" w:ascii="仿宋" w:hAnsi="仿宋" w:eastAsia="仿宋" w:cs="仿宋"/>
                <w:i w:val="0"/>
                <w:iCs w:val="0"/>
                <w:color w:val="000000"/>
                <w:sz w:val="21"/>
                <w:szCs w:val="21"/>
                <w:u w:val="none"/>
              </w:rPr>
            </w:pPr>
          </w:p>
        </w:tc>
      </w:tr>
      <w:tr w14:paraId="18123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C3A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5.五四表彰奖励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94A08">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C875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03C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4F2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AB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56F5B">
            <w:pPr>
              <w:jc w:val="center"/>
              <w:rPr>
                <w:rFonts w:hint="eastAsia" w:ascii="仿宋" w:hAnsi="仿宋" w:eastAsia="仿宋" w:cs="仿宋"/>
                <w:i w:val="0"/>
                <w:iCs w:val="0"/>
                <w:color w:val="000000"/>
                <w:sz w:val="21"/>
                <w:szCs w:val="21"/>
                <w:u w:val="none"/>
              </w:rPr>
            </w:pPr>
          </w:p>
        </w:tc>
      </w:tr>
      <w:tr w14:paraId="0943A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BBA0B">
            <w:pPr>
              <w:keepNext w:val="0"/>
              <w:keepLines w:val="0"/>
              <w:widowControl/>
              <w:suppressLineNumbers w:val="0"/>
              <w:ind w:left="0" w:leftChars="0" w:firstLine="199" w:firstLineChars="95"/>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6.宣传工作会议表彰奖励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267C8">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AC0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0BF2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E1380">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2D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9261">
            <w:pPr>
              <w:jc w:val="center"/>
              <w:rPr>
                <w:rFonts w:hint="eastAsia" w:ascii="仿宋" w:hAnsi="仿宋" w:eastAsia="仿宋" w:cs="仿宋"/>
                <w:i w:val="0"/>
                <w:iCs w:val="0"/>
                <w:color w:val="000000"/>
                <w:sz w:val="21"/>
                <w:szCs w:val="21"/>
                <w:u w:val="none"/>
              </w:rPr>
            </w:pPr>
          </w:p>
        </w:tc>
      </w:tr>
      <w:tr w14:paraId="499E6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5E71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7.科室护理不良事件上报奖励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4F12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803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14200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42DAB">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D79C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2E67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14200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405E">
            <w:pPr>
              <w:jc w:val="center"/>
              <w:rPr>
                <w:rFonts w:hint="eastAsia" w:ascii="仿宋" w:hAnsi="仿宋" w:eastAsia="仿宋" w:cs="仿宋"/>
                <w:i w:val="0"/>
                <w:iCs w:val="0"/>
                <w:color w:val="000000"/>
                <w:sz w:val="21"/>
                <w:szCs w:val="21"/>
                <w:u w:val="none"/>
              </w:rPr>
            </w:pPr>
          </w:p>
        </w:tc>
      </w:tr>
      <w:tr w14:paraId="11B66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BC35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8.抢修设备仪器的奖励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53BE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4A6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E1504">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DF6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E8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C625E">
            <w:pPr>
              <w:jc w:val="center"/>
              <w:rPr>
                <w:rFonts w:hint="eastAsia" w:ascii="仿宋" w:hAnsi="仿宋" w:eastAsia="仿宋" w:cs="仿宋"/>
                <w:i w:val="0"/>
                <w:iCs w:val="0"/>
                <w:color w:val="000000"/>
                <w:sz w:val="21"/>
                <w:szCs w:val="21"/>
                <w:u w:val="none"/>
              </w:rPr>
            </w:pPr>
          </w:p>
        </w:tc>
      </w:tr>
      <w:tr w14:paraId="76A08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C561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9.三甲复评工作表扬贡献奖</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296F">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DAA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138000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E276B">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2797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B2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138000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6D8D">
            <w:pPr>
              <w:jc w:val="center"/>
              <w:rPr>
                <w:rFonts w:hint="eastAsia" w:ascii="仿宋" w:hAnsi="仿宋" w:eastAsia="仿宋" w:cs="仿宋"/>
                <w:i w:val="0"/>
                <w:iCs w:val="0"/>
                <w:color w:val="000000"/>
                <w:sz w:val="21"/>
                <w:szCs w:val="21"/>
                <w:u w:val="none"/>
              </w:rPr>
            </w:pPr>
          </w:p>
        </w:tc>
      </w:tr>
      <w:tr w14:paraId="0C04B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947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10.三甲复评表彰奖励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CA2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043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353000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3175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F676">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7DE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353000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D27C3">
            <w:pPr>
              <w:jc w:val="center"/>
              <w:rPr>
                <w:rFonts w:hint="eastAsia" w:ascii="仿宋" w:hAnsi="仿宋" w:eastAsia="仿宋" w:cs="仿宋"/>
                <w:i w:val="0"/>
                <w:iCs w:val="0"/>
                <w:color w:val="000000"/>
                <w:sz w:val="21"/>
                <w:szCs w:val="21"/>
                <w:u w:val="none"/>
              </w:rPr>
            </w:pPr>
          </w:p>
        </w:tc>
      </w:tr>
      <w:tr w14:paraId="0E3F2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1CC5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11.临床路径、药物临试、单病种奖等</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9BFC1">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6F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346610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6FB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529570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3A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524540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E21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1400720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0BE0">
            <w:pPr>
              <w:jc w:val="center"/>
              <w:rPr>
                <w:rFonts w:hint="eastAsia" w:ascii="仿宋" w:hAnsi="仿宋" w:eastAsia="仿宋" w:cs="仿宋"/>
                <w:i w:val="0"/>
                <w:iCs w:val="0"/>
                <w:color w:val="000000"/>
                <w:sz w:val="21"/>
                <w:szCs w:val="21"/>
                <w:u w:val="none"/>
              </w:rPr>
            </w:pPr>
          </w:p>
        </w:tc>
      </w:tr>
      <w:tr w14:paraId="261CD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CA5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12.医师节表彰奖励（含礼物）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9588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12E59">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10E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181500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E3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109018</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22D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290518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B009B">
            <w:pPr>
              <w:jc w:val="center"/>
              <w:rPr>
                <w:rFonts w:hint="eastAsia" w:ascii="仿宋" w:hAnsi="仿宋" w:eastAsia="仿宋" w:cs="仿宋"/>
                <w:i w:val="0"/>
                <w:iCs w:val="0"/>
                <w:color w:val="000000"/>
                <w:sz w:val="21"/>
                <w:szCs w:val="21"/>
                <w:u w:val="none"/>
              </w:rPr>
            </w:pPr>
          </w:p>
        </w:tc>
      </w:tr>
      <w:tr w14:paraId="2AD6D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08E5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13.科研成果奖励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240E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18F5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453200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42A7">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7DDE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FDB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453200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363E9">
            <w:pPr>
              <w:jc w:val="center"/>
              <w:rPr>
                <w:rFonts w:hint="eastAsia" w:ascii="仿宋" w:hAnsi="仿宋" w:eastAsia="仿宋" w:cs="仿宋"/>
                <w:i w:val="0"/>
                <w:iCs w:val="0"/>
                <w:color w:val="000000"/>
                <w:sz w:val="21"/>
                <w:szCs w:val="21"/>
                <w:u w:val="none"/>
              </w:rPr>
            </w:pPr>
          </w:p>
        </w:tc>
      </w:tr>
      <w:tr w14:paraId="572FD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FCB5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14.质控科终末质控奖励</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00C9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EF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7EEB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E51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57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49B4">
            <w:pPr>
              <w:jc w:val="center"/>
              <w:rPr>
                <w:rFonts w:hint="eastAsia" w:ascii="仿宋" w:hAnsi="仿宋" w:eastAsia="仿宋" w:cs="仿宋"/>
                <w:i w:val="0"/>
                <w:iCs w:val="0"/>
                <w:color w:val="000000"/>
                <w:sz w:val="21"/>
                <w:szCs w:val="21"/>
                <w:u w:val="none"/>
              </w:rPr>
            </w:pPr>
          </w:p>
        </w:tc>
      </w:tr>
      <w:tr w14:paraId="01F7B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nil"/>
              <w:right w:val="single" w:color="000000" w:sz="4" w:space="0"/>
            </w:tcBorders>
            <w:shd w:val="clear" w:color="auto" w:fill="auto"/>
            <w:noWrap/>
            <w:vAlign w:val="center"/>
          </w:tcPr>
          <w:p w14:paraId="007F774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15.进修绩效奖</w:t>
            </w:r>
          </w:p>
        </w:tc>
        <w:tc>
          <w:tcPr>
            <w:tcW w:w="1953" w:type="dxa"/>
            <w:tcBorders>
              <w:top w:val="single" w:color="000000" w:sz="4" w:space="0"/>
              <w:left w:val="single" w:color="000000" w:sz="4" w:space="0"/>
              <w:bottom w:val="nil"/>
              <w:right w:val="single" w:color="000000" w:sz="4" w:space="0"/>
            </w:tcBorders>
            <w:shd w:val="clear" w:color="auto" w:fill="auto"/>
            <w:noWrap/>
            <w:vAlign w:val="center"/>
          </w:tcPr>
          <w:p w14:paraId="0FD8026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DF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192244</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E2F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6DF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C42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192244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30515">
            <w:pPr>
              <w:jc w:val="center"/>
              <w:rPr>
                <w:rFonts w:hint="eastAsia" w:ascii="仿宋" w:hAnsi="仿宋" w:eastAsia="仿宋" w:cs="仿宋"/>
                <w:i w:val="0"/>
                <w:iCs w:val="0"/>
                <w:color w:val="000000"/>
                <w:sz w:val="21"/>
                <w:szCs w:val="21"/>
                <w:u w:val="none"/>
              </w:rPr>
            </w:pPr>
          </w:p>
        </w:tc>
      </w:tr>
      <w:tr w14:paraId="51444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770" w:type="dxa"/>
            <w:gridSpan w:val="2"/>
            <w:tcBorders>
              <w:top w:val="single" w:color="000000" w:sz="4" w:space="0"/>
              <w:left w:val="single" w:color="000000" w:sz="4" w:space="0"/>
              <w:bottom w:val="single" w:color="000000" w:sz="4" w:space="0"/>
              <w:right w:val="nil"/>
            </w:tcBorders>
            <w:shd w:val="clear" w:color="auto" w:fill="auto"/>
            <w:noWrap/>
            <w:vAlign w:val="center"/>
          </w:tcPr>
          <w:p w14:paraId="6349168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十三、科研科技创新课题经费</w:t>
            </w:r>
          </w:p>
        </w:tc>
        <w:tc>
          <w:tcPr>
            <w:tcW w:w="1619" w:type="dxa"/>
            <w:tcBorders>
              <w:top w:val="single" w:color="000000" w:sz="4" w:space="0"/>
              <w:left w:val="nil"/>
              <w:bottom w:val="single" w:color="000000" w:sz="4" w:space="0"/>
              <w:right w:val="nil"/>
            </w:tcBorders>
            <w:shd w:val="clear" w:color="auto" w:fill="auto"/>
            <w:noWrap/>
            <w:vAlign w:val="center"/>
          </w:tcPr>
          <w:p w14:paraId="12EF73CC">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72F19874">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46FC54AB">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99F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717752.98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40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0.688 </w:t>
            </w:r>
          </w:p>
        </w:tc>
      </w:tr>
      <w:tr w14:paraId="3C09D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nil"/>
              <w:left w:val="single" w:color="000000" w:sz="4" w:space="0"/>
              <w:bottom w:val="single" w:color="000000" w:sz="4" w:space="0"/>
              <w:right w:val="single" w:color="000000" w:sz="4" w:space="0"/>
            </w:tcBorders>
            <w:shd w:val="clear" w:color="auto" w:fill="auto"/>
            <w:noWrap/>
            <w:vAlign w:val="center"/>
          </w:tcPr>
          <w:p w14:paraId="6B5B226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1.科研科技课题</w:t>
            </w:r>
          </w:p>
        </w:tc>
        <w:tc>
          <w:tcPr>
            <w:tcW w:w="1953" w:type="dxa"/>
            <w:tcBorders>
              <w:top w:val="nil"/>
              <w:left w:val="single" w:color="000000" w:sz="4" w:space="0"/>
              <w:bottom w:val="single" w:color="000000" w:sz="4" w:space="0"/>
              <w:right w:val="single" w:color="000000" w:sz="4" w:space="0"/>
            </w:tcBorders>
            <w:shd w:val="clear" w:color="auto" w:fill="auto"/>
            <w:noWrap/>
            <w:vAlign w:val="center"/>
          </w:tcPr>
          <w:p w14:paraId="4779C318">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BC6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6088C">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D965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B7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D3650">
            <w:pPr>
              <w:jc w:val="center"/>
              <w:rPr>
                <w:rFonts w:hint="eastAsia" w:ascii="仿宋" w:hAnsi="仿宋" w:eastAsia="仿宋" w:cs="仿宋"/>
                <w:i w:val="0"/>
                <w:iCs w:val="0"/>
                <w:color w:val="000000"/>
                <w:sz w:val="21"/>
                <w:szCs w:val="21"/>
                <w:u w:val="none"/>
              </w:rPr>
            </w:pPr>
          </w:p>
        </w:tc>
      </w:tr>
      <w:tr w14:paraId="033E4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6AD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2.省卫健委科研经费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295F9">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38F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46864</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264F">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1D0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F96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46864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B3DC">
            <w:pPr>
              <w:jc w:val="center"/>
              <w:rPr>
                <w:rFonts w:hint="eastAsia" w:ascii="仿宋" w:hAnsi="仿宋" w:eastAsia="仿宋" w:cs="仿宋"/>
                <w:i w:val="0"/>
                <w:iCs w:val="0"/>
                <w:color w:val="000000"/>
                <w:sz w:val="21"/>
                <w:szCs w:val="21"/>
                <w:u w:val="none"/>
              </w:rPr>
            </w:pPr>
          </w:p>
        </w:tc>
      </w:tr>
      <w:tr w14:paraId="16C6C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9E1E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3.湖南省自然科学基金费用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C5903">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E73FB">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C45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38800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05326">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FA0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2FA0F">
            <w:pPr>
              <w:jc w:val="center"/>
              <w:rPr>
                <w:rFonts w:hint="eastAsia" w:ascii="仿宋" w:hAnsi="仿宋" w:eastAsia="仿宋" w:cs="仿宋"/>
                <w:i w:val="0"/>
                <w:iCs w:val="0"/>
                <w:color w:val="000000"/>
                <w:sz w:val="21"/>
                <w:szCs w:val="21"/>
                <w:u w:val="none"/>
              </w:rPr>
            </w:pPr>
          </w:p>
        </w:tc>
      </w:tr>
      <w:tr w14:paraId="06E7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68F2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4.研经费配套资金-论文版面费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2ACC9">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0A5F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8F48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32852.98</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582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E9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37052.98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95853">
            <w:pPr>
              <w:jc w:val="center"/>
              <w:rPr>
                <w:rFonts w:hint="eastAsia" w:ascii="仿宋" w:hAnsi="仿宋" w:eastAsia="仿宋" w:cs="仿宋"/>
                <w:i w:val="0"/>
                <w:iCs w:val="0"/>
                <w:color w:val="000000"/>
                <w:sz w:val="21"/>
                <w:szCs w:val="21"/>
                <w:u w:val="none"/>
              </w:rPr>
            </w:pPr>
          </w:p>
        </w:tc>
      </w:tr>
      <w:tr w14:paraId="6C1DD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C46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5.益阳市科技局科研经费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DBAF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0B5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38912</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B94F0">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953F0">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784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38912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7486">
            <w:pPr>
              <w:jc w:val="center"/>
              <w:rPr>
                <w:rFonts w:hint="eastAsia" w:ascii="仿宋" w:hAnsi="仿宋" w:eastAsia="仿宋" w:cs="仿宋"/>
                <w:i w:val="0"/>
                <w:iCs w:val="0"/>
                <w:color w:val="000000"/>
                <w:sz w:val="21"/>
                <w:szCs w:val="21"/>
                <w:u w:val="none"/>
              </w:rPr>
            </w:pPr>
          </w:p>
        </w:tc>
      </w:tr>
      <w:tr w14:paraId="6634F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8C2F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6.研究生导师科研课题经费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B4BE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E754">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4A4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20834</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21CF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1447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20834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6D6D5">
            <w:pPr>
              <w:jc w:val="center"/>
              <w:rPr>
                <w:rFonts w:hint="eastAsia" w:ascii="仿宋" w:hAnsi="仿宋" w:eastAsia="仿宋" w:cs="仿宋"/>
                <w:i w:val="0"/>
                <w:iCs w:val="0"/>
                <w:color w:val="000000"/>
                <w:sz w:val="21"/>
                <w:szCs w:val="21"/>
                <w:u w:val="none"/>
              </w:rPr>
            </w:pPr>
          </w:p>
        </w:tc>
      </w:tr>
      <w:tr w14:paraId="54006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582F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7.卫生科研课题立项课题医院配套资金</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9F3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2F704">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4D100">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E6F1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A9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CB54">
            <w:pPr>
              <w:jc w:val="center"/>
              <w:rPr>
                <w:rFonts w:hint="eastAsia" w:ascii="仿宋" w:hAnsi="仿宋" w:eastAsia="仿宋" w:cs="仿宋"/>
                <w:i w:val="0"/>
                <w:iCs w:val="0"/>
                <w:color w:val="000000"/>
                <w:sz w:val="21"/>
                <w:szCs w:val="21"/>
                <w:u w:val="none"/>
              </w:rPr>
            </w:pPr>
          </w:p>
        </w:tc>
      </w:tr>
      <w:tr w14:paraId="56D4D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B10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8.双方医院科研协作</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CB1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51A7A">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E90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70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360000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069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4673">
            <w:pPr>
              <w:jc w:val="center"/>
              <w:rPr>
                <w:rFonts w:hint="eastAsia" w:ascii="仿宋" w:hAnsi="仿宋" w:eastAsia="仿宋" w:cs="仿宋"/>
                <w:i w:val="0"/>
                <w:iCs w:val="0"/>
                <w:color w:val="000000"/>
                <w:sz w:val="21"/>
                <w:szCs w:val="21"/>
                <w:u w:val="none"/>
              </w:rPr>
            </w:pPr>
          </w:p>
        </w:tc>
      </w:tr>
      <w:tr w14:paraId="76F77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BC7D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9.市科技专项资金创新计划项目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F1B40">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83353">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5B8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5300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387F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23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5300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928D7">
            <w:pPr>
              <w:jc w:val="center"/>
              <w:rPr>
                <w:rFonts w:hint="eastAsia" w:ascii="仿宋" w:hAnsi="仿宋" w:eastAsia="仿宋" w:cs="仿宋"/>
                <w:i w:val="0"/>
                <w:iCs w:val="0"/>
                <w:color w:val="000000"/>
                <w:sz w:val="21"/>
                <w:szCs w:val="21"/>
                <w:u w:val="none"/>
              </w:rPr>
            </w:pPr>
          </w:p>
        </w:tc>
      </w:tr>
      <w:tr w14:paraId="46B3F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593D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10.复苏和病案质控中心年度经费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ACD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69990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B3DE">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BCB7">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E0F0">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07B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69990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D7A4">
            <w:pPr>
              <w:jc w:val="center"/>
              <w:rPr>
                <w:rFonts w:hint="eastAsia" w:ascii="仿宋" w:hAnsi="仿宋" w:eastAsia="仿宋" w:cs="仿宋"/>
                <w:i w:val="0"/>
                <w:iCs w:val="0"/>
                <w:color w:val="000000"/>
                <w:sz w:val="21"/>
                <w:szCs w:val="21"/>
                <w:u w:val="none"/>
              </w:rPr>
            </w:pPr>
          </w:p>
        </w:tc>
      </w:tr>
      <w:tr w14:paraId="7162B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6186954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十四、 人才引进、招录、安家补助</w:t>
            </w:r>
          </w:p>
        </w:tc>
        <w:tc>
          <w:tcPr>
            <w:tcW w:w="1953" w:type="dxa"/>
            <w:tcBorders>
              <w:top w:val="single" w:color="000000" w:sz="4" w:space="0"/>
              <w:left w:val="nil"/>
              <w:bottom w:val="single" w:color="000000" w:sz="4" w:space="0"/>
              <w:right w:val="nil"/>
            </w:tcBorders>
            <w:shd w:val="clear" w:color="auto" w:fill="auto"/>
            <w:noWrap/>
            <w:vAlign w:val="center"/>
          </w:tcPr>
          <w:p w14:paraId="1D7E6D67">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single" w:color="000000" w:sz="4" w:space="0"/>
            </w:tcBorders>
            <w:shd w:val="clear" w:color="auto" w:fill="auto"/>
            <w:noWrap/>
            <w:vAlign w:val="center"/>
          </w:tcPr>
          <w:p w14:paraId="21C3BBFE">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vAlign w:val="center"/>
          </w:tcPr>
          <w:p w14:paraId="38CA47B3">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vAlign w:val="center"/>
          </w:tcPr>
          <w:p w14:paraId="7C46CA9D">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628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751483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8A9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0.720 </w:t>
            </w:r>
          </w:p>
        </w:tc>
      </w:tr>
      <w:tr w14:paraId="4884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E1AB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1.人才引进招聘、对接</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4E23">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3CCE">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50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44512</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DB3A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503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44512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C3AF1">
            <w:pPr>
              <w:jc w:val="center"/>
              <w:rPr>
                <w:rFonts w:hint="eastAsia" w:ascii="仿宋" w:hAnsi="仿宋" w:eastAsia="仿宋" w:cs="仿宋"/>
                <w:i w:val="0"/>
                <w:iCs w:val="0"/>
                <w:color w:val="000000"/>
                <w:sz w:val="21"/>
                <w:szCs w:val="21"/>
                <w:u w:val="none"/>
              </w:rPr>
            </w:pPr>
          </w:p>
        </w:tc>
      </w:tr>
      <w:tr w14:paraId="2749F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055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2.安家费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0BAB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A87F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172D">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EE5C5">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5CD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DDDD1">
            <w:pPr>
              <w:jc w:val="center"/>
              <w:rPr>
                <w:rFonts w:hint="eastAsia" w:ascii="仿宋" w:hAnsi="仿宋" w:eastAsia="仿宋" w:cs="仿宋"/>
                <w:i w:val="0"/>
                <w:iCs w:val="0"/>
                <w:color w:val="000000"/>
                <w:sz w:val="21"/>
                <w:szCs w:val="21"/>
                <w:u w:val="none"/>
              </w:rPr>
            </w:pPr>
          </w:p>
        </w:tc>
      </w:tr>
      <w:tr w14:paraId="265E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7C6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3.2024年住培第一批招录费用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4C512">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A2142">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05C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38800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220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AB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16D26">
            <w:pPr>
              <w:jc w:val="center"/>
              <w:rPr>
                <w:rFonts w:hint="eastAsia" w:ascii="仿宋" w:hAnsi="仿宋" w:eastAsia="仿宋" w:cs="仿宋"/>
                <w:i w:val="0"/>
                <w:iCs w:val="0"/>
                <w:color w:val="000000"/>
                <w:sz w:val="21"/>
                <w:szCs w:val="21"/>
                <w:u w:val="none"/>
              </w:rPr>
            </w:pPr>
          </w:p>
        </w:tc>
      </w:tr>
      <w:tr w14:paraId="644CA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669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4.硕士研究生中期考核</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49C2">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DC017">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BB03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D7B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C6F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DDB55">
            <w:pPr>
              <w:jc w:val="center"/>
              <w:rPr>
                <w:rFonts w:hint="eastAsia" w:ascii="仿宋" w:hAnsi="仿宋" w:eastAsia="仿宋" w:cs="仿宋"/>
                <w:i w:val="0"/>
                <w:iCs w:val="0"/>
                <w:color w:val="000000"/>
                <w:sz w:val="21"/>
                <w:szCs w:val="21"/>
                <w:u w:val="none"/>
              </w:rPr>
            </w:pPr>
          </w:p>
        </w:tc>
      </w:tr>
      <w:tr w14:paraId="2F262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3186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5.聘用期满人员考试考核费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23D5">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7169">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F0F5">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BB6A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6116</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73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6116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7D32F">
            <w:pPr>
              <w:jc w:val="center"/>
              <w:rPr>
                <w:rFonts w:hint="eastAsia" w:ascii="仿宋" w:hAnsi="仿宋" w:eastAsia="仿宋" w:cs="仿宋"/>
                <w:i w:val="0"/>
                <w:iCs w:val="0"/>
                <w:color w:val="000000"/>
                <w:sz w:val="21"/>
                <w:szCs w:val="21"/>
                <w:u w:val="none"/>
              </w:rPr>
            </w:pPr>
          </w:p>
        </w:tc>
      </w:tr>
      <w:tr w14:paraId="6FA2B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1E30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6.柔性引才签约教授往返交通费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6373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6761">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0D3F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03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2055</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742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2055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A398">
            <w:pPr>
              <w:jc w:val="center"/>
              <w:rPr>
                <w:rFonts w:hint="eastAsia" w:ascii="仿宋" w:hAnsi="仿宋" w:eastAsia="仿宋" w:cs="仿宋"/>
                <w:i w:val="0"/>
                <w:iCs w:val="0"/>
                <w:color w:val="000000"/>
                <w:sz w:val="21"/>
                <w:szCs w:val="21"/>
                <w:u w:val="none"/>
              </w:rPr>
            </w:pPr>
          </w:p>
        </w:tc>
      </w:tr>
      <w:tr w14:paraId="40697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575E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十五、单位、学会会费</w:t>
            </w:r>
          </w:p>
        </w:tc>
        <w:tc>
          <w:tcPr>
            <w:tcW w:w="1953" w:type="dxa"/>
            <w:tcBorders>
              <w:top w:val="single" w:color="000000" w:sz="4" w:space="0"/>
              <w:left w:val="nil"/>
              <w:bottom w:val="single" w:color="000000" w:sz="4" w:space="0"/>
              <w:right w:val="single" w:color="000000" w:sz="4" w:space="0"/>
            </w:tcBorders>
            <w:shd w:val="clear" w:color="auto" w:fill="auto"/>
            <w:noWrap/>
            <w:vAlign w:val="center"/>
          </w:tcPr>
          <w:p w14:paraId="7A6ADECE">
            <w:pP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2022F">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2E639571">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5C84CC3A">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E88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146800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8C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0.141 </w:t>
            </w:r>
          </w:p>
        </w:tc>
      </w:tr>
      <w:tr w14:paraId="60691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CE2F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1.医学学报编委单位会费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69A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2CE4">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6EB4F">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D755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716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60317">
            <w:pPr>
              <w:jc w:val="center"/>
              <w:rPr>
                <w:rFonts w:hint="eastAsia" w:ascii="仿宋" w:hAnsi="仿宋" w:eastAsia="仿宋" w:cs="仿宋"/>
                <w:i w:val="0"/>
                <w:iCs w:val="0"/>
                <w:color w:val="000000"/>
                <w:sz w:val="21"/>
                <w:szCs w:val="21"/>
                <w:u w:val="none"/>
              </w:rPr>
            </w:pPr>
          </w:p>
        </w:tc>
      </w:tr>
      <w:tr w14:paraId="6922C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3D3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2.专业委员会年会费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951E">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2D3F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BDF6A">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D2D0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9A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18713">
            <w:pPr>
              <w:jc w:val="center"/>
              <w:rPr>
                <w:rFonts w:hint="eastAsia" w:ascii="仿宋" w:hAnsi="仿宋" w:eastAsia="仿宋" w:cs="仿宋"/>
                <w:i w:val="0"/>
                <w:iCs w:val="0"/>
                <w:color w:val="000000"/>
                <w:sz w:val="21"/>
                <w:szCs w:val="21"/>
                <w:u w:val="none"/>
              </w:rPr>
            </w:pPr>
          </w:p>
        </w:tc>
      </w:tr>
      <w:tr w14:paraId="3AD5F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8B40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3.学术学会会费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9360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94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18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6E9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0200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D984F">
            <w:pPr>
              <w:jc w:val="center"/>
              <w:rPr>
                <w:rFonts w:hint="eastAsia" w:ascii="仿宋" w:hAnsi="仿宋" w:eastAsia="仿宋" w:cs="仿宋"/>
                <w:i w:val="0"/>
                <w:iCs w:val="0"/>
                <w:color w:val="000000"/>
                <w:sz w:val="21"/>
                <w:szCs w:val="21"/>
                <w:u w:val="none"/>
              </w:rPr>
            </w:pPr>
          </w:p>
        </w:tc>
      </w:tr>
      <w:tr w14:paraId="1891C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FE3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4.湖南省护理学会团体会费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3185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0800">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A568C">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ECF4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5975A">
            <w:pPr>
              <w:jc w:val="center"/>
              <w:rPr>
                <w:rFonts w:hint="eastAsia" w:ascii="仿宋" w:hAnsi="仿宋" w:eastAsia="仿宋" w:cs="仿宋"/>
                <w:i w:val="0"/>
                <w:iCs w:val="0"/>
                <w:color w:val="000000"/>
                <w:sz w:val="21"/>
                <w:szCs w:val="21"/>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8F8C2">
            <w:pPr>
              <w:jc w:val="center"/>
              <w:rPr>
                <w:rFonts w:hint="eastAsia" w:ascii="仿宋" w:hAnsi="仿宋" w:eastAsia="仿宋" w:cs="仿宋"/>
                <w:i w:val="0"/>
                <w:iCs w:val="0"/>
                <w:color w:val="000000"/>
                <w:sz w:val="21"/>
                <w:szCs w:val="21"/>
                <w:u w:val="none"/>
              </w:rPr>
            </w:pPr>
          </w:p>
        </w:tc>
      </w:tr>
      <w:tr w14:paraId="4323E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1F53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5.协会会费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C86C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AD76A">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6708B">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FF25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6E19">
            <w:pPr>
              <w:jc w:val="center"/>
              <w:rPr>
                <w:rFonts w:hint="eastAsia" w:ascii="仿宋" w:hAnsi="仿宋" w:eastAsia="仿宋" w:cs="仿宋"/>
                <w:i w:val="0"/>
                <w:iCs w:val="0"/>
                <w:color w:val="000000"/>
                <w:sz w:val="21"/>
                <w:szCs w:val="21"/>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86F70">
            <w:pPr>
              <w:jc w:val="center"/>
              <w:rPr>
                <w:rFonts w:hint="eastAsia" w:ascii="仿宋" w:hAnsi="仿宋" w:eastAsia="仿宋" w:cs="仿宋"/>
                <w:i w:val="0"/>
                <w:iCs w:val="0"/>
                <w:color w:val="000000"/>
                <w:sz w:val="21"/>
                <w:szCs w:val="21"/>
                <w:u w:val="none"/>
              </w:rPr>
            </w:pPr>
          </w:p>
        </w:tc>
      </w:tr>
      <w:tr w14:paraId="345B4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4AEB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十六、 咨询服务</w:t>
            </w:r>
          </w:p>
        </w:tc>
        <w:tc>
          <w:tcPr>
            <w:tcW w:w="1953" w:type="dxa"/>
            <w:tcBorders>
              <w:top w:val="single" w:color="000000" w:sz="4" w:space="0"/>
              <w:left w:val="nil"/>
              <w:bottom w:val="single" w:color="000000" w:sz="4" w:space="0"/>
              <w:right w:val="nil"/>
            </w:tcBorders>
            <w:shd w:val="clear" w:color="auto" w:fill="auto"/>
            <w:noWrap/>
            <w:vAlign w:val="center"/>
          </w:tcPr>
          <w:p w14:paraId="46891175">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670B18A9">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1B07EFA0">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0FAB343F">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88F9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2752408.65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C4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2.638 </w:t>
            </w:r>
          </w:p>
        </w:tc>
      </w:tr>
      <w:tr w14:paraId="3601B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686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1.法律顾问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04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61CA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792000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AF1D3">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A95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7F2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912000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A091">
            <w:pPr>
              <w:jc w:val="center"/>
              <w:rPr>
                <w:rFonts w:hint="eastAsia" w:ascii="仿宋" w:hAnsi="仿宋" w:eastAsia="仿宋" w:cs="仿宋"/>
                <w:i w:val="0"/>
                <w:iCs w:val="0"/>
                <w:color w:val="000000"/>
                <w:sz w:val="21"/>
                <w:szCs w:val="21"/>
                <w:u w:val="none"/>
              </w:rPr>
            </w:pPr>
          </w:p>
        </w:tc>
      </w:tr>
      <w:tr w14:paraId="7DC4D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07F2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2.院级课题专家咨询费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EE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D4B4">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A7F75">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2A8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76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23A5">
            <w:pPr>
              <w:jc w:val="center"/>
              <w:rPr>
                <w:rFonts w:hint="eastAsia" w:ascii="仿宋" w:hAnsi="仿宋" w:eastAsia="仿宋" w:cs="仿宋"/>
                <w:i w:val="0"/>
                <w:iCs w:val="0"/>
                <w:color w:val="000000"/>
                <w:sz w:val="21"/>
                <w:szCs w:val="21"/>
                <w:u w:val="none"/>
              </w:rPr>
            </w:pPr>
          </w:p>
        </w:tc>
      </w:tr>
      <w:tr w14:paraId="2342E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9B6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3.管理咨询、项目可研咨询服务费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265D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149600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FA57D">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71DB4">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829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EF1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189600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C3181">
            <w:pPr>
              <w:jc w:val="center"/>
              <w:rPr>
                <w:rFonts w:hint="eastAsia" w:ascii="仿宋" w:hAnsi="仿宋" w:eastAsia="仿宋" w:cs="仿宋"/>
                <w:i w:val="0"/>
                <w:iCs w:val="0"/>
                <w:color w:val="000000"/>
                <w:sz w:val="21"/>
                <w:szCs w:val="21"/>
                <w:u w:val="none"/>
              </w:rPr>
            </w:pPr>
          </w:p>
        </w:tc>
      </w:tr>
      <w:tr w14:paraId="6CE92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E798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4.项目招标代理</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7A6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155076.4</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8FBA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498755.8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E690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165730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12D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5A8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832362.2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1B2B">
            <w:pPr>
              <w:jc w:val="center"/>
              <w:rPr>
                <w:rFonts w:hint="eastAsia" w:ascii="仿宋" w:hAnsi="仿宋" w:eastAsia="仿宋" w:cs="仿宋"/>
                <w:i w:val="0"/>
                <w:iCs w:val="0"/>
                <w:color w:val="000000"/>
                <w:sz w:val="21"/>
                <w:szCs w:val="21"/>
                <w:u w:val="none"/>
              </w:rPr>
            </w:pPr>
          </w:p>
        </w:tc>
      </w:tr>
      <w:tr w14:paraId="72850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A5A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5.环境影响评价、产品论证服务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C610E">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F74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AB42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00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76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727D">
            <w:pPr>
              <w:jc w:val="center"/>
              <w:rPr>
                <w:rFonts w:hint="eastAsia" w:ascii="仿宋" w:hAnsi="仿宋" w:eastAsia="仿宋" w:cs="仿宋"/>
                <w:i w:val="0"/>
                <w:iCs w:val="0"/>
                <w:color w:val="000000"/>
                <w:sz w:val="21"/>
                <w:szCs w:val="21"/>
                <w:u w:val="none"/>
              </w:rPr>
            </w:pPr>
          </w:p>
        </w:tc>
      </w:tr>
      <w:tr w14:paraId="063A7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5DC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6.医院绩效考核满意度调查</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ED4F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012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84400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F4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60A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A48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132400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1215D">
            <w:pPr>
              <w:jc w:val="center"/>
              <w:rPr>
                <w:rFonts w:hint="eastAsia" w:ascii="仿宋" w:hAnsi="仿宋" w:eastAsia="仿宋" w:cs="仿宋"/>
                <w:i w:val="0"/>
                <w:iCs w:val="0"/>
                <w:color w:val="000000"/>
                <w:sz w:val="21"/>
                <w:szCs w:val="21"/>
                <w:u w:val="none"/>
              </w:rPr>
            </w:pPr>
          </w:p>
        </w:tc>
      </w:tr>
      <w:tr w14:paraId="2DBD8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1D71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7.评审、评估、审计服务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12FF0">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768B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406200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FFAF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94346.45</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A4D0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0A6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500546.45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32D16">
            <w:pPr>
              <w:jc w:val="center"/>
              <w:rPr>
                <w:rFonts w:hint="eastAsia" w:ascii="仿宋" w:hAnsi="仿宋" w:eastAsia="仿宋" w:cs="仿宋"/>
                <w:i w:val="0"/>
                <w:iCs w:val="0"/>
                <w:color w:val="000000"/>
                <w:sz w:val="21"/>
                <w:szCs w:val="21"/>
                <w:u w:val="none"/>
              </w:rPr>
            </w:pPr>
          </w:p>
        </w:tc>
      </w:tr>
      <w:tr w14:paraId="39F46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7F3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8.项目技术服务、资产清查服务项目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2A1F">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9747">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8E3FD">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66F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4F0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02211">
            <w:pPr>
              <w:jc w:val="center"/>
              <w:rPr>
                <w:rFonts w:hint="eastAsia" w:ascii="仿宋" w:hAnsi="仿宋" w:eastAsia="仿宋" w:cs="仿宋"/>
                <w:i w:val="0"/>
                <w:iCs w:val="0"/>
                <w:color w:val="000000"/>
                <w:sz w:val="21"/>
                <w:szCs w:val="21"/>
                <w:u w:val="none"/>
              </w:rPr>
            </w:pPr>
          </w:p>
        </w:tc>
      </w:tr>
      <w:tr w14:paraId="1CDE8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555E05F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十七、设计检测服务</w:t>
            </w:r>
          </w:p>
        </w:tc>
        <w:tc>
          <w:tcPr>
            <w:tcW w:w="1953" w:type="dxa"/>
            <w:tcBorders>
              <w:top w:val="single" w:color="000000" w:sz="4" w:space="0"/>
              <w:left w:val="nil"/>
              <w:bottom w:val="single" w:color="000000" w:sz="4" w:space="0"/>
              <w:right w:val="nil"/>
            </w:tcBorders>
            <w:shd w:val="clear" w:color="auto" w:fill="auto"/>
            <w:noWrap/>
            <w:vAlign w:val="center"/>
          </w:tcPr>
          <w:p w14:paraId="674D59D6">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19D4662C">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242B71F6">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5CB42448">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C94C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1391152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8BC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1.333 </w:t>
            </w:r>
          </w:p>
        </w:tc>
      </w:tr>
      <w:tr w14:paraId="611F5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EFC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1.设备检测、环境检测</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D80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267000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282E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93800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05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119460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9F9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69192</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2B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549452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A5D71">
            <w:pPr>
              <w:jc w:val="center"/>
              <w:rPr>
                <w:rFonts w:hint="eastAsia" w:ascii="仿宋" w:hAnsi="仿宋" w:eastAsia="仿宋" w:cs="仿宋"/>
                <w:i w:val="0"/>
                <w:iCs w:val="0"/>
                <w:color w:val="000000"/>
                <w:sz w:val="21"/>
                <w:szCs w:val="21"/>
                <w:u w:val="none"/>
              </w:rPr>
            </w:pPr>
          </w:p>
        </w:tc>
      </w:tr>
      <w:tr w14:paraId="7232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F64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2.勘察、设计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95C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815200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358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26500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3CE75">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F78D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421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841700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856C">
            <w:pPr>
              <w:jc w:val="center"/>
              <w:rPr>
                <w:rFonts w:hint="eastAsia" w:ascii="仿宋" w:hAnsi="仿宋" w:eastAsia="仿宋" w:cs="仿宋"/>
                <w:i w:val="0"/>
                <w:iCs w:val="0"/>
                <w:color w:val="000000"/>
                <w:sz w:val="21"/>
                <w:szCs w:val="21"/>
                <w:u w:val="none"/>
              </w:rPr>
            </w:pPr>
          </w:p>
        </w:tc>
      </w:tr>
      <w:tr w14:paraId="19A43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770" w:type="dxa"/>
            <w:gridSpan w:val="2"/>
            <w:tcBorders>
              <w:top w:val="single" w:color="000000" w:sz="4" w:space="0"/>
              <w:left w:val="single" w:color="000000" w:sz="4" w:space="0"/>
              <w:bottom w:val="single" w:color="000000" w:sz="4" w:space="0"/>
              <w:right w:val="nil"/>
            </w:tcBorders>
            <w:shd w:val="clear" w:color="auto" w:fill="auto"/>
            <w:noWrap/>
            <w:vAlign w:val="center"/>
          </w:tcPr>
          <w:p w14:paraId="66D0B5D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十八、 医疗固废污水处理垃圾处理</w:t>
            </w:r>
          </w:p>
        </w:tc>
        <w:tc>
          <w:tcPr>
            <w:tcW w:w="1619" w:type="dxa"/>
            <w:tcBorders>
              <w:top w:val="single" w:color="000000" w:sz="4" w:space="0"/>
              <w:left w:val="nil"/>
              <w:bottom w:val="single" w:color="000000" w:sz="4" w:space="0"/>
              <w:right w:val="nil"/>
            </w:tcBorders>
            <w:shd w:val="clear" w:color="auto" w:fill="auto"/>
            <w:noWrap/>
            <w:vAlign w:val="center"/>
          </w:tcPr>
          <w:p w14:paraId="74370A88">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46A30F4D">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045A1EB1">
            <w:pPr>
              <w:rPr>
                <w:rFonts w:hint="eastAsia" w:ascii="仿宋" w:hAnsi="仿宋" w:eastAsia="仿宋" w:cs="仿宋"/>
                <w:i w:val="0"/>
                <w:iCs w:val="0"/>
                <w:color w:val="000000"/>
                <w:sz w:val="21"/>
                <w:szCs w:val="21"/>
                <w:u w:val="none"/>
              </w:rPr>
            </w:pPr>
          </w:p>
        </w:tc>
        <w:tc>
          <w:tcPr>
            <w:tcW w:w="1554" w:type="dxa"/>
            <w:tcBorders>
              <w:top w:val="single" w:color="000000" w:sz="4" w:space="0"/>
              <w:left w:val="nil"/>
              <w:bottom w:val="single" w:color="000000" w:sz="4" w:space="0"/>
              <w:right w:val="nil"/>
            </w:tcBorders>
            <w:shd w:val="clear" w:color="auto" w:fill="auto"/>
            <w:noWrap/>
            <w:vAlign w:val="center"/>
          </w:tcPr>
          <w:p w14:paraId="3629AEB8">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3217049.23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54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3.083 </w:t>
            </w:r>
          </w:p>
        </w:tc>
      </w:tr>
      <w:tr w14:paraId="58893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770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1.污水站在线监测</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F4C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9766D">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C07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073F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ED5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5D367">
            <w:pPr>
              <w:jc w:val="center"/>
              <w:rPr>
                <w:rFonts w:hint="eastAsia" w:ascii="仿宋" w:hAnsi="仿宋" w:eastAsia="仿宋" w:cs="仿宋"/>
                <w:i w:val="0"/>
                <w:iCs w:val="0"/>
                <w:color w:val="000000"/>
                <w:sz w:val="21"/>
                <w:szCs w:val="21"/>
                <w:u w:val="none"/>
              </w:rPr>
            </w:pPr>
          </w:p>
        </w:tc>
      </w:tr>
      <w:tr w14:paraId="68AEC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868F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2.污水处理站设备更新改造</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E7BA">
            <w:pPr>
              <w:jc w:val="center"/>
              <w:rPr>
                <w:rFonts w:hint="eastAsia" w:ascii="仿宋" w:hAnsi="仿宋" w:eastAsia="仿宋" w:cs="仿宋"/>
                <w:i w:val="0"/>
                <w:iCs w:val="0"/>
                <w:color w:val="FF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E0A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27300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490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79971</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8E50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88E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107271</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046B2">
            <w:pPr>
              <w:jc w:val="center"/>
              <w:rPr>
                <w:rFonts w:hint="eastAsia" w:ascii="仿宋" w:hAnsi="仿宋" w:eastAsia="仿宋" w:cs="仿宋"/>
                <w:i w:val="0"/>
                <w:iCs w:val="0"/>
                <w:color w:val="000000"/>
                <w:sz w:val="21"/>
                <w:szCs w:val="21"/>
                <w:u w:val="none"/>
              </w:rPr>
            </w:pPr>
          </w:p>
        </w:tc>
      </w:tr>
      <w:tr w14:paraId="5A8C1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11C1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3.污水处理池设备改造</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56A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460500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D9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4657</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2AA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013E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B23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465157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E684">
            <w:pPr>
              <w:jc w:val="center"/>
              <w:rPr>
                <w:rFonts w:hint="eastAsia" w:ascii="仿宋" w:hAnsi="仿宋" w:eastAsia="仿宋" w:cs="仿宋"/>
                <w:i w:val="0"/>
                <w:iCs w:val="0"/>
                <w:color w:val="000000"/>
                <w:sz w:val="21"/>
                <w:szCs w:val="21"/>
                <w:u w:val="none"/>
              </w:rPr>
            </w:pPr>
          </w:p>
        </w:tc>
      </w:tr>
      <w:tr w14:paraId="7E0A2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8B4D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4.污泥处理工程</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D28C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08C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294105</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E562">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DED4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4697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294105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F4DF">
            <w:pPr>
              <w:jc w:val="center"/>
              <w:rPr>
                <w:rFonts w:hint="eastAsia" w:ascii="仿宋" w:hAnsi="仿宋" w:eastAsia="仿宋" w:cs="仿宋"/>
                <w:i w:val="0"/>
                <w:iCs w:val="0"/>
                <w:color w:val="000000"/>
                <w:sz w:val="21"/>
                <w:szCs w:val="21"/>
                <w:u w:val="none"/>
              </w:rPr>
            </w:pPr>
          </w:p>
        </w:tc>
      </w:tr>
      <w:tr w14:paraId="58F7B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1981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5.垃圾（污泥）清理清运</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338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83100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547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466960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3469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6E4B">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5E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550060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7263E">
            <w:pPr>
              <w:jc w:val="center"/>
              <w:rPr>
                <w:rFonts w:hint="eastAsia" w:ascii="仿宋" w:hAnsi="仿宋" w:eastAsia="仿宋" w:cs="仿宋"/>
                <w:i w:val="0"/>
                <w:iCs w:val="0"/>
                <w:color w:val="000000"/>
                <w:sz w:val="21"/>
                <w:szCs w:val="21"/>
                <w:u w:val="none"/>
              </w:rPr>
            </w:pPr>
          </w:p>
        </w:tc>
      </w:tr>
      <w:tr w14:paraId="2812F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6A9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6.污水站维保</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96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155520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204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311040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ED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155520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5A0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FCA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622080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0A99F">
            <w:pPr>
              <w:jc w:val="center"/>
              <w:rPr>
                <w:rFonts w:hint="eastAsia" w:ascii="仿宋" w:hAnsi="仿宋" w:eastAsia="仿宋" w:cs="仿宋"/>
                <w:i w:val="0"/>
                <w:iCs w:val="0"/>
                <w:color w:val="000000"/>
                <w:sz w:val="21"/>
                <w:szCs w:val="21"/>
                <w:u w:val="none"/>
              </w:rPr>
            </w:pPr>
          </w:p>
        </w:tc>
      </w:tr>
      <w:tr w14:paraId="4D58E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AEAC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7.垃圾桶采购</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77F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265300.4</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ABC7">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DA1F2">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5BCE">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DA4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265300.4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B8743">
            <w:pPr>
              <w:jc w:val="center"/>
              <w:rPr>
                <w:rFonts w:hint="eastAsia" w:ascii="仿宋" w:hAnsi="仿宋" w:eastAsia="仿宋" w:cs="仿宋"/>
                <w:i w:val="0"/>
                <w:iCs w:val="0"/>
                <w:color w:val="000000"/>
                <w:sz w:val="21"/>
                <w:szCs w:val="21"/>
                <w:u w:val="none"/>
              </w:rPr>
            </w:pPr>
          </w:p>
        </w:tc>
      </w:tr>
      <w:tr w14:paraId="717C2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41C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8.医废处置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A79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333300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05BB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191475.83</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4F6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191607.48</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E3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141692.52</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546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858075.83</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888C8">
            <w:pPr>
              <w:jc w:val="center"/>
              <w:rPr>
                <w:rFonts w:hint="eastAsia" w:ascii="仿宋" w:hAnsi="仿宋" w:eastAsia="仿宋" w:cs="仿宋"/>
                <w:i w:val="0"/>
                <w:iCs w:val="0"/>
                <w:color w:val="000000"/>
                <w:sz w:val="21"/>
                <w:szCs w:val="21"/>
                <w:u w:val="none"/>
              </w:rPr>
            </w:pPr>
          </w:p>
        </w:tc>
      </w:tr>
      <w:tr w14:paraId="22FA5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7BD87A1B">
            <w:pPr>
              <w:keepNext w:val="0"/>
              <w:keepLines w:val="0"/>
              <w:widowControl/>
              <w:suppressLineNumbers w:val="0"/>
              <w:ind w:firstLine="630" w:firstLineChars="30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十九、日常办公杂费</w:t>
            </w:r>
          </w:p>
        </w:tc>
        <w:tc>
          <w:tcPr>
            <w:tcW w:w="1953" w:type="dxa"/>
            <w:tcBorders>
              <w:top w:val="single" w:color="000000" w:sz="4" w:space="0"/>
              <w:left w:val="nil"/>
              <w:bottom w:val="single" w:color="000000" w:sz="4" w:space="0"/>
              <w:right w:val="nil"/>
            </w:tcBorders>
            <w:shd w:val="clear" w:color="auto" w:fill="auto"/>
            <w:noWrap/>
            <w:vAlign w:val="center"/>
          </w:tcPr>
          <w:p w14:paraId="36121328">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06FBB88A">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27A6679F">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4C7D774C">
            <w:pPr>
              <w:rPr>
                <w:rFonts w:hint="eastAsia" w:ascii="仿宋" w:hAnsi="仿宋" w:eastAsia="仿宋" w:cs="仿宋"/>
                <w:i w:val="0"/>
                <w:iCs w:val="0"/>
                <w:color w:val="000000"/>
                <w:sz w:val="21"/>
                <w:szCs w:val="21"/>
                <w:u w:val="none"/>
              </w:rPr>
            </w:pPr>
          </w:p>
        </w:tc>
        <w:tc>
          <w:tcPr>
            <w:tcW w:w="1554" w:type="dxa"/>
            <w:tcBorders>
              <w:top w:val="single" w:color="000000" w:sz="4" w:space="0"/>
              <w:left w:val="nil"/>
              <w:bottom w:val="single" w:color="000000" w:sz="4" w:space="0"/>
              <w:right w:val="single" w:color="000000" w:sz="4" w:space="0"/>
            </w:tcBorders>
            <w:shd w:val="clear" w:color="auto" w:fill="auto"/>
            <w:noWrap/>
            <w:vAlign w:val="center"/>
          </w:tcPr>
          <w:p w14:paraId="7C2FA0BC">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934279.64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1EF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0.895 </w:t>
            </w:r>
          </w:p>
        </w:tc>
      </w:tr>
      <w:tr w14:paraId="55D28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91D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1.打印费、印刷费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3D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18836</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614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306920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4EF7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11119</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B84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483C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336875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4CD1D">
            <w:pPr>
              <w:jc w:val="center"/>
              <w:rPr>
                <w:rFonts w:hint="eastAsia" w:ascii="仿宋" w:hAnsi="仿宋" w:eastAsia="仿宋" w:cs="仿宋"/>
                <w:i w:val="0"/>
                <w:iCs w:val="0"/>
                <w:color w:val="000000"/>
                <w:sz w:val="21"/>
                <w:szCs w:val="21"/>
                <w:u w:val="none"/>
              </w:rPr>
            </w:pPr>
          </w:p>
        </w:tc>
      </w:tr>
      <w:tr w14:paraId="59F15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1AA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2.会议记录本、荣誉证书</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04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80AC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812AB">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73A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481B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CD25">
            <w:pPr>
              <w:jc w:val="center"/>
              <w:rPr>
                <w:rFonts w:hint="eastAsia" w:ascii="仿宋" w:hAnsi="仿宋" w:eastAsia="仿宋" w:cs="仿宋"/>
                <w:i w:val="0"/>
                <w:iCs w:val="0"/>
                <w:color w:val="000000"/>
                <w:sz w:val="21"/>
                <w:szCs w:val="21"/>
                <w:u w:val="none"/>
              </w:rPr>
            </w:pPr>
          </w:p>
        </w:tc>
      </w:tr>
      <w:tr w14:paraId="1505E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0A2E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3.会务费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18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16550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7B45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E65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E6F9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5D93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46550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7968">
            <w:pPr>
              <w:jc w:val="center"/>
              <w:rPr>
                <w:rFonts w:hint="eastAsia" w:ascii="仿宋" w:hAnsi="仿宋" w:eastAsia="仿宋" w:cs="仿宋"/>
                <w:i w:val="0"/>
                <w:iCs w:val="0"/>
                <w:color w:val="000000"/>
                <w:sz w:val="21"/>
                <w:szCs w:val="21"/>
                <w:u w:val="none"/>
              </w:rPr>
            </w:pPr>
          </w:p>
        </w:tc>
      </w:tr>
      <w:tr w14:paraId="25F74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D7F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4.办公日用杂费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795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C1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278182.78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9F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23650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C41E">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81AF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301832.78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57FA5">
            <w:pPr>
              <w:jc w:val="center"/>
              <w:rPr>
                <w:rFonts w:hint="eastAsia" w:ascii="仿宋" w:hAnsi="仿宋" w:eastAsia="仿宋" w:cs="仿宋"/>
                <w:i w:val="0"/>
                <w:iCs w:val="0"/>
                <w:color w:val="000000"/>
                <w:sz w:val="21"/>
                <w:szCs w:val="21"/>
                <w:u w:val="none"/>
              </w:rPr>
            </w:pPr>
          </w:p>
        </w:tc>
      </w:tr>
      <w:tr w14:paraId="1D433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3988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5.凭证整理</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A5D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AF013">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7FD44">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1DC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938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67BA6">
            <w:pPr>
              <w:jc w:val="center"/>
              <w:rPr>
                <w:rFonts w:hint="eastAsia" w:ascii="仿宋" w:hAnsi="仿宋" w:eastAsia="仿宋" w:cs="仿宋"/>
                <w:i w:val="0"/>
                <w:iCs w:val="0"/>
                <w:color w:val="000000"/>
                <w:sz w:val="21"/>
                <w:szCs w:val="21"/>
                <w:u w:val="none"/>
              </w:rPr>
            </w:pPr>
          </w:p>
        </w:tc>
      </w:tr>
      <w:tr w14:paraId="5BABF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1641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6.三甲资料制作费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2465">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6E4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16780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3000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3BB5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CD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16780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71B8">
            <w:pPr>
              <w:jc w:val="center"/>
              <w:rPr>
                <w:rFonts w:hint="eastAsia" w:ascii="仿宋" w:hAnsi="仿宋" w:eastAsia="仿宋" w:cs="仿宋"/>
                <w:i w:val="0"/>
                <w:iCs w:val="0"/>
                <w:color w:val="000000"/>
                <w:sz w:val="21"/>
                <w:szCs w:val="21"/>
                <w:u w:val="none"/>
              </w:rPr>
            </w:pPr>
          </w:p>
        </w:tc>
      </w:tr>
      <w:tr w14:paraId="0D7F0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CB56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7.公车司机出差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C1C0D">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C9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3134.86</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D2B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3C08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038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3134.86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9D47">
            <w:pPr>
              <w:jc w:val="center"/>
              <w:rPr>
                <w:rFonts w:hint="eastAsia" w:ascii="仿宋" w:hAnsi="仿宋" w:eastAsia="仿宋" w:cs="仿宋"/>
                <w:i w:val="0"/>
                <w:iCs w:val="0"/>
                <w:color w:val="000000"/>
                <w:sz w:val="21"/>
                <w:szCs w:val="21"/>
                <w:u w:val="none"/>
              </w:rPr>
            </w:pPr>
          </w:p>
        </w:tc>
      </w:tr>
      <w:tr w14:paraId="7FA3E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8C07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8.院前急救出车补助</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1FE3">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C053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20367</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D9B93">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9702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E67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20367</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1143">
            <w:pPr>
              <w:jc w:val="center"/>
              <w:rPr>
                <w:rFonts w:hint="eastAsia" w:ascii="仿宋" w:hAnsi="仿宋" w:eastAsia="仿宋" w:cs="仿宋"/>
                <w:i w:val="0"/>
                <w:iCs w:val="0"/>
                <w:color w:val="000000"/>
                <w:sz w:val="21"/>
                <w:szCs w:val="21"/>
                <w:u w:val="none"/>
              </w:rPr>
            </w:pPr>
          </w:p>
        </w:tc>
      </w:tr>
      <w:tr w14:paraId="7A3A5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CD7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9.全科院级督查</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1568">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E43FB">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621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13800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C144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041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55E7">
            <w:pPr>
              <w:jc w:val="center"/>
              <w:rPr>
                <w:rFonts w:hint="eastAsia" w:ascii="仿宋" w:hAnsi="仿宋" w:eastAsia="仿宋" w:cs="仿宋"/>
                <w:i w:val="0"/>
                <w:iCs w:val="0"/>
                <w:color w:val="000000"/>
                <w:sz w:val="21"/>
                <w:szCs w:val="21"/>
                <w:u w:val="none"/>
              </w:rPr>
            </w:pPr>
          </w:p>
        </w:tc>
      </w:tr>
      <w:tr w14:paraId="3EC9D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482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10.督查工作费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9EA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4460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D3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134200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7B7F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5A69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AB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138660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DE99">
            <w:pPr>
              <w:jc w:val="center"/>
              <w:rPr>
                <w:rFonts w:hint="eastAsia" w:ascii="仿宋" w:hAnsi="仿宋" w:eastAsia="仿宋" w:cs="仿宋"/>
                <w:i w:val="0"/>
                <w:iCs w:val="0"/>
                <w:color w:val="000000"/>
                <w:sz w:val="21"/>
                <w:szCs w:val="21"/>
                <w:u w:val="none"/>
              </w:rPr>
            </w:pPr>
          </w:p>
        </w:tc>
      </w:tr>
      <w:tr w14:paraId="6F0B1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C48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11.儿科质控年会及死亡病历督查</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C7E3E">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346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192A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0562A">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382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3803">
            <w:pPr>
              <w:jc w:val="center"/>
              <w:rPr>
                <w:rFonts w:hint="eastAsia" w:ascii="仿宋" w:hAnsi="仿宋" w:eastAsia="仿宋" w:cs="仿宋"/>
                <w:i w:val="0"/>
                <w:iCs w:val="0"/>
                <w:color w:val="000000"/>
                <w:sz w:val="21"/>
                <w:szCs w:val="21"/>
                <w:u w:val="none"/>
              </w:rPr>
            </w:pPr>
          </w:p>
        </w:tc>
      </w:tr>
      <w:tr w14:paraId="180F8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2B9C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12.接待费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33C6D">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48B09">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3A1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BE25">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CEC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843DF">
            <w:pPr>
              <w:jc w:val="center"/>
              <w:rPr>
                <w:rFonts w:hint="eastAsia" w:ascii="仿宋" w:hAnsi="仿宋" w:eastAsia="仿宋" w:cs="仿宋"/>
                <w:i w:val="0"/>
                <w:iCs w:val="0"/>
                <w:color w:val="000000"/>
                <w:sz w:val="21"/>
                <w:szCs w:val="21"/>
                <w:u w:val="none"/>
              </w:rPr>
            </w:pPr>
          </w:p>
        </w:tc>
      </w:tr>
      <w:tr w14:paraId="2B6AA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ED6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13.劳务派遣考务费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21073">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27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11800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A315">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1F64798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DF1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77C89">
            <w:pPr>
              <w:jc w:val="center"/>
              <w:rPr>
                <w:rFonts w:hint="eastAsia" w:ascii="仿宋" w:hAnsi="仿宋" w:eastAsia="仿宋" w:cs="仿宋"/>
                <w:i w:val="0"/>
                <w:iCs w:val="0"/>
                <w:color w:val="000000"/>
                <w:sz w:val="21"/>
                <w:szCs w:val="21"/>
                <w:u w:val="none"/>
              </w:rPr>
            </w:pPr>
          </w:p>
        </w:tc>
      </w:tr>
      <w:tr w14:paraId="32A61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761DFB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二十、其他费用</w:t>
            </w:r>
          </w:p>
        </w:tc>
        <w:tc>
          <w:tcPr>
            <w:tcW w:w="1953" w:type="dxa"/>
            <w:tcBorders>
              <w:top w:val="single" w:color="000000" w:sz="4" w:space="0"/>
              <w:left w:val="nil"/>
              <w:bottom w:val="single" w:color="000000" w:sz="4" w:space="0"/>
              <w:right w:val="nil"/>
            </w:tcBorders>
            <w:shd w:val="clear" w:color="auto" w:fill="auto"/>
            <w:noWrap/>
            <w:vAlign w:val="center"/>
          </w:tcPr>
          <w:p w14:paraId="25F37C69">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3227A561">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4337681B">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263C88CD">
            <w:pP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3F1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1825723.24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73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1.750 </w:t>
            </w:r>
          </w:p>
        </w:tc>
      </w:tr>
      <w:tr w14:paraId="70610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CE0E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1.搬（家）运费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C52D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31900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97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171110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BA9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9280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770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41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232290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36D17">
            <w:pPr>
              <w:jc w:val="center"/>
              <w:rPr>
                <w:rFonts w:hint="eastAsia" w:ascii="仿宋" w:hAnsi="仿宋" w:eastAsia="仿宋" w:cs="仿宋"/>
                <w:i w:val="0"/>
                <w:iCs w:val="0"/>
                <w:color w:val="000000"/>
                <w:sz w:val="21"/>
                <w:szCs w:val="21"/>
                <w:u w:val="none"/>
              </w:rPr>
            </w:pPr>
          </w:p>
        </w:tc>
      </w:tr>
      <w:tr w14:paraId="52AB8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89C9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2.员工服装费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CFB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10586</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746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110356</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E96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265430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996E">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A1E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386372</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2E2D7">
            <w:pPr>
              <w:jc w:val="center"/>
              <w:rPr>
                <w:rFonts w:hint="eastAsia" w:ascii="仿宋" w:hAnsi="仿宋" w:eastAsia="仿宋" w:cs="仿宋"/>
                <w:i w:val="0"/>
                <w:iCs w:val="0"/>
                <w:color w:val="000000"/>
                <w:sz w:val="21"/>
                <w:szCs w:val="21"/>
                <w:u w:val="none"/>
              </w:rPr>
            </w:pPr>
          </w:p>
        </w:tc>
      </w:tr>
      <w:tr w14:paraId="08942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B82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3.病虫害治理</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31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C8C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142534.8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08647">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C42CD">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2CF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154534.8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5AE94">
            <w:pPr>
              <w:jc w:val="center"/>
              <w:rPr>
                <w:rFonts w:hint="eastAsia" w:ascii="仿宋" w:hAnsi="仿宋" w:eastAsia="仿宋" w:cs="仿宋"/>
                <w:i w:val="0"/>
                <w:iCs w:val="0"/>
                <w:color w:val="000000"/>
                <w:sz w:val="21"/>
                <w:szCs w:val="21"/>
                <w:u w:val="none"/>
              </w:rPr>
            </w:pPr>
          </w:p>
        </w:tc>
      </w:tr>
      <w:tr w14:paraId="5166C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A828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4.三无病人陪护费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85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190B">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88A6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9283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A2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57036">
            <w:pPr>
              <w:jc w:val="center"/>
              <w:rPr>
                <w:rFonts w:hint="eastAsia" w:ascii="仿宋" w:hAnsi="仿宋" w:eastAsia="仿宋" w:cs="仿宋"/>
                <w:i w:val="0"/>
                <w:iCs w:val="0"/>
                <w:color w:val="000000"/>
                <w:sz w:val="21"/>
                <w:szCs w:val="21"/>
                <w:u w:val="none"/>
              </w:rPr>
            </w:pPr>
          </w:p>
        </w:tc>
      </w:tr>
      <w:tr w14:paraId="60B59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0E7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5.床旁照片统计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99A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82650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76ED6">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6411">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286E8">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1EB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82650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CB050">
            <w:pPr>
              <w:jc w:val="center"/>
              <w:rPr>
                <w:rFonts w:hint="eastAsia" w:ascii="仿宋" w:hAnsi="仿宋" w:eastAsia="仿宋" w:cs="仿宋"/>
                <w:i w:val="0"/>
                <w:iCs w:val="0"/>
                <w:color w:val="000000"/>
                <w:sz w:val="21"/>
                <w:szCs w:val="21"/>
                <w:u w:val="none"/>
              </w:rPr>
            </w:pPr>
          </w:p>
        </w:tc>
      </w:tr>
      <w:tr w14:paraId="14681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ABDC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6.专项出差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FC27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18244</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DD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102609.99</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678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22654</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A1B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22945</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1D8E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166452.99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CB7CA">
            <w:pPr>
              <w:jc w:val="center"/>
              <w:rPr>
                <w:rFonts w:hint="eastAsia" w:ascii="仿宋" w:hAnsi="仿宋" w:eastAsia="仿宋" w:cs="仿宋"/>
                <w:i w:val="0"/>
                <w:iCs w:val="0"/>
                <w:color w:val="000000"/>
                <w:sz w:val="21"/>
                <w:szCs w:val="21"/>
                <w:u w:val="none"/>
              </w:rPr>
            </w:pPr>
          </w:p>
        </w:tc>
      </w:tr>
      <w:tr w14:paraId="76659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3317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7.汽修、发电机组维修及油料补充</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0A89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9D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54276</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A13AF">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7588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C8A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54276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A54D4">
            <w:pPr>
              <w:jc w:val="center"/>
              <w:rPr>
                <w:rFonts w:hint="eastAsia" w:ascii="仿宋" w:hAnsi="仿宋" w:eastAsia="仿宋" w:cs="仿宋"/>
                <w:i w:val="0"/>
                <w:iCs w:val="0"/>
                <w:color w:val="000000"/>
                <w:sz w:val="21"/>
                <w:szCs w:val="21"/>
                <w:u w:val="none"/>
              </w:rPr>
            </w:pPr>
          </w:p>
        </w:tc>
      </w:tr>
      <w:tr w14:paraId="362C4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1169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8.医用氧气灌运</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A17B7">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F82F3">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3FB2">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D0B3">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BE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55D4">
            <w:pPr>
              <w:jc w:val="center"/>
              <w:rPr>
                <w:rFonts w:hint="eastAsia" w:ascii="仿宋" w:hAnsi="仿宋" w:eastAsia="仿宋" w:cs="仿宋"/>
                <w:i w:val="0"/>
                <w:iCs w:val="0"/>
                <w:color w:val="000000"/>
                <w:sz w:val="21"/>
                <w:szCs w:val="21"/>
                <w:u w:val="none"/>
              </w:rPr>
            </w:pPr>
          </w:p>
        </w:tc>
      </w:tr>
      <w:tr w14:paraId="4A39E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25A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9.绿化、绿值</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03C3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FCA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162391</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E42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7BF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B89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188391</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0473">
            <w:pPr>
              <w:jc w:val="center"/>
              <w:rPr>
                <w:rFonts w:hint="eastAsia" w:ascii="仿宋" w:hAnsi="仿宋" w:eastAsia="仿宋" w:cs="仿宋"/>
                <w:i w:val="0"/>
                <w:iCs w:val="0"/>
                <w:color w:val="000000"/>
                <w:sz w:val="21"/>
                <w:szCs w:val="21"/>
                <w:u w:val="none"/>
              </w:rPr>
            </w:pPr>
          </w:p>
        </w:tc>
      </w:tr>
      <w:tr w14:paraId="3BB7A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D10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10.加急供水</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1D1F">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3DA2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4508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5837">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92F2">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AC4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4508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F7CAE">
            <w:pPr>
              <w:jc w:val="center"/>
              <w:rPr>
                <w:rFonts w:hint="eastAsia" w:ascii="仿宋" w:hAnsi="仿宋" w:eastAsia="仿宋" w:cs="仿宋"/>
                <w:i w:val="0"/>
                <w:iCs w:val="0"/>
                <w:color w:val="000000"/>
                <w:sz w:val="21"/>
                <w:szCs w:val="21"/>
                <w:u w:val="none"/>
              </w:rPr>
            </w:pPr>
          </w:p>
        </w:tc>
      </w:tr>
      <w:tr w14:paraId="2DCE7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7E23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11.方舱实验室巡查车费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4A3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65C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9358">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8ABF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88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6632">
            <w:pPr>
              <w:jc w:val="center"/>
              <w:rPr>
                <w:rFonts w:hint="eastAsia" w:ascii="仿宋" w:hAnsi="仿宋" w:eastAsia="仿宋" w:cs="仿宋"/>
                <w:i w:val="0"/>
                <w:iCs w:val="0"/>
                <w:color w:val="000000"/>
                <w:sz w:val="21"/>
                <w:szCs w:val="21"/>
                <w:u w:val="none"/>
              </w:rPr>
            </w:pPr>
          </w:p>
        </w:tc>
      </w:tr>
      <w:tr w14:paraId="50094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2C25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12.个代缴个税转回</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79D0B">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275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4224</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E003">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3CF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2D3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4224</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B7D53">
            <w:pPr>
              <w:jc w:val="center"/>
              <w:rPr>
                <w:rFonts w:hint="eastAsia" w:ascii="仿宋" w:hAnsi="仿宋" w:eastAsia="仿宋" w:cs="仿宋"/>
                <w:i w:val="0"/>
                <w:iCs w:val="0"/>
                <w:color w:val="000000"/>
                <w:sz w:val="21"/>
                <w:szCs w:val="21"/>
                <w:u w:val="none"/>
              </w:rPr>
            </w:pPr>
          </w:p>
        </w:tc>
      </w:tr>
      <w:tr w14:paraId="0F8DE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82F3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13.停车坪车位及标识标线改造项目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FCA9">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9504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46196</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C8DE">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1AF9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1C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46196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F8FB">
            <w:pPr>
              <w:jc w:val="center"/>
              <w:rPr>
                <w:rFonts w:hint="eastAsia" w:ascii="仿宋" w:hAnsi="仿宋" w:eastAsia="仿宋" w:cs="仿宋"/>
                <w:i w:val="0"/>
                <w:iCs w:val="0"/>
                <w:color w:val="000000"/>
                <w:sz w:val="21"/>
                <w:szCs w:val="21"/>
                <w:u w:val="none"/>
              </w:rPr>
            </w:pPr>
          </w:p>
        </w:tc>
      </w:tr>
      <w:tr w14:paraId="0AAF8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0F56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14.康复路社区扶建经费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F6E89">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540C9">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0412">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34B5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5AA9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6DB4D">
            <w:pPr>
              <w:jc w:val="center"/>
              <w:rPr>
                <w:rFonts w:hint="eastAsia" w:ascii="仿宋" w:hAnsi="仿宋" w:eastAsia="仿宋" w:cs="仿宋"/>
                <w:i w:val="0"/>
                <w:iCs w:val="0"/>
                <w:color w:val="000000"/>
                <w:sz w:val="21"/>
                <w:szCs w:val="21"/>
                <w:u w:val="none"/>
              </w:rPr>
            </w:pPr>
          </w:p>
        </w:tc>
      </w:tr>
      <w:tr w14:paraId="767B1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F593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15.创文联点费用</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F411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5C8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0F303">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B10E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3FA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6C0F">
            <w:pPr>
              <w:jc w:val="center"/>
              <w:rPr>
                <w:rFonts w:hint="eastAsia" w:ascii="仿宋" w:hAnsi="仿宋" w:eastAsia="仿宋" w:cs="仿宋"/>
                <w:i w:val="0"/>
                <w:iCs w:val="0"/>
                <w:color w:val="000000"/>
                <w:sz w:val="21"/>
                <w:szCs w:val="21"/>
                <w:u w:val="none"/>
              </w:rPr>
            </w:pPr>
          </w:p>
        </w:tc>
      </w:tr>
      <w:tr w14:paraId="46BE3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877E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16.惠宏高新院区绩效第三笔款项支付</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A3D5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15EDB">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5D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99800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901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B5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EDB2">
            <w:pPr>
              <w:jc w:val="center"/>
              <w:rPr>
                <w:rFonts w:hint="eastAsia" w:ascii="仿宋" w:hAnsi="仿宋" w:eastAsia="仿宋" w:cs="仿宋"/>
                <w:i w:val="0"/>
                <w:iCs w:val="0"/>
                <w:color w:val="000000"/>
                <w:sz w:val="21"/>
                <w:szCs w:val="21"/>
                <w:u w:val="none"/>
              </w:rPr>
            </w:pPr>
          </w:p>
        </w:tc>
      </w:tr>
      <w:tr w14:paraId="258DE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18C6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17.绩效管理服务项目</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200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F78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349300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960E9">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D565">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BD5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349300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DE0C">
            <w:pPr>
              <w:jc w:val="center"/>
              <w:rPr>
                <w:rFonts w:hint="eastAsia" w:ascii="仿宋" w:hAnsi="仿宋" w:eastAsia="仿宋" w:cs="仿宋"/>
                <w:i w:val="0"/>
                <w:iCs w:val="0"/>
                <w:color w:val="000000"/>
                <w:sz w:val="21"/>
                <w:szCs w:val="21"/>
                <w:u w:val="none"/>
              </w:rPr>
            </w:pPr>
          </w:p>
        </w:tc>
      </w:tr>
      <w:tr w14:paraId="7ED76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DBC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18.租赁电车运转器械充电费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23C0">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0C76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400.45</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B976">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13EC">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3D1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400.45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C5E9">
            <w:pPr>
              <w:jc w:val="center"/>
              <w:rPr>
                <w:rFonts w:hint="eastAsia" w:ascii="仿宋" w:hAnsi="仿宋" w:eastAsia="仿宋" w:cs="仿宋"/>
                <w:i w:val="0"/>
                <w:iCs w:val="0"/>
                <w:color w:val="000000"/>
                <w:sz w:val="21"/>
                <w:szCs w:val="21"/>
                <w:u w:val="none"/>
              </w:rPr>
            </w:pPr>
          </w:p>
        </w:tc>
      </w:tr>
      <w:tr w14:paraId="3F109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9132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19.发资材料费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7F92C">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FA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3288</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649DA">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BB6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E09D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3288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06E72">
            <w:pPr>
              <w:jc w:val="center"/>
              <w:rPr>
                <w:rFonts w:hint="eastAsia" w:ascii="仿宋" w:hAnsi="仿宋" w:eastAsia="仿宋" w:cs="仿宋"/>
                <w:i w:val="0"/>
                <w:iCs w:val="0"/>
                <w:color w:val="000000"/>
                <w:sz w:val="21"/>
                <w:szCs w:val="21"/>
                <w:u w:val="none"/>
              </w:rPr>
            </w:pPr>
          </w:p>
        </w:tc>
      </w:tr>
      <w:tr w14:paraId="4FE1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nil"/>
            </w:tcBorders>
            <w:shd w:val="clear" w:color="auto" w:fill="auto"/>
            <w:noWrap/>
            <w:vAlign w:val="center"/>
          </w:tcPr>
          <w:p w14:paraId="64DD48F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二十一、物业管理</w:t>
            </w:r>
          </w:p>
        </w:tc>
        <w:tc>
          <w:tcPr>
            <w:tcW w:w="1953" w:type="dxa"/>
            <w:tcBorders>
              <w:top w:val="single" w:color="000000" w:sz="4" w:space="0"/>
              <w:left w:val="nil"/>
              <w:bottom w:val="single" w:color="000000" w:sz="4" w:space="0"/>
              <w:right w:val="nil"/>
            </w:tcBorders>
            <w:shd w:val="clear" w:color="auto" w:fill="auto"/>
            <w:noWrap/>
            <w:vAlign w:val="center"/>
          </w:tcPr>
          <w:p w14:paraId="296993D7">
            <w:pPr>
              <w:rPr>
                <w:rFonts w:hint="eastAsia" w:ascii="仿宋" w:hAnsi="仿宋" w:eastAsia="仿宋" w:cs="仿宋"/>
                <w:i w:val="0"/>
                <w:iCs w:val="0"/>
                <w:color w:val="000000"/>
                <w:sz w:val="21"/>
                <w:szCs w:val="21"/>
                <w:u w:val="none"/>
              </w:rPr>
            </w:pPr>
          </w:p>
        </w:tc>
        <w:tc>
          <w:tcPr>
            <w:tcW w:w="1619" w:type="dxa"/>
            <w:tcBorders>
              <w:top w:val="single" w:color="000000" w:sz="4" w:space="0"/>
              <w:left w:val="nil"/>
              <w:bottom w:val="single" w:color="000000" w:sz="4" w:space="0"/>
              <w:right w:val="nil"/>
            </w:tcBorders>
            <w:shd w:val="clear" w:color="auto" w:fill="auto"/>
            <w:noWrap/>
            <w:vAlign w:val="center"/>
          </w:tcPr>
          <w:p w14:paraId="07D29FCC">
            <w:pPr>
              <w:rPr>
                <w:rFonts w:hint="eastAsia" w:ascii="仿宋" w:hAnsi="仿宋" w:eastAsia="仿宋" w:cs="仿宋"/>
                <w:i w:val="0"/>
                <w:iCs w:val="0"/>
                <w:color w:val="000000"/>
                <w:sz w:val="21"/>
                <w:szCs w:val="21"/>
                <w:u w:val="none"/>
              </w:rPr>
            </w:pPr>
          </w:p>
        </w:tc>
        <w:tc>
          <w:tcPr>
            <w:tcW w:w="1688" w:type="dxa"/>
            <w:tcBorders>
              <w:top w:val="single" w:color="000000" w:sz="4" w:space="0"/>
              <w:left w:val="nil"/>
              <w:bottom w:val="single" w:color="000000" w:sz="4" w:space="0"/>
              <w:right w:val="nil"/>
            </w:tcBorders>
            <w:shd w:val="clear" w:color="auto" w:fill="auto"/>
            <w:noWrap/>
            <w:vAlign w:val="center"/>
          </w:tcPr>
          <w:p w14:paraId="370CC45A">
            <w:pPr>
              <w:rPr>
                <w:rFonts w:hint="eastAsia" w:ascii="仿宋" w:hAnsi="仿宋" w:eastAsia="仿宋" w:cs="仿宋"/>
                <w:i w:val="0"/>
                <w:iCs w:val="0"/>
                <w:color w:val="000000"/>
                <w:sz w:val="21"/>
                <w:szCs w:val="21"/>
                <w:u w:val="none"/>
              </w:rPr>
            </w:pPr>
          </w:p>
        </w:tc>
        <w:tc>
          <w:tcPr>
            <w:tcW w:w="1750" w:type="dxa"/>
            <w:tcBorders>
              <w:top w:val="single" w:color="000000" w:sz="4" w:space="0"/>
              <w:left w:val="nil"/>
              <w:bottom w:val="single" w:color="000000" w:sz="4" w:space="0"/>
              <w:right w:val="nil"/>
            </w:tcBorders>
            <w:shd w:val="clear" w:color="auto" w:fill="auto"/>
            <w:noWrap/>
            <w:vAlign w:val="center"/>
          </w:tcPr>
          <w:p w14:paraId="20F03035">
            <w:pPr>
              <w:rPr>
                <w:rFonts w:hint="eastAsia" w:ascii="仿宋" w:hAnsi="仿宋" w:eastAsia="仿宋" w:cs="仿宋"/>
                <w:i w:val="0"/>
                <w:iCs w:val="0"/>
                <w:color w:val="000000"/>
                <w:sz w:val="21"/>
                <w:szCs w:val="21"/>
                <w:u w:val="none"/>
              </w:rPr>
            </w:pPr>
          </w:p>
        </w:tc>
        <w:tc>
          <w:tcPr>
            <w:tcW w:w="1554" w:type="dxa"/>
            <w:tcBorders>
              <w:top w:val="single" w:color="000000" w:sz="4" w:space="0"/>
              <w:left w:val="nil"/>
              <w:bottom w:val="single" w:color="000000" w:sz="4" w:space="0"/>
              <w:right w:val="single" w:color="000000" w:sz="4" w:space="0"/>
            </w:tcBorders>
            <w:shd w:val="clear" w:color="auto" w:fill="auto"/>
            <w:noWrap/>
            <w:vAlign w:val="center"/>
          </w:tcPr>
          <w:p w14:paraId="764150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5949998</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B1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5.702 </w:t>
            </w:r>
          </w:p>
        </w:tc>
      </w:tr>
      <w:tr w14:paraId="61799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F590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1.物业管理费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EF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1454713</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A3850">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D95C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2293084</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621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1730362</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78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5478159</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4E6B">
            <w:pPr>
              <w:jc w:val="center"/>
              <w:rPr>
                <w:rFonts w:hint="eastAsia" w:ascii="仿宋" w:hAnsi="仿宋" w:eastAsia="仿宋" w:cs="仿宋"/>
                <w:i w:val="0"/>
                <w:iCs w:val="0"/>
                <w:color w:val="000000"/>
                <w:sz w:val="21"/>
                <w:szCs w:val="21"/>
                <w:u w:val="none"/>
              </w:rPr>
            </w:pPr>
          </w:p>
        </w:tc>
      </w:tr>
      <w:tr w14:paraId="200F1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6EA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2.化粪池清理服务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F2C74">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7C6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EDC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115740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05C9">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F27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215740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99303">
            <w:pPr>
              <w:jc w:val="center"/>
              <w:rPr>
                <w:rFonts w:hint="eastAsia" w:ascii="仿宋" w:hAnsi="仿宋" w:eastAsia="仿宋" w:cs="仿宋"/>
                <w:i w:val="0"/>
                <w:iCs w:val="0"/>
                <w:color w:val="000000"/>
                <w:sz w:val="21"/>
                <w:szCs w:val="21"/>
                <w:u w:val="none"/>
              </w:rPr>
            </w:pPr>
          </w:p>
        </w:tc>
      </w:tr>
      <w:tr w14:paraId="76B48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FFF5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3.病区精细卫生</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9F3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2125</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1C0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37532.5</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46E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8050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9EDE">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4B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47707.5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13576">
            <w:pPr>
              <w:jc w:val="center"/>
              <w:rPr>
                <w:rFonts w:hint="eastAsia" w:ascii="仿宋" w:hAnsi="仿宋" w:eastAsia="仿宋" w:cs="仿宋"/>
                <w:i w:val="0"/>
                <w:iCs w:val="0"/>
                <w:color w:val="000000"/>
                <w:sz w:val="21"/>
                <w:szCs w:val="21"/>
                <w:u w:val="none"/>
              </w:rPr>
            </w:pPr>
          </w:p>
        </w:tc>
      </w:tr>
      <w:tr w14:paraId="34BFA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B012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4.电梯托管费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D19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35251.2</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ED3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145340.3</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4C9A3">
            <w:pPr>
              <w:jc w:val="center"/>
              <w:rPr>
                <w:rFonts w:hint="eastAsia" w:ascii="仿宋" w:hAnsi="仿宋" w:eastAsia="仿宋" w:cs="仿宋"/>
                <w:i w:val="0"/>
                <w:iCs w:val="0"/>
                <w:color w:val="000000"/>
                <w:sz w:val="21"/>
                <w:szCs w:val="21"/>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71CB1">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DCBD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180591.5</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32384">
            <w:pPr>
              <w:jc w:val="center"/>
              <w:rPr>
                <w:rFonts w:hint="eastAsia" w:ascii="仿宋" w:hAnsi="仿宋" w:eastAsia="仿宋" w:cs="仿宋"/>
                <w:i w:val="0"/>
                <w:iCs w:val="0"/>
                <w:color w:val="000000"/>
                <w:sz w:val="21"/>
                <w:szCs w:val="21"/>
                <w:u w:val="none"/>
              </w:rPr>
            </w:pPr>
          </w:p>
        </w:tc>
      </w:tr>
      <w:tr w14:paraId="4145C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88B5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5.外科大楼蓄水池消毒清洗</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5E3A6">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40CF1">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5B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19800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75FB4">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14E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19800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1E2DC">
            <w:pPr>
              <w:jc w:val="center"/>
              <w:rPr>
                <w:rFonts w:hint="eastAsia" w:ascii="仿宋" w:hAnsi="仿宋" w:eastAsia="仿宋" w:cs="仿宋"/>
                <w:i w:val="0"/>
                <w:iCs w:val="0"/>
                <w:color w:val="000000"/>
                <w:sz w:val="21"/>
                <w:szCs w:val="21"/>
                <w:u w:val="none"/>
              </w:rPr>
            </w:pPr>
          </w:p>
        </w:tc>
      </w:tr>
      <w:tr w14:paraId="26C7E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E90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6.高新院区商铺管道疏通、清掏</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344EA">
            <w:pPr>
              <w:jc w:val="center"/>
              <w:rPr>
                <w:rFonts w:hint="eastAsia" w:ascii="仿宋" w:hAnsi="仿宋" w:eastAsia="仿宋" w:cs="仿宋"/>
                <w:i w:val="0"/>
                <w:iCs w:val="0"/>
                <w:color w:val="000000"/>
                <w:sz w:val="21"/>
                <w:szCs w:val="21"/>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8E7B1">
            <w:pPr>
              <w:jc w:val="center"/>
              <w:rPr>
                <w:rFonts w:hint="eastAsia" w:ascii="仿宋" w:hAnsi="仿宋" w:eastAsia="仿宋" w:cs="仿宋"/>
                <w:i w:val="0"/>
                <w:iCs w:val="0"/>
                <w:color w:val="000000"/>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666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06EF">
            <w:pPr>
              <w:jc w:val="center"/>
              <w:rPr>
                <w:rFonts w:hint="eastAsia" w:ascii="仿宋" w:hAnsi="仿宋" w:eastAsia="仿宋" w:cs="仿宋"/>
                <w:i w:val="0"/>
                <w:iCs w:val="0"/>
                <w:color w:val="000000"/>
                <w:sz w:val="21"/>
                <w:szCs w:val="21"/>
                <w:u w:val="none"/>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3C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F75DF">
            <w:pPr>
              <w:jc w:val="center"/>
              <w:rPr>
                <w:rFonts w:hint="eastAsia" w:ascii="仿宋" w:hAnsi="仿宋" w:eastAsia="仿宋" w:cs="仿宋"/>
                <w:i w:val="0"/>
                <w:iCs w:val="0"/>
                <w:color w:val="000000"/>
                <w:sz w:val="21"/>
                <w:szCs w:val="21"/>
                <w:u w:val="none"/>
              </w:rPr>
            </w:pPr>
          </w:p>
        </w:tc>
      </w:tr>
      <w:tr w14:paraId="74F59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7A6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BEC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22559500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999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56000000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2D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19769928.93</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070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6021900.66</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B5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104351329.6</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DE072">
            <w:pPr>
              <w:jc w:val="center"/>
              <w:rPr>
                <w:rFonts w:hint="eastAsia" w:ascii="仿宋" w:hAnsi="仿宋" w:eastAsia="仿宋" w:cs="仿宋"/>
                <w:i w:val="0"/>
                <w:iCs w:val="0"/>
                <w:color w:val="000000"/>
                <w:sz w:val="21"/>
                <w:szCs w:val="21"/>
                <w:u w:val="none"/>
              </w:rPr>
            </w:pPr>
          </w:p>
        </w:tc>
      </w:tr>
      <w:tr w14:paraId="5CD7B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5C6D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资金余额</w:t>
            </w:r>
          </w:p>
        </w:tc>
        <w:tc>
          <w:tcPr>
            <w:tcW w:w="1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943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28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F56C2">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230071.07</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E503A">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478099.34</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3929">
            <w:pPr>
              <w:rPr>
                <w:rFonts w:hint="eastAsia" w:ascii="仿宋" w:hAnsi="仿宋" w:eastAsia="仿宋" w:cs="仿宋"/>
                <w:i w:val="0"/>
                <w:iCs w:val="0"/>
                <w:color w:val="000000"/>
                <w:sz w:val="21"/>
                <w:szCs w:val="21"/>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4EE1">
            <w:pPr>
              <w:rPr>
                <w:rFonts w:hint="eastAsia" w:ascii="仿宋" w:hAnsi="仿宋" w:eastAsia="仿宋" w:cs="仿宋"/>
                <w:i w:val="0"/>
                <w:iCs w:val="0"/>
                <w:color w:val="000000"/>
                <w:sz w:val="21"/>
                <w:szCs w:val="21"/>
                <w:u w:val="none"/>
              </w:rPr>
            </w:pPr>
          </w:p>
        </w:tc>
      </w:tr>
    </w:tbl>
    <w:p w14:paraId="76D9DE9B">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039ADDAF">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0599A758">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60EEFF8A">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7E5A7729">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121F5D13">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12A21EDE">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042AD0B">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36C3771E">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F2E7682">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06B59178">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7D3C407D">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7D7DC956">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CBC3015">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1738A9ED">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48F90B7F">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3770BBF1">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0A8B5D0D">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7619442C">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4C85239A">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26B422BC">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40F77CF7">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60EE7B43">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05F7376">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1BBA473A">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3F160F3D">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732C4FC8">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271BD17D">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128B43AC">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2A5CDDC0">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63A38E7C">
      <w:pPr>
        <w:keepNext w:val="0"/>
        <w:keepLines w:val="0"/>
        <w:pageBreakBefore w:val="0"/>
        <w:widowControl w:val="0"/>
        <w:tabs>
          <w:tab w:val="left" w:pos="5397"/>
        </w:tabs>
        <w:kinsoku/>
        <w:wordWrap/>
        <w:overflowPunct/>
        <w:topLinePunct w:val="0"/>
        <w:autoSpaceDE/>
        <w:autoSpaceDN/>
        <w:bidi w:val="0"/>
        <w:adjustRightInd/>
        <w:snapToGrid/>
        <w:spacing w:line="440" w:lineRule="exact"/>
        <w:jc w:val="left"/>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附件3</w:t>
      </w:r>
    </w:p>
    <w:p w14:paraId="704FB9DA">
      <w:pPr>
        <w:keepNext w:val="0"/>
        <w:keepLines w:val="0"/>
        <w:pageBreakBefore w:val="0"/>
        <w:widowControl w:val="0"/>
        <w:tabs>
          <w:tab w:val="left" w:pos="5397"/>
        </w:tabs>
        <w:kinsoku/>
        <w:wordWrap/>
        <w:overflowPunct/>
        <w:topLinePunct w:val="0"/>
        <w:autoSpaceDE/>
        <w:autoSpaceDN/>
        <w:bidi w:val="0"/>
        <w:adjustRightInd/>
        <w:snapToGrid/>
        <w:spacing w:after="159" w:afterLines="50" w:line="440" w:lineRule="exact"/>
        <w:jc w:val="center"/>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益阳中心医院高质量发展绩效评价指标分析数据支撑表</w:t>
      </w:r>
    </w:p>
    <w:tbl>
      <w:tblPr>
        <w:tblStyle w:val="7"/>
        <w:tblW w:w="155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0"/>
        <w:gridCol w:w="1963"/>
        <w:gridCol w:w="655"/>
        <w:gridCol w:w="2607"/>
        <w:gridCol w:w="1707"/>
        <w:gridCol w:w="1816"/>
        <w:gridCol w:w="1633"/>
        <w:gridCol w:w="1182"/>
        <w:gridCol w:w="3304"/>
      </w:tblGrid>
      <w:tr w14:paraId="2E921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blHeader/>
        </w:trPr>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75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维度</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30E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6EF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类别</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D47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2022年</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68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2023年</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EFB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2024年</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A01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目标值或参考值</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E4E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参考数据来源</w:t>
            </w:r>
          </w:p>
        </w:tc>
      </w:tr>
      <w:tr w14:paraId="072F6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8B43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政府责任落实</w:t>
            </w: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2FA74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公立医院财政补助收入占总支出的比重（%）</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8FCD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财政补助收入</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0128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19119375.26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3264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66547403.82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CF8B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160799331.69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0DC04">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10A4B">
            <w:pPr>
              <w:rPr>
                <w:rFonts w:hint="eastAsia" w:ascii="仿宋" w:hAnsi="仿宋" w:eastAsia="仿宋" w:cs="仿宋"/>
                <w:i w:val="0"/>
                <w:iCs w:val="0"/>
                <w:color w:val="000000"/>
                <w:sz w:val="21"/>
                <w:szCs w:val="21"/>
                <w:u w:val="none"/>
              </w:rPr>
            </w:pPr>
          </w:p>
        </w:tc>
      </w:tr>
      <w:tr w14:paraId="416FC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E191C">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4BCC3">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85C9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财政拨款支出</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343A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19119375.26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66A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66547403.82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25EC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92977103.32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9F3F8">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C983">
            <w:pPr>
              <w:rPr>
                <w:rFonts w:hint="eastAsia" w:ascii="仿宋" w:hAnsi="仿宋" w:eastAsia="仿宋" w:cs="仿宋"/>
                <w:i w:val="0"/>
                <w:iCs w:val="0"/>
                <w:color w:val="000000"/>
                <w:sz w:val="21"/>
                <w:szCs w:val="21"/>
                <w:u w:val="none"/>
              </w:rPr>
            </w:pPr>
          </w:p>
        </w:tc>
      </w:tr>
      <w:tr w14:paraId="26E1A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57174">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509D9">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881A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非财政专项资金支出</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0A8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28037377.16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9DE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32904666.96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1E6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49292837.51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7CBCC">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FCC61">
            <w:pPr>
              <w:rPr>
                <w:rFonts w:hint="eastAsia" w:ascii="仿宋" w:hAnsi="仿宋" w:eastAsia="仿宋" w:cs="仿宋"/>
                <w:i w:val="0"/>
                <w:iCs w:val="0"/>
                <w:color w:val="000000"/>
                <w:sz w:val="21"/>
                <w:szCs w:val="21"/>
                <w:u w:val="none"/>
              </w:rPr>
            </w:pPr>
          </w:p>
        </w:tc>
      </w:tr>
      <w:tr w14:paraId="0FC66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CC33D">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3C9D7">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0704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其他资金支出</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E060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1282258076.70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11FA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1413604828.28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277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2299465036.95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A8FFB">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1DAB7">
            <w:pPr>
              <w:rPr>
                <w:rFonts w:hint="eastAsia" w:ascii="仿宋" w:hAnsi="仿宋" w:eastAsia="仿宋" w:cs="仿宋"/>
                <w:i w:val="0"/>
                <w:iCs w:val="0"/>
                <w:color w:val="000000"/>
                <w:sz w:val="21"/>
                <w:szCs w:val="21"/>
                <w:u w:val="none"/>
              </w:rPr>
            </w:pPr>
          </w:p>
        </w:tc>
      </w:tr>
      <w:tr w14:paraId="1A2D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585CC">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D9600">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F37D4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财政收入占总支出比例</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40E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1.44 </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6824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4.40 </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E395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6.59 </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983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3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A9A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2018年全国三级公立医院财政收入占总支出统计</w:t>
            </w:r>
          </w:p>
        </w:tc>
      </w:tr>
      <w:tr w14:paraId="4B7F6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1A445">
            <w:pPr>
              <w:jc w:val="center"/>
              <w:rPr>
                <w:rFonts w:hint="eastAsia" w:ascii="仿宋" w:hAnsi="仿宋" w:eastAsia="仿宋" w:cs="仿宋"/>
                <w:i w:val="0"/>
                <w:iCs w:val="0"/>
                <w:color w:val="000000"/>
                <w:sz w:val="21"/>
                <w:szCs w:val="21"/>
                <w:u w:val="none"/>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84F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公立医院医护比（%）</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49C6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医生</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A98B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590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F1B5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610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0A5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752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A63F">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6E71">
            <w:pPr>
              <w:rPr>
                <w:rFonts w:hint="eastAsia" w:ascii="仿宋" w:hAnsi="仿宋" w:eastAsia="仿宋" w:cs="仿宋"/>
                <w:i w:val="0"/>
                <w:iCs w:val="0"/>
                <w:color w:val="000000"/>
                <w:sz w:val="21"/>
                <w:szCs w:val="21"/>
                <w:u w:val="none"/>
              </w:rPr>
            </w:pPr>
          </w:p>
        </w:tc>
      </w:tr>
      <w:tr w14:paraId="009D3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D4A1C">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06A79">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1CB4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注册护士</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E5D9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1065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6011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1048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084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1344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49967">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090BE">
            <w:pPr>
              <w:rPr>
                <w:rFonts w:hint="eastAsia" w:ascii="仿宋" w:hAnsi="仿宋" w:eastAsia="仿宋" w:cs="仿宋"/>
                <w:i w:val="0"/>
                <w:iCs w:val="0"/>
                <w:color w:val="000000"/>
                <w:sz w:val="21"/>
                <w:szCs w:val="21"/>
                <w:u w:val="none"/>
              </w:rPr>
            </w:pPr>
          </w:p>
        </w:tc>
      </w:tr>
      <w:tr w14:paraId="00992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E5A80">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E6379">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636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医护比例</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549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1：1.8</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C273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1：1.71</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B552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1：1.78</w:t>
            </w:r>
          </w:p>
        </w:tc>
        <w:tc>
          <w:tcPr>
            <w:tcW w:w="11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F7FB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3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3A41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湖南省“十四五”医疗卫生服务体系规划</w:t>
            </w:r>
          </w:p>
        </w:tc>
      </w:tr>
      <w:tr w14:paraId="1D91F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5DF11">
            <w:pPr>
              <w:jc w:val="center"/>
              <w:rPr>
                <w:rFonts w:hint="eastAsia" w:ascii="仿宋" w:hAnsi="仿宋" w:eastAsia="仿宋" w:cs="仿宋"/>
                <w:i w:val="0"/>
                <w:iCs w:val="0"/>
                <w:color w:val="000000"/>
                <w:sz w:val="21"/>
                <w:szCs w:val="21"/>
                <w:u w:val="none"/>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7CB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公立医院人员薪酬中固定部分占比（%）</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162E9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薪酬总额</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A3C9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350980279.46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D0E5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377192876.40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705E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436764221.59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0F2E8">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9955">
            <w:pPr>
              <w:rPr>
                <w:rFonts w:hint="eastAsia" w:ascii="仿宋" w:hAnsi="仿宋" w:eastAsia="仿宋" w:cs="仿宋"/>
                <w:i w:val="0"/>
                <w:iCs w:val="0"/>
                <w:color w:val="000000"/>
                <w:sz w:val="21"/>
                <w:szCs w:val="21"/>
                <w:u w:val="none"/>
              </w:rPr>
            </w:pPr>
          </w:p>
        </w:tc>
      </w:tr>
      <w:tr w14:paraId="3D487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55E9B">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2E74C">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9533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固定薪酬</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2E73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167616124.56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9C48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155869691.77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82BA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181688071.73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643BD">
            <w:pPr>
              <w:keepNext w:val="0"/>
              <w:keepLines w:val="0"/>
              <w:pageBreakBefore w:val="0"/>
              <w:widowControl/>
              <w:kinsoku/>
              <w:wordWrap/>
              <w:overflowPunct/>
              <w:topLinePunct w:val="0"/>
              <w:autoSpaceDE/>
              <w:autoSpaceDN/>
              <w:bidi w:val="0"/>
              <w:adjustRightInd/>
              <w:snapToGrid/>
              <w:spacing w:line="360" w:lineRule="exact"/>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CC6C">
            <w:pPr>
              <w:rPr>
                <w:rFonts w:hint="eastAsia" w:ascii="仿宋" w:hAnsi="仿宋" w:eastAsia="仿宋" w:cs="仿宋"/>
                <w:i w:val="0"/>
                <w:iCs w:val="0"/>
                <w:color w:val="000000"/>
                <w:sz w:val="21"/>
                <w:szCs w:val="21"/>
                <w:u w:val="none"/>
              </w:rPr>
            </w:pPr>
          </w:p>
        </w:tc>
      </w:tr>
      <w:tr w14:paraId="4D454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7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9F4483E">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61AD608">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3B20377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固定薪酬占比</w:t>
            </w:r>
          </w:p>
        </w:tc>
        <w:tc>
          <w:tcPr>
            <w:tcW w:w="17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6062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47.76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FFE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41.32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A6106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41.60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864A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逐步提高</w:t>
            </w:r>
          </w:p>
        </w:tc>
        <w:tc>
          <w:tcPr>
            <w:tcW w:w="3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D76C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市政府实施方案</w:t>
            </w:r>
          </w:p>
        </w:tc>
      </w:tr>
      <w:tr w14:paraId="65BAA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15B692">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eastAsia="zh-CN"/>
              </w:rPr>
              <w:t>医院能力提升</w:t>
            </w:r>
          </w:p>
        </w:tc>
        <w:tc>
          <w:tcPr>
            <w:tcW w:w="522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DA71C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公立医院百元医疗收入的医疗支出（不含药品）（元）</w:t>
            </w:r>
          </w:p>
        </w:tc>
        <w:tc>
          <w:tcPr>
            <w:tcW w:w="1707" w:type="dxa"/>
            <w:tcBorders>
              <w:top w:val="single" w:color="000000" w:sz="4" w:space="0"/>
              <w:left w:val="single" w:color="auto" w:sz="4" w:space="0"/>
              <w:bottom w:val="single" w:color="000000" w:sz="4" w:space="0"/>
              <w:right w:val="single" w:color="000000" w:sz="4" w:space="0"/>
            </w:tcBorders>
            <w:shd w:val="clear" w:color="auto" w:fill="auto"/>
            <w:vAlign w:val="center"/>
          </w:tcPr>
          <w:p w14:paraId="2A9461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101.57 </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176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104.87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0D4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106.19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9C25">
            <w:pP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61B6">
            <w:pPr>
              <w:rPr>
                <w:rFonts w:hint="eastAsia" w:ascii="仿宋" w:hAnsi="仿宋" w:eastAsia="仿宋" w:cs="仿宋"/>
                <w:i w:val="0"/>
                <w:iCs w:val="0"/>
                <w:color w:val="000000"/>
                <w:sz w:val="21"/>
                <w:szCs w:val="21"/>
                <w:u w:val="none"/>
              </w:rPr>
            </w:pPr>
          </w:p>
        </w:tc>
      </w:tr>
      <w:tr w14:paraId="23958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7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A3CCB54">
            <w:pPr>
              <w:rPr>
                <w:rFonts w:hint="eastAsia" w:ascii="仿宋" w:hAnsi="仿宋" w:eastAsia="仿宋" w:cs="仿宋"/>
                <w:i w:val="0"/>
                <w:iCs w:val="0"/>
                <w:color w:val="000000"/>
                <w:sz w:val="21"/>
                <w:szCs w:val="21"/>
                <w:u w:val="none"/>
              </w:rPr>
            </w:pPr>
          </w:p>
        </w:tc>
        <w:tc>
          <w:tcPr>
            <w:tcW w:w="196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E847C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公立医院人员支出占业务支出的比例（%）</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B18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人员支出</w:t>
            </w:r>
          </w:p>
        </w:tc>
        <w:tc>
          <w:tcPr>
            <w:tcW w:w="1707" w:type="dxa"/>
            <w:tcBorders>
              <w:top w:val="single" w:color="FF00FF" w:sz="4" w:space="0"/>
              <w:left w:val="single" w:color="FF00FF" w:sz="4" w:space="0"/>
              <w:bottom w:val="single" w:color="000000" w:sz="4" w:space="0"/>
              <w:right w:val="nil"/>
            </w:tcBorders>
            <w:shd w:val="clear" w:color="auto" w:fill="FFFFFF"/>
            <w:vAlign w:val="center"/>
          </w:tcPr>
          <w:p w14:paraId="12DD1926">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350980279.46 </w:t>
            </w:r>
          </w:p>
        </w:tc>
        <w:tc>
          <w:tcPr>
            <w:tcW w:w="1816" w:type="dxa"/>
            <w:tcBorders>
              <w:top w:val="single" w:color="FF00FF" w:sz="4" w:space="0"/>
              <w:left w:val="single" w:color="FF00FF" w:sz="4" w:space="0"/>
              <w:bottom w:val="single" w:color="000000" w:sz="4" w:space="0"/>
              <w:right w:val="nil"/>
            </w:tcBorders>
            <w:shd w:val="clear" w:color="auto" w:fill="FFFFFF"/>
            <w:vAlign w:val="center"/>
          </w:tcPr>
          <w:p w14:paraId="46C2B522">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377192876.40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A8F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436764221.59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52863">
            <w:pP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441BA">
            <w:pPr>
              <w:rPr>
                <w:rFonts w:hint="eastAsia" w:ascii="仿宋" w:hAnsi="仿宋" w:eastAsia="仿宋" w:cs="仿宋"/>
                <w:i w:val="0"/>
                <w:iCs w:val="0"/>
                <w:color w:val="000000"/>
                <w:sz w:val="21"/>
                <w:szCs w:val="21"/>
                <w:u w:val="none"/>
              </w:rPr>
            </w:pPr>
          </w:p>
        </w:tc>
      </w:tr>
      <w:tr w14:paraId="7CE5D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7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96EC8A5">
            <w:pP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3AF239">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FD1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业务支出</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0588">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1155520446.00 </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8EB3">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1179141222.12 </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6821">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1241421168.46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BC279">
            <w:pP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A44D5">
            <w:pPr>
              <w:rPr>
                <w:rFonts w:hint="eastAsia" w:ascii="仿宋" w:hAnsi="仿宋" w:eastAsia="仿宋" w:cs="仿宋"/>
                <w:i w:val="0"/>
                <w:iCs w:val="0"/>
                <w:color w:val="000000"/>
                <w:sz w:val="21"/>
                <w:szCs w:val="21"/>
                <w:u w:val="none"/>
              </w:rPr>
            </w:pPr>
          </w:p>
        </w:tc>
      </w:tr>
      <w:tr w14:paraId="5A90E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7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4C5E6F6">
            <w:pP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C1ED537">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5EDB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人员支出占业务支出</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F42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30.37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3FB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31.99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82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35.18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13CD2">
            <w:pP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928D7">
            <w:pPr>
              <w:rPr>
                <w:rFonts w:hint="eastAsia" w:ascii="仿宋" w:hAnsi="仿宋" w:eastAsia="仿宋" w:cs="仿宋"/>
                <w:i w:val="0"/>
                <w:iCs w:val="0"/>
                <w:color w:val="000000"/>
                <w:sz w:val="21"/>
                <w:szCs w:val="21"/>
                <w:u w:val="none"/>
              </w:rPr>
            </w:pPr>
          </w:p>
        </w:tc>
      </w:tr>
      <w:tr w14:paraId="740F0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8FE9CB3">
            <w:pPr>
              <w:jc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sz w:val="21"/>
                <w:szCs w:val="21"/>
                <w:u w:val="none"/>
                <w:lang w:eastAsia="zh-CN"/>
              </w:rPr>
              <w:t>医院诊疗能力提升</w:t>
            </w:r>
          </w:p>
        </w:tc>
        <w:tc>
          <w:tcPr>
            <w:tcW w:w="196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12315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住院患者重点监测病种覆盖率</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C0A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重点监测病种出院人数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703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F68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81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C6573">
            <w:pP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855C">
            <w:pPr>
              <w:rPr>
                <w:rFonts w:hint="eastAsia" w:ascii="仿宋" w:hAnsi="仿宋" w:eastAsia="仿宋" w:cs="仿宋"/>
                <w:i w:val="0"/>
                <w:iCs w:val="0"/>
                <w:color w:val="000000"/>
                <w:sz w:val="21"/>
                <w:szCs w:val="21"/>
                <w:u w:val="none"/>
              </w:rPr>
            </w:pPr>
          </w:p>
        </w:tc>
      </w:tr>
      <w:tr w14:paraId="68773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2E3667">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2A6973">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505C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同期出院人数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BA9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D0AD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A59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6168">
            <w:pP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1CC1">
            <w:pPr>
              <w:rPr>
                <w:rFonts w:hint="eastAsia" w:ascii="仿宋" w:hAnsi="仿宋" w:eastAsia="仿宋" w:cs="仿宋"/>
                <w:i w:val="0"/>
                <w:iCs w:val="0"/>
                <w:color w:val="000000"/>
                <w:sz w:val="21"/>
                <w:szCs w:val="21"/>
                <w:u w:val="none"/>
              </w:rPr>
            </w:pPr>
          </w:p>
        </w:tc>
      </w:tr>
      <w:tr w14:paraId="0BCC6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77EC7C">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9DE128">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EF5D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覆盖率</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0C7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9459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93B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18E66">
            <w:pP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ACF4D">
            <w:pPr>
              <w:rPr>
                <w:rFonts w:hint="eastAsia" w:ascii="仿宋" w:hAnsi="仿宋" w:eastAsia="仿宋" w:cs="仿宋"/>
                <w:i w:val="0"/>
                <w:iCs w:val="0"/>
                <w:color w:val="000000"/>
                <w:sz w:val="21"/>
                <w:szCs w:val="21"/>
                <w:u w:val="none"/>
              </w:rPr>
            </w:pPr>
          </w:p>
        </w:tc>
      </w:tr>
      <w:tr w14:paraId="60A16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9A4E26">
            <w:pPr>
              <w:jc w:val="center"/>
              <w:rPr>
                <w:rFonts w:hint="eastAsia" w:ascii="仿宋" w:hAnsi="仿宋" w:eastAsia="仿宋" w:cs="仿宋"/>
                <w:i w:val="0"/>
                <w:iCs w:val="0"/>
                <w:color w:val="000000"/>
                <w:sz w:val="21"/>
                <w:szCs w:val="21"/>
                <w:u w:val="none"/>
              </w:rPr>
            </w:pPr>
          </w:p>
        </w:tc>
        <w:tc>
          <w:tcPr>
            <w:tcW w:w="1963"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6C63E5C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专科能力指数</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4D8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基于疾病病种的医院相关专科能力综合指数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94A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暂无数据</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A4D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暂无数据</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9C4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F119">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F32DC">
            <w:pPr>
              <w:rPr>
                <w:rFonts w:hint="eastAsia" w:ascii="仿宋" w:hAnsi="仿宋" w:eastAsia="仿宋" w:cs="仿宋"/>
                <w:i w:val="0"/>
                <w:iCs w:val="0"/>
                <w:color w:val="000000"/>
                <w:kern w:val="2"/>
                <w:sz w:val="21"/>
                <w:szCs w:val="21"/>
                <w:u w:val="none"/>
                <w:lang w:val="en-US" w:eastAsia="zh-CN" w:bidi="ar-SA"/>
              </w:rPr>
            </w:pPr>
          </w:p>
        </w:tc>
      </w:tr>
      <w:tr w14:paraId="52285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A04C31">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742E5EE2">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99AE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手术患者人数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804D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23365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A891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20076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23C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24230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8BBE9">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E6B1C">
            <w:pPr>
              <w:rPr>
                <w:rFonts w:hint="eastAsia" w:ascii="仿宋" w:hAnsi="仿宋" w:eastAsia="仿宋" w:cs="仿宋"/>
                <w:i w:val="0"/>
                <w:iCs w:val="0"/>
                <w:color w:val="000000"/>
                <w:kern w:val="2"/>
                <w:sz w:val="21"/>
                <w:szCs w:val="21"/>
                <w:u w:val="none"/>
                <w:lang w:val="en-US" w:eastAsia="zh-CN" w:bidi="ar-SA"/>
              </w:rPr>
            </w:pPr>
          </w:p>
        </w:tc>
      </w:tr>
      <w:tr w14:paraId="0F1DC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E0618F">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1D3729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52F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并发症发生人数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D5CD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无数据</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53E4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下半年（50）</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6AA6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120.00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9FA5C">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99748">
            <w:pPr>
              <w:rPr>
                <w:rFonts w:hint="eastAsia" w:ascii="仿宋" w:hAnsi="仿宋" w:eastAsia="仿宋" w:cs="仿宋"/>
                <w:i w:val="0"/>
                <w:iCs w:val="0"/>
                <w:color w:val="000000"/>
                <w:kern w:val="2"/>
                <w:sz w:val="21"/>
                <w:szCs w:val="21"/>
                <w:u w:val="none"/>
                <w:lang w:val="en-US" w:eastAsia="zh-CN" w:bidi="ar-SA"/>
              </w:rPr>
            </w:pPr>
          </w:p>
        </w:tc>
      </w:tr>
      <w:tr w14:paraId="3DB0A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5C2B32">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5EE1416">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5B83FC7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并发症发生率（%）</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D00A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无数据</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ECA1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下半年（0.51%）</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8AA7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0.01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069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≤0.48%</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FCD19">
            <w:pPr>
              <w:rPr>
                <w:rFonts w:hint="eastAsia" w:ascii="仿宋" w:hAnsi="仿宋" w:eastAsia="仿宋" w:cs="仿宋"/>
                <w:i w:val="0"/>
                <w:iCs w:val="0"/>
                <w:color w:val="000000"/>
                <w:kern w:val="2"/>
                <w:sz w:val="21"/>
                <w:szCs w:val="21"/>
                <w:u w:val="none"/>
                <w:lang w:val="en-US" w:eastAsia="zh-CN" w:bidi="ar-SA"/>
              </w:rPr>
            </w:pPr>
          </w:p>
        </w:tc>
      </w:tr>
      <w:tr w14:paraId="7844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20E5E6">
            <w:pPr>
              <w:jc w:val="center"/>
              <w:rPr>
                <w:rFonts w:hint="eastAsia" w:ascii="仿宋" w:hAnsi="仿宋" w:eastAsia="仿宋" w:cs="仿宋"/>
                <w:i w:val="0"/>
                <w:iCs w:val="0"/>
                <w:color w:val="000000"/>
                <w:sz w:val="21"/>
                <w:szCs w:val="21"/>
                <w:u w:val="none"/>
              </w:rPr>
            </w:pPr>
          </w:p>
        </w:tc>
        <w:tc>
          <w:tcPr>
            <w:tcW w:w="1963"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451C413A">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公立医院出院患者手术占比和出院患者三、四级手术比例（%）</w:t>
            </w:r>
          </w:p>
        </w:tc>
        <w:tc>
          <w:tcPr>
            <w:tcW w:w="3262"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019BBF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患者住院人数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26E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68263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09B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76785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0B4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87484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7C5C">
            <w:pPr>
              <w:jc w:val="center"/>
              <w:rPr>
                <w:rFonts w:hint="eastAsia" w:ascii="仿宋" w:hAnsi="仿宋" w:eastAsia="仿宋" w:cs="仿宋"/>
                <w:i w:val="0"/>
                <w:iCs w:val="0"/>
                <w:color w:val="000000"/>
                <w:kern w:val="0"/>
                <w:sz w:val="21"/>
                <w:szCs w:val="21"/>
                <w:u w:val="none"/>
                <w:lang w:val="en-US" w:eastAsia="zh-CN" w:bidi="ar"/>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CA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D83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50F2BB">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DD775C3">
            <w:pPr>
              <w:jc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618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住院手术量</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0F8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19995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13B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20076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45E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24567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C147A">
            <w:pPr>
              <w:jc w:val="center"/>
              <w:rPr>
                <w:rFonts w:hint="eastAsia" w:ascii="仿宋" w:hAnsi="仿宋" w:eastAsia="仿宋" w:cs="仿宋"/>
                <w:i w:val="0"/>
                <w:iCs w:val="0"/>
                <w:color w:val="000000"/>
                <w:kern w:val="0"/>
                <w:sz w:val="21"/>
                <w:szCs w:val="21"/>
                <w:u w:val="none"/>
                <w:lang w:val="en-US" w:eastAsia="zh-CN" w:bidi="ar"/>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C1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89C8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370364">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AEB79A7">
            <w:pPr>
              <w:jc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05B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出院患者手术占比（%）</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5AD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29.29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20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26.15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AC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28.08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470CB">
            <w:pPr>
              <w:jc w:val="center"/>
              <w:rPr>
                <w:rFonts w:hint="eastAsia" w:ascii="仿宋" w:hAnsi="仿宋" w:eastAsia="仿宋" w:cs="仿宋"/>
                <w:i w:val="0"/>
                <w:iCs w:val="0"/>
                <w:color w:val="000000"/>
                <w:kern w:val="0"/>
                <w:sz w:val="21"/>
                <w:szCs w:val="21"/>
                <w:u w:val="none"/>
                <w:lang w:val="en-US" w:eastAsia="zh-CN" w:bidi="ar"/>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CAD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15AF5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E9BC54">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4B63E13">
            <w:pPr>
              <w:jc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CA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四级手术量</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F95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3757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A61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3671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8DF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4339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E300A">
            <w:pPr>
              <w:jc w:val="center"/>
              <w:rPr>
                <w:rFonts w:hint="eastAsia" w:ascii="仿宋" w:hAnsi="仿宋" w:eastAsia="仿宋" w:cs="仿宋"/>
                <w:i w:val="0"/>
                <w:iCs w:val="0"/>
                <w:color w:val="000000"/>
                <w:kern w:val="0"/>
                <w:sz w:val="21"/>
                <w:szCs w:val="21"/>
                <w:u w:val="none"/>
                <w:lang w:val="en-US" w:eastAsia="zh-CN" w:bidi="ar"/>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3F1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76B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F35B79">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2A8CE4E9">
            <w:pPr>
              <w:jc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5D489F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三级手术量</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71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6090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973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9876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7A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13960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AB734">
            <w:pPr>
              <w:jc w:val="center"/>
              <w:rPr>
                <w:rFonts w:hint="eastAsia" w:ascii="仿宋" w:hAnsi="仿宋" w:eastAsia="仿宋" w:cs="仿宋"/>
                <w:i w:val="0"/>
                <w:iCs w:val="0"/>
                <w:color w:val="000000"/>
                <w:kern w:val="0"/>
                <w:sz w:val="21"/>
                <w:szCs w:val="21"/>
                <w:u w:val="none"/>
                <w:lang w:val="en-US" w:eastAsia="zh-CN" w:bidi="ar"/>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731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354B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276FDB">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26710B0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auto" w:sz="4" w:space="0"/>
              <w:left w:val="single" w:color="000000" w:sz="4" w:space="0"/>
              <w:bottom w:val="single" w:color="auto" w:sz="4" w:space="0"/>
              <w:right w:val="single" w:color="000000" w:sz="4" w:space="0"/>
            </w:tcBorders>
            <w:shd w:val="clear" w:color="auto" w:fill="auto"/>
            <w:noWrap/>
            <w:vAlign w:val="center"/>
          </w:tcPr>
          <w:p w14:paraId="048F1D0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四级、三级占比（%）</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B4C1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18.8：30.45</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6F46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18.3：49.2</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786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17.7：56.82</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1521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35%    20.09%</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AD6F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市政府实施方案               23年全国三级医院平均数</w:t>
            </w:r>
          </w:p>
        </w:tc>
      </w:tr>
      <w:tr w14:paraId="4757A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7FCF69E">
            <w:pPr>
              <w:jc w:val="center"/>
              <w:rPr>
                <w:rFonts w:hint="eastAsia" w:ascii="仿宋" w:hAnsi="仿宋" w:eastAsia="仿宋" w:cs="仿宋"/>
                <w:i w:val="0"/>
                <w:iCs w:val="0"/>
                <w:color w:val="000000"/>
                <w:sz w:val="21"/>
                <w:szCs w:val="21"/>
                <w:u w:val="none"/>
              </w:rPr>
            </w:pPr>
          </w:p>
        </w:tc>
        <w:tc>
          <w:tcPr>
            <w:tcW w:w="1963"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4F5999B7">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出院手术患者微创手术占比</w:t>
            </w:r>
          </w:p>
        </w:tc>
        <w:tc>
          <w:tcPr>
            <w:tcW w:w="3262"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0423590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住院手术量</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AD7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19995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0450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20076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9787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24567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FA7C6">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71196">
            <w:pPr>
              <w:rPr>
                <w:rFonts w:hint="eastAsia" w:ascii="仿宋" w:hAnsi="仿宋" w:eastAsia="仿宋" w:cs="仿宋"/>
                <w:i w:val="0"/>
                <w:iCs w:val="0"/>
                <w:color w:val="000000"/>
                <w:kern w:val="2"/>
                <w:sz w:val="21"/>
                <w:szCs w:val="21"/>
                <w:u w:val="none"/>
                <w:lang w:val="en-US" w:eastAsia="zh-CN" w:bidi="ar-SA"/>
              </w:rPr>
            </w:pPr>
          </w:p>
        </w:tc>
      </w:tr>
      <w:tr w14:paraId="5ED86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9786F7">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217B421C">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22B1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微创手术</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3C0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4526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DADA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4676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D38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5519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C73A">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F11AD">
            <w:pPr>
              <w:rPr>
                <w:rFonts w:hint="eastAsia" w:ascii="仿宋" w:hAnsi="仿宋" w:eastAsia="仿宋" w:cs="仿宋"/>
                <w:i w:val="0"/>
                <w:iCs w:val="0"/>
                <w:color w:val="000000"/>
                <w:kern w:val="2"/>
                <w:sz w:val="21"/>
                <w:szCs w:val="21"/>
                <w:u w:val="none"/>
                <w:lang w:val="en-US" w:eastAsia="zh-CN" w:bidi="ar-SA"/>
              </w:rPr>
            </w:pPr>
          </w:p>
        </w:tc>
      </w:tr>
      <w:tr w14:paraId="0340A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6E26E8">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2CEBFE1C">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04035A9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微创手术人数占比（%）</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5984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22.64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284E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23.29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4DA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22.47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13E8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20.59</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3C6F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2023年国家卫生健康统计公报（三级医院数据）</w:t>
            </w:r>
          </w:p>
        </w:tc>
      </w:tr>
      <w:tr w14:paraId="37E31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20A1DB">
            <w:pPr>
              <w:jc w:val="center"/>
              <w:rPr>
                <w:rFonts w:hint="eastAsia" w:ascii="仿宋" w:hAnsi="仿宋" w:eastAsia="仿宋" w:cs="仿宋"/>
                <w:i w:val="0"/>
                <w:iCs w:val="0"/>
                <w:color w:val="000000"/>
                <w:sz w:val="21"/>
                <w:szCs w:val="21"/>
                <w:u w:val="none"/>
              </w:rPr>
            </w:pPr>
          </w:p>
        </w:tc>
        <w:tc>
          <w:tcPr>
            <w:tcW w:w="196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346D2D83">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3262" w:type="dxa"/>
            <w:gridSpan w:val="2"/>
            <w:tcBorders>
              <w:top w:val="single" w:color="auto" w:sz="4" w:space="0"/>
              <w:left w:val="single" w:color="000000" w:sz="4" w:space="0"/>
              <w:bottom w:val="single" w:color="auto" w:sz="4" w:space="0"/>
              <w:right w:val="single" w:color="000000" w:sz="4" w:space="0"/>
            </w:tcBorders>
            <w:shd w:val="clear" w:color="auto" w:fill="auto"/>
            <w:noWrap/>
            <w:vAlign w:val="center"/>
          </w:tcPr>
          <w:p w14:paraId="61B1761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 公立医院平均住院日（天）</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5D9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8.90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A583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8.10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6E3E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7.70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3EE9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Style w:val="19"/>
                <w:rFonts w:hint="eastAsia" w:ascii="仿宋" w:hAnsi="仿宋" w:eastAsia="仿宋" w:cs="仿宋"/>
                <w:sz w:val="21"/>
                <w:szCs w:val="21"/>
                <w:lang w:val="en-US" w:eastAsia="zh-CN" w:bidi="ar"/>
              </w:rPr>
              <w:t>≤8</w:t>
            </w:r>
            <w:r>
              <w:rPr>
                <w:rStyle w:val="20"/>
                <w:rFonts w:hint="eastAsia" w:ascii="仿宋" w:hAnsi="仿宋" w:eastAsia="仿宋" w:cs="仿宋"/>
                <w:sz w:val="21"/>
                <w:szCs w:val="21"/>
                <w:lang w:val="en-US" w:eastAsia="zh-CN" w:bidi="ar"/>
              </w:rPr>
              <w:t>天</w:t>
            </w:r>
            <w:r>
              <w:rPr>
                <w:rStyle w:val="21"/>
                <w:rFonts w:hint="eastAsia" w:ascii="仿宋" w:hAnsi="仿宋" w:eastAsia="仿宋" w:cs="仿宋"/>
                <w:sz w:val="21"/>
                <w:szCs w:val="21"/>
                <w:lang w:val="en-US" w:eastAsia="zh-CN" w:bidi="ar"/>
              </w:rPr>
              <w:t xml:space="preserve">                  </w:t>
            </w:r>
            <w:r>
              <w:rPr>
                <w:rFonts w:hint="eastAsia" w:ascii="仿宋" w:hAnsi="仿宋" w:eastAsia="仿宋" w:cs="仿宋"/>
                <w:i w:val="0"/>
                <w:iCs w:val="0"/>
                <w:color w:val="000000"/>
                <w:kern w:val="0"/>
                <w:sz w:val="21"/>
                <w:szCs w:val="21"/>
                <w:u w:val="none"/>
                <w:lang w:val="en-US" w:eastAsia="zh-CN" w:bidi="ar"/>
              </w:rPr>
              <w:t>7.7天</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793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市政府实施方案               24年全国三级医院平均数</w:t>
            </w:r>
          </w:p>
        </w:tc>
      </w:tr>
      <w:tr w14:paraId="1B82C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5E6F0E">
            <w:pPr>
              <w:jc w:val="center"/>
              <w:rPr>
                <w:rFonts w:hint="eastAsia" w:ascii="仿宋" w:hAnsi="仿宋" w:eastAsia="仿宋" w:cs="仿宋"/>
                <w:i w:val="0"/>
                <w:iCs w:val="0"/>
                <w:color w:val="000000"/>
                <w:sz w:val="21"/>
                <w:szCs w:val="21"/>
                <w:u w:val="none"/>
              </w:rPr>
            </w:pPr>
          </w:p>
        </w:tc>
        <w:tc>
          <w:tcPr>
            <w:tcW w:w="1963" w:type="dxa"/>
            <w:vMerge w:val="restart"/>
            <w:tcBorders>
              <w:top w:val="single" w:color="000000" w:sz="4" w:space="0"/>
              <w:left w:val="single" w:color="000000" w:sz="4" w:space="0"/>
              <w:right w:val="single" w:color="000000" w:sz="4" w:space="0"/>
            </w:tcBorders>
            <w:shd w:val="clear" w:color="auto" w:fill="auto"/>
            <w:noWrap/>
            <w:vAlign w:val="center"/>
          </w:tcPr>
          <w:p w14:paraId="7782F98A">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655" w:type="dxa"/>
            <w:vMerge w:val="restart"/>
            <w:tcBorders>
              <w:top w:val="single" w:color="000000" w:sz="4" w:space="0"/>
              <w:left w:val="single" w:color="000000" w:sz="4" w:space="0"/>
              <w:bottom w:val="single" w:color="auto" w:sz="4" w:space="0"/>
              <w:right w:val="single" w:color="auto" w:sz="4" w:space="0"/>
            </w:tcBorders>
            <w:shd w:val="clear" w:color="auto" w:fill="auto"/>
            <w:noWrap/>
            <w:vAlign w:val="center"/>
          </w:tcPr>
          <w:p w14:paraId="0B7C374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住院医药费用</w:t>
            </w:r>
          </w:p>
        </w:tc>
        <w:tc>
          <w:tcPr>
            <w:tcW w:w="2607"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6B9AC35E">
            <w:pPr>
              <w:keepNext w:val="0"/>
              <w:keepLines w:val="0"/>
              <w:widowControl/>
              <w:suppressLineNumbers w:val="0"/>
              <w:jc w:val="left"/>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 出院者平均医药费用</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7664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14704.67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4A5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12977.98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A31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11462.45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02224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12031.30 </w:t>
            </w: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EB05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24年全国三级医院平均费用</w:t>
            </w:r>
          </w:p>
        </w:tc>
      </w:tr>
      <w:tr w14:paraId="230CA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CE3C452">
            <w:pPr>
              <w:jc w:val="center"/>
              <w:rPr>
                <w:rFonts w:hint="eastAsia" w:ascii="仿宋" w:hAnsi="仿宋" w:eastAsia="仿宋" w:cs="仿宋"/>
                <w:i w:val="0"/>
                <w:iCs w:val="0"/>
                <w:color w:val="000000"/>
                <w:sz w:val="21"/>
                <w:szCs w:val="21"/>
                <w:u w:val="none"/>
              </w:rPr>
            </w:pPr>
          </w:p>
        </w:tc>
        <w:tc>
          <w:tcPr>
            <w:tcW w:w="1963" w:type="dxa"/>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65C59A7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p>
        </w:tc>
        <w:tc>
          <w:tcPr>
            <w:tcW w:w="655" w:type="dxa"/>
            <w:vMerge w:val="continue"/>
            <w:tcBorders>
              <w:top w:val="single" w:color="auto" w:sz="4" w:space="0"/>
              <w:left w:val="single" w:color="000000" w:sz="4" w:space="0"/>
              <w:bottom w:val="single" w:color="000000" w:sz="4" w:space="0"/>
              <w:right w:val="single" w:color="auto" w:sz="4" w:space="0"/>
            </w:tcBorders>
            <w:shd w:val="clear" w:color="auto" w:fill="auto"/>
            <w:noWrap/>
            <w:vAlign w:val="center"/>
          </w:tcPr>
          <w:p w14:paraId="738EDA1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p>
        </w:tc>
        <w:tc>
          <w:tcPr>
            <w:tcW w:w="2607" w:type="dxa"/>
            <w:tcBorders>
              <w:top w:val="single" w:color="auto" w:sz="4" w:space="0"/>
              <w:left w:val="single" w:color="auto" w:sz="4" w:space="0"/>
              <w:bottom w:val="single" w:color="000000" w:sz="4" w:space="0"/>
              <w:right w:val="single" w:color="000000" w:sz="4" w:space="0"/>
            </w:tcBorders>
            <w:shd w:val="clear" w:color="auto" w:fill="auto"/>
            <w:noWrap/>
            <w:vAlign w:val="center"/>
          </w:tcPr>
          <w:p w14:paraId="34D4458F">
            <w:pPr>
              <w:keepNext w:val="0"/>
              <w:keepLines w:val="0"/>
              <w:widowControl/>
              <w:suppressLineNumbers w:val="0"/>
              <w:jc w:val="left"/>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医药费用较上年增长率</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013E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-9.58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25C8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-11.74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9058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-11.68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B16D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-6</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1B42">
            <w:pPr>
              <w:jc w:val="center"/>
              <w:rPr>
                <w:rFonts w:hint="eastAsia" w:ascii="仿宋" w:hAnsi="仿宋" w:eastAsia="仿宋" w:cs="仿宋"/>
                <w:i w:val="0"/>
                <w:iCs w:val="0"/>
                <w:color w:val="000000"/>
                <w:kern w:val="2"/>
                <w:sz w:val="21"/>
                <w:szCs w:val="21"/>
                <w:u w:val="none"/>
                <w:lang w:val="en-US" w:eastAsia="zh-CN" w:bidi="ar-SA"/>
              </w:rPr>
            </w:pPr>
          </w:p>
        </w:tc>
      </w:tr>
      <w:tr w14:paraId="0ED4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restart"/>
            <w:tcBorders>
              <w:top w:val="single" w:color="000000" w:sz="4" w:space="0"/>
              <w:left w:val="single" w:color="000000" w:sz="4" w:space="0"/>
              <w:right w:val="single" w:color="000000" w:sz="4" w:space="0"/>
            </w:tcBorders>
            <w:shd w:val="clear" w:color="auto" w:fill="auto"/>
            <w:vAlign w:val="center"/>
          </w:tcPr>
          <w:p w14:paraId="3636071A">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eastAsia="zh-CN"/>
              </w:rPr>
              <w:t>医疗质量安全提升</w:t>
            </w: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5C8A9">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sz w:val="21"/>
                <w:szCs w:val="21"/>
                <w:u w:val="none"/>
                <w:lang w:eastAsia="zh-CN"/>
              </w:rPr>
              <w:t>医疗质量安全</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3FE0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I类切口手术部位感染数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988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3F04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下半年 （0.02%）</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338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7C57">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65E7">
            <w:pPr>
              <w:rPr>
                <w:rFonts w:hint="eastAsia" w:ascii="仿宋" w:hAnsi="仿宋" w:eastAsia="仿宋" w:cs="仿宋"/>
                <w:i w:val="0"/>
                <w:iCs w:val="0"/>
                <w:color w:val="000000"/>
                <w:kern w:val="2"/>
                <w:sz w:val="21"/>
                <w:szCs w:val="21"/>
                <w:u w:val="none"/>
                <w:lang w:val="en-US" w:eastAsia="zh-CN" w:bidi="ar-SA"/>
              </w:rPr>
            </w:pPr>
          </w:p>
        </w:tc>
      </w:tr>
      <w:tr w14:paraId="10E67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137C89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right w:val="single" w:color="000000" w:sz="4" w:space="0"/>
            </w:tcBorders>
            <w:shd w:val="clear" w:color="auto" w:fill="auto"/>
            <w:vAlign w:val="center"/>
          </w:tcPr>
          <w:p w14:paraId="47B59EA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1324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低风险组病例死亡数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ADE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2.00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A5A7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0.00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AD2D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1D5B">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C75A">
            <w:pPr>
              <w:rPr>
                <w:rFonts w:hint="eastAsia" w:ascii="仿宋" w:hAnsi="仿宋" w:eastAsia="仿宋" w:cs="仿宋"/>
                <w:i w:val="0"/>
                <w:iCs w:val="0"/>
                <w:color w:val="000000"/>
                <w:kern w:val="2"/>
                <w:sz w:val="21"/>
                <w:szCs w:val="21"/>
                <w:u w:val="none"/>
                <w:lang w:val="en-US" w:eastAsia="zh-CN" w:bidi="ar-SA"/>
              </w:rPr>
            </w:pPr>
          </w:p>
        </w:tc>
      </w:tr>
      <w:tr w14:paraId="3FB3E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6AE63E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left w:val="single" w:color="000000" w:sz="4" w:space="0"/>
              <w:right w:val="single" w:color="000000" w:sz="4" w:space="0"/>
            </w:tcBorders>
            <w:shd w:val="clear" w:color="auto" w:fill="auto"/>
            <w:vAlign w:val="center"/>
          </w:tcPr>
          <w:p w14:paraId="19F365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67E5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低风险组病例死亡率</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3249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58EC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0.00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C22E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0.00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5D52D">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D119">
            <w:pPr>
              <w:rPr>
                <w:rFonts w:hint="eastAsia" w:ascii="仿宋" w:hAnsi="仿宋" w:eastAsia="仿宋" w:cs="仿宋"/>
                <w:i w:val="0"/>
                <w:iCs w:val="0"/>
                <w:color w:val="000000"/>
                <w:kern w:val="2"/>
                <w:sz w:val="21"/>
                <w:szCs w:val="21"/>
                <w:u w:val="none"/>
                <w:lang w:val="en-US" w:eastAsia="zh-CN" w:bidi="ar-SA"/>
              </w:rPr>
            </w:pPr>
          </w:p>
        </w:tc>
      </w:tr>
      <w:tr w14:paraId="52FE0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79D70D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left w:val="single" w:color="000000" w:sz="4" w:space="0"/>
              <w:right w:val="single" w:color="000000" w:sz="4" w:space="0"/>
            </w:tcBorders>
            <w:shd w:val="clear" w:color="auto" w:fill="auto"/>
            <w:vAlign w:val="center"/>
          </w:tcPr>
          <w:p w14:paraId="607A64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A2E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CMI值（综合）</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A94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1.00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5F64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0.95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495E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0.96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D276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1.0-1.4</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9D5D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2024年全国公立三级医院指标</w:t>
            </w:r>
          </w:p>
        </w:tc>
      </w:tr>
      <w:tr w14:paraId="75AA4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bottom w:val="single" w:color="000000" w:sz="4" w:space="0"/>
              <w:right w:val="single" w:color="000000" w:sz="4" w:space="0"/>
            </w:tcBorders>
            <w:shd w:val="clear" w:color="auto" w:fill="auto"/>
            <w:vAlign w:val="center"/>
          </w:tcPr>
          <w:p w14:paraId="0E1C0B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left w:val="single" w:color="000000" w:sz="4" w:space="0"/>
              <w:bottom w:val="single" w:color="000000" w:sz="4" w:space="0"/>
              <w:right w:val="single" w:color="000000" w:sz="4" w:space="0"/>
            </w:tcBorders>
            <w:shd w:val="clear" w:color="auto" w:fill="auto"/>
            <w:vAlign w:val="center"/>
          </w:tcPr>
          <w:p w14:paraId="097A6D5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8D55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药物使用强度值</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7786">
            <w:pPr>
              <w:jc w:val="center"/>
              <w:rPr>
                <w:rFonts w:hint="eastAsia" w:ascii="仿宋" w:hAnsi="仿宋" w:eastAsia="仿宋" w:cs="仿宋"/>
                <w:i w:val="0"/>
                <w:iCs w:val="0"/>
                <w:color w:val="000000"/>
                <w:kern w:val="2"/>
                <w:sz w:val="21"/>
                <w:szCs w:val="21"/>
                <w:u w:val="none"/>
                <w:lang w:val="en-US" w:eastAsia="zh-CN" w:bidi="ar-SA"/>
              </w:rPr>
            </w:pP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E996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35.87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45DC4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35.08</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BEA8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≤40ddds</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BD2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2023版绩效考核操作手册</w:t>
            </w:r>
          </w:p>
        </w:tc>
      </w:tr>
      <w:tr w14:paraId="64FA5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384A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医院服务效率提升</w:t>
            </w: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516B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住院医师规范</w:t>
            </w:r>
            <w:r>
              <w:rPr>
                <w:rStyle w:val="22"/>
                <w:rFonts w:hint="eastAsia" w:ascii="仿宋" w:hAnsi="仿宋" w:eastAsia="仿宋" w:cs="仿宋"/>
                <w:sz w:val="21"/>
                <w:szCs w:val="21"/>
                <w:lang w:val="en-US" w:eastAsia="zh-CN" w:bidi="ar"/>
              </w:rPr>
              <w:t>化培训制度落实效果</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A95B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培训人次</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C309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159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A0B7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197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E81B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242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39D2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1AF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0EF7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F87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1574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59C5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结业考核合格人次</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B8D6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34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6B47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1C1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46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01C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40A8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021B6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6B4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3A3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时间消耗指数</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FD57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时间消耗指数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B5ED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1.37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E8B4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1.11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0827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1.12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35C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w:t>
            </w: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A637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6CA7F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5E9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EA78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公立医院次均门诊费用增长率（%）</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D613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次均门诊费用</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5338A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354.75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EF1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344.29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11A8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302.28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1D44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384.50 </w:t>
            </w: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23F0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24年全国三级医院平均费用</w:t>
            </w:r>
          </w:p>
        </w:tc>
      </w:tr>
      <w:tr w14:paraId="41B45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3BF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62A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D2AA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较上年增长率(%)</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CF6D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-23.47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AAA65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-2.95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1B885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-12.20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E482B">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F3ACF">
            <w:pPr>
              <w:rPr>
                <w:rFonts w:hint="eastAsia" w:ascii="仿宋" w:hAnsi="仿宋" w:eastAsia="仿宋" w:cs="仿宋"/>
                <w:i w:val="0"/>
                <w:iCs w:val="0"/>
                <w:color w:val="000000"/>
                <w:kern w:val="2"/>
                <w:sz w:val="21"/>
                <w:szCs w:val="21"/>
                <w:u w:val="none"/>
                <w:lang w:val="en-US" w:eastAsia="zh-CN" w:bidi="ar-SA"/>
              </w:rPr>
            </w:pPr>
          </w:p>
        </w:tc>
      </w:tr>
      <w:tr w14:paraId="59D67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795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D2CE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门诊人次数与出院人次数比</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B4F3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门急诊人次数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CCE9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840665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EB6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846640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451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1060461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B314">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3DE07">
            <w:pPr>
              <w:rPr>
                <w:rFonts w:hint="eastAsia" w:ascii="仿宋" w:hAnsi="仿宋" w:eastAsia="仿宋" w:cs="仿宋"/>
                <w:i w:val="0"/>
                <w:iCs w:val="0"/>
                <w:color w:val="000000"/>
                <w:kern w:val="2"/>
                <w:sz w:val="21"/>
                <w:szCs w:val="21"/>
                <w:u w:val="none"/>
                <w:lang w:val="en-US" w:eastAsia="zh-CN" w:bidi="ar-SA"/>
              </w:rPr>
            </w:pPr>
          </w:p>
        </w:tc>
      </w:tr>
      <w:tr w14:paraId="41BAB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28E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B8C7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4281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出院人次数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3D4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68263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224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76785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E269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87484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DE493">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55947">
            <w:pPr>
              <w:rPr>
                <w:rFonts w:hint="eastAsia" w:ascii="仿宋" w:hAnsi="仿宋" w:eastAsia="仿宋" w:cs="仿宋"/>
                <w:i w:val="0"/>
                <w:iCs w:val="0"/>
                <w:color w:val="000000"/>
                <w:kern w:val="2"/>
                <w:sz w:val="21"/>
                <w:szCs w:val="21"/>
                <w:u w:val="none"/>
                <w:lang w:val="en-US" w:eastAsia="zh-CN" w:bidi="ar-SA"/>
              </w:rPr>
            </w:pPr>
          </w:p>
        </w:tc>
      </w:tr>
      <w:tr w14:paraId="46D53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675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58B6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1040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出院人次数占门诊人次数比重（%）</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D0A3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8.12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17AA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9.07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6CE1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8.25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E4FD">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CCB8">
            <w:pPr>
              <w:rPr>
                <w:rFonts w:hint="eastAsia" w:ascii="仿宋" w:hAnsi="仿宋" w:eastAsia="仿宋" w:cs="仿宋"/>
                <w:i w:val="0"/>
                <w:iCs w:val="0"/>
                <w:color w:val="000000"/>
                <w:kern w:val="2"/>
                <w:sz w:val="21"/>
                <w:szCs w:val="21"/>
                <w:u w:val="none"/>
                <w:lang w:val="en-US" w:eastAsia="zh-CN" w:bidi="ar-SA"/>
              </w:rPr>
            </w:pPr>
          </w:p>
        </w:tc>
      </w:tr>
      <w:tr w14:paraId="0C3B9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73F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FC2D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病床使用率</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D8EB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5DE94">
            <w:pPr>
              <w:keepNext w:val="0"/>
              <w:keepLines w:val="0"/>
              <w:widowControl/>
              <w:suppressLineNumbers w:val="0"/>
              <w:jc w:val="center"/>
              <w:textAlignment w:val="center"/>
              <w:rPr>
                <w:rFonts w:hint="default"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84.61</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61683">
            <w:pPr>
              <w:keepNext w:val="0"/>
              <w:keepLines w:val="0"/>
              <w:widowControl/>
              <w:suppressLineNumbers w:val="0"/>
              <w:jc w:val="center"/>
              <w:textAlignment w:val="center"/>
              <w:rPr>
                <w:rFonts w:hint="default"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88.53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9AF64">
            <w:pPr>
              <w:keepNext w:val="0"/>
              <w:keepLines w:val="0"/>
              <w:widowControl/>
              <w:suppressLineNumbers w:val="0"/>
              <w:jc w:val="center"/>
              <w:textAlignment w:val="center"/>
              <w:rPr>
                <w:rFonts w:hint="default"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2"/>
                <w:sz w:val="21"/>
                <w:szCs w:val="21"/>
                <w:u w:val="none"/>
                <w:lang w:val="en-US" w:eastAsia="zh-CN" w:bidi="ar-SA"/>
              </w:rPr>
              <w:t>81.33</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55EF">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69BB6">
            <w:pPr>
              <w:rPr>
                <w:rFonts w:hint="eastAsia" w:ascii="仿宋" w:hAnsi="仿宋" w:eastAsia="仿宋" w:cs="仿宋"/>
                <w:i w:val="0"/>
                <w:iCs w:val="0"/>
                <w:color w:val="000000"/>
                <w:kern w:val="2"/>
                <w:sz w:val="21"/>
                <w:szCs w:val="21"/>
                <w:u w:val="none"/>
                <w:lang w:val="en-US" w:eastAsia="zh-CN" w:bidi="ar-SA"/>
              </w:rPr>
            </w:pPr>
          </w:p>
        </w:tc>
      </w:tr>
      <w:tr w14:paraId="2E2E5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7BFA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医院可持续运营</w:t>
            </w: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91BA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医疗费用增长率控制（%）</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2EA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年度医疗费用</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6ABC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1308023947.38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6775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1305727919.66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A0539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1332926643.75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41EB0">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D8DA3">
            <w:pPr>
              <w:rPr>
                <w:rFonts w:hint="eastAsia" w:ascii="仿宋" w:hAnsi="仿宋" w:eastAsia="仿宋" w:cs="仿宋"/>
                <w:i w:val="0"/>
                <w:iCs w:val="0"/>
                <w:color w:val="000000"/>
                <w:kern w:val="2"/>
                <w:sz w:val="21"/>
                <w:szCs w:val="21"/>
                <w:u w:val="none"/>
                <w:lang w:val="en-US" w:eastAsia="zh-CN" w:bidi="ar-SA"/>
              </w:rPr>
            </w:pPr>
          </w:p>
        </w:tc>
      </w:tr>
      <w:tr w14:paraId="366A6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03E1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B5E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7161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较上年同期增长率（%）</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BB79E">
            <w:pPr>
              <w:jc w:val="center"/>
              <w:rPr>
                <w:rFonts w:hint="eastAsia" w:ascii="仿宋" w:hAnsi="仿宋" w:eastAsia="仿宋" w:cs="仿宋"/>
                <w:i w:val="0"/>
                <w:iCs w:val="0"/>
                <w:color w:val="000000"/>
                <w:kern w:val="2"/>
                <w:sz w:val="21"/>
                <w:szCs w:val="21"/>
                <w:u w:val="none"/>
                <w:lang w:val="en-US" w:eastAsia="zh-CN" w:bidi="ar-SA"/>
              </w:rPr>
            </w:pP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EDDE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-0.18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C4FC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2.04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C78D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10%以下</w:t>
            </w: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4B40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国家卫健委等五部门要求</w:t>
            </w:r>
          </w:p>
        </w:tc>
      </w:tr>
      <w:tr w14:paraId="5D2F1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659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5DBE4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医疗服务收入  (不含药品、耗材 、检查、检验收入)占医疗收入的比例</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8853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医疗服务总收入</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DA8F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1307213445.58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7C3B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1320103892.49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7D93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1368617979.88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8F917A">
            <w:pPr>
              <w:jc w:val="cente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51EAB">
            <w:pPr>
              <w:rPr>
                <w:rFonts w:hint="eastAsia" w:ascii="仿宋" w:hAnsi="仿宋" w:eastAsia="仿宋" w:cs="仿宋"/>
                <w:i w:val="0"/>
                <w:iCs w:val="0"/>
                <w:color w:val="000000"/>
                <w:kern w:val="2"/>
                <w:sz w:val="21"/>
                <w:szCs w:val="21"/>
                <w:u w:val="none"/>
                <w:lang w:val="en-US" w:eastAsia="zh-CN" w:bidi="ar-SA"/>
              </w:rPr>
            </w:pPr>
          </w:p>
        </w:tc>
      </w:tr>
      <w:tr w14:paraId="103AD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4A1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C568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8AA7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药品、耗材 、检查、检验收入</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34D1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991235086.34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2FC3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935040749.00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BD1D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899472754.41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8FD38">
            <w:pPr>
              <w:jc w:val="cente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AA85">
            <w:pPr>
              <w:rPr>
                <w:rFonts w:hint="eastAsia" w:ascii="仿宋" w:hAnsi="仿宋" w:eastAsia="仿宋" w:cs="仿宋"/>
                <w:i w:val="0"/>
                <w:iCs w:val="0"/>
                <w:color w:val="000000"/>
                <w:kern w:val="2"/>
                <w:sz w:val="21"/>
                <w:szCs w:val="21"/>
                <w:u w:val="none"/>
                <w:lang w:val="en-US" w:eastAsia="zh-CN" w:bidi="ar-SA"/>
              </w:rPr>
            </w:pPr>
          </w:p>
        </w:tc>
      </w:tr>
      <w:tr w14:paraId="52D86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F81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24BB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03F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医疗服务收入</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D3B0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315978359.24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13A1F">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385063143.49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A35B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469145225.47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200A6">
            <w:pPr>
              <w:jc w:val="cente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717E1">
            <w:pPr>
              <w:rPr>
                <w:rFonts w:hint="eastAsia" w:ascii="仿宋" w:hAnsi="仿宋" w:eastAsia="仿宋" w:cs="仿宋"/>
                <w:i w:val="0"/>
                <w:iCs w:val="0"/>
                <w:color w:val="000000"/>
                <w:kern w:val="2"/>
                <w:sz w:val="21"/>
                <w:szCs w:val="21"/>
                <w:u w:val="none"/>
                <w:lang w:val="en-US" w:eastAsia="zh-CN" w:bidi="ar-SA"/>
              </w:rPr>
            </w:pPr>
          </w:p>
        </w:tc>
      </w:tr>
      <w:tr w14:paraId="0A7F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B97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EAB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7F03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医疗服务收入占比（%）</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C11B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24.17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DAD67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29.17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07AC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34.28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A46E4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40%   29.59%</w:t>
            </w: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D98F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市政府实施方案     2023年全国三级医院绩效监测分析情况通报</w:t>
            </w:r>
          </w:p>
        </w:tc>
      </w:tr>
      <w:tr w14:paraId="7F097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865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A8252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人员经费占比</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D62E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医疗活动经费</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6AE56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1155520446.00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504C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1179141222.12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C19E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1241421168.46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7A1BC">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0F0A8">
            <w:pPr>
              <w:rPr>
                <w:rFonts w:hint="eastAsia" w:ascii="仿宋" w:hAnsi="仿宋" w:eastAsia="仿宋" w:cs="仿宋"/>
                <w:i w:val="0"/>
                <w:iCs w:val="0"/>
                <w:color w:val="000000"/>
                <w:sz w:val="21"/>
                <w:szCs w:val="21"/>
                <w:u w:val="none"/>
              </w:rPr>
            </w:pPr>
          </w:p>
        </w:tc>
      </w:tr>
      <w:tr w14:paraId="6A01E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91E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1E5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059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固定薪酬</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5222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167616124.56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25CA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155869691.77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16BC8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181688071.73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9767D">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9A95">
            <w:pPr>
              <w:rPr>
                <w:rFonts w:hint="eastAsia" w:ascii="仿宋" w:hAnsi="仿宋" w:eastAsia="仿宋" w:cs="仿宋"/>
                <w:i w:val="0"/>
                <w:iCs w:val="0"/>
                <w:color w:val="000000"/>
                <w:sz w:val="21"/>
                <w:szCs w:val="21"/>
                <w:u w:val="none"/>
              </w:rPr>
            </w:pPr>
          </w:p>
        </w:tc>
      </w:tr>
      <w:tr w14:paraId="4D941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5D7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091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CA7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人员经费</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B8BE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445904982.00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BA52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475720497.31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2CCD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538073829.00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13CA">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848BB">
            <w:pPr>
              <w:rPr>
                <w:rFonts w:hint="eastAsia" w:ascii="仿宋" w:hAnsi="仿宋" w:eastAsia="仿宋" w:cs="仿宋"/>
                <w:i w:val="0"/>
                <w:iCs w:val="0"/>
                <w:color w:val="000000"/>
                <w:sz w:val="21"/>
                <w:szCs w:val="21"/>
                <w:u w:val="none"/>
              </w:rPr>
            </w:pPr>
          </w:p>
        </w:tc>
      </w:tr>
      <w:tr w14:paraId="76A86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108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E35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98DC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固定薪酬占人员经费比例（%）</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6768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37.59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2C5C2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32.76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C0BA9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33.77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B774C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40-50</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21E13">
            <w:pPr>
              <w:rPr>
                <w:rFonts w:hint="eastAsia" w:ascii="仿宋" w:hAnsi="仿宋" w:eastAsia="仿宋" w:cs="仿宋"/>
                <w:i w:val="0"/>
                <w:iCs w:val="0"/>
                <w:color w:val="000000"/>
                <w:kern w:val="2"/>
                <w:sz w:val="21"/>
                <w:szCs w:val="21"/>
                <w:u w:val="none"/>
                <w:lang w:val="en-US" w:eastAsia="zh-CN" w:bidi="ar-SA"/>
              </w:rPr>
            </w:pPr>
          </w:p>
        </w:tc>
      </w:tr>
      <w:tr w14:paraId="05624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74B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055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3BE2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人员经费占医疗活动经费比例（%）</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72C9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38.59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930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40.34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0AC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43.34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AC609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逐步提高39.18%</w:t>
            </w: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20F0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市政府实施方案             2023年全国卫生健康统计公报</w:t>
            </w:r>
          </w:p>
        </w:tc>
      </w:tr>
      <w:tr w14:paraId="46EAE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093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35AC2">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资产负债率（%）</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1334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资产总计</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AD6C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1732382257.49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C22D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2156477277.03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A1EC0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2864492839.25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918CD">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C0DC1">
            <w:pPr>
              <w:rPr>
                <w:rFonts w:hint="eastAsia" w:ascii="仿宋" w:hAnsi="仿宋" w:eastAsia="仿宋" w:cs="仿宋"/>
                <w:i w:val="0"/>
                <w:iCs w:val="0"/>
                <w:color w:val="000000"/>
                <w:sz w:val="21"/>
                <w:szCs w:val="21"/>
                <w:u w:val="none"/>
              </w:rPr>
            </w:pPr>
          </w:p>
        </w:tc>
      </w:tr>
      <w:tr w14:paraId="359BB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8DF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B3F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5E9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负债总计</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09A7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786967536.32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0364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1179376098.90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5502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1808311255.80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BBDED">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32354">
            <w:pPr>
              <w:rPr>
                <w:rFonts w:hint="eastAsia" w:ascii="仿宋" w:hAnsi="仿宋" w:eastAsia="仿宋" w:cs="仿宋"/>
                <w:i w:val="0"/>
                <w:iCs w:val="0"/>
                <w:color w:val="000000"/>
                <w:sz w:val="21"/>
                <w:szCs w:val="21"/>
                <w:u w:val="none"/>
              </w:rPr>
            </w:pPr>
          </w:p>
        </w:tc>
      </w:tr>
      <w:tr w14:paraId="3A49F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3BF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AF9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7C55E">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负债率(%)</w:t>
            </w:r>
          </w:p>
        </w:tc>
        <w:tc>
          <w:tcPr>
            <w:tcW w:w="17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F8EF3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45.43 </w:t>
            </w:r>
          </w:p>
        </w:tc>
        <w:tc>
          <w:tcPr>
            <w:tcW w:w="1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A6745">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54.69 </w:t>
            </w:r>
          </w:p>
        </w:tc>
        <w:tc>
          <w:tcPr>
            <w:tcW w:w="16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2B2E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63.13 </w:t>
            </w:r>
          </w:p>
        </w:tc>
        <w:tc>
          <w:tcPr>
            <w:tcW w:w="1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8CE3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60.24 </w:t>
            </w:r>
          </w:p>
        </w:tc>
        <w:tc>
          <w:tcPr>
            <w:tcW w:w="3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B882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21年湖南省公立医院平均负债率</w:t>
            </w:r>
          </w:p>
        </w:tc>
      </w:tr>
      <w:tr w14:paraId="654A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E0A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4E0FD">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公立医院基本建设、设备购置长期负债占总资产的比例（%）</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A5189">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基本建设设备购置</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7091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84682306.89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A1C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73570122.76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A8BD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6176359.84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B5CC">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B6B5">
            <w:pPr>
              <w:rPr>
                <w:rFonts w:hint="eastAsia" w:ascii="仿宋" w:hAnsi="仿宋" w:eastAsia="仿宋" w:cs="仿宋"/>
                <w:i w:val="0"/>
                <w:iCs w:val="0"/>
                <w:color w:val="000000"/>
                <w:sz w:val="21"/>
                <w:szCs w:val="21"/>
                <w:u w:val="none"/>
              </w:rPr>
            </w:pPr>
          </w:p>
        </w:tc>
      </w:tr>
      <w:tr w14:paraId="687C4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E74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257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E49A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资产总计</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83C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1732382257.49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B912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2156477277.03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2E9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2864492839.25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5A5D1">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EEA9">
            <w:pPr>
              <w:rPr>
                <w:rFonts w:hint="eastAsia" w:ascii="仿宋" w:hAnsi="仿宋" w:eastAsia="仿宋" w:cs="仿宋"/>
                <w:i w:val="0"/>
                <w:iCs w:val="0"/>
                <w:color w:val="000000"/>
                <w:sz w:val="21"/>
                <w:szCs w:val="21"/>
                <w:u w:val="none"/>
              </w:rPr>
            </w:pPr>
          </w:p>
        </w:tc>
      </w:tr>
      <w:tr w14:paraId="4523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45D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12B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C59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基本建设设备购置占比（%）</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F32D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4.89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9F108">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3.41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2EAB">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0.22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F435">
            <w:pPr>
              <w:rPr>
                <w:rFonts w:hint="eastAsia" w:ascii="仿宋" w:hAnsi="仿宋" w:eastAsia="仿宋" w:cs="仿宋"/>
                <w:i w:val="0"/>
                <w:iCs w:val="0"/>
                <w:color w:val="000000"/>
                <w:kern w:val="2"/>
                <w:sz w:val="21"/>
                <w:szCs w:val="21"/>
                <w:u w:val="none"/>
                <w:lang w:val="en-US" w:eastAsia="zh-CN" w:bidi="ar-SA"/>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0551">
            <w:pPr>
              <w:rPr>
                <w:rFonts w:hint="eastAsia" w:ascii="仿宋" w:hAnsi="仿宋" w:eastAsia="仿宋" w:cs="仿宋"/>
                <w:i w:val="0"/>
                <w:iCs w:val="0"/>
                <w:color w:val="000000"/>
                <w:sz w:val="21"/>
                <w:szCs w:val="21"/>
                <w:u w:val="none"/>
              </w:rPr>
            </w:pPr>
          </w:p>
        </w:tc>
      </w:tr>
      <w:tr w14:paraId="33649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restart"/>
            <w:tcBorders>
              <w:top w:val="single" w:color="000000" w:sz="4" w:space="0"/>
              <w:left w:val="single" w:color="000000" w:sz="4" w:space="0"/>
              <w:right w:val="single" w:color="000000" w:sz="4" w:space="0"/>
            </w:tcBorders>
            <w:shd w:val="clear" w:color="auto" w:fill="auto"/>
            <w:vAlign w:val="center"/>
          </w:tcPr>
          <w:p w14:paraId="0DE0CEC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创新增效</w:t>
            </w:r>
          </w:p>
        </w:tc>
        <w:tc>
          <w:tcPr>
            <w:tcW w:w="1963" w:type="dxa"/>
            <w:tcBorders>
              <w:top w:val="single" w:color="000000" w:sz="4" w:space="0"/>
              <w:left w:val="single" w:color="000000" w:sz="4" w:space="0"/>
              <w:right w:val="single" w:color="000000" w:sz="4" w:space="0"/>
            </w:tcBorders>
            <w:shd w:val="clear" w:color="auto" w:fill="auto"/>
            <w:vAlign w:val="center"/>
          </w:tcPr>
          <w:p w14:paraId="40B9A847">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电子病历应用功能水平分级</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EF2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公立医院电子病历系统功能应用水平分级评价</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705C">
            <w:pPr>
              <w:jc w:val="center"/>
              <w:rPr>
                <w:rFonts w:hint="eastAsia" w:ascii="仿宋" w:hAnsi="仿宋" w:eastAsia="仿宋" w:cs="仿宋"/>
                <w:i w:val="0"/>
                <w:iCs w:val="0"/>
                <w:color w:val="000000"/>
                <w:kern w:val="2"/>
                <w:sz w:val="21"/>
                <w:szCs w:val="21"/>
                <w:u w:val="none"/>
                <w:lang w:val="en-US" w:eastAsia="zh-CN" w:bidi="ar-SA"/>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971AA">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4级</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87460">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4级</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E3E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5级</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4C34E">
            <w:pPr>
              <w:rPr>
                <w:rFonts w:hint="eastAsia" w:ascii="仿宋" w:hAnsi="仿宋" w:eastAsia="仿宋" w:cs="仿宋"/>
                <w:i w:val="0"/>
                <w:iCs w:val="0"/>
                <w:color w:val="000000"/>
                <w:sz w:val="21"/>
                <w:szCs w:val="21"/>
                <w:u w:val="none"/>
              </w:rPr>
            </w:pPr>
          </w:p>
        </w:tc>
      </w:tr>
      <w:tr w14:paraId="4BEED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284A1C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963" w:type="dxa"/>
            <w:vMerge w:val="restart"/>
            <w:tcBorders>
              <w:top w:val="single" w:color="000000" w:sz="4" w:space="0"/>
              <w:left w:val="single" w:color="000000" w:sz="4" w:space="0"/>
              <w:right w:val="single" w:color="000000" w:sz="4" w:space="0"/>
            </w:tcBorders>
            <w:shd w:val="clear" w:color="auto" w:fill="auto"/>
            <w:vAlign w:val="center"/>
          </w:tcPr>
          <w:p w14:paraId="4E8725C1">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每百名卫生技术人员科研项目经费</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88E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年度投入科研项目经费</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A5096">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1143627.43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9D95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1179506.73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1AB70">
            <w:pPr>
              <w:keepNext w:val="0"/>
              <w:keepLines w:val="0"/>
              <w:widowControl/>
              <w:suppressLineNumbers w:val="0"/>
              <w:jc w:val="left"/>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76EDE">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071DA">
            <w:pPr>
              <w:rPr>
                <w:rFonts w:hint="eastAsia" w:ascii="仿宋" w:hAnsi="仿宋" w:eastAsia="仿宋" w:cs="仿宋"/>
                <w:i w:val="0"/>
                <w:iCs w:val="0"/>
                <w:color w:val="000000"/>
                <w:sz w:val="21"/>
                <w:szCs w:val="21"/>
                <w:u w:val="none"/>
              </w:rPr>
            </w:pPr>
          </w:p>
        </w:tc>
      </w:tr>
      <w:tr w14:paraId="3C2A9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53380F3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p>
        </w:tc>
        <w:tc>
          <w:tcPr>
            <w:tcW w:w="1963" w:type="dxa"/>
            <w:vMerge w:val="continue"/>
            <w:tcBorders>
              <w:left w:val="single" w:color="000000" w:sz="4" w:space="0"/>
              <w:bottom w:val="single" w:color="000000" w:sz="4" w:space="0"/>
              <w:right w:val="single" w:color="000000" w:sz="4" w:space="0"/>
            </w:tcBorders>
            <w:shd w:val="clear" w:color="auto" w:fill="auto"/>
            <w:vAlign w:val="center"/>
          </w:tcPr>
          <w:p w14:paraId="5590C5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7F6C">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提高幅度（%）</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AF93B">
            <w:pPr>
              <w:jc w:val="center"/>
              <w:rPr>
                <w:rFonts w:hint="eastAsia" w:ascii="仿宋" w:hAnsi="仿宋" w:eastAsia="仿宋" w:cs="仿宋"/>
                <w:i w:val="0"/>
                <w:iCs w:val="0"/>
                <w:color w:val="000000"/>
                <w:kern w:val="2"/>
                <w:sz w:val="21"/>
                <w:szCs w:val="21"/>
                <w:u w:val="none"/>
                <w:lang w:val="en-US" w:eastAsia="zh-CN" w:bidi="ar-SA"/>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C693">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3.14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BD993">
            <w:pPr>
              <w:keepNext w:val="0"/>
              <w:keepLines w:val="0"/>
              <w:widowControl/>
              <w:suppressLineNumbers w:val="0"/>
              <w:jc w:val="left"/>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A0EB">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90197">
            <w:pPr>
              <w:rPr>
                <w:rFonts w:hint="eastAsia" w:ascii="仿宋" w:hAnsi="仿宋" w:eastAsia="仿宋" w:cs="仿宋"/>
                <w:i w:val="0"/>
                <w:iCs w:val="0"/>
                <w:color w:val="000000"/>
                <w:sz w:val="21"/>
                <w:szCs w:val="21"/>
                <w:u w:val="none"/>
              </w:rPr>
            </w:pPr>
          </w:p>
        </w:tc>
      </w:tr>
      <w:tr w14:paraId="70C73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4FAE3B6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E75D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万元收入能耗支出占比</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20F9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年总能耗支出</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DE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22000156.57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E891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23423698.13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3353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24255466.72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2A84">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C361">
            <w:pPr>
              <w:rPr>
                <w:rFonts w:hint="eastAsia" w:ascii="仿宋" w:hAnsi="仿宋" w:eastAsia="仿宋" w:cs="仿宋"/>
                <w:i w:val="0"/>
                <w:iCs w:val="0"/>
                <w:color w:val="000000"/>
                <w:sz w:val="21"/>
                <w:szCs w:val="21"/>
                <w:u w:val="none"/>
              </w:rPr>
            </w:pPr>
          </w:p>
        </w:tc>
      </w:tr>
      <w:tr w14:paraId="56D19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16127818">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9BD06">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年总收入</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596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135527.36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884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140945.29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CF6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155643.40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9359">
            <w:pPr>
              <w:jc w:val="center"/>
              <w:rPr>
                <w:rFonts w:hint="eastAsia" w:ascii="仿宋" w:hAnsi="仿宋" w:eastAsia="仿宋" w:cs="仿宋"/>
                <w:i w:val="0"/>
                <w:iCs w:val="0"/>
                <w:color w:val="000000"/>
                <w:sz w:val="21"/>
                <w:szCs w:val="21"/>
                <w:u w:val="none"/>
              </w:rPr>
            </w:pP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B201">
            <w:pPr>
              <w:rPr>
                <w:rFonts w:hint="eastAsia" w:ascii="仿宋" w:hAnsi="仿宋" w:eastAsia="仿宋" w:cs="仿宋"/>
                <w:i w:val="0"/>
                <w:iCs w:val="0"/>
                <w:color w:val="000000"/>
                <w:sz w:val="21"/>
                <w:szCs w:val="21"/>
                <w:u w:val="none"/>
              </w:rPr>
            </w:pPr>
          </w:p>
        </w:tc>
      </w:tr>
      <w:tr w14:paraId="4D8D4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0" w:type="dxa"/>
            <w:vMerge w:val="continue"/>
            <w:tcBorders>
              <w:left w:val="single" w:color="000000" w:sz="4" w:space="0"/>
              <w:right w:val="single" w:color="000000" w:sz="4" w:space="0"/>
            </w:tcBorders>
            <w:shd w:val="clear" w:color="auto" w:fill="auto"/>
            <w:vAlign w:val="center"/>
          </w:tcPr>
          <w:p w14:paraId="0D30DA9C">
            <w:pPr>
              <w:jc w:val="center"/>
              <w:rPr>
                <w:rFonts w:hint="eastAsia" w:ascii="仿宋" w:hAnsi="仿宋" w:eastAsia="仿宋" w:cs="仿宋"/>
                <w:i w:val="0"/>
                <w:iCs w:val="0"/>
                <w:color w:val="000000"/>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63971">
            <w:pPr>
              <w:jc w:val="center"/>
              <w:rPr>
                <w:rFonts w:hint="eastAsia" w:ascii="仿宋" w:hAnsi="仿宋" w:eastAsia="仿宋" w:cs="仿宋"/>
                <w:i w:val="0"/>
                <w:iCs w:val="0"/>
                <w:color w:val="000000"/>
                <w:sz w:val="21"/>
                <w:szCs w:val="21"/>
                <w:u w:val="none"/>
              </w:rPr>
            </w:pP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5C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能耗支出占比(%)</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5ED1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1.62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10D9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027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1.56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89F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&lt;0.96</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C968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行业标准</w:t>
            </w:r>
          </w:p>
        </w:tc>
      </w:tr>
      <w:tr w14:paraId="0A8A5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70" w:type="dxa"/>
            <w:vMerge w:val="continue"/>
            <w:tcBorders>
              <w:left w:val="single" w:color="000000" w:sz="4" w:space="0"/>
              <w:bottom w:val="single" w:color="000000" w:sz="4" w:space="0"/>
              <w:right w:val="single" w:color="000000" w:sz="4" w:space="0"/>
            </w:tcBorders>
            <w:shd w:val="clear" w:color="auto" w:fill="auto"/>
            <w:vAlign w:val="center"/>
          </w:tcPr>
          <w:p w14:paraId="31CD2012">
            <w:pPr>
              <w:jc w:val="center"/>
              <w:rPr>
                <w:rFonts w:hint="eastAsia" w:ascii="仿宋" w:hAnsi="仿宋" w:eastAsia="仿宋" w:cs="仿宋"/>
                <w:i w:val="0"/>
                <w:iCs w:val="0"/>
                <w:color w:val="000000"/>
                <w:sz w:val="21"/>
                <w:szCs w:val="21"/>
                <w:u w:val="none"/>
              </w:rPr>
            </w:pPr>
          </w:p>
        </w:tc>
        <w:tc>
          <w:tcPr>
            <w:tcW w:w="1963" w:type="dxa"/>
            <w:tcBorders>
              <w:top w:val="single" w:color="000000" w:sz="4" w:space="0"/>
              <w:left w:val="single" w:color="000000" w:sz="4" w:space="0"/>
              <w:bottom w:val="nil"/>
              <w:right w:val="single" w:color="000000" w:sz="4" w:space="0"/>
            </w:tcBorders>
            <w:shd w:val="clear" w:color="auto" w:fill="auto"/>
            <w:vAlign w:val="center"/>
          </w:tcPr>
          <w:p w14:paraId="23953EA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费用消耗指数</w:t>
            </w:r>
          </w:p>
        </w:tc>
        <w:tc>
          <w:tcPr>
            <w:tcW w:w="3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358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费用消耗指数</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ED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1.14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DA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1.05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EC9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1.05 </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E4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06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行业标准</w:t>
            </w:r>
          </w:p>
        </w:tc>
      </w:tr>
      <w:tr w14:paraId="18F22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D2621">
            <w:pPr>
              <w:keepNext w:val="0"/>
              <w:keepLines w:val="0"/>
              <w:widowControl/>
              <w:suppressLineNumbers w:val="0"/>
              <w:jc w:val="center"/>
              <w:textAlignment w:val="center"/>
              <w:rPr>
                <w:rFonts w:hint="eastAsia" w:ascii="仿宋" w:hAnsi="仿宋" w:eastAsia="仿宋" w:cs="仿宋"/>
                <w:i w:val="0"/>
                <w:iCs w:val="0"/>
                <w:color w:val="222527"/>
                <w:sz w:val="21"/>
                <w:szCs w:val="21"/>
                <w:u w:val="none"/>
              </w:rPr>
            </w:pPr>
            <w:r>
              <w:rPr>
                <w:rFonts w:hint="eastAsia" w:ascii="仿宋" w:hAnsi="仿宋" w:eastAsia="仿宋" w:cs="仿宋"/>
                <w:i w:val="0"/>
                <w:iCs w:val="0"/>
                <w:color w:val="222527"/>
                <w:kern w:val="0"/>
                <w:sz w:val="21"/>
                <w:szCs w:val="21"/>
                <w:u w:val="none"/>
                <w:lang w:val="en-US" w:eastAsia="zh-CN" w:bidi="ar"/>
              </w:rPr>
              <w:t>满意度评价</w:t>
            </w: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419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患者满意度率(%)</w:t>
            </w:r>
          </w:p>
        </w:tc>
        <w:tc>
          <w:tcPr>
            <w:tcW w:w="655" w:type="dxa"/>
            <w:vMerge w:val="restart"/>
            <w:tcBorders>
              <w:top w:val="single" w:color="000000" w:sz="4" w:space="0"/>
              <w:left w:val="single" w:color="000000" w:sz="4" w:space="0"/>
              <w:right w:val="single" w:color="000000" w:sz="4" w:space="0"/>
            </w:tcBorders>
            <w:shd w:val="clear" w:color="auto" w:fill="auto"/>
            <w:vAlign w:val="center"/>
          </w:tcPr>
          <w:p w14:paraId="3CEEA5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其中</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373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门诊患者</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7A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99.60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B7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98.95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BEA0">
            <w:pPr>
              <w:jc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sz w:val="21"/>
                <w:szCs w:val="21"/>
                <w:u w:val="none"/>
                <w:lang w:eastAsia="zh-CN"/>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75D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&gt;95%</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135D">
            <w:pPr>
              <w:rPr>
                <w:rFonts w:hint="eastAsia" w:ascii="仿宋" w:hAnsi="仿宋" w:eastAsia="仿宋" w:cs="仿宋"/>
                <w:i w:val="0"/>
                <w:iCs w:val="0"/>
                <w:color w:val="000000"/>
                <w:sz w:val="21"/>
                <w:szCs w:val="21"/>
                <w:u w:val="none"/>
              </w:rPr>
            </w:pPr>
          </w:p>
        </w:tc>
      </w:tr>
      <w:tr w14:paraId="4AB49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D2EAE">
            <w:pPr>
              <w:jc w:val="center"/>
              <w:rPr>
                <w:rFonts w:hint="eastAsia" w:ascii="仿宋" w:hAnsi="仿宋" w:eastAsia="仿宋" w:cs="仿宋"/>
                <w:i w:val="0"/>
                <w:iCs w:val="0"/>
                <w:color w:val="222527"/>
                <w:sz w:val="21"/>
                <w:szCs w:val="21"/>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2FA88">
            <w:pPr>
              <w:jc w:val="center"/>
              <w:rPr>
                <w:rFonts w:hint="eastAsia" w:ascii="仿宋" w:hAnsi="仿宋" w:eastAsia="仿宋" w:cs="仿宋"/>
                <w:i w:val="0"/>
                <w:iCs w:val="0"/>
                <w:color w:val="000000"/>
                <w:sz w:val="21"/>
                <w:szCs w:val="21"/>
                <w:u w:val="none"/>
              </w:rPr>
            </w:pPr>
          </w:p>
        </w:tc>
        <w:tc>
          <w:tcPr>
            <w:tcW w:w="655" w:type="dxa"/>
            <w:vMerge w:val="continue"/>
            <w:tcBorders>
              <w:left w:val="single" w:color="000000" w:sz="4" w:space="0"/>
              <w:right w:val="single" w:color="000000" w:sz="4" w:space="0"/>
            </w:tcBorders>
            <w:shd w:val="clear" w:color="auto" w:fill="auto"/>
            <w:vAlign w:val="center"/>
          </w:tcPr>
          <w:p w14:paraId="541AC08C">
            <w:pPr>
              <w:jc w:val="center"/>
              <w:rPr>
                <w:rFonts w:hint="eastAsia" w:ascii="仿宋" w:hAnsi="仿宋" w:eastAsia="仿宋" w:cs="仿宋"/>
                <w:i w:val="0"/>
                <w:iCs w:val="0"/>
                <w:color w:val="000000"/>
                <w:sz w:val="21"/>
                <w:szCs w:val="21"/>
                <w:u w:val="none"/>
              </w:rPr>
            </w:pP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AB3A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住院患者</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103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97.97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1B85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99.06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6493F">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eastAsia="zh-CN"/>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77E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&gt;95%</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D6488">
            <w:pPr>
              <w:rPr>
                <w:rFonts w:hint="eastAsia" w:ascii="仿宋" w:hAnsi="仿宋" w:eastAsia="仿宋" w:cs="仿宋"/>
                <w:i w:val="0"/>
                <w:iCs w:val="0"/>
                <w:color w:val="000000"/>
                <w:sz w:val="21"/>
                <w:szCs w:val="21"/>
                <w:u w:val="none"/>
              </w:rPr>
            </w:pPr>
          </w:p>
        </w:tc>
      </w:tr>
      <w:tr w14:paraId="494AD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BA6B0">
            <w:pPr>
              <w:jc w:val="center"/>
              <w:rPr>
                <w:rFonts w:hint="eastAsia" w:ascii="仿宋" w:hAnsi="仿宋" w:eastAsia="仿宋" w:cs="仿宋"/>
                <w:i w:val="0"/>
                <w:iCs w:val="0"/>
                <w:color w:val="222527"/>
                <w:sz w:val="21"/>
                <w:szCs w:val="21"/>
                <w:u w:val="none"/>
              </w:rPr>
            </w:pPr>
          </w:p>
        </w:tc>
        <w:tc>
          <w:tcPr>
            <w:tcW w:w="52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584BC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医务人员满意率(%)</w:t>
            </w:r>
          </w:p>
        </w:tc>
        <w:tc>
          <w:tcPr>
            <w:tcW w:w="1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FC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99.83 </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0AC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99.52 </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3103">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eastAsia="zh-CN"/>
              </w:rPr>
              <w:t>暂无数据</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575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&gt;95%</w:t>
            </w:r>
          </w:p>
        </w:tc>
        <w:tc>
          <w:tcPr>
            <w:tcW w:w="3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8B86">
            <w:pPr>
              <w:rPr>
                <w:rFonts w:hint="eastAsia" w:ascii="仿宋" w:hAnsi="仿宋" w:eastAsia="仿宋" w:cs="仿宋"/>
                <w:i w:val="0"/>
                <w:iCs w:val="0"/>
                <w:color w:val="000000"/>
                <w:sz w:val="21"/>
                <w:szCs w:val="21"/>
                <w:u w:val="none"/>
              </w:rPr>
            </w:pPr>
          </w:p>
        </w:tc>
      </w:tr>
    </w:tbl>
    <w:p w14:paraId="3750794B">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D78792C">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1CC970C5">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56A2CD47">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6959539A">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p w14:paraId="02E192FF">
      <w:pPr>
        <w:keepNext w:val="0"/>
        <w:keepLines w:val="0"/>
        <w:pageBreakBefore w:val="0"/>
        <w:widowControl w:val="0"/>
        <w:tabs>
          <w:tab w:val="left" w:pos="5397"/>
        </w:tabs>
        <w:kinsoku/>
        <w:wordWrap/>
        <w:overflowPunct/>
        <w:topLinePunct w:val="0"/>
        <w:autoSpaceDE/>
        <w:autoSpaceDN/>
        <w:bidi w:val="0"/>
        <w:adjustRightInd/>
        <w:snapToGrid/>
        <w:spacing w:line="120" w:lineRule="exact"/>
        <w:jc w:val="left"/>
        <w:textAlignment w:val="auto"/>
        <w:rPr>
          <w:rFonts w:hint="eastAsia" w:cstheme="minorBidi"/>
          <w:kern w:val="2"/>
          <w:sz w:val="21"/>
          <w:szCs w:val="24"/>
          <w:lang w:val="en-US" w:eastAsia="zh-CN" w:bidi="ar-SA"/>
        </w:rPr>
      </w:pPr>
    </w:p>
    <w:sectPr>
      <w:pgSz w:w="16838" w:h="11906" w:orient="landscape"/>
      <w:pgMar w:top="1531" w:right="574" w:bottom="1335" w:left="724" w:header="851" w:footer="992" w:gutter="0"/>
      <w:pgBorders>
        <w:top w:val="none" w:sz="0" w:space="0"/>
        <w:left w:val="none" w:sz="0" w:space="0"/>
        <w:bottom w:val="none" w:sz="0" w:space="0"/>
        <w:right w:val="none" w:sz="0" w:space="0"/>
      </w:pgBorders>
      <w:pgNumType w:fmt="numberInDash"/>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0BEC00-CF38-4504-978F-2CAC46F1E7C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embedRegular r:id="rId2" w:fontKey="{09200C6F-8000-4B41-8407-B7BC516D779E}"/>
  </w:font>
  <w:font w:name="仿宋">
    <w:panose1 w:val="02010609060101010101"/>
    <w:charset w:val="86"/>
    <w:family w:val="auto"/>
    <w:pitch w:val="default"/>
    <w:sig w:usb0="800002BF" w:usb1="38CF7CFA" w:usb2="00000016" w:usb3="00000000" w:csb0="00040001" w:csb1="00000000"/>
    <w:embedRegular r:id="rId3" w:fontKey="{4E83B018-2E39-46A5-913D-6E88647ABC09}"/>
  </w:font>
  <w:font w:name="楷体">
    <w:panose1 w:val="02010609060101010101"/>
    <w:charset w:val="86"/>
    <w:family w:val="auto"/>
    <w:pitch w:val="default"/>
    <w:sig w:usb0="800002BF" w:usb1="38CF7CFA" w:usb2="00000016" w:usb3="00000000" w:csb0="00040001" w:csb1="00000000"/>
    <w:embedRegular r:id="rId4" w:fontKey="{918C8965-B8FE-4378-8D80-74685CDC5A16}"/>
  </w:font>
  <w:font w:name="方正仿宋简体">
    <w:panose1 w:val="02000000000000000000"/>
    <w:charset w:val="86"/>
    <w:family w:val="auto"/>
    <w:pitch w:val="default"/>
    <w:sig w:usb0="A00002BF" w:usb1="184F6CFA" w:usb2="00000012" w:usb3="00000000" w:csb0="00040001" w:csb1="00000000"/>
    <w:embedRegular r:id="rId5" w:fontKey="{208934FE-8D9C-4D0E-9E28-6347EF6EEEEE}"/>
  </w:font>
  <w:font w:name="方正仿宋_GB2312">
    <w:panose1 w:val="02000000000000000000"/>
    <w:charset w:val="86"/>
    <w:family w:val="auto"/>
    <w:pitch w:val="default"/>
    <w:sig w:usb0="A00002BF" w:usb1="184F6CFA" w:usb2="00000012" w:usb3="00000000" w:csb0="00040001" w:csb1="00000000"/>
    <w:embedRegular r:id="rId6" w:fontKey="{CFD43A7F-E5F3-42FC-A8E5-ECDC14A67D7F}"/>
  </w:font>
  <w:font w:name="仿宋_GB2312">
    <w:altName w:val="仿宋"/>
    <w:panose1 w:val="00000000000000000000"/>
    <w:charset w:val="00"/>
    <w:family w:val="auto"/>
    <w:pitch w:val="default"/>
    <w:sig w:usb0="00000000" w:usb1="00000000" w:usb2="00000000" w:usb3="00000000" w:csb0="00000000" w:csb1="00000000"/>
    <w:embedRegular r:id="rId7" w:fontKey="{BD0414A6-186D-4054-8783-BF4364C485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1A1F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E84EFD">
                          <w:pPr>
                            <w:pStyle w:val="4"/>
                            <w:jc w:val="center"/>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4E84EFD">
                    <w:pPr>
                      <w:pStyle w:val="4"/>
                      <w:jc w:val="center"/>
                      <w:rPr>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D2E273"/>
    <w:multiLevelType w:val="singleLevel"/>
    <w:tmpl w:val="F9D2E273"/>
    <w:lvl w:ilvl="0" w:tentative="0">
      <w:start w:val="2"/>
      <w:numFmt w:val="chineseCounting"/>
      <w:suff w:val="nothing"/>
      <w:lvlText w:val="（%1）"/>
      <w:lvlJc w:val="left"/>
      <w:rPr>
        <w:rFonts w:hint="eastAsia"/>
      </w:rPr>
    </w:lvl>
  </w:abstractNum>
  <w:abstractNum w:abstractNumId="1">
    <w:nsid w:val="1371C93C"/>
    <w:multiLevelType w:val="singleLevel"/>
    <w:tmpl w:val="1371C93C"/>
    <w:lvl w:ilvl="0" w:tentative="0">
      <w:start w:val="5"/>
      <w:numFmt w:val="chineseCounting"/>
      <w:suff w:val="nothing"/>
      <w:lvlText w:val="%1、"/>
      <w:lvlJc w:val="left"/>
      <w:rPr>
        <w:rFonts w:hint="eastAsia"/>
      </w:rPr>
    </w:lvl>
  </w:abstractNum>
  <w:abstractNum w:abstractNumId="2">
    <w:nsid w:val="1C111D21"/>
    <w:multiLevelType w:val="singleLevel"/>
    <w:tmpl w:val="1C111D21"/>
    <w:lvl w:ilvl="0" w:tentative="0">
      <w:start w:val="10"/>
      <w:numFmt w:val="chineseCounting"/>
      <w:suff w:val="nothing"/>
      <w:lvlText w:val="（%1）"/>
      <w:lvlJc w:val="left"/>
      <w:rPr>
        <w:rFonts w:hint="eastAsia" w:ascii="楷体" w:hAnsi="楷体" w:eastAsia="楷体" w:cs="楷体"/>
      </w:rPr>
    </w:lvl>
  </w:abstractNum>
  <w:abstractNum w:abstractNumId="3">
    <w:nsid w:val="2C776445"/>
    <w:multiLevelType w:val="singleLevel"/>
    <w:tmpl w:val="2C776445"/>
    <w:lvl w:ilvl="0" w:tentative="0">
      <w:start w:val="2"/>
      <w:numFmt w:val="decimal"/>
      <w:suff w:val="nothing"/>
      <w:lvlText w:val="（%1）"/>
      <w:lvlJc w:val="left"/>
    </w:lvl>
  </w:abstractNum>
  <w:abstractNum w:abstractNumId="4">
    <w:nsid w:val="58F2CFDC"/>
    <w:multiLevelType w:val="singleLevel"/>
    <w:tmpl w:val="58F2CFDC"/>
    <w:lvl w:ilvl="0" w:tentative="0">
      <w:start w:val="1"/>
      <w:numFmt w:val="chineseCounting"/>
      <w:suff w:val="nothing"/>
      <w:lvlText w:val="（%1）"/>
      <w:lvlJc w:val="left"/>
      <w:pPr>
        <w:ind w:left="640" w:leftChars="0" w:firstLine="0" w:firstLineChars="0"/>
      </w:pPr>
      <w:rPr>
        <w:rFonts w:hint="eastAsia"/>
      </w:rPr>
    </w:lvl>
  </w:abstractNum>
  <w:abstractNum w:abstractNumId="5">
    <w:nsid w:val="6D264384"/>
    <w:multiLevelType w:val="singleLevel"/>
    <w:tmpl w:val="6D264384"/>
    <w:lvl w:ilvl="0" w:tentative="0">
      <w:start w:val="2"/>
      <w:numFmt w:val="decimal"/>
      <w:suff w:val="nothing"/>
      <w:lvlText w:val="（%1）"/>
      <w:lvlJc w:val="left"/>
    </w:lvl>
  </w:abstractNum>
  <w:abstractNum w:abstractNumId="6">
    <w:nsid w:val="7D6AEE83"/>
    <w:multiLevelType w:val="singleLevel"/>
    <w:tmpl w:val="7D6AEE83"/>
    <w:lvl w:ilvl="0" w:tentative="0">
      <w:start w:val="1"/>
      <w:numFmt w:val="chineseCounting"/>
      <w:suff w:val="nothing"/>
      <w:lvlText w:val="%1、"/>
      <w:lvlJc w:val="left"/>
      <w:rPr>
        <w:rFonts w:hint="eastAsia"/>
      </w:rPr>
    </w:lvl>
  </w:abstractNum>
  <w:num w:numId="1">
    <w:abstractNumId w:val="6"/>
  </w:num>
  <w:num w:numId="2">
    <w:abstractNumId w:val="4"/>
  </w:num>
  <w:num w:numId="3">
    <w:abstractNumId w:val="0"/>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A5B"/>
    <w:rsid w:val="002F7A89"/>
    <w:rsid w:val="00C3750B"/>
    <w:rsid w:val="00EB2A5B"/>
    <w:rsid w:val="01D56D53"/>
    <w:rsid w:val="01E52941"/>
    <w:rsid w:val="020C5D70"/>
    <w:rsid w:val="02214AB6"/>
    <w:rsid w:val="0254423D"/>
    <w:rsid w:val="027B72B1"/>
    <w:rsid w:val="048E55BC"/>
    <w:rsid w:val="05B21493"/>
    <w:rsid w:val="05BD626F"/>
    <w:rsid w:val="05D53AD5"/>
    <w:rsid w:val="062E4337"/>
    <w:rsid w:val="062F67AA"/>
    <w:rsid w:val="068310D8"/>
    <w:rsid w:val="071066F2"/>
    <w:rsid w:val="07B25E11"/>
    <w:rsid w:val="07B85D71"/>
    <w:rsid w:val="07BE5212"/>
    <w:rsid w:val="08454BA8"/>
    <w:rsid w:val="08783B5A"/>
    <w:rsid w:val="09BC4A90"/>
    <w:rsid w:val="0B9358C2"/>
    <w:rsid w:val="0C500673"/>
    <w:rsid w:val="0CAD29B4"/>
    <w:rsid w:val="0E2A021A"/>
    <w:rsid w:val="0E80608C"/>
    <w:rsid w:val="0F0230C5"/>
    <w:rsid w:val="0F072309"/>
    <w:rsid w:val="0F44530B"/>
    <w:rsid w:val="0FDC6129"/>
    <w:rsid w:val="0FF30ADF"/>
    <w:rsid w:val="11F53491"/>
    <w:rsid w:val="12C27AFA"/>
    <w:rsid w:val="13526F75"/>
    <w:rsid w:val="150A4C2B"/>
    <w:rsid w:val="16F85130"/>
    <w:rsid w:val="175C6F6A"/>
    <w:rsid w:val="176D2F2B"/>
    <w:rsid w:val="191F69E7"/>
    <w:rsid w:val="192E4B3F"/>
    <w:rsid w:val="1A0C2928"/>
    <w:rsid w:val="1A5D2E3B"/>
    <w:rsid w:val="1A840009"/>
    <w:rsid w:val="1B615D36"/>
    <w:rsid w:val="1B6805D3"/>
    <w:rsid w:val="1B94541D"/>
    <w:rsid w:val="1C6670C3"/>
    <w:rsid w:val="1C84143D"/>
    <w:rsid w:val="1CA95787"/>
    <w:rsid w:val="1E815753"/>
    <w:rsid w:val="1F282B26"/>
    <w:rsid w:val="1F931F16"/>
    <w:rsid w:val="1FC2631F"/>
    <w:rsid w:val="1FED10A7"/>
    <w:rsid w:val="20E23F0B"/>
    <w:rsid w:val="212A38C1"/>
    <w:rsid w:val="218400BA"/>
    <w:rsid w:val="223664C8"/>
    <w:rsid w:val="22557E77"/>
    <w:rsid w:val="2309444A"/>
    <w:rsid w:val="24CA6686"/>
    <w:rsid w:val="24F036F0"/>
    <w:rsid w:val="26317E33"/>
    <w:rsid w:val="263E4F88"/>
    <w:rsid w:val="279332E2"/>
    <w:rsid w:val="27F52490"/>
    <w:rsid w:val="287E4F92"/>
    <w:rsid w:val="289E6007"/>
    <w:rsid w:val="28DE3C83"/>
    <w:rsid w:val="2B390F9F"/>
    <w:rsid w:val="2B800B27"/>
    <w:rsid w:val="2BC80452"/>
    <w:rsid w:val="2BFD474A"/>
    <w:rsid w:val="2CF241A1"/>
    <w:rsid w:val="2D906123"/>
    <w:rsid w:val="2E4A5917"/>
    <w:rsid w:val="2EC851B9"/>
    <w:rsid w:val="2F363704"/>
    <w:rsid w:val="304027AA"/>
    <w:rsid w:val="30A743AE"/>
    <w:rsid w:val="31331E04"/>
    <w:rsid w:val="31471B86"/>
    <w:rsid w:val="31784BF9"/>
    <w:rsid w:val="327725D9"/>
    <w:rsid w:val="32A61CB5"/>
    <w:rsid w:val="33706B83"/>
    <w:rsid w:val="33880521"/>
    <w:rsid w:val="346E55E0"/>
    <w:rsid w:val="34C80DBC"/>
    <w:rsid w:val="34D419C5"/>
    <w:rsid w:val="3519774E"/>
    <w:rsid w:val="35A378E7"/>
    <w:rsid w:val="36432D79"/>
    <w:rsid w:val="365B2DB7"/>
    <w:rsid w:val="376E16D7"/>
    <w:rsid w:val="377E111B"/>
    <w:rsid w:val="38D2717B"/>
    <w:rsid w:val="38E25FA4"/>
    <w:rsid w:val="38E70B6A"/>
    <w:rsid w:val="39AC56D7"/>
    <w:rsid w:val="3A554471"/>
    <w:rsid w:val="3A744589"/>
    <w:rsid w:val="3ACB4C86"/>
    <w:rsid w:val="3AEE41FA"/>
    <w:rsid w:val="3B3C42A5"/>
    <w:rsid w:val="3B6D6769"/>
    <w:rsid w:val="3CD506E7"/>
    <w:rsid w:val="3DC51466"/>
    <w:rsid w:val="3DF77B8F"/>
    <w:rsid w:val="3E223286"/>
    <w:rsid w:val="3E5757DB"/>
    <w:rsid w:val="3E8B64A7"/>
    <w:rsid w:val="3E971EA0"/>
    <w:rsid w:val="3FC62A22"/>
    <w:rsid w:val="407B7DCC"/>
    <w:rsid w:val="41185FF2"/>
    <w:rsid w:val="41463374"/>
    <w:rsid w:val="42A572AD"/>
    <w:rsid w:val="42B16053"/>
    <w:rsid w:val="42C45840"/>
    <w:rsid w:val="43B070DB"/>
    <w:rsid w:val="44065357"/>
    <w:rsid w:val="44427851"/>
    <w:rsid w:val="44EB17AA"/>
    <w:rsid w:val="453E5356"/>
    <w:rsid w:val="454F4D48"/>
    <w:rsid w:val="46804174"/>
    <w:rsid w:val="46CC0124"/>
    <w:rsid w:val="46ED0DF4"/>
    <w:rsid w:val="47C7321A"/>
    <w:rsid w:val="47CF7A69"/>
    <w:rsid w:val="49B06B1E"/>
    <w:rsid w:val="4ACC3E2B"/>
    <w:rsid w:val="4CF0209D"/>
    <w:rsid w:val="4DD34269"/>
    <w:rsid w:val="4DF56D5F"/>
    <w:rsid w:val="4E222E26"/>
    <w:rsid w:val="4E380268"/>
    <w:rsid w:val="4FBA3171"/>
    <w:rsid w:val="5059087D"/>
    <w:rsid w:val="508A00C9"/>
    <w:rsid w:val="50AC7027"/>
    <w:rsid w:val="50B67C2F"/>
    <w:rsid w:val="51491BE3"/>
    <w:rsid w:val="51DF1B10"/>
    <w:rsid w:val="521B1CEA"/>
    <w:rsid w:val="52701F06"/>
    <w:rsid w:val="55563A8E"/>
    <w:rsid w:val="55E329D8"/>
    <w:rsid w:val="57AB627A"/>
    <w:rsid w:val="57F329F7"/>
    <w:rsid w:val="582E3A6C"/>
    <w:rsid w:val="583929D0"/>
    <w:rsid w:val="58A261CC"/>
    <w:rsid w:val="58B34639"/>
    <w:rsid w:val="5A1804F3"/>
    <w:rsid w:val="5A5F7152"/>
    <w:rsid w:val="5B3E0317"/>
    <w:rsid w:val="5B45004D"/>
    <w:rsid w:val="5B815933"/>
    <w:rsid w:val="5C1F025F"/>
    <w:rsid w:val="5CA22C3E"/>
    <w:rsid w:val="5D2618E7"/>
    <w:rsid w:val="5D3E4715"/>
    <w:rsid w:val="5D6A0678"/>
    <w:rsid w:val="5D6D11D3"/>
    <w:rsid w:val="5F9914D3"/>
    <w:rsid w:val="60A63250"/>
    <w:rsid w:val="60E56871"/>
    <w:rsid w:val="61265BEC"/>
    <w:rsid w:val="614102BF"/>
    <w:rsid w:val="619D265E"/>
    <w:rsid w:val="630A59D3"/>
    <w:rsid w:val="6380470F"/>
    <w:rsid w:val="646B4008"/>
    <w:rsid w:val="64843A90"/>
    <w:rsid w:val="65A83D46"/>
    <w:rsid w:val="666A38AD"/>
    <w:rsid w:val="674F751F"/>
    <w:rsid w:val="68244605"/>
    <w:rsid w:val="683A610C"/>
    <w:rsid w:val="6A325601"/>
    <w:rsid w:val="6B15282D"/>
    <w:rsid w:val="6B3C7950"/>
    <w:rsid w:val="6BF0690E"/>
    <w:rsid w:val="6CE07597"/>
    <w:rsid w:val="6CE96A1A"/>
    <w:rsid w:val="6D3E1502"/>
    <w:rsid w:val="6DCD73EF"/>
    <w:rsid w:val="6E066998"/>
    <w:rsid w:val="6E600670"/>
    <w:rsid w:val="6EED3868"/>
    <w:rsid w:val="6EED42FD"/>
    <w:rsid w:val="71C13B33"/>
    <w:rsid w:val="71E13469"/>
    <w:rsid w:val="72832FE6"/>
    <w:rsid w:val="736A5127"/>
    <w:rsid w:val="741E4179"/>
    <w:rsid w:val="74296EB9"/>
    <w:rsid w:val="745E3404"/>
    <w:rsid w:val="754E0E15"/>
    <w:rsid w:val="76236B62"/>
    <w:rsid w:val="7730186D"/>
    <w:rsid w:val="7860444F"/>
    <w:rsid w:val="792C1E2E"/>
    <w:rsid w:val="79E37736"/>
    <w:rsid w:val="7AA143F4"/>
    <w:rsid w:val="7C3D2EBB"/>
    <w:rsid w:val="7C5D7831"/>
    <w:rsid w:val="7CB3005B"/>
    <w:rsid w:val="7CB65084"/>
    <w:rsid w:val="7CF404F4"/>
    <w:rsid w:val="7F513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table" w:customStyle="1" w:styleId="11">
    <w:name w:val="Table Normal"/>
    <w:semiHidden/>
    <w:unhideWhenUsed/>
    <w:qFormat/>
    <w:uiPriority w:val="0"/>
    <w:tblPr>
      <w:tblCellMar>
        <w:top w:w="0" w:type="dxa"/>
        <w:left w:w="0" w:type="dxa"/>
        <w:bottom w:w="0" w:type="dxa"/>
        <w:right w:w="0" w:type="dxa"/>
      </w:tblCellMar>
    </w:tblPr>
  </w:style>
  <w:style w:type="character" w:customStyle="1" w:styleId="12">
    <w:name w:val="font31"/>
    <w:basedOn w:val="8"/>
    <w:qFormat/>
    <w:uiPriority w:val="0"/>
    <w:rPr>
      <w:rFonts w:hint="eastAsia" w:ascii="宋体" w:hAnsi="宋体" w:eastAsia="宋体" w:cs="宋体"/>
      <w:color w:val="000000"/>
      <w:sz w:val="20"/>
      <w:szCs w:val="20"/>
      <w:u w:val="none"/>
    </w:rPr>
  </w:style>
  <w:style w:type="character" w:customStyle="1" w:styleId="13">
    <w:name w:val="font61"/>
    <w:basedOn w:val="8"/>
    <w:qFormat/>
    <w:uiPriority w:val="0"/>
    <w:rPr>
      <w:rFonts w:ascii="Arial" w:hAnsi="Arial" w:cs="Arial"/>
      <w:color w:val="000000"/>
      <w:sz w:val="20"/>
      <w:szCs w:val="20"/>
      <w:u w:val="none"/>
    </w:rPr>
  </w:style>
  <w:style w:type="character" w:customStyle="1" w:styleId="14">
    <w:name w:val="font71"/>
    <w:basedOn w:val="8"/>
    <w:qFormat/>
    <w:uiPriority w:val="0"/>
    <w:rPr>
      <w:rFonts w:ascii="微软雅黑" w:hAnsi="微软雅黑" w:eastAsia="微软雅黑" w:cs="微软雅黑"/>
      <w:color w:val="000000"/>
      <w:sz w:val="20"/>
      <w:szCs w:val="20"/>
      <w:u w:val="none"/>
    </w:rPr>
  </w:style>
  <w:style w:type="character" w:customStyle="1" w:styleId="15">
    <w:name w:val="font81"/>
    <w:basedOn w:val="8"/>
    <w:qFormat/>
    <w:uiPriority w:val="0"/>
    <w:rPr>
      <w:rFonts w:hint="default" w:ascii="Times New Roman" w:hAnsi="Times New Roman" w:cs="Times New Roman"/>
      <w:color w:val="000000"/>
      <w:sz w:val="20"/>
      <w:szCs w:val="20"/>
      <w:u w:val="none"/>
    </w:rPr>
  </w:style>
  <w:style w:type="character" w:customStyle="1" w:styleId="16">
    <w:name w:val="font41"/>
    <w:basedOn w:val="8"/>
    <w:qFormat/>
    <w:uiPriority w:val="0"/>
    <w:rPr>
      <w:rFonts w:hint="eastAsia" w:ascii="宋体" w:hAnsi="宋体" w:eastAsia="宋体" w:cs="宋体"/>
      <w:color w:val="000000"/>
      <w:sz w:val="20"/>
      <w:szCs w:val="20"/>
      <w:u w:val="none"/>
    </w:rPr>
  </w:style>
  <w:style w:type="character" w:customStyle="1" w:styleId="17">
    <w:name w:val="font91"/>
    <w:basedOn w:val="8"/>
    <w:qFormat/>
    <w:uiPriority w:val="0"/>
    <w:rPr>
      <w:rFonts w:hint="eastAsia" w:ascii="宋体" w:hAnsi="宋体" w:eastAsia="宋体" w:cs="宋体"/>
      <w:color w:val="222527"/>
      <w:sz w:val="20"/>
      <w:szCs w:val="20"/>
      <w:u w:val="none"/>
    </w:rPr>
  </w:style>
  <w:style w:type="character" w:customStyle="1" w:styleId="18">
    <w:name w:val="font21"/>
    <w:basedOn w:val="8"/>
    <w:qFormat/>
    <w:uiPriority w:val="0"/>
    <w:rPr>
      <w:rFonts w:hint="eastAsia" w:ascii="宋体" w:hAnsi="宋体" w:eastAsia="宋体" w:cs="宋体"/>
      <w:color w:val="000000"/>
      <w:sz w:val="20"/>
      <w:szCs w:val="20"/>
      <w:u w:val="none"/>
    </w:rPr>
  </w:style>
  <w:style w:type="character" w:customStyle="1" w:styleId="19">
    <w:name w:val="font11"/>
    <w:basedOn w:val="8"/>
    <w:qFormat/>
    <w:uiPriority w:val="0"/>
    <w:rPr>
      <w:rFonts w:hint="eastAsia" w:ascii="宋体" w:hAnsi="宋体" w:eastAsia="宋体" w:cs="宋体"/>
      <w:color w:val="000000"/>
      <w:sz w:val="20"/>
      <w:szCs w:val="20"/>
      <w:u w:val="none"/>
    </w:rPr>
  </w:style>
  <w:style w:type="character" w:customStyle="1" w:styleId="20">
    <w:name w:val="font01"/>
    <w:basedOn w:val="8"/>
    <w:qFormat/>
    <w:uiPriority w:val="0"/>
    <w:rPr>
      <w:rFonts w:hint="eastAsia" w:ascii="宋体" w:hAnsi="宋体" w:eastAsia="宋体" w:cs="宋体"/>
      <w:color w:val="000000"/>
      <w:sz w:val="22"/>
      <w:szCs w:val="22"/>
      <w:u w:val="none"/>
    </w:rPr>
  </w:style>
  <w:style w:type="character" w:customStyle="1" w:styleId="21">
    <w:name w:val="font112"/>
    <w:basedOn w:val="8"/>
    <w:qFormat/>
    <w:uiPriority w:val="0"/>
    <w:rPr>
      <w:rFonts w:hint="eastAsia" w:ascii="微软雅黑" w:hAnsi="微软雅黑" w:eastAsia="微软雅黑" w:cs="微软雅黑"/>
      <w:color w:val="000000"/>
      <w:sz w:val="22"/>
      <w:szCs w:val="22"/>
      <w:u w:val="none"/>
    </w:rPr>
  </w:style>
  <w:style w:type="character" w:customStyle="1" w:styleId="22">
    <w:name w:val="font101"/>
    <w:basedOn w:val="8"/>
    <w:qFormat/>
    <w:uiPriority w:val="0"/>
    <w:rPr>
      <w:rFonts w:hint="eastAsia" w:ascii="宋体" w:hAnsi="宋体" w:eastAsia="宋体" w:cs="宋体"/>
      <w:color w:val="222527"/>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13555</Words>
  <Characters>15274</Characters>
  <Lines>0</Lines>
  <Paragraphs>0</Paragraphs>
  <TotalTime>12</TotalTime>
  <ScaleCrop>false</ScaleCrop>
  <LinksUpToDate>false</LinksUpToDate>
  <CharactersWithSpaces>15553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2025-07-07T00:50:00Z</dcterms:created>
  <dc:creator>何何</dc:creator>
  <cp:lastModifiedBy>何何</cp:lastModifiedBy>
  <cp:lastPrinted>2025-08-05T10:03:00Z</cp:lastPrinted>
  <dcterms:modified xsi:type="dcterms:W3CDTF">2025-10-11T00:59:02Z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F0B09E8435F74C9BBCD2F428D8983263_11</vt:lpwstr>
  </property>
  <property fmtid="{D5CDD505-2E9C-101B-9397-08002B2CF9AE}" pid="4" name="KSOTemplateDocerSaveRecord">
    <vt:lpwstr>eyJoZGlkIjoiOWVjNGU5MTc2MDFkZDBkOTY0MjhiOTA3ZDFiY2Q0NWUiLCJ1c2VySWQiOiIyODYzMzg2MzgifQ==</vt:lpwstr>
  </property>
</Properties>
</file>