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A7BEC">
      <w:pPr>
        <w:keepNext w:val="0"/>
        <w:keepLines w:val="0"/>
        <w:pageBreakBefore w:val="0"/>
        <w:widowControl w:val="0"/>
        <w:tabs>
          <w:tab w:val="left" w:pos="4620"/>
        </w:tabs>
        <w:kinsoku/>
        <w:wordWrap/>
        <w:overflowPunct/>
        <w:topLinePunct w:val="0"/>
        <w:autoSpaceDE/>
        <w:autoSpaceDN/>
        <w:bidi w:val="0"/>
        <w:adjustRightInd/>
        <w:snapToGrid/>
        <w:spacing w:line="600" w:lineRule="exact"/>
        <w:jc w:val="center"/>
        <w:textAlignment w:val="auto"/>
        <w:rPr>
          <w:rFonts w:hint="eastAsia" w:ascii="方正小标宋简体" w:hAnsi="宋体" w:eastAsia="方正小标宋简体" w:cs="宋体"/>
          <w:b w:val="0"/>
          <w:bCs/>
          <w:sz w:val="44"/>
          <w:szCs w:val="44"/>
          <w:highlight w:val="none"/>
        </w:rPr>
      </w:pPr>
      <w:r>
        <w:rPr>
          <w:rFonts w:hint="eastAsia" w:ascii="方正小标宋简体" w:hAnsi="宋体" w:eastAsia="方正小标宋简体" w:cs="宋体"/>
          <w:b w:val="0"/>
          <w:bCs/>
          <w:sz w:val="44"/>
          <w:szCs w:val="44"/>
          <w:highlight w:val="none"/>
        </w:rPr>
        <w:t>202</w:t>
      </w:r>
      <w:r>
        <w:rPr>
          <w:rFonts w:hint="eastAsia" w:ascii="方正小标宋简体" w:hAnsi="宋体" w:eastAsia="方正小标宋简体" w:cs="宋体"/>
          <w:b w:val="0"/>
          <w:bCs/>
          <w:sz w:val="44"/>
          <w:szCs w:val="44"/>
          <w:highlight w:val="none"/>
          <w:lang w:val="en-US" w:eastAsia="zh-CN"/>
        </w:rPr>
        <w:t>4</w:t>
      </w:r>
      <w:r>
        <w:rPr>
          <w:rFonts w:hint="eastAsia" w:ascii="方正小标宋简体" w:hAnsi="宋体" w:eastAsia="方正小标宋简体" w:cs="宋体"/>
          <w:b w:val="0"/>
          <w:bCs/>
          <w:sz w:val="44"/>
          <w:szCs w:val="44"/>
          <w:highlight w:val="none"/>
        </w:rPr>
        <w:t>年度</w:t>
      </w:r>
      <w:r>
        <w:rPr>
          <w:rFonts w:hint="eastAsia" w:ascii="方正小标宋简体" w:hAnsi="宋体" w:eastAsia="方正小标宋简体" w:cs="宋体"/>
          <w:b w:val="0"/>
          <w:bCs/>
          <w:sz w:val="44"/>
          <w:szCs w:val="44"/>
          <w:highlight w:val="none"/>
          <w:lang w:eastAsia="zh-CN"/>
        </w:rPr>
        <w:t>益阳市住房和城乡建设局</w:t>
      </w:r>
      <w:r>
        <w:rPr>
          <w:rFonts w:hint="eastAsia" w:ascii="方正小标宋简体" w:hAnsi="宋体" w:eastAsia="方正小标宋简体" w:cs="宋体"/>
          <w:b w:val="0"/>
          <w:bCs/>
          <w:sz w:val="44"/>
          <w:szCs w:val="44"/>
          <w:highlight w:val="none"/>
        </w:rPr>
        <w:t>部门整体支出绩效评价报告</w:t>
      </w:r>
    </w:p>
    <w:p w14:paraId="7F56CE68">
      <w:pPr>
        <w:pStyle w:val="2"/>
        <w:keepNext w:val="0"/>
        <w:keepLines w:val="0"/>
        <w:pageBreakBefore w:val="0"/>
        <w:widowControl w:val="0"/>
        <w:kinsoku/>
        <w:wordWrap/>
        <w:overflowPunct/>
        <w:topLinePunct w:val="0"/>
        <w:autoSpaceDE/>
        <w:autoSpaceDN/>
        <w:bidi w:val="0"/>
        <w:adjustRightInd/>
        <w:snapToGrid/>
        <w:spacing w:line="240" w:lineRule="exact"/>
        <w:ind w:firstLine="1848" w:firstLineChars="600"/>
        <w:textAlignment w:val="auto"/>
        <w:rPr>
          <w:rFonts w:hint="eastAsia" w:ascii="仿宋" w:hAnsi="仿宋" w:eastAsia="仿宋" w:cs="仿宋"/>
          <w:spacing w:val="-6"/>
          <w:kern w:val="2"/>
          <w:sz w:val="32"/>
          <w:szCs w:val="32"/>
          <w:highlight w:val="none"/>
          <w:shd w:val="clear" w:color="auto" w:fill="FFFFFF"/>
          <w:lang w:val="en-US" w:eastAsia="zh-CN" w:bidi="ar-SA"/>
        </w:rPr>
      </w:pPr>
    </w:p>
    <w:p w14:paraId="1B598C84">
      <w:pPr>
        <w:pStyle w:val="2"/>
        <w:keepNext w:val="0"/>
        <w:keepLines w:val="0"/>
        <w:pageBreakBefore w:val="0"/>
        <w:widowControl w:val="0"/>
        <w:kinsoku/>
        <w:wordWrap/>
        <w:overflowPunct/>
        <w:topLinePunct w:val="0"/>
        <w:autoSpaceDE/>
        <w:autoSpaceDN/>
        <w:bidi w:val="0"/>
        <w:adjustRightInd/>
        <w:snapToGrid/>
        <w:spacing w:after="157" w:afterLines="50"/>
        <w:ind w:firstLine="2156" w:firstLineChars="700"/>
        <w:textAlignment w:val="auto"/>
        <w:rPr>
          <w:rFonts w:hint="eastAsia" w:ascii="仿宋" w:hAnsi="仿宋" w:eastAsia="仿宋" w:cs="仿宋"/>
          <w:spacing w:val="-6"/>
          <w:kern w:val="2"/>
          <w:sz w:val="32"/>
          <w:szCs w:val="32"/>
          <w:highlight w:val="none"/>
          <w:shd w:val="clear" w:color="auto" w:fill="FFFFFF"/>
          <w:lang w:val="en-US" w:eastAsia="zh-CN" w:bidi="ar-SA"/>
        </w:rPr>
      </w:pPr>
      <w:r>
        <w:rPr>
          <w:rFonts w:hint="eastAsia" w:ascii="仿宋" w:hAnsi="仿宋" w:eastAsia="仿宋" w:cs="仿宋"/>
          <w:spacing w:val="-6"/>
          <w:kern w:val="2"/>
          <w:sz w:val="32"/>
          <w:szCs w:val="32"/>
          <w:highlight w:val="none"/>
          <w:shd w:val="clear" w:color="auto" w:fill="FFFFFF"/>
          <w:lang w:val="en-US" w:eastAsia="zh-CN" w:bidi="ar-SA"/>
        </w:rPr>
        <w:t>湖南世纪金源工程咨询有限公司</w:t>
      </w:r>
    </w:p>
    <w:p w14:paraId="5A3DFFA8">
      <w:pPr>
        <w:keepNext w:val="0"/>
        <w:keepLines w:val="0"/>
        <w:pageBreakBefore w:val="0"/>
        <w:widowControl/>
        <w:kinsoku/>
        <w:wordWrap/>
        <w:overflowPunct/>
        <w:topLinePunct w:val="0"/>
        <w:autoSpaceDE/>
        <w:autoSpaceDN/>
        <w:bidi w:val="0"/>
        <w:adjustRightInd/>
        <w:snapToGrid/>
        <w:spacing w:line="520" w:lineRule="exact"/>
        <w:ind w:firstLine="640"/>
        <w:jc w:val="both"/>
        <w:textAlignment w:val="auto"/>
        <w:rPr>
          <w:rFonts w:ascii="仿宋" w:hAnsi="仿宋" w:eastAsia="仿宋" w:cs="仿宋"/>
          <w:spacing w:val="-6"/>
          <w:sz w:val="32"/>
          <w:szCs w:val="32"/>
          <w:highlight w:val="none"/>
        </w:rPr>
      </w:pPr>
      <w:r>
        <w:rPr>
          <w:rFonts w:hint="eastAsia" w:ascii="仿宋" w:hAnsi="仿宋" w:eastAsia="仿宋" w:cs="仿宋"/>
          <w:spacing w:val="-6"/>
          <w:sz w:val="32"/>
          <w:szCs w:val="32"/>
          <w:highlight w:val="none"/>
          <w:shd w:val="clear" w:color="auto" w:fill="FFFFFF"/>
        </w:rPr>
        <w:t>为进一步规范和加强专项资金使用管理，</w:t>
      </w:r>
      <w:r>
        <w:rPr>
          <w:rFonts w:hint="eastAsia" w:ascii="仿宋" w:hAnsi="仿宋" w:eastAsia="仿宋" w:cs="仿宋"/>
          <w:sz w:val="32"/>
          <w:szCs w:val="32"/>
          <w:highlight w:val="none"/>
        </w:rPr>
        <w:t>不断增强预算绩效理念，强化部门支出责任，</w:t>
      </w:r>
      <w:r>
        <w:rPr>
          <w:rFonts w:hint="eastAsia" w:ascii="仿宋" w:hAnsi="仿宋" w:eastAsia="仿宋" w:cs="仿宋"/>
          <w:spacing w:val="-6"/>
          <w:sz w:val="32"/>
          <w:szCs w:val="32"/>
          <w:highlight w:val="none"/>
          <w:shd w:val="clear" w:color="auto" w:fill="FFFFFF"/>
        </w:rPr>
        <w:t>切实提高财政资金使用效益，</w:t>
      </w:r>
      <w:r>
        <w:rPr>
          <w:rFonts w:hint="eastAsia" w:ascii="仿宋" w:hAnsi="仿宋" w:eastAsia="仿宋" w:cs="仿宋"/>
          <w:sz w:val="32"/>
          <w:szCs w:val="32"/>
          <w:highlight w:val="none"/>
        </w:rPr>
        <w:t>根据</w:t>
      </w:r>
      <w:r>
        <w:rPr>
          <w:rFonts w:hint="eastAsia" w:ascii="仿宋" w:hAnsi="仿宋" w:eastAsia="仿宋" w:cs="仿宋"/>
          <w:sz w:val="32"/>
          <w:szCs w:val="32"/>
          <w:highlight w:val="none"/>
          <w:lang w:eastAsia="zh-CN"/>
        </w:rPr>
        <w:t>《中共中央 国务院</w:t>
      </w:r>
      <w:r>
        <w:rPr>
          <w:rFonts w:hint="eastAsia" w:ascii="仿宋" w:hAnsi="仿宋" w:eastAsia="仿宋" w:cs="仿宋"/>
          <w:sz w:val="32"/>
          <w:szCs w:val="32"/>
          <w:highlight w:val="none"/>
        </w:rPr>
        <w:t>关于全面实施预算绩效管理的意见》（中发〔2018〕34号）、《财政部关于印发〈项目支出绩效评价管理办法〉的通知》（财预〔2020〕10号）、</w:t>
      </w:r>
      <w:r>
        <w:rPr>
          <w:rFonts w:hint="eastAsia" w:ascii="仿宋" w:hAnsi="仿宋" w:eastAsia="仿宋" w:cs="仿宋"/>
          <w:spacing w:val="-6"/>
          <w:sz w:val="32"/>
          <w:szCs w:val="32"/>
          <w:highlight w:val="none"/>
        </w:rPr>
        <w:t>《中共湖南省委办公厅 湖南省人民政府办公厅关于全面实施预算绩效管理的实施意见》（湘办发〔2019〕10号）及</w:t>
      </w:r>
      <w:r>
        <w:rPr>
          <w:rFonts w:hint="eastAsia" w:ascii="仿宋" w:hAnsi="仿宋" w:eastAsia="仿宋" w:cs="仿宋"/>
          <w:spacing w:val="-6"/>
          <w:sz w:val="32"/>
          <w:szCs w:val="32"/>
          <w:highlight w:val="none"/>
          <w:shd w:val="clear" w:color="auto" w:fill="FFFFFF"/>
        </w:rPr>
        <w:t>《</w:t>
      </w:r>
      <w:r>
        <w:rPr>
          <w:rFonts w:hint="eastAsia" w:ascii="仿宋" w:hAnsi="仿宋" w:eastAsia="仿宋" w:cs="仿宋"/>
          <w:spacing w:val="-6"/>
          <w:sz w:val="32"/>
          <w:szCs w:val="32"/>
          <w:highlight w:val="none"/>
        </w:rPr>
        <w:t>益阳市财政局关于开展202</w:t>
      </w:r>
      <w:r>
        <w:rPr>
          <w:rFonts w:hint="eastAsia" w:ascii="仿宋" w:hAnsi="仿宋" w:eastAsia="仿宋" w:cs="仿宋"/>
          <w:spacing w:val="-6"/>
          <w:sz w:val="32"/>
          <w:szCs w:val="32"/>
          <w:highlight w:val="none"/>
          <w:lang w:val="en-US" w:eastAsia="zh-CN"/>
        </w:rPr>
        <w:t>5</w:t>
      </w:r>
      <w:r>
        <w:rPr>
          <w:rFonts w:hint="eastAsia" w:ascii="仿宋" w:hAnsi="仿宋" w:eastAsia="仿宋" w:cs="仿宋"/>
          <w:spacing w:val="-6"/>
          <w:sz w:val="32"/>
          <w:szCs w:val="32"/>
          <w:highlight w:val="none"/>
        </w:rPr>
        <w:t>年度财政性资金现场绩效评价工作的通知》（益财绩〔202</w:t>
      </w:r>
      <w:r>
        <w:rPr>
          <w:rFonts w:hint="eastAsia" w:ascii="仿宋" w:hAnsi="仿宋" w:eastAsia="仿宋" w:cs="仿宋"/>
          <w:spacing w:val="-6"/>
          <w:sz w:val="32"/>
          <w:szCs w:val="32"/>
          <w:highlight w:val="none"/>
          <w:lang w:val="en-US" w:eastAsia="zh-CN"/>
        </w:rPr>
        <w:t>5</w:t>
      </w:r>
      <w:r>
        <w:rPr>
          <w:rFonts w:hint="eastAsia" w:ascii="仿宋" w:hAnsi="仿宋" w:eastAsia="仿宋" w:cs="仿宋"/>
          <w:spacing w:val="-6"/>
          <w:sz w:val="32"/>
          <w:szCs w:val="32"/>
          <w:highlight w:val="none"/>
        </w:rPr>
        <w:t>〕</w:t>
      </w:r>
      <w:r>
        <w:rPr>
          <w:rFonts w:hint="eastAsia" w:ascii="仿宋" w:hAnsi="仿宋" w:eastAsia="仿宋" w:cs="仿宋"/>
          <w:spacing w:val="-6"/>
          <w:sz w:val="32"/>
          <w:szCs w:val="32"/>
          <w:highlight w:val="none"/>
          <w:lang w:val="en-US" w:eastAsia="zh-CN"/>
        </w:rPr>
        <w:t>163</w:t>
      </w:r>
      <w:r>
        <w:rPr>
          <w:rFonts w:hint="eastAsia" w:ascii="仿宋" w:hAnsi="仿宋" w:eastAsia="仿宋" w:cs="仿宋"/>
          <w:spacing w:val="-6"/>
          <w:sz w:val="32"/>
          <w:szCs w:val="32"/>
          <w:highlight w:val="none"/>
        </w:rPr>
        <w:t>号）</w:t>
      </w:r>
      <w:r>
        <w:rPr>
          <w:rFonts w:hint="eastAsia" w:ascii="仿宋" w:hAnsi="仿宋" w:eastAsia="仿宋" w:cs="仿宋"/>
          <w:spacing w:val="-6"/>
          <w:sz w:val="32"/>
          <w:szCs w:val="32"/>
          <w:highlight w:val="none"/>
          <w:shd w:val="clear" w:color="auto" w:fill="FFFFFF"/>
        </w:rPr>
        <w:t>等文件精神，</w:t>
      </w:r>
      <w:r>
        <w:rPr>
          <w:rFonts w:hint="eastAsia" w:ascii="仿宋" w:hAnsi="仿宋" w:eastAsia="仿宋" w:cs="仿宋"/>
          <w:spacing w:val="-6"/>
          <w:sz w:val="32"/>
          <w:szCs w:val="32"/>
          <w:highlight w:val="none"/>
        </w:rPr>
        <w:t>受贵局委托，我公司成立绩效评价工作组，于202</w:t>
      </w:r>
      <w:r>
        <w:rPr>
          <w:rFonts w:hint="eastAsia" w:ascii="仿宋" w:hAnsi="仿宋" w:eastAsia="仿宋" w:cs="仿宋"/>
          <w:spacing w:val="-6"/>
          <w:sz w:val="32"/>
          <w:szCs w:val="32"/>
          <w:highlight w:val="none"/>
          <w:lang w:val="en-US" w:eastAsia="zh-CN"/>
        </w:rPr>
        <w:t>5</w:t>
      </w:r>
      <w:r>
        <w:rPr>
          <w:rFonts w:hint="eastAsia" w:ascii="仿宋" w:hAnsi="仿宋" w:eastAsia="仿宋" w:cs="仿宋"/>
          <w:spacing w:val="-6"/>
          <w:sz w:val="32"/>
          <w:szCs w:val="32"/>
          <w:highlight w:val="none"/>
        </w:rPr>
        <w:t>年8月1</w:t>
      </w:r>
      <w:r>
        <w:rPr>
          <w:rFonts w:hint="eastAsia" w:ascii="仿宋" w:hAnsi="仿宋" w:eastAsia="仿宋" w:cs="仿宋"/>
          <w:spacing w:val="-6"/>
          <w:sz w:val="32"/>
          <w:szCs w:val="32"/>
          <w:highlight w:val="none"/>
          <w:lang w:val="en-US" w:eastAsia="zh-CN"/>
        </w:rPr>
        <w:t>4</w:t>
      </w:r>
      <w:r>
        <w:rPr>
          <w:rFonts w:hint="eastAsia" w:ascii="仿宋" w:hAnsi="仿宋" w:eastAsia="仿宋" w:cs="仿宋"/>
          <w:spacing w:val="-6"/>
          <w:sz w:val="32"/>
          <w:szCs w:val="32"/>
          <w:highlight w:val="none"/>
        </w:rPr>
        <w:t>日－9月</w:t>
      </w:r>
      <w:r>
        <w:rPr>
          <w:rFonts w:hint="eastAsia" w:ascii="仿宋" w:hAnsi="仿宋" w:eastAsia="仿宋" w:cs="仿宋"/>
          <w:spacing w:val="-6"/>
          <w:sz w:val="32"/>
          <w:szCs w:val="32"/>
          <w:highlight w:val="none"/>
          <w:lang w:val="en-US" w:eastAsia="zh-CN"/>
        </w:rPr>
        <w:t>30</w:t>
      </w:r>
      <w:r>
        <w:rPr>
          <w:rFonts w:hint="eastAsia" w:ascii="仿宋" w:hAnsi="仿宋" w:eastAsia="仿宋" w:cs="仿宋"/>
          <w:spacing w:val="-6"/>
          <w:sz w:val="32"/>
          <w:szCs w:val="32"/>
          <w:highlight w:val="none"/>
        </w:rPr>
        <w:t>日对202</w:t>
      </w:r>
      <w:r>
        <w:rPr>
          <w:rFonts w:hint="eastAsia" w:ascii="仿宋" w:hAnsi="仿宋" w:eastAsia="仿宋" w:cs="仿宋"/>
          <w:spacing w:val="-6"/>
          <w:sz w:val="32"/>
          <w:szCs w:val="32"/>
          <w:highlight w:val="none"/>
          <w:lang w:val="en-US" w:eastAsia="zh-CN"/>
        </w:rPr>
        <w:t>4</w:t>
      </w:r>
      <w:r>
        <w:rPr>
          <w:rFonts w:hint="eastAsia" w:ascii="仿宋" w:hAnsi="仿宋" w:eastAsia="仿宋" w:cs="仿宋"/>
          <w:spacing w:val="-6"/>
          <w:sz w:val="32"/>
          <w:szCs w:val="32"/>
          <w:highlight w:val="none"/>
        </w:rPr>
        <w:t>年度</w:t>
      </w:r>
      <w:r>
        <w:rPr>
          <w:rFonts w:hint="eastAsia" w:ascii="仿宋" w:hAnsi="仿宋" w:eastAsia="仿宋" w:cs="仿宋"/>
          <w:spacing w:val="-6"/>
          <w:sz w:val="32"/>
          <w:szCs w:val="32"/>
          <w:highlight w:val="none"/>
          <w:lang w:eastAsia="zh-CN"/>
        </w:rPr>
        <w:t>益阳市住房和城乡建设局</w:t>
      </w:r>
      <w:r>
        <w:rPr>
          <w:rFonts w:hint="eastAsia" w:ascii="仿宋" w:hAnsi="仿宋" w:eastAsia="仿宋" w:cs="仿宋"/>
          <w:spacing w:val="-6"/>
          <w:sz w:val="32"/>
          <w:szCs w:val="32"/>
          <w:highlight w:val="none"/>
        </w:rPr>
        <w:t>部门整体支出开展了绩效评价。现将有关情况报告如下：</w:t>
      </w:r>
    </w:p>
    <w:p w14:paraId="7E718F86">
      <w:pPr>
        <w:pStyle w:val="9"/>
        <w:keepNext w:val="0"/>
        <w:keepLines w:val="0"/>
        <w:pageBreakBefore w:val="0"/>
        <w:kinsoku/>
        <w:wordWrap/>
        <w:overflowPunct/>
        <w:topLinePunct w:val="0"/>
        <w:autoSpaceDE/>
        <w:autoSpaceDN/>
        <w:bidi w:val="0"/>
        <w:adjustRightInd/>
        <w:snapToGrid/>
        <w:spacing w:line="520" w:lineRule="exact"/>
        <w:ind w:left="0" w:firstLine="616" w:firstLineChars="200"/>
        <w:jc w:val="both"/>
        <w:textAlignment w:val="auto"/>
        <w:rPr>
          <w:rFonts w:ascii="仿宋" w:hAnsi="仿宋" w:eastAsia="仿宋" w:cs="仿宋"/>
          <w:spacing w:val="-6"/>
          <w:sz w:val="32"/>
          <w:szCs w:val="32"/>
          <w:highlight w:val="none"/>
        </w:rPr>
      </w:pPr>
      <w:r>
        <w:rPr>
          <w:rFonts w:hint="eastAsia" w:ascii="方正黑体简体" w:hAnsi="方正黑体简体" w:eastAsia="方正黑体简体" w:cs="方正黑体简体"/>
          <w:spacing w:val="-6"/>
          <w:sz w:val="32"/>
          <w:szCs w:val="32"/>
          <w:highlight w:val="none"/>
        </w:rPr>
        <w:t>一、基本情况</w:t>
      </w:r>
    </w:p>
    <w:p w14:paraId="170AF6A0">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333333"/>
          <w:kern w:val="0"/>
          <w:sz w:val="32"/>
          <w:szCs w:val="32"/>
          <w:highlight w:val="none"/>
          <w:shd w:val="clear" w:color="auto" w:fill="FFFFFF"/>
          <w:lang w:eastAsia="zh-CN"/>
        </w:rPr>
      </w:pPr>
      <w:r>
        <w:rPr>
          <w:rFonts w:hint="eastAsia" w:ascii="楷体" w:hAnsi="楷体" w:eastAsia="楷体" w:cs="楷体"/>
          <w:sz w:val="32"/>
          <w:szCs w:val="32"/>
          <w:highlight w:val="none"/>
        </w:rPr>
        <w:t>（一）</w:t>
      </w:r>
      <w:r>
        <w:rPr>
          <w:rFonts w:hint="eastAsia" w:ascii="楷体" w:hAnsi="楷体" w:eastAsia="楷体" w:cs="楷体"/>
          <w:sz w:val="32"/>
          <w:szCs w:val="32"/>
          <w:highlight w:val="none"/>
          <w:shd w:val="clear" w:color="auto" w:fill="FFFFFF"/>
        </w:rPr>
        <w:t>部门概况</w:t>
      </w:r>
      <w:r>
        <w:rPr>
          <w:rFonts w:hint="eastAsia" w:ascii="楷体" w:hAnsi="楷体" w:eastAsia="楷体" w:cs="楷体"/>
          <w:sz w:val="32"/>
          <w:szCs w:val="32"/>
          <w:highlight w:val="none"/>
        </w:rPr>
        <w:t>。</w:t>
      </w:r>
      <w:r>
        <w:rPr>
          <w:rFonts w:hint="eastAsia" w:ascii="仿宋" w:hAnsi="仿宋" w:eastAsia="仿宋" w:cs="仿宋"/>
          <w:spacing w:val="-6"/>
          <w:sz w:val="32"/>
          <w:szCs w:val="32"/>
          <w:highlight w:val="none"/>
          <w:lang w:eastAsia="zh-CN"/>
        </w:rPr>
        <w:t>益阳市住房和城乡建设局是市人民政府正处级工作部门，其主要职责是：</w:t>
      </w:r>
      <w:r>
        <w:rPr>
          <w:rFonts w:hint="eastAsia" w:ascii="仿宋" w:hAnsi="仿宋" w:eastAsia="仿宋" w:cs="仿宋"/>
          <w:color w:val="000000"/>
          <w:sz w:val="32"/>
          <w:szCs w:val="32"/>
          <w:highlight w:val="none"/>
        </w:rPr>
        <w:t>贯彻执行住房保障、城乡建设、房地产管理工作的方针政策和法律法规，拟订相关政策措施、发展规划、工作计划并组织实施；参与编制国土空间规划、城镇体系规划、城市总体规划、地下空间规划等；负责指导全市住房保障、城乡建设、房地产管理工作。负责市城市规划区建设管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推进新型城镇化</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建设工程规范、标准、定额的贯彻执行和监督管理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市城市规划区建设工程主题服务窗口建设管理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全市房屋建筑和市政工程质量安全监管</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全市城乡生活污水、生活垃圾减排</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城市基础设施建设配套费、物业专项维修资金等住房城乡建设和其他专项资金的征收和管理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全市建设职业技能教育培训</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全市房地产业管理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指导协调城镇住房保障</w:t>
      </w:r>
      <w:r>
        <w:rPr>
          <w:rFonts w:hint="eastAsia" w:ascii="仿宋" w:hAnsi="仿宋" w:eastAsia="仿宋" w:cs="仿宋"/>
          <w:color w:val="000000"/>
          <w:sz w:val="32"/>
          <w:szCs w:val="32"/>
          <w:highlight w:val="none"/>
          <w:lang w:eastAsia="zh-CN"/>
        </w:rPr>
        <w:t>等</w:t>
      </w:r>
      <w:r>
        <w:rPr>
          <w:rFonts w:hint="eastAsia" w:ascii="仿宋" w:hAnsi="仿宋" w:eastAsia="仿宋" w:cs="仿宋"/>
          <w:color w:val="000000"/>
          <w:sz w:val="32"/>
          <w:szCs w:val="32"/>
          <w:highlight w:val="none"/>
        </w:rPr>
        <w:t>工作</w:t>
      </w:r>
      <w:r>
        <w:rPr>
          <w:rFonts w:hint="eastAsia" w:ascii="仿宋" w:hAnsi="仿宋" w:eastAsia="仿宋" w:cs="仿宋"/>
          <w:color w:val="000000"/>
          <w:sz w:val="32"/>
          <w:szCs w:val="32"/>
          <w:highlight w:val="none"/>
          <w:lang w:eastAsia="zh-CN"/>
        </w:rPr>
        <w:t>。市本级</w:t>
      </w:r>
      <w:r>
        <w:rPr>
          <w:rFonts w:hint="eastAsia" w:ascii="仿宋" w:hAnsi="仿宋" w:eastAsia="仿宋" w:cs="仿宋"/>
          <w:color w:val="000000"/>
          <w:sz w:val="32"/>
          <w:szCs w:val="32"/>
          <w:highlight w:val="none"/>
        </w:rPr>
        <w:t>内设</w:t>
      </w:r>
      <w:r>
        <w:rPr>
          <w:rFonts w:hint="eastAsia" w:ascii="仿宋" w:hAnsi="仿宋" w:eastAsia="仿宋" w:cs="仿宋"/>
          <w:color w:val="000000"/>
          <w:sz w:val="32"/>
          <w:szCs w:val="32"/>
          <w:highlight w:val="none"/>
          <w:lang w:eastAsia="zh-CN"/>
        </w:rPr>
        <w:t>职能</w:t>
      </w:r>
      <w:r>
        <w:rPr>
          <w:rFonts w:hint="eastAsia" w:ascii="仿宋" w:hAnsi="仿宋" w:eastAsia="仿宋" w:cs="仿宋"/>
          <w:color w:val="000000"/>
          <w:sz w:val="32"/>
          <w:szCs w:val="32"/>
          <w:highlight w:val="none"/>
        </w:rPr>
        <w:t>机构22个</w:t>
      </w:r>
      <w:r>
        <w:rPr>
          <w:rFonts w:hint="eastAsia" w:ascii="仿宋" w:hAnsi="仿宋" w:eastAsia="仿宋" w:cs="仿宋"/>
          <w:sz w:val="32"/>
          <w:szCs w:val="32"/>
          <w:highlight w:val="none"/>
        </w:rPr>
        <w:t>（含机关党委）</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下辖</w:t>
      </w:r>
      <w:r>
        <w:rPr>
          <w:rFonts w:hint="eastAsia" w:ascii="仿宋" w:hAnsi="仿宋" w:eastAsia="仿宋" w:cs="仿宋"/>
          <w:color w:val="000000"/>
          <w:sz w:val="32"/>
          <w:szCs w:val="32"/>
          <w:highlight w:val="none"/>
          <w:lang w:val="en-US" w:eastAsia="zh-CN"/>
        </w:rPr>
        <w:t>事业单位12个，其中公益一类事业单位8个，公益二类事业单位4个，2024年定</w:t>
      </w:r>
      <w:r>
        <w:rPr>
          <w:rFonts w:hint="eastAsia" w:ascii="仿宋" w:hAnsi="仿宋" w:eastAsia="仿宋" w:cs="仿宋"/>
          <w:color w:val="000000"/>
          <w:sz w:val="32"/>
          <w:szCs w:val="32"/>
          <w:highlight w:val="none"/>
        </w:rPr>
        <w:t>编</w:t>
      </w:r>
      <w:r>
        <w:rPr>
          <w:rFonts w:hint="eastAsia" w:ascii="仿宋" w:hAnsi="仿宋" w:eastAsia="仿宋" w:cs="仿宋"/>
          <w:color w:val="000000"/>
          <w:sz w:val="32"/>
          <w:szCs w:val="32"/>
          <w:highlight w:val="none"/>
          <w:lang w:eastAsia="zh-CN"/>
        </w:rPr>
        <w:t>员额</w:t>
      </w:r>
      <w:r>
        <w:rPr>
          <w:rFonts w:hint="eastAsia" w:ascii="仿宋" w:hAnsi="仿宋" w:eastAsia="仿宋" w:cs="仿宋"/>
          <w:color w:val="000000"/>
          <w:sz w:val="32"/>
          <w:szCs w:val="32"/>
          <w:highlight w:val="none"/>
        </w:rPr>
        <w:t>30</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rPr>
        <w:t>人,</w:t>
      </w:r>
      <w:r>
        <w:rPr>
          <w:rFonts w:hint="eastAsia" w:ascii="仿宋" w:hAnsi="仿宋" w:eastAsia="仿宋" w:cs="仿宋"/>
          <w:color w:val="000000"/>
          <w:sz w:val="32"/>
          <w:szCs w:val="32"/>
          <w:highlight w:val="none"/>
          <w:lang w:eastAsia="zh-CN"/>
        </w:rPr>
        <w:t>年末</w:t>
      </w:r>
      <w:r>
        <w:rPr>
          <w:rFonts w:hint="eastAsia" w:ascii="仿宋" w:hAnsi="仿宋" w:eastAsia="仿宋" w:cs="仿宋"/>
          <w:color w:val="000000"/>
          <w:sz w:val="32"/>
          <w:szCs w:val="32"/>
          <w:highlight w:val="none"/>
        </w:rPr>
        <w:t>实有人数</w:t>
      </w:r>
      <w:r>
        <w:rPr>
          <w:rFonts w:hint="eastAsia" w:ascii="仿宋" w:hAnsi="仿宋" w:eastAsia="仿宋" w:cs="仿宋"/>
          <w:color w:val="000000"/>
          <w:sz w:val="32"/>
          <w:szCs w:val="32"/>
          <w:highlight w:val="none"/>
          <w:lang w:val="en-US" w:eastAsia="zh-CN"/>
        </w:rPr>
        <w:t>275</w:t>
      </w:r>
      <w:r>
        <w:rPr>
          <w:rFonts w:hint="eastAsia" w:ascii="仿宋" w:hAnsi="仿宋" w:eastAsia="仿宋" w:cs="仿宋"/>
          <w:color w:val="000000"/>
          <w:sz w:val="32"/>
          <w:szCs w:val="32"/>
          <w:highlight w:val="none"/>
        </w:rPr>
        <w:t>人</w:t>
      </w:r>
      <w:r>
        <w:rPr>
          <w:rFonts w:hint="eastAsia" w:ascii="仿宋" w:hAnsi="仿宋" w:eastAsia="仿宋" w:cs="仿宋"/>
          <w:color w:val="000000"/>
          <w:sz w:val="32"/>
          <w:szCs w:val="32"/>
          <w:highlight w:val="none"/>
          <w:lang w:eastAsia="zh-CN"/>
        </w:rPr>
        <w:t>。</w:t>
      </w:r>
    </w:p>
    <w:p w14:paraId="0EA9BB95">
      <w:pPr>
        <w:pStyle w:val="2"/>
        <w:keepNext w:val="0"/>
        <w:keepLines w:val="0"/>
        <w:pageBreakBefore w:val="0"/>
        <w:kinsoku/>
        <w:wordWrap/>
        <w:overflowPunct/>
        <w:topLinePunct w:val="0"/>
        <w:autoSpaceDE/>
        <w:autoSpaceDN/>
        <w:bidi w:val="0"/>
        <w:adjustRightInd/>
        <w:snapToGrid/>
        <w:spacing w:line="520" w:lineRule="exact"/>
        <w:ind w:firstLine="616" w:firstLineChars="200"/>
        <w:textAlignment w:val="auto"/>
        <w:rPr>
          <w:rStyle w:val="13"/>
          <w:woUserID w:val="0"/>
        </w:rPr>
      </w:pPr>
      <w:r>
        <w:rPr>
          <w:rFonts w:hint="eastAsia" w:ascii="仿宋" w:hAnsi="仿宋" w:eastAsia="仿宋" w:cs="仿宋"/>
          <w:spacing w:val="-6"/>
          <w:sz w:val="32"/>
          <w:szCs w:val="32"/>
          <w:highlight w:val="none"/>
        </w:rPr>
        <w:t>（</w:t>
      </w:r>
      <w:r>
        <w:rPr>
          <w:rFonts w:hint="eastAsia" w:ascii="楷体" w:hAnsi="楷体" w:eastAsia="楷体" w:cs="楷体"/>
          <w:spacing w:val="-6"/>
          <w:sz w:val="32"/>
          <w:szCs w:val="32"/>
          <w:highlight w:val="none"/>
        </w:rPr>
        <w:t>二）部门收入情况</w:t>
      </w:r>
    </w:p>
    <w:p w14:paraId="7D06FAD6">
      <w:pPr>
        <w:keepNext w:val="0"/>
        <w:keepLines w:val="0"/>
        <w:pageBreakBefore w:val="0"/>
        <w:kinsoku/>
        <w:wordWrap/>
        <w:overflowPunct/>
        <w:topLinePunct w:val="0"/>
        <w:autoSpaceDE/>
        <w:autoSpaceDN/>
        <w:bidi w:val="0"/>
        <w:adjustRightInd/>
        <w:snapToGrid/>
        <w:spacing w:line="520" w:lineRule="exact"/>
        <w:ind w:firstLine="616" w:firstLineChars="200"/>
        <w:textAlignment w:val="auto"/>
        <w:rPr>
          <w:rFonts w:hint="default" w:ascii="仿宋" w:hAnsi="仿宋" w:eastAsia="仿宋" w:cs="仿宋"/>
          <w:spacing w:val="-6"/>
          <w:sz w:val="32"/>
          <w:szCs w:val="32"/>
          <w:highlight w:val="none"/>
          <w:lang w:val="en-US" w:eastAsia="zh-CN"/>
        </w:rPr>
      </w:pPr>
      <w:r>
        <w:rPr>
          <w:rFonts w:hint="eastAsia" w:ascii="仿宋" w:hAnsi="仿宋" w:eastAsia="仿宋" w:cs="仿宋"/>
          <w:spacing w:val="-6"/>
          <w:sz w:val="32"/>
          <w:szCs w:val="32"/>
          <w:highlight w:val="none"/>
        </w:rPr>
        <w:t>202</w:t>
      </w:r>
      <w:r>
        <w:rPr>
          <w:rFonts w:hint="eastAsia" w:ascii="仿宋" w:hAnsi="仿宋" w:eastAsia="仿宋" w:cs="仿宋"/>
          <w:spacing w:val="-6"/>
          <w:sz w:val="32"/>
          <w:szCs w:val="32"/>
          <w:highlight w:val="none"/>
          <w:lang w:val="en-US" w:eastAsia="zh-CN"/>
        </w:rPr>
        <w:t>4</w:t>
      </w:r>
      <w:r>
        <w:rPr>
          <w:rFonts w:hint="eastAsia" w:ascii="仿宋" w:hAnsi="仿宋" w:eastAsia="仿宋" w:cs="仿宋"/>
          <w:spacing w:val="-6"/>
          <w:sz w:val="32"/>
          <w:szCs w:val="32"/>
          <w:highlight w:val="none"/>
        </w:rPr>
        <w:t>年</w:t>
      </w:r>
      <w:bookmarkStart w:id="0" w:name="_Hlk155104921"/>
      <w:r>
        <w:rPr>
          <w:rFonts w:ascii="仿宋_GB2312" w:eastAsia="仿宋_GB2312"/>
          <w:sz w:val="32"/>
          <w:szCs w:val="32"/>
          <w:highlight w:val="none"/>
          <w:lang w:val="en-US" w:eastAsia="zh-CN"/>
        </w:rPr>
        <w:t>下达年初预算</w:t>
      </w:r>
      <w:bookmarkEnd w:id="0"/>
      <w:bookmarkStart w:id="1" w:name="_Hlk155104938"/>
      <w:r>
        <w:rPr>
          <w:rFonts w:hint="eastAsia" w:ascii="仿宋" w:hAnsi="仿宋" w:eastAsia="仿宋" w:cs="仿宋"/>
          <w:spacing w:val="-6"/>
          <w:sz w:val="32"/>
          <w:szCs w:val="32"/>
          <w:highlight w:val="none"/>
          <w:lang w:val="en-US" w:eastAsia="zh-CN"/>
        </w:rPr>
        <w:t>12918.40</w:t>
      </w:r>
      <w:r>
        <w:rPr>
          <w:rFonts w:ascii="仿宋_GB2312" w:eastAsia="仿宋_GB2312"/>
          <w:sz w:val="32"/>
          <w:szCs w:val="32"/>
          <w:highlight w:val="none"/>
          <w:lang w:val="en-US" w:eastAsia="zh-CN"/>
        </w:rPr>
        <w:t>万元</w:t>
      </w:r>
      <w:bookmarkEnd w:id="1"/>
      <w:r>
        <w:rPr>
          <w:rFonts w:hint="eastAsia" w:ascii="仿宋" w:hAnsi="仿宋" w:eastAsia="仿宋" w:cs="仿宋"/>
          <w:spacing w:val="-6"/>
          <w:sz w:val="32"/>
          <w:szCs w:val="32"/>
          <w:highlight w:val="none"/>
          <w:lang w:eastAsia="zh-CN"/>
        </w:rPr>
        <w:t>，</w:t>
      </w:r>
      <w:r>
        <w:rPr>
          <w:rFonts w:ascii="仿宋_GB2312" w:eastAsia="仿宋_GB2312"/>
          <w:sz w:val="32"/>
          <w:szCs w:val="32"/>
          <w:highlight w:val="none"/>
          <w:lang w:val="en-US" w:eastAsia="zh-CN"/>
        </w:rPr>
        <w:t>其中财政拨款收入</w:t>
      </w:r>
      <w:r>
        <w:rPr>
          <w:rFonts w:hint="eastAsia" w:ascii="仿宋_GB2312" w:eastAsia="仿宋_GB2312"/>
          <w:sz w:val="28"/>
          <w:szCs w:val="28"/>
          <w:highlight w:val="none"/>
          <w:u w:val="none"/>
          <w:lang w:val="en-US" w:eastAsia="zh-CN"/>
        </w:rPr>
        <w:t>3871.76</w:t>
      </w:r>
      <w:r>
        <w:rPr>
          <w:rFonts w:ascii="仿宋_GB2312" w:eastAsia="仿宋_GB2312"/>
          <w:sz w:val="32"/>
          <w:szCs w:val="32"/>
          <w:highlight w:val="none"/>
          <w:lang w:val="en-US" w:eastAsia="zh-CN"/>
        </w:rPr>
        <w:t>万元，</w:t>
      </w:r>
      <w:bookmarkStart w:id="2" w:name="_Hlk155105491"/>
      <w:r>
        <w:rPr>
          <w:rFonts w:ascii="仿宋_GB2312" w:eastAsia="仿宋_GB2312"/>
          <w:sz w:val="32"/>
          <w:szCs w:val="32"/>
          <w:highlight w:val="none"/>
          <w:lang w:val="en-US" w:eastAsia="zh-CN"/>
        </w:rPr>
        <w:t>事业收入</w:t>
      </w:r>
      <w:r>
        <w:rPr>
          <w:rFonts w:hint="eastAsia" w:ascii="仿宋_GB2312" w:eastAsia="仿宋_GB2312"/>
          <w:sz w:val="28"/>
          <w:szCs w:val="28"/>
          <w:highlight w:val="none"/>
          <w:u w:val="none"/>
          <w:lang w:val="en-US" w:eastAsia="zh-CN"/>
        </w:rPr>
        <w:t>782.00</w:t>
      </w:r>
      <w:r>
        <w:rPr>
          <w:rFonts w:ascii="仿宋_GB2312" w:eastAsia="仿宋_GB2312"/>
          <w:sz w:val="32"/>
          <w:szCs w:val="32"/>
          <w:highlight w:val="none"/>
          <w:lang w:val="en-US" w:eastAsia="zh-CN"/>
        </w:rPr>
        <w:t>万元</w:t>
      </w:r>
      <w:bookmarkEnd w:id="2"/>
      <w:r>
        <w:rPr>
          <w:rFonts w:ascii="仿宋_GB2312" w:eastAsia="仿宋_GB2312"/>
          <w:sz w:val="32"/>
          <w:szCs w:val="32"/>
          <w:highlight w:val="none"/>
          <w:lang w:val="en-US" w:eastAsia="zh-CN"/>
        </w:rPr>
        <w:t>，其他收入</w:t>
      </w:r>
      <w:bookmarkStart w:id="3" w:name="_Hlk155105693"/>
      <w:r>
        <w:rPr>
          <w:rFonts w:hint="eastAsia" w:ascii="仿宋_GB2312" w:eastAsia="仿宋_GB2312"/>
          <w:sz w:val="28"/>
          <w:szCs w:val="28"/>
          <w:highlight w:val="none"/>
          <w:u w:val="none"/>
          <w:lang w:val="en-US" w:eastAsia="zh-CN"/>
        </w:rPr>
        <w:t>8264.64</w:t>
      </w:r>
      <w:r>
        <w:rPr>
          <w:rFonts w:ascii="仿宋_GB2312" w:eastAsia="仿宋_GB2312"/>
          <w:sz w:val="32"/>
          <w:szCs w:val="32"/>
          <w:highlight w:val="none"/>
          <w:u w:val="none"/>
          <w:lang w:val="en-US" w:eastAsia="zh-CN"/>
        </w:rPr>
        <w:t>万</w:t>
      </w:r>
      <w:r>
        <w:rPr>
          <w:rFonts w:ascii="仿宋_GB2312" w:eastAsia="仿宋_GB2312"/>
          <w:sz w:val="32"/>
          <w:szCs w:val="32"/>
          <w:highlight w:val="none"/>
          <w:lang w:val="en-US" w:eastAsia="zh-CN"/>
        </w:rPr>
        <w:t>元</w:t>
      </w:r>
      <w:bookmarkEnd w:id="3"/>
      <w:r>
        <w:rPr>
          <w:rFonts w:hint="eastAsia" w:ascii="仿宋_GB2312" w:eastAsia="仿宋_GB2312"/>
          <w:sz w:val="32"/>
          <w:szCs w:val="32"/>
          <w:highlight w:val="none"/>
          <w:lang w:val="en-US" w:eastAsia="zh-CN"/>
        </w:rPr>
        <w:t>。2024年度</w:t>
      </w:r>
      <w:r>
        <w:rPr>
          <w:rFonts w:hint="eastAsia" w:ascii="仿宋" w:hAnsi="仿宋" w:eastAsia="仿宋" w:cs="仿宋"/>
          <w:spacing w:val="-6"/>
          <w:sz w:val="32"/>
          <w:szCs w:val="32"/>
          <w:highlight w:val="none"/>
          <w:lang w:eastAsia="zh-CN"/>
        </w:rPr>
        <w:t>决算收入为12252</w:t>
      </w:r>
      <w:r>
        <w:rPr>
          <w:rFonts w:hint="eastAsia" w:ascii="仿宋" w:hAnsi="仿宋" w:eastAsia="仿宋" w:cs="仿宋"/>
          <w:spacing w:val="-6"/>
          <w:sz w:val="32"/>
          <w:szCs w:val="32"/>
          <w:highlight w:val="none"/>
          <w:lang w:val="en-US" w:eastAsia="zh-CN"/>
        </w:rPr>
        <w:t>.</w:t>
      </w:r>
      <w:r>
        <w:rPr>
          <w:rFonts w:hint="eastAsia" w:ascii="仿宋" w:hAnsi="仿宋" w:eastAsia="仿宋" w:cs="仿宋"/>
          <w:spacing w:val="-6"/>
          <w:sz w:val="32"/>
          <w:szCs w:val="32"/>
          <w:highlight w:val="none"/>
          <w:lang w:eastAsia="zh-CN"/>
        </w:rPr>
        <w:t>82元，较年初预算减少</w:t>
      </w:r>
      <w:r>
        <w:rPr>
          <w:rFonts w:hint="eastAsia" w:ascii="仿宋" w:hAnsi="仿宋" w:eastAsia="仿宋" w:cs="仿宋"/>
          <w:spacing w:val="-6"/>
          <w:sz w:val="32"/>
          <w:szCs w:val="32"/>
          <w:highlight w:val="none"/>
          <w:lang w:val="en-US" w:eastAsia="zh-CN"/>
        </w:rPr>
        <w:t>665.58万元，下降5.15%；</w:t>
      </w:r>
      <w:r>
        <w:rPr>
          <w:rFonts w:hint="eastAsia" w:ascii="仿宋" w:hAnsi="仿宋" w:eastAsia="仿宋" w:cs="仿宋"/>
          <w:spacing w:val="-6"/>
          <w:sz w:val="32"/>
          <w:szCs w:val="32"/>
          <w:highlight w:val="none"/>
          <w:lang w:eastAsia="zh-CN"/>
        </w:rPr>
        <w:t>其中</w:t>
      </w:r>
      <w:r>
        <w:rPr>
          <w:rFonts w:hint="eastAsia" w:ascii="仿宋" w:hAnsi="仿宋" w:eastAsia="仿宋" w:cs="仿宋"/>
          <w:spacing w:val="-6"/>
          <w:sz w:val="32"/>
          <w:szCs w:val="32"/>
          <w:highlight w:val="none"/>
        </w:rPr>
        <w:t>一般公共预算</w:t>
      </w:r>
      <w:r>
        <w:rPr>
          <w:rFonts w:hint="eastAsia" w:ascii="仿宋" w:hAnsi="仿宋" w:eastAsia="仿宋" w:cs="仿宋"/>
          <w:spacing w:val="-6"/>
          <w:sz w:val="32"/>
          <w:szCs w:val="32"/>
          <w:highlight w:val="none"/>
          <w:lang w:eastAsia="zh-CN"/>
        </w:rPr>
        <w:t>财政</w:t>
      </w:r>
      <w:r>
        <w:rPr>
          <w:rFonts w:hint="eastAsia" w:ascii="仿宋" w:hAnsi="仿宋" w:eastAsia="仿宋" w:cs="仿宋"/>
          <w:spacing w:val="-6"/>
          <w:sz w:val="32"/>
          <w:szCs w:val="32"/>
          <w:highlight w:val="none"/>
        </w:rPr>
        <w:t>资金6738</w:t>
      </w:r>
      <w:r>
        <w:rPr>
          <w:rFonts w:hint="eastAsia" w:ascii="仿宋" w:hAnsi="仿宋" w:eastAsia="仿宋" w:cs="仿宋"/>
          <w:spacing w:val="-6"/>
          <w:sz w:val="32"/>
          <w:szCs w:val="32"/>
          <w:highlight w:val="none"/>
          <w:lang w:val="en-US" w:eastAsia="zh-CN"/>
        </w:rPr>
        <w:t>.</w:t>
      </w:r>
      <w:r>
        <w:rPr>
          <w:rFonts w:hint="eastAsia" w:ascii="仿宋" w:hAnsi="仿宋" w:eastAsia="仿宋" w:cs="仿宋"/>
          <w:spacing w:val="-6"/>
          <w:sz w:val="32"/>
          <w:szCs w:val="32"/>
          <w:highlight w:val="none"/>
        </w:rPr>
        <w:t>1</w:t>
      </w:r>
      <w:r>
        <w:rPr>
          <w:rFonts w:hint="eastAsia" w:ascii="仿宋" w:hAnsi="仿宋" w:eastAsia="仿宋" w:cs="仿宋"/>
          <w:spacing w:val="-6"/>
          <w:sz w:val="32"/>
          <w:szCs w:val="32"/>
          <w:highlight w:val="none"/>
          <w:lang w:val="en-US" w:eastAsia="zh-CN"/>
        </w:rPr>
        <w:t>6万</w:t>
      </w:r>
      <w:r>
        <w:rPr>
          <w:rFonts w:hint="eastAsia" w:ascii="仿宋" w:hAnsi="仿宋" w:eastAsia="仿宋" w:cs="仿宋"/>
          <w:spacing w:val="-6"/>
          <w:sz w:val="32"/>
          <w:szCs w:val="32"/>
          <w:highlight w:val="none"/>
        </w:rPr>
        <w:t>元</w:t>
      </w:r>
      <w:r>
        <w:rPr>
          <w:rFonts w:hint="eastAsia" w:ascii="仿宋" w:hAnsi="仿宋" w:eastAsia="仿宋" w:cs="仿宋"/>
          <w:spacing w:val="-6"/>
          <w:sz w:val="32"/>
          <w:szCs w:val="32"/>
          <w:highlight w:val="none"/>
          <w:lang w:eastAsia="zh-CN"/>
        </w:rPr>
        <w:t>，较年初预算增加</w:t>
      </w:r>
      <w:r>
        <w:rPr>
          <w:rFonts w:hint="eastAsia" w:ascii="仿宋" w:hAnsi="仿宋" w:eastAsia="仿宋" w:cs="仿宋"/>
          <w:spacing w:val="-6"/>
          <w:sz w:val="32"/>
          <w:szCs w:val="32"/>
          <w:highlight w:val="none"/>
          <w:lang w:val="en-US" w:eastAsia="zh-CN"/>
        </w:rPr>
        <w:t>2866.4万元，增幅为74.03%；</w:t>
      </w:r>
      <w:r>
        <w:rPr>
          <w:rFonts w:hint="eastAsia" w:ascii="仿宋" w:hAnsi="仿宋" w:eastAsia="仿宋" w:cs="仿宋"/>
          <w:spacing w:val="-6"/>
          <w:sz w:val="32"/>
          <w:szCs w:val="32"/>
          <w:highlight w:val="none"/>
          <w:lang w:eastAsia="zh-CN"/>
        </w:rPr>
        <w:t>政府性基金财政拨款1997</w:t>
      </w:r>
      <w:r>
        <w:rPr>
          <w:rFonts w:hint="eastAsia" w:ascii="仿宋" w:hAnsi="仿宋" w:eastAsia="仿宋" w:cs="仿宋"/>
          <w:spacing w:val="-6"/>
          <w:sz w:val="32"/>
          <w:szCs w:val="32"/>
          <w:highlight w:val="none"/>
          <w:lang w:val="en-US" w:eastAsia="zh-CN"/>
        </w:rPr>
        <w:t>.</w:t>
      </w:r>
      <w:r>
        <w:rPr>
          <w:rFonts w:hint="eastAsia" w:ascii="仿宋" w:hAnsi="仿宋" w:eastAsia="仿宋" w:cs="仿宋"/>
          <w:spacing w:val="-6"/>
          <w:sz w:val="32"/>
          <w:szCs w:val="32"/>
          <w:highlight w:val="none"/>
          <w:lang w:eastAsia="zh-CN"/>
        </w:rPr>
        <w:t>59万元，事业收入672</w:t>
      </w:r>
      <w:r>
        <w:rPr>
          <w:rFonts w:hint="eastAsia" w:ascii="仿宋" w:hAnsi="仿宋" w:eastAsia="仿宋" w:cs="仿宋"/>
          <w:spacing w:val="-6"/>
          <w:sz w:val="32"/>
          <w:szCs w:val="32"/>
          <w:highlight w:val="none"/>
          <w:lang w:val="en-US" w:eastAsia="zh-CN"/>
        </w:rPr>
        <w:t>.</w:t>
      </w:r>
      <w:r>
        <w:rPr>
          <w:rFonts w:hint="eastAsia" w:ascii="仿宋" w:hAnsi="仿宋" w:eastAsia="仿宋" w:cs="仿宋"/>
          <w:spacing w:val="-6"/>
          <w:sz w:val="32"/>
          <w:szCs w:val="32"/>
          <w:highlight w:val="none"/>
          <w:lang w:eastAsia="zh-CN"/>
        </w:rPr>
        <w:t>8</w:t>
      </w:r>
      <w:r>
        <w:rPr>
          <w:rFonts w:hint="eastAsia" w:ascii="仿宋" w:hAnsi="仿宋" w:eastAsia="仿宋" w:cs="仿宋"/>
          <w:spacing w:val="-6"/>
          <w:sz w:val="32"/>
          <w:szCs w:val="32"/>
          <w:highlight w:val="none"/>
          <w:lang w:val="en-US" w:eastAsia="zh-CN"/>
        </w:rPr>
        <w:t>8万</w:t>
      </w:r>
      <w:r>
        <w:rPr>
          <w:rFonts w:hint="eastAsia" w:ascii="仿宋" w:hAnsi="仿宋" w:eastAsia="仿宋" w:cs="仿宋"/>
          <w:spacing w:val="-6"/>
          <w:sz w:val="32"/>
          <w:szCs w:val="32"/>
          <w:highlight w:val="none"/>
          <w:lang w:eastAsia="zh-CN"/>
        </w:rPr>
        <w:t>元，较年初预算减少</w:t>
      </w:r>
      <w:r>
        <w:rPr>
          <w:rFonts w:hint="eastAsia" w:ascii="仿宋" w:hAnsi="仿宋" w:eastAsia="仿宋" w:cs="仿宋"/>
          <w:spacing w:val="-6"/>
          <w:sz w:val="32"/>
          <w:szCs w:val="32"/>
          <w:highlight w:val="none"/>
          <w:lang w:val="en-US" w:eastAsia="zh-CN"/>
        </w:rPr>
        <w:t>109.12万元，下降13.95%，</w:t>
      </w:r>
      <w:r>
        <w:rPr>
          <w:rFonts w:hint="eastAsia" w:ascii="仿宋" w:hAnsi="仿宋" w:eastAsia="仿宋" w:cs="仿宋"/>
          <w:spacing w:val="-6"/>
          <w:sz w:val="32"/>
          <w:szCs w:val="32"/>
          <w:highlight w:val="none"/>
          <w:lang w:eastAsia="zh-CN"/>
        </w:rPr>
        <w:t>其他收入2844.19万元，减少</w:t>
      </w:r>
      <w:r>
        <w:rPr>
          <w:rFonts w:hint="eastAsia" w:ascii="仿宋" w:hAnsi="仿宋" w:eastAsia="仿宋" w:cs="仿宋"/>
          <w:spacing w:val="-6"/>
          <w:sz w:val="32"/>
          <w:szCs w:val="32"/>
          <w:highlight w:val="none"/>
          <w:lang w:val="en-US" w:eastAsia="zh-CN"/>
        </w:rPr>
        <w:t>5420.5万元，下降65.59%。</w:t>
      </w:r>
    </w:p>
    <w:p w14:paraId="2FB5651C">
      <w:pPr>
        <w:pStyle w:val="7"/>
        <w:keepNext w:val="0"/>
        <w:keepLines w:val="0"/>
        <w:pageBreakBefore w:val="0"/>
        <w:kinsoku/>
        <w:wordWrap/>
        <w:overflowPunct/>
        <w:topLinePunct w:val="0"/>
        <w:autoSpaceDE/>
        <w:autoSpaceDN/>
        <w:bidi w:val="0"/>
        <w:adjustRightInd/>
        <w:snapToGrid/>
        <w:spacing w:line="520" w:lineRule="exact"/>
        <w:ind w:firstLine="616" w:firstLineChars="200"/>
        <w:textAlignment w:val="auto"/>
        <w:rPr>
          <w:rFonts w:ascii="楷体" w:hAnsi="楷体" w:eastAsia="楷体" w:cs="楷体"/>
          <w:spacing w:val="-6"/>
          <w:sz w:val="32"/>
          <w:szCs w:val="32"/>
          <w:highlight w:val="none"/>
        </w:rPr>
      </w:pPr>
      <w:r>
        <w:rPr>
          <w:rFonts w:hint="eastAsia" w:ascii="楷体" w:hAnsi="楷体" w:eastAsia="楷体" w:cs="楷体"/>
          <w:spacing w:val="-6"/>
          <w:sz w:val="32"/>
          <w:szCs w:val="32"/>
          <w:highlight w:val="none"/>
        </w:rPr>
        <w:t>（三）部门支出情况</w:t>
      </w:r>
    </w:p>
    <w:p w14:paraId="2C417F00">
      <w:pPr>
        <w:keepNext w:val="0"/>
        <w:keepLines w:val="0"/>
        <w:pageBreakBefore w:val="0"/>
        <w:widowControl w:val="0"/>
        <w:kinsoku/>
        <w:wordWrap/>
        <w:overflowPunct/>
        <w:topLinePunct w:val="0"/>
        <w:autoSpaceDE/>
        <w:autoSpaceDN/>
        <w:bidi w:val="0"/>
        <w:adjustRightInd/>
        <w:snapToGrid/>
        <w:spacing w:after="157" w:afterLines="50" w:line="520" w:lineRule="exact"/>
        <w:ind w:firstLine="640" w:firstLineChars="200"/>
        <w:jc w:val="both"/>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年该部门</w:t>
      </w:r>
      <w:r>
        <w:rPr>
          <w:rFonts w:hint="eastAsia" w:ascii="仿宋" w:hAnsi="仿宋" w:eastAsia="仿宋" w:cs="仿宋"/>
          <w:sz w:val="32"/>
          <w:szCs w:val="32"/>
          <w:highlight w:val="none"/>
          <w:lang w:eastAsia="zh-CN"/>
        </w:rPr>
        <w:t>整体</w:t>
      </w:r>
      <w:r>
        <w:rPr>
          <w:rFonts w:hint="eastAsia" w:ascii="仿宋" w:hAnsi="仿宋" w:eastAsia="仿宋" w:cs="仿宋"/>
          <w:sz w:val="32"/>
          <w:szCs w:val="32"/>
          <w:highlight w:val="none"/>
        </w:rPr>
        <w:t>支出</w:t>
      </w:r>
      <w:r>
        <w:rPr>
          <w:rFonts w:hint="eastAsia" w:ascii="仿宋" w:hAnsi="仿宋" w:eastAsia="仿宋" w:cs="仿宋"/>
          <w:sz w:val="32"/>
          <w:szCs w:val="32"/>
          <w:highlight w:val="none"/>
          <w:lang w:eastAsia="zh-CN"/>
        </w:rPr>
        <w:t>决算</w:t>
      </w:r>
      <w:r>
        <w:rPr>
          <w:rFonts w:hint="eastAsia" w:ascii="仿宋" w:hAnsi="仿宋" w:eastAsia="仿宋" w:cs="仿宋"/>
          <w:spacing w:val="-6"/>
          <w:sz w:val="32"/>
          <w:szCs w:val="32"/>
          <w:highlight w:val="none"/>
          <w:lang w:eastAsia="zh-CN"/>
        </w:rPr>
        <w:t>12252</w:t>
      </w:r>
      <w:r>
        <w:rPr>
          <w:rFonts w:hint="eastAsia" w:ascii="仿宋" w:hAnsi="仿宋" w:eastAsia="仿宋" w:cs="仿宋"/>
          <w:spacing w:val="-6"/>
          <w:sz w:val="32"/>
          <w:szCs w:val="32"/>
          <w:highlight w:val="none"/>
          <w:lang w:val="en-US" w:eastAsia="zh-CN"/>
        </w:rPr>
        <w:t>.</w:t>
      </w:r>
      <w:r>
        <w:rPr>
          <w:rFonts w:hint="eastAsia" w:ascii="仿宋" w:hAnsi="仿宋" w:eastAsia="仿宋" w:cs="仿宋"/>
          <w:spacing w:val="-6"/>
          <w:sz w:val="32"/>
          <w:szCs w:val="32"/>
          <w:highlight w:val="none"/>
          <w:lang w:eastAsia="zh-CN"/>
        </w:rPr>
        <w:t>8</w:t>
      </w:r>
      <w:r>
        <w:rPr>
          <w:rFonts w:hint="eastAsia" w:ascii="仿宋" w:hAnsi="仿宋" w:eastAsia="仿宋" w:cs="仿宋"/>
          <w:spacing w:val="-6"/>
          <w:sz w:val="32"/>
          <w:szCs w:val="32"/>
          <w:highlight w:val="none"/>
          <w:lang w:val="en-US" w:eastAsia="zh-CN"/>
        </w:rPr>
        <w:t>2</w:t>
      </w:r>
      <w:r>
        <w:rPr>
          <w:rFonts w:hint="eastAsia" w:ascii="仿宋" w:hAnsi="仿宋" w:eastAsia="仿宋" w:cs="仿宋"/>
          <w:spacing w:val="-6"/>
          <w:sz w:val="32"/>
          <w:szCs w:val="32"/>
          <w:highlight w:val="none"/>
          <w:lang w:eastAsia="zh-CN"/>
        </w:rPr>
        <w:t>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。较</w:t>
      </w:r>
      <w:r>
        <w:rPr>
          <w:rFonts w:hint="eastAsia" w:ascii="仿宋" w:hAnsi="仿宋" w:eastAsia="仿宋" w:cs="仿宋"/>
          <w:sz w:val="32"/>
          <w:szCs w:val="32"/>
          <w:highlight w:val="none"/>
          <w:lang w:val="en-US" w:eastAsia="zh-CN"/>
        </w:rPr>
        <w:t>2023年减少5825.8万元。其中</w:t>
      </w:r>
      <w:r>
        <w:rPr>
          <w:rFonts w:hint="eastAsia" w:ascii="仿宋" w:hAnsi="仿宋" w:eastAsia="仿宋" w:cs="仿宋"/>
          <w:sz w:val="32"/>
          <w:szCs w:val="32"/>
          <w:highlight w:val="none"/>
          <w:lang w:eastAsia="zh-CN"/>
        </w:rPr>
        <w:t>基本支出</w:t>
      </w:r>
      <w:r>
        <w:rPr>
          <w:rFonts w:hint="eastAsia" w:ascii="仿宋" w:hAnsi="仿宋" w:eastAsia="仿宋" w:cs="仿宋"/>
          <w:sz w:val="32"/>
          <w:szCs w:val="32"/>
          <w:highlight w:val="none"/>
          <w:lang w:val="en-US" w:eastAsia="zh-CN"/>
        </w:rPr>
        <w:t>7224.47万元，较2023年减少2869.35万元；项目支出4976.88万元，较2023年下降3007.92万元。一般公共财政预算支出</w:t>
      </w:r>
      <w:r>
        <w:rPr>
          <w:rFonts w:hint="eastAsia" w:ascii="仿宋" w:hAnsi="仿宋" w:eastAsia="仿宋" w:cs="仿宋"/>
          <w:spacing w:val="-6"/>
          <w:sz w:val="32"/>
          <w:szCs w:val="32"/>
          <w:highlight w:val="none"/>
        </w:rPr>
        <w:t>6738</w:t>
      </w:r>
      <w:r>
        <w:rPr>
          <w:rFonts w:hint="eastAsia" w:ascii="仿宋" w:hAnsi="仿宋" w:eastAsia="仿宋" w:cs="仿宋"/>
          <w:spacing w:val="-6"/>
          <w:sz w:val="32"/>
          <w:szCs w:val="32"/>
          <w:highlight w:val="none"/>
          <w:lang w:val="en-US" w:eastAsia="zh-CN"/>
        </w:rPr>
        <w:t>.</w:t>
      </w:r>
      <w:r>
        <w:rPr>
          <w:rFonts w:hint="eastAsia" w:ascii="仿宋" w:hAnsi="仿宋" w:eastAsia="仿宋" w:cs="仿宋"/>
          <w:spacing w:val="-6"/>
          <w:sz w:val="32"/>
          <w:szCs w:val="32"/>
          <w:highlight w:val="none"/>
        </w:rPr>
        <w:t>1</w:t>
      </w:r>
      <w:r>
        <w:rPr>
          <w:rFonts w:hint="eastAsia" w:ascii="仿宋" w:hAnsi="仿宋" w:eastAsia="仿宋" w:cs="仿宋"/>
          <w:spacing w:val="-6"/>
          <w:sz w:val="32"/>
          <w:szCs w:val="32"/>
          <w:highlight w:val="none"/>
          <w:lang w:val="en-US" w:eastAsia="zh-CN"/>
        </w:rPr>
        <w:t>6万元（其中基本支出4293.45万元，项目支出2444.71万元），非财政预算支出3517.08万元（基本支出2931.03万元，项目支出586.05万元），政府性基金1997.59万元全部为项目支出（商品和服务支出431.33万元，资本性支出1,566.27万元）。主要</w:t>
      </w:r>
      <w:r>
        <w:rPr>
          <w:rFonts w:hint="eastAsia" w:ascii="仿宋" w:hAnsi="仿宋" w:eastAsia="仿宋" w:cs="仿宋"/>
          <w:sz w:val="32"/>
          <w:szCs w:val="32"/>
          <w:highlight w:val="none"/>
          <w:lang w:eastAsia="zh-CN"/>
        </w:rPr>
        <w:t>支出情况如下表：</w:t>
      </w:r>
    </w:p>
    <w:p w14:paraId="7DFDBFF4">
      <w:pPr>
        <w:pStyle w:val="7"/>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28"/>
          <w:szCs w:val="28"/>
          <w:highlight w:val="none"/>
          <w:lang w:val="en-US" w:eastAsia="zh-CN"/>
        </w:rPr>
        <w:t xml:space="preserve">（单位：万元）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28"/>
          <w:szCs w:val="28"/>
          <w:highlight w:val="none"/>
          <w:lang w:val="en-US" w:eastAsia="zh-CN"/>
        </w:rPr>
        <w:t xml:space="preserve">  </w:t>
      </w:r>
    </w:p>
    <w:tbl>
      <w:tblPr>
        <w:tblStyle w:val="11"/>
        <w:tblW w:w="87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3"/>
        <w:gridCol w:w="1300"/>
        <w:gridCol w:w="1148"/>
        <w:gridCol w:w="1086"/>
        <w:gridCol w:w="1059"/>
        <w:gridCol w:w="1277"/>
        <w:gridCol w:w="1057"/>
        <w:gridCol w:w="1291"/>
      </w:tblGrid>
      <w:tr w14:paraId="35A54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B7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支出分类</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00A1E">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资金性质</w:t>
            </w: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379FB">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支出金额</w:t>
            </w:r>
          </w:p>
        </w:tc>
        <w:tc>
          <w:tcPr>
            <w:tcW w:w="57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3EB0">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其中</w:t>
            </w:r>
          </w:p>
        </w:tc>
      </w:tr>
      <w:tr w14:paraId="6EC76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blHeader/>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89C3D">
            <w:pPr>
              <w:jc w:val="center"/>
              <w:rPr>
                <w:rFonts w:hint="eastAsia" w:ascii="仿宋" w:hAnsi="仿宋" w:eastAsia="仿宋" w:cs="仿宋"/>
                <w:i w:val="0"/>
                <w:iCs w:val="0"/>
                <w:color w:val="000000"/>
                <w:sz w:val="21"/>
                <w:szCs w:val="21"/>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8CA36">
            <w:pPr>
              <w:jc w:val="center"/>
              <w:rPr>
                <w:rFonts w:hint="eastAsia" w:ascii="仿宋" w:hAnsi="仿宋" w:eastAsia="仿宋" w:cs="仿宋"/>
                <w:i w:val="0"/>
                <w:iCs w:val="0"/>
                <w:color w:val="000000"/>
                <w:sz w:val="21"/>
                <w:szCs w:val="21"/>
                <w:highlight w:val="none"/>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6E526">
            <w:pPr>
              <w:jc w:val="center"/>
              <w:rPr>
                <w:rFonts w:hint="eastAsia" w:ascii="仿宋" w:hAnsi="仿宋" w:eastAsia="仿宋" w:cs="仿宋"/>
                <w:i w:val="0"/>
                <w:iCs w:val="0"/>
                <w:color w:val="000000"/>
                <w:sz w:val="21"/>
                <w:szCs w:val="21"/>
                <w:highlight w:val="none"/>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B1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工资福利支出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3D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商品和服务支出</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E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对个人和家庭的补助</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B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资本性支出</w:t>
            </w:r>
          </w:p>
        </w:tc>
        <w:tc>
          <w:tcPr>
            <w:tcW w:w="12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F1E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对企业补助</w:t>
            </w:r>
          </w:p>
        </w:tc>
      </w:tr>
      <w:tr w14:paraId="3D796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493" w:type="dxa"/>
            <w:vMerge w:val="restart"/>
            <w:tcBorders>
              <w:top w:val="single" w:color="000000" w:sz="4" w:space="0"/>
              <w:left w:val="single" w:color="000000" w:sz="4" w:space="0"/>
              <w:right w:val="single" w:color="000000" w:sz="4" w:space="0"/>
            </w:tcBorders>
            <w:shd w:val="clear" w:color="auto" w:fill="auto"/>
            <w:vAlign w:val="center"/>
          </w:tcPr>
          <w:p w14:paraId="694DFEC6">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基本支出</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5F1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一般公共财政预算</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CE26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4,293.45</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745E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3,257.39</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6695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590.17</w:t>
            </w:r>
          </w:p>
        </w:tc>
        <w:tc>
          <w:tcPr>
            <w:tcW w:w="12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80F8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440.07</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1563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5.82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12AB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w:t>
            </w:r>
          </w:p>
        </w:tc>
      </w:tr>
      <w:tr w14:paraId="164F0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493" w:type="dxa"/>
            <w:vMerge w:val="continue"/>
            <w:tcBorders>
              <w:left w:val="single" w:color="000000" w:sz="4" w:space="0"/>
              <w:right w:val="single" w:color="000000" w:sz="4" w:space="0"/>
            </w:tcBorders>
            <w:shd w:val="clear" w:color="auto" w:fill="auto"/>
            <w:vAlign w:val="center"/>
          </w:tcPr>
          <w:p w14:paraId="021C15D2">
            <w:pPr>
              <w:jc w:val="center"/>
              <w:rPr>
                <w:rFonts w:hint="eastAsia" w:ascii="仿宋" w:hAnsi="仿宋" w:eastAsia="仿宋" w:cs="仿宋"/>
                <w:i w:val="0"/>
                <w:iCs w:val="0"/>
                <w:color w:val="000000"/>
                <w:sz w:val="21"/>
                <w:szCs w:val="21"/>
                <w:highlight w:val="none"/>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A5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非财政预算拨款</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EC09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2,931.03</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AC49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1,465.33</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9F7C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1,311.91</w:t>
            </w:r>
          </w:p>
        </w:tc>
        <w:tc>
          <w:tcPr>
            <w:tcW w:w="12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F39A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151.79</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1968F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1.99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18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w:t>
            </w:r>
          </w:p>
        </w:tc>
      </w:tr>
      <w:tr w14:paraId="4121C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493" w:type="dxa"/>
            <w:vMerge w:val="continue"/>
            <w:tcBorders>
              <w:left w:val="single" w:color="000000" w:sz="4" w:space="0"/>
              <w:bottom w:val="single" w:color="000000" w:sz="4" w:space="0"/>
              <w:right w:val="single" w:color="000000" w:sz="4" w:space="0"/>
            </w:tcBorders>
            <w:shd w:val="clear" w:color="auto" w:fill="auto"/>
            <w:vAlign w:val="center"/>
          </w:tcPr>
          <w:p w14:paraId="6563CFEA">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5A4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小计</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DF533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7224.47</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BFCA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4722.72</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15395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1902.08</w:t>
            </w:r>
          </w:p>
        </w:tc>
        <w:tc>
          <w:tcPr>
            <w:tcW w:w="12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08B17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591.86</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2755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7.81</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B2FF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353BA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2EE4D8">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项目支出</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B0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一般公共财政预算</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16A8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2,444.71</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6364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3.53</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C45D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360.37</w:t>
            </w:r>
          </w:p>
        </w:tc>
        <w:tc>
          <w:tcPr>
            <w:tcW w:w="12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3585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0.84</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1F12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196.27</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F4D3D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1,883.70</w:t>
            </w:r>
          </w:p>
        </w:tc>
      </w:tr>
      <w:tr w14:paraId="67507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493" w:type="dxa"/>
            <w:vMerge w:val="continue"/>
            <w:tcBorders>
              <w:top w:val="single" w:color="000000" w:sz="4" w:space="0"/>
              <w:left w:val="single" w:color="000000" w:sz="4" w:space="0"/>
              <w:right w:val="single" w:color="000000" w:sz="4" w:space="0"/>
            </w:tcBorders>
            <w:shd w:val="clear" w:color="auto" w:fill="auto"/>
            <w:vAlign w:val="center"/>
          </w:tcPr>
          <w:p w14:paraId="0106715A">
            <w:pPr>
              <w:jc w:val="center"/>
              <w:rPr>
                <w:rFonts w:hint="eastAsia" w:ascii="仿宋" w:hAnsi="仿宋" w:eastAsia="仿宋" w:cs="仿宋"/>
                <w:i w:val="0"/>
                <w:iCs w:val="0"/>
                <w:color w:val="000000"/>
                <w:sz w:val="21"/>
                <w:szCs w:val="21"/>
                <w:highlight w:val="none"/>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4B6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非财政预算拨款</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2E70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586.05</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D119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250.63</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357A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317.70</w:t>
            </w:r>
          </w:p>
        </w:tc>
        <w:tc>
          <w:tcPr>
            <w:tcW w:w="12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B011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2.70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6F7AB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6.25</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B4CC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8.76</w:t>
            </w:r>
          </w:p>
        </w:tc>
      </w:tr>
      <w:tr w14:paraId="3A127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493" w:type="dxa"/>
            <w:vMerge w:val="continue"/>
            <w:tcBorders>
              <w:left w:val="single" w:color="000000" w:sz="4" w:space="0"/>
              <w:right w:val="single" w:color="000000" w:sz="4" w:space="0"/>
            </w:tcBorders>
            <w:shd w:val="clear" w:color="auto" w:fill="auto"/>
            <w:vAlign w:val="center"/>
          </w:tcPr>
          <w:p w14:paraId="7909330C">
            <w:pPr>
              <w:jc w:val="center"/>
              <w:rPr>
                <w:rFonts w:hint="eastAsia" w:ascii="仿宋" w:hAnsi="仿宋" w:eastAsia="仿宋" w:cs="仿宋"/>
                <w:i w:val="0"/>
                <w:iCs w:val="0"/>
                <w:color w:val="000000"/>
                <w:sz w:val="21"/>
                <w:szCs w:val="21"/>
                <w:highlight w:val="none"/>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B7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政府性基金</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FF50F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1,997.59</w:t>
            </w:r>
          </w:p>
        </w:tc>
        <w:tc>
          <w:tcPr>
            <w:tcW w:w="10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7229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56C3A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431.33</w:t>
            </w:r>
          </w:p>
        </w:tc>
        <w:tc>
          <w:tcPr>
            <w:tcW w:w="12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98C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81FA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1,566.27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22DF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w:t>
            </w:r>
          </w:p>
        </w:tc>
      </w:tr>
      <w:tr w14:paraId="3BF78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493" w:type="dxa"/>
            <w:vMerge w:val="continue"/>
            <w:tcBorders>
              <w:left w:val="single" w:color="000000" w:sz="4" w:space="0"/>
              <w:bottom w:val="single" w:color="auto" w:sz="4" w:space="0"/>
              <w:right w:val="single" w:color="000000" w:sz="4" w:space="0"/>
            </w:tcBorders>
            <w:shd w:val="clear" w:color="auto" w:fill="auto"/>
            <w:vAlign w:val="center"/>
          </w:tcPr>
          <w:p w14:paraId="044BB9F1">
            <w:pPr>
              <w:jc w:val="center"/>
              <w:rPr>
                <w:rFonts w:hint="eastAsia" w:ascii="仿宋" w:hAnsi="仿宋" w:eastAsia="仿宋" w:cs="仿宋"/>
                <w:i w:val="0"/>
                <w:iCs w:val="0"/>
                <w:color w:val="000000"/>
                <w:sz w:val="21"/>
                <w:szCs w:val="21"/>
                <w:highlight w:val="none"/>
                <w:u w:val="none"/>
              </w:rPr>
            </w:pPr>
          </w:p>
        </w:tc>
        <w:tc>
          <w:tcPr>
            <w:tcW w:w="1300" w:type="dxa"/>
            <w:tcBorders>
              <w:top w:val="single" w:color="000000" w:sz="4" w:space="0"/>
              <w:left w:val="single" w:color="000000" w:sz="4" w:space="0"/>
              <w:bottom w:val="single" w:color="auto" w:sz="4" w:space="0"/>
              <w:right w:val="single" w:color="000000" w:sz="4" w:space="0"/>
            </w:tcBorders>
            <w:shd w:val="clear" w:color="auto" w:fill="auto"/>
            <w:vAlign w:val="center"/>
          </w:tcPr>
          <w:p w14:paraId="4B2900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小计</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BB19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5028.35</w:t>
            </w:r>
          </w:p>
        </w:tc>
        <w:tc>
          <w:tcPr>
            <w:tcW w:w="10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B12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254.16</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0B90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1109.4</w:t>
            </w:r>
          </w:p>
        </w:tc>
        <w:tc>
          <w:tcPr>
            <w:tcW w:w="12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43B9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3.54</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3477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1768.79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F1A9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1892.46</w:t>
            </w:r>
          </w:p>
        </w:tc>
      </w:tr>
      <w:tr w14:paraId="0DB03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793"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27E16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合计</w:t>
            </w:r>
          </w:p>
        </w:tc>
        <w:tc>
          <w:tcPr>
            <w:tcW w:w="11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2B14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12252.83</w:t>
            </w:r>
          </w:p>
        </w:tc>
        <w:tc>
          <w:tcPr>
            <w:tcW w:w="10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0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4976.88</w:t>
            </w:r>
          </w:p>
        </w:tc>
        <w:tc>
          <w:tcPr>
            <w:tcW w:w="1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D36E6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3011.48</w:t>
            </w:r>
          </w:p>
        </w:tc>
        <w:tc>
          <w:tcPr>
            <w:tcW w:w="12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55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595.41</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C4EE3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1776.60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A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1892.46</w:t>
            </w:r>
          </w:p>
        </w:tc>
      </w:tr>
    </w:tbl>
    <w:p w14:paraId="29D03595">
      <w:pPr>
        <w:pStyle w:val="7"/>
        <w:spacing w:line="560" w:lineRule="exact"/>
        <w:ind w:firstLine="616" w:firstLineChars="200"/>
        <w:rPr>
          <w:rFonts w:hint="eastAsia" w:ascii="楷体" w:hAnsi="楷体" w:eastAsia="楷体" w:cs="楷体"/>
          <w:spacing w:val="-6"/>
          <w:sz w:val="32"/>
          <w:szCs w:val="32"/>
          <w:highlight w:val="none"/>
          <w:lang w:eastAsia="zh-CN"/>
        </w:rPr>
      </w:pPr>
      <w:r>
        <w:rPr>
          <w:rFonts w:hint="eastAsia" w:ascii="楷体" w:hAnsi="楷体" w:eastAsia="楷体" w:cs="楷体"/>
          <w:spacing w:val="-6"/>
          <w:sz w:val="32"/>
          <w:szCs w:val="32"/>
          <w:highlight w:val="none"/>
        </w:rPr>
        <w:t>（四）部门结余情况</w:t>
      </w:r>
    </w:p>
    <w:p w14:paraId="48C40C5F">
      <w:pPr>
        <w:ind w:firstLine="640" w:firstLineChars="200"/>
        <w:rPr>
          <w:rFonts w:hint="eastAsia" w:ascii="仿宋" w:hAnsi="仿宋" w:eastAsia="仿宋" w:cs="仿宋"/>
          <w:highlight w:val="none"/>
          <w:lang w:eastAsia="zh-CN"/>
        </w:rPr>
      </w:pPr>
      <w:r>
        <w:rPr>
          <w:rFonts w:hint="eastAsia" w:ascii="仿宋" w:hAnsi="仿宋" w:eastAsia="仿宋" w:cs="仿宋"/>
          <w:sz w:val="32"/>
          <w:szCs w:val="32"/>
          <w:highlight w:val="none"/>
        </w:rPr>
        <w:t>该部门</w:t>
      </w:r>
      <w:r>
        <w:rPr>
          <w:rFonts w:hint="eastAsia" w:ascii="仿宋" w:hAnsi="仿宋" w:eastAsia="仿宋" w:cs="仿宋"/>
          <w:sz w:val="32"/>
          <w:szCs w:val="32"/>
          <w:highlight w:val="none"/>
          <w:lang w:val="en-US" w:eastAsia="zh-CN"/>
        </w:rPr>
        <w:t>2024年度一般公共预算财政拨款</w:t>
      </w:r>
      <w:r>
        <w:rPr>
          <w:rFonts w:hint="eastAsia" w:ascii="仿宋" w:hAnsi="仿宋" w:eastAsia="仿宋" w:cs="仿宋"/>
          <w:sz w:val="32"/>
          <w:szCs w:val="32"/>
          <w:highlight w:val="none"/>
        </w:rPr>
        <w:t>收入</w:t>
      </w:r>
      <w:r>
        <w:rPr>
          <w:rFonts w:hint="eastAsia" w:ascii="仿宋" w:hAnsi="仿宋" w:eastAsia="仿宋" w:cs="仿宋"/>
          <w:sz w:val="32"/>
          <w:szCs w:val="32"/>
          <w:highlight w:val="none"/>
          <w:lang w:eastAsia="zh-CN"/>
        </w:rPr>
        <w:t>决算</w:t>
      </w:r>
      <w:r>
        <w:rPr>
          <w:rFonts w:hint="eastAsia" w:ascii="仿宋" w:hAnsi="仿宋" w:eastAsia="仿宋" w:cs="仿宋"/>
          <w:sz w:val="32"/>
          <w:szCs w:val="32"/>
          <w:highlight w:val="none"/>
          <w:lang w:val="en-US" w:eastAsia="zh-CN"/>
        </w:rPr>
        <w:t>6378.16</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决算</w:t>
      </w:r>
      <w:r>
        <w:rPr>
          <w:rFonts w:hint="eastAsia" w:ascii="仿宋" w:hAnsi="仿宋" w:eastAsia="仿宋" w:cs="仿宋"/>
          <w:sz w:val="32"/>
          <w:szCs w:val="32"/>
          <w:highlight w:val="none"/>
        </w:rPr>
        <w:t>支出</w:t>
      </w:r>
      <w:r>
        <w:rPr>
          <w:rFonts w:hint="eastAsia" w:ascii="仿宋" w:hAnsi="仿宋" w:eastAsia="仿宋" w:cs="仿宋"/>
          <w:sz w:val="32"/>
          <w:szCs w:val="32"/>
          <w:highlight w:val="none"/>
          <w:lang w:val="en-US" w:eastAsia="zh-CN"/>
        </w:rPr>
        <w:t>6378.16</w:t>
      </w:r>
      <w:r>
        <w:rPr>
          <w:rFonts w:hint="eastAsia" w:ascii="仿宋" w:hAnsi="仿宋" w:eastAsia="仿宋" w:cs="仿宋"/>
          <w:sz w:val="32"/>
          <w:szCs w:val="32"/>
          <w:highlight w:val="none"/>
        </w:rPr>
        <w:t>万元，年末结转结余</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p>
    <w:p w14:paraId="42AF88F8">
      <w:pPr>
        <w:spacing w:line="560" w:lineRule="exact"/>
        <w:rPr>
          <w:rFonts w:hint="eastAsia" w:ascii="方正黑体_GBK" w:hAnsi="方正黑体_GBK" w:eastAsia="方正黑体_GBK" w:cs="方正黑体_GBK"/>
          <w:smallCaps/>
          <w:spacing w:val="-6"/>
          <w:sz w:val="32"/>
          <w:szCs w:val="32"/>
          <w:highlight w:val="none"/>
          <w:lang w:eastAsia="zh-CN"/>
        </w:rPr>
      </w:pPr>
      <w:r>
        <w:rPr>
          <w:rFonts w:hint="eastAsia" w:ascii="方正黑体_GBK" w:hAnsi="方正黑体_GBK" w:eastAsia="方正黑体_GBK" w:cs="方正黑体_GBK"/>
          <w:smallCaps/>
          <w:spacing w:val="-6"/>
          <w:sz w:val="32"/>
          <w:szCs w:val="32"/>
          <w:highlight w:val="none"/>
        </w:rPr>
        <w:t xml:space="preserve">  </w:t>
      </w:r>
      <w:r>
        <w:rPr>
          <w:rFonts w:hint="eastAsia" w:ascii="方正黑体_GBK" w:hAnsi="方正黑体_GBK" w:eastAsia="方正黑体_GBK" w:cs="方正黑体_GBK"/>
          <w:smallCaps/>
          <w:spacing w:val="-6"/>
          <w:sz w:val="32"/>
          <w:szCs w:val="32"/>
          <w:highlight w:val="none"/>
          <w:lang w:val="en-US" w:eastAsia="zh-CN"/>
        </w:rPr>
        <w:t xml:space="preserve">   </w:t>
      </w:r>
      <w:r>
        <w:rPr>
          <w:rFonts w:hint="eastAsia" w:ascii="方正黑体_GBK" w:hAnsi="方正黑体_GBK" w:eastAsia="方正黑体_GBK" w:cs="方正黑体_GBK"/>
          <w:smallCaps/>
          <w:spacing w:val="-6"/>
          <w:sz w:val="32"/>
          <w:szCs w:val="32"/>
          <w:highlight w:val="none"/>
        </w:rPr>
        <w:t>二、202</w:t>
      </w:r>
      <w:r>
        <w:rPr>
          <w:rFonts w:hint="eastAsia" w:ascii="方正黑体_GBK" w:hAnsi="方正黑体_GBK" w:eastAsia="方正黑体_GBK" w:cs="方正黑体_GBK"/>
          <w:smallCaps/>
          <w:spacing w:val="-6"/>
          <w:sz w:val="32"/>
          <w:szCs w:val="32"/>
          <w:highlight w:val="none"/>
          <w:lang w:val="en-US" w:eastAsia="zh-CN"/>
        </w:rPr>
        <w:t>4</w:t>
      </w:r>
      <w:r>
        <w:rPr>
          <w:rFonts w:hint="eastAsia" w:ascii="方正黑体_GBK" w:hAnsi="方正黑体_GBK" w:eastAsia="方正黑体_GBK" w:cs="方正黑体_GBK"/>
          <w:smallCaps/>
          <w:spacing w:val="-6"/>
          <w:sz w:val="32"/>
          <w:szCs w:val="32"/>
          <w:highlight w:val="none"/>
        </w:rPr>
        <w:t>年部门整体支出绩效目标</w:t>
      </w:r>
      <w:r>
        <w:rPr>
          <w:rFonts w:hint="eastAsia" w:ascii="方正黑体_GBK" w:hAnsi="方正黑体_GBK" w:eastAsia="方正黑体_GBK" w:cs="方正黑体_GBK"/>
          <w:smallCaps/>
          <w:spacing w:val="-6"/>
          <w:sz w:val="32"/>
          <w:szCs w:val="32"/>
          <w:highlight w:val="none"/>
          <w:lang w:eastAsia="zh-CN"/>
        </w:rPr>
        <w:t>、绩效指标</w:t>
      </w:r>
    </w:p>
    <w:p w14:paraId="6F60DEEA">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eastAsia" w:ascii="楷体" w:hAnsi="楷体" w:eastAsia="楷体" w:cs="楷体"/>
          <w:spacing w:val="-6"/>
          <w:kern w:val="2"/>
          <w:sz w:val="32"/>
          <w:szCs w:val="32"/>
          <w:highlight w:val="none"/>
          <w:lang w:val="en-US" w:eastAsia="zh-CN" w:bidi="ar-SA"/>
        </w:rPr>
      </w:pPr>
      <w:r>
        <w:rPr>
          <w:rFonts w:hint="eastAsia" w:ascii="楷体" w:hAnsi="楷体" w:eastAsia="楷体" w:cs="楷体"/>
          <w:spacing w:val="-6"/>
          <w:kern w:val="2"/>
          <w:sz w:val="32"/>
          <w:szCs w:val="32"/>
          <w:highlight w:val="none"/>
          <w:lang w:val="en-US" w:eastAsia="zh-CN" w:bidi="ar-SA"/>
        </w:rPr>
        <w:t>（一）绩效目标</w:t>
      </w:r>
    </w:p>
    <w:p w14:paraId="31E1A9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1.保证人员经费和公用经费按照预算合理支出，确保单位办公正常运转，按时足额发放职工工资，缴纳政策性社会保障资金。</w:t>
      </w:r>
    </w:p>
    <w:p w14:paraId="44531F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2.保持城北污水处理厂8万吨、团洲污水处理厂16万吨的日处理能力，在合同约定的实际进水量和进水水质未超过设计规模的情况下，按照一级A的标准处理达标。</w:t>
      </w:r>
    </w:p>
    <w:p w14:paraId="22FE9D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3.保障中心城区生活垃圾无害化管理和资源化利用。</w:t>
      </w:r>
    </w:p>
    <w:p w14:paraId="433BB0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4.对2023年中心城区新购商品房符合购房补贴的网签合同、备案等相关资料进行收集、统计、核对，并与相关部门对接，分批次拨付。</w:t>
      </w:r>
    </w:p>
    <w:p w14:paraId="780440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5.完成节能产品备案工作，以绿色发展为核心，大力发展装配式建筑，减少建筑垃圾和扬尘污染，节能减排，缩短建造工期，提升工程质量。</w:t>
      </w:r>
    </w:p>
    <w:p w14:paraId="3D2DF9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6.进一步落实质量终身责任制，加强对工程项目质量的管控，发现隐患及时督促处置到位，杜绝较大及以上安全生产事故的发生。</w:t>
      </w:r>
    </w:p>
    <w:p w14:paraId="049B692D">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eastAsia" w:ascii="楷体" w:hAnsi="楷体" w:eastAsia="楷体" w:cs="楷体"/>
          <w:spacing w:val="-6"/>
          <w:kern w:val="2"/>
          <w:sz w:val="32"/>
          <w:szCs w:val="32"/>
          <w:highlight w:val="none"/>
          <w:lang w:val="en-US" w:eastAsia="zh-CN" w:bidi="ar-SA"/>
        </w:rPr>
      </w:pPr>
      <w:r>
        <w:rPr>
          <w:rFonts w:hint="eastAsia" w:ascii="楷体" w:hAnsi="楷体" w:eastAsia="楷体" w:cs="楷体"/>
          <w:spacing w:val="-6"/>
          <w:kern w:val="2"/>
          <w:sz w:val="32"/>
          <w:szCs w:val="32"/>
          <w:highlight w:val="none"/>
          <w:lang w:val="en-US" w:eastAsia="zh-CN" w:bidi="ar-SA"/>
        </w:rPr>
        <w:t>（二）主要绩效指标</w:t>
      </w:r>
    </w:p>
    <w:p w14:paraId="5CE839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1.产出指标</w:t>
      </w:r>
    </w:p>
    <w:p w14:paraId="0BF43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（1）数量指标：</w:t>
      </w:r>
    </w:p>
    <w:p w14:paraId="1BD42A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①城镇新增绿色建筑竣工面积占新开工民用建筑竣工面积比例≥70%。</w:t>
      </w:r>
    </w:p>
    <w:p w14:paraId="482F6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②中心城区工程项目质量、安全投诉全部进行处理，处理率100%。</w:t>
      </w:r>
    </w:p>
    <w:p w14:paraId="02ED8E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③</w:t>
      </w:r>
      <w:r>
        <w:rPr>
          <w:rFonts w:hint="default" w:ascii="仿宋" w:hAnsi="仿宋" w:eastAsia="仿宋" w:cs="仿宋"/>
          <w:sz w:val="32"/>
          <w:szCs w:val="32"/>
          <w:highlight w:val="none"/>
          <w:lang w:val="en-US" w:eastAsia="zh-CN"/>
        </w:rPr>
        <w:t>中心城区工程项目的竣工验收一次性</w:t>
      </w:r>
      <w:r>
        <w:rPr>
          <w:rFonts w:hint="eastAsia" w:ascii="仿宋" w:hAnsi="仿宋" w:eastAsia="仿宋" w:cs="仿宋"/>
          <w:sz w:val="32"/>
          <w:szCs w:val="32"/>
          <w:highlight w:val="none"/>
          <w:lang w:val="en-US" w:eastAsia="zh-CN"/>
        </w:rPr>
        <w:t>合格率100%。</w:t>
      </w:r>
    </w:p>
    <w:p w14:paraId="133957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④</w:t>
      </w:r>
      <w:r>
        <w:rPr>
          <w:rFonts w:hint="default" w:ascii="仿宋" w:hAnsi="仿宋" w:eastAsia="仿宋" w:cs="仿宋"/>
          <w:sz w:val="32"/>
          <w:szCs w:val="32"/>
          <w:highlight w:val="none"/>
          <w:lang w:val="en-US" w:eastAsia="zh-CN"/>
        </w:rPr>
        <w:t>中心城区报建项目全部纳入质量安全监督管理</w:t>
      </w:r>
      <w:r>
        <w:rPr>
          <w:rFonts w:hint="eastAsia" w:ascii="仿宋" w:hAnsi="仿宋" w:eastAsia="仿宋" w:cs="仿宋"/>
          <w:sz w:val="32"/>
          <w:szCs w:val="32"/>
          <w:highlight w:val="none"/>
          <w:lang w:val="en-US" w:eastAsia="zh-CN"/>
        </w:rPr>
        <w:t>100%。</w:t>
      </w:r>
    </w:p>
    <w:p w14:paraId="2BD9DB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⑤城建档案馆参与联合验收项目（前期和收尾）≥95%。</w:t>
      </w:r>
    </w:p>
    <w:p w14:paraId="62CE38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⑥城乡建设职业技术学校完成培训服务产值≥300万元。</w:t>
      </w:r>
    </w:p>
    <w:p w14:paraId="57CE42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⑦</w:t>
      </w:r>
      <w:r>
        <w:rPr>
          <w:rFonts w:hint="default" w:ascii="仿宋" w:hAnsi="仿宋" w:eastAsia="仿宋" w:cs="仿宋"/>
          <w:sz w:val="32"/>
          <w:szCs w:val="32"/>
          <w:highlight w:val="none"/>
          <w:lang w:val="en-US" w:eastAsia="zh-CN"/>
        </w:rPr>
        <w:t>监督和管理城市建设项目实施≥</w:t>
      </w:r>
      <w:r>
        <w:rPr>
          <w:rFonts w:hint="eastAsia" w:ascii="仿宋" w:hAnsi="仿宋" w:eastAsia="仿宋" w:cs="仿宋"/>
          <w:sz w:val="32"/>
          <w:szCs w:val="32"/>
          <w:highlight w:val="none"/>
          <w:lang w:val="en-US" w:eastAsia="zh-CN"/>
        </w:rPr>
        <w:t>10个。</w:t>
      </w:r>
    </w:p>
    <w:p w14:paraId="097B7A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⑧</w:t>
      </w:r>
      <w:r>
        <w:rPr>
          <w:rFonts w:hint="default" w:ascii="仿宋" w:hAnsi="仿宋" w:eastAsia="仿宋" w:cs="仿宋"/>
          <w:sz w:val="32"/>
          <w:szCs w:val="32"/>
          <w:highlight w:val="none"/>
          <w:lang w:val="en-US" w:eastAsia="zh-CN"/>
        </w:rPr>
        <w:t>检测服务产值≥4156</w:t>
      </w:r>
      <w:r>
        <w:rPr>
          <w:rFonts w:hint="eastAsia" w:ascii="仿宋" w:hAnsi="仿宋" w:eastAsia="仿宋" w:cs="仿宋"/>
          <w:sz w:val="32"/>
          <w:szCs w:val="32"/>
          <w:highlight w:val="none"/>
          <w:lang w:val="en-US" w:eastAsia="zh-CN"/>
        </w:rPr>
        <w:t>万元。</w:t>
      </w:r>
    </w:p>
    <w:p w14:paraId="106A1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⑨</w:t>
      </w:r>
      <w:r>
        <w:rPr>
          <w:rFonts w:hint="default" w:ascii="仿宋" w:hAnsi="仿宋" w:eastAsia="仿宋" w:cs="仿宋"/>
          <w:sz w:val="32"/>
          <w:szCs w:val="32"/>
          <w:highlight w:val="none"/>
          <w:lang w:val="en-US" w:eastAsia="zh-CN"/>
        </w:rPr>
        <w:t>中心城区房屋白蚁防治率≥</w:t>
      </w:r>
      <w:r>
        <w:rPr>
          <w:rFonts w:hint="eastAsia" w:ascii="仿宋" w:hAnsi="仿宋" w:eastAsia="仿宋" w:cs="仿宋"/>
          <w:sz w:val="32"/>
          <w:szCs w:val="32"/>
          <w:highlight w:val="none"/>
          <w:lang w:val="en-US" w:eastAsia="zh-CN"/>
        </w:rPr>
        <w:t>100%。</w:t>
      </w:r>
    </w:p>
    <w:p w14:paraId="1C8C70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⑩</w:t>
      </w:r>
      <w:r>
        <w:rPr>
          <w:rFonts w:hint="default" w:ascii="仿宋" w:hAnsi="仿宋" w:eastAsia="仿宋" w:cs="仿宋"/>
          <w:sz w:val="32"/>
          <w:szCs w:val="32"/>
          <w:highlight w:val="none"/>
          <w:lang w:val="en-US" w:eastAsia="zh-CN"/>
        </w:rPr>
        <w:t>中心城区房屋交易网签、备案等工作≥</w:t>
      </w:r>
      <w:r>
        <w:rPr>
          <w:rFonts w:hint="eastAsia" w:ascii="仿宋" w:hAnsi="仿宋" w:eastAsia="仿宋" w:cs="仿宋"/>
          <w:sz w:val="32"/>
          <w:szCs w:val="32"/>
          <w:highlight w:val="none"/>
          <w:lang w:val="en-US" w:eastAsia="zh-CN"/>
        </w:rPr>
        <w:t>100%。</w:t>
      </w:r>
    </w:p>
    <w:p w14:paraId="7FC573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⑪新建房屋物业维修资金归集率</w:t>
      </w:r>
      <w:r>
        <w:rPr>
          <w:rFonts w:hint="default"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100%。</w:t>
      </w:r>
    </w:p>
    <w:p w14:paraId="6429F8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微软雅黑" w:hAnsi="微软雅黑" w:eastAsia="微软雅黑" w:cs="微软雅黑"/>
          <w:sz w:val="32"/>
          <w:szCs w:val="32"/>
          <w:highlight w:val="none"/>
          <w:lang w:val="en-US" w:eastAsia="zh-CN"/>
        </w:rPr>
        <w:t>⑫</w:t>
      </w:r>
      <w:r>
        <w:rPr>
          <w:rFonts w:hint="eastAsia" w:ascii="仿宋" w:hAnsi="仿宋" w:eastAsia="仿宋" w:cs="仿宋"/>
          <w:sz w:val="32"/>
          <w:szCs w:val="32"/>
          <w:highlight w:val="none"/>
          <w:lang w:val="en-US" w:eastAsia="zh-CN"/>
        </w:rPr>
        <w:t>测绘业务完成率</w:t>
      </w:r>
      <w:r>
        <w:rPr>
          <w:rFonts w:hint="default"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100%。</w:t>
      </w:r>
    </w:p>
    <w:p w14:paraId="57607406">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eastAsia" w:ascii="楷体" w:hAnsi="楷体" w:eastAsia="楷体" w:cs="楷体"/>
          <w:spacing w:val="-6"/>
          <w:kern w:val="2"/>
          <w:sz w:val="32"/>
          <w:szCs w:val="32"/>
          <w:highlight w:val="none"/>
          <w:lang w:val="en-US" w:eastAsia="zh-CN" w:bidi="ar-SA"/>
        </w:rPr>
      </w:pPr>
      <w:r>
        <w:rPr>
          <w:rFonts w:hint="eastAsia" w:ascii="楷体" w:hAnsi="楷体" w:eastAsia="楷体" w:cs="楷体"/>
          <w:spacing w:val="-6"/>
          <w:kern w:val="2"/>
          <w:sz w:val="32"/>
          <w:szCs w:val="32"/>
          <w:highlight w:val="none"/>
          <w:lang w:val="en-US" w:eastAsia="zh-CN" w:bidi="ar-SA"/>
        </w:rPr>
        <w:t>（2）质量指标：</w:t>
      </w:r>
    </w:p>
    <w:p w14:paraId="7E4609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①建筑施工质量管理和安全生产标准化工地考评分</w:t>
      </w:r>
      <w:r>
        <w:rPr>
          <w:rFonts w:hint="default"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80分。</w:t>
      </w:r>
    </w:p>
    <w:p w14:paraId="3FC9C0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②争创芙蓉奖工程1个、省优质工程3个、中心城区项目获得湖南省年度质量安全优良工地10个。</w:t>
      </w:r>
    </w:p>
    <w:p w14:paraId="11AA52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③档案保管利用率</w:t>
      </w:r>
      <w:r>
        <w:rPr>
          <w:rFonts w:hint="default"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95%。</w:t>
      </w:r>
    </w:p>
    <w:p w14:paraId="001484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④建设领域从业人员职业教育培训服务质量</w:t>
      </w:r>
      <w:r>
        <w:rPr>
          <w:rFonts w:hint="default"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100%。</w:t>
      </w:r>
    </w:p>
    <w:p w14:paraId="559665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⑤</w:t>
      </w:r>
      <w:r>
        <w:rPr>
          <w:rFonts w:hint="default" w:ascii="仿宋" w:hAnsi="仿宋" w:eastAsia="仿宋" w:cs="仿宋"/>
          <w:sz w:val="32"/>
          <w:szCs w:val="32"/>
          <w:highlight w:val="none"/>
          <w:lang w:val="en-US" w:eastAsia="zh-CN"/>
        </w:rPr>
        <w:t>全市造价行业的业务指导率</w:t>
      </w:r>
      <w:r>
        <w:rPr>
          <w:rFonts w:hint="eastAsia" w:ascii="仿宋" w:hAnsi="仿宋" w:eastAsia="仿宋" w:cs="仿宋"/>
          <w:sz w:val="32"/>
          <w:szCs w:val="32"/>
          <w:highlight w:val="none"/>
          <w:lang w:val="en-US" w:eastAsia="zh-CN"/>
        </w:rPr>
        <w:t>≥100%。</w:t>
      </w:r>
    </w:p>
    <w:p w14:paraId="1B154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⑥年度计划城市基础设施建设项目竣工合格验收率100%。</w:t>
      </w:r>
    </w:p>
    <w:p w14:paraId="01BF38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⑦</w:t>
      </w:r>
      <w:r>
        <w:rPr>
          <w:rFonts w:hint="default" w:ascii="仿宋" w:hAnsi="仿宋" w:eastAsia="仿宋" w:cs="仿宋"/>
          <w:sz w:val="32"/>
          <w:szCs w:val="32"/>
          <w:highlight w:val="none"/>
          <w:lang w:val="en-US" w:eastAsia="zh-CN"/>
        </w:rPr>
        <w:t>受监项目检测</w:t>
      </w:r>
      <w:r>
        <w:rPr>
          <w:rFonts w:hint="eastAsia" w:ascii="仿宋" w:hAnsi="仿宋" w:eastAsia="仿宋" w:cs="仿宋"/>
          <w:sz w:val="32"/>
          <w:szCs w:val="32"/>
          <w:highlight w:val="none"/>
          <w:lang w:val="en-US" w:eastAsia="zh-CN"/>
        </w:rPr>
        <w:t>质量合法合规≥100%。</w:t>
      </w:r>
    </w:p>
    <w:p w14:paraId="796D1F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⑧</w:t>
      </w:r>
      <w:r>
        <w:rPr>
          <w:rFonts w:hint="default" w:ascii="仿宋" w:hAnsi="仿宋" w:eastAsia="仿宋" w:cs="仿宋"/>
          <w:sz w:val="32"/>
          <w:szCs w:val="32"/>
          <w:highlight w:val="none"/>
          <w:lang w:val="en-US" w:eastAsia="zh-CN"/>
        </w:rPr>
        <w:t>中心城区房屋白蚁防治达标率</w:t>
      </w:r>
      <w:r>
        <w:rPr>
          <w:rFonts w:hint="eastAsia" w:ascii="仿宋" w:hAnsi="仿宋" w:eastAsia="仿宋" w:cs="仿宋"/>
          <w:sz w:val="32"/>
          <w:szCs w:val="32"/>
          <w:highlight w:val="none"/>
          <w:lang w:val="en-US" w:eastAsia="zh-CN"/>
        </w:rPr>
        <w:t>≥100%。</w:t>
      </w:r>
    </w:p>
    <w:p w14:paraId="4C1C8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⑨中心城区房屋交易网签、备案等工作</w:t>
      </w:r>
      <w:r>
        <w:rPr>
          <w:rFonts w:hint="default" w:ascii="仿宋" w:hAnsi="仿宋" w:eastAsia="仿宋" w:cs="仿宋"/>
          <w:sz w:val="32"/>
          <w:szCs w:val="32"/>
          <w:highlight w:val="none"/>
          <w:lang w:val="en-US" w:eastAsia="zh-CN"/>
        </w:rPr>
        <w:t>达标率</w:t>
      </w:r>
      <w:r>
        <w:rPr>
          <w:rFonts w:hint="eastAsia" w:ascii="仿宋" w:hAnsi="仿宋" w:eastAsia="仿宋" w:cs="仿宋"/>
          <w:sz w:val="32"/>
          <w:szCs w:val="32"/>
          <w:highlight w:val="none"/>
          <w:lang w:val="en-US" w:eastAsia="zh-CN"/>
        </w:rPr>
        <w:t>≥100%。</w:t>
      </w:r>
    </w:p>
    <w:p w14:paraId="2C06F6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⑩共用部位共用设施设备维修、更新、改造项目的施工质量≥90分。</w:t>
      </w:r>
    </w:p>
    <w:p w14:paraId="32870A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⑪</w:t>
      </w:r>
      <w:r>
        <w:rPr>
          <w:rFonts w:hint="default" w:ascii="仿宋" w:hAnsi="仿宋" w:eastAsia="仿宋" w:cs="仿宋"/>
          <w:sz w:val="32"/>
          <w:szCs w:val="32"/>
          <w:highlight w:val="none"/>
          <w:lang w:val="en-US" w:eastAsia="zh-CN"/>
        </w:rPr>
        <w:t>测绘成果达标率</w:t>
      </w:r>
      <w:r>
        <w:rPr>
          <w:rFonts w:hint="eastAsia" w:ascii="仿宋" w:hAnsi="仿宋" w:eastAsia="仿宋" w:cs="仿宋"/>
          <w:sz w:val="32"/>
          <w:szCs w:val="32"/>
          <w:highlight w:val="none"/>
          <w:lang w:val="en-US" w:eastAsia="zh-CN"/>
        </w:rPr>
        <w:t>≥100%。</w:t>
      </w:r>
    </w:p>
    <w:p w14:paraId="2F61B3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pacing w:val="-6"/>
          <w:kern w:val="2"/>
          <w:sz w:val="32"/>
          <w:szCs w:val="32"/>
          <w:highlight w:val="none"/>
          <w:lang w:val="en-US" w:eastAsia="zh-CN" w:bidi="ar-SA"/>
        </w:rPr>
      </w:pPr>
      <w:r>
        <w:rPr>
          <w:rFonts w:hint="eastAsia" w:ascii="仿宋" w:hAnsi="仿宋" w:eastAsia="仿宋" w:cs="仿宋"/>
          <w:sz w:val="32"/>
          <w:szCs w:val="32"/>
          <w:highlight w:val="none"/>
          <w:lang w:val="en-US" w:eastAsia="zh-CN"/>
        </w:rPr>
        <w:t>2.效益指标：</w:t>
      </w:r>
    </w:p>
    <w:p w14:paraId="0F0E74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（1）经济效益指标</w:t>
      </w:r>
    </w:p>
    <w:p w14:paraId="33759C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w:t>
      </w:r>
      <w:r>
        <w:rPr>
          <w:rFonts w:hint="default" w:ascii="仿宋" w:hAnsi="仿宋" w:eastAsia="仿宋" w:cs="仿宋"/>
          <w:sz w:val="32"/>
          <w:szCs w:val="32"/>
          <w:highlight w:val="none"/>
          <w:lang w:val="en-US" w:eastAsia="zh-CN"/>
        </w:rPr>
        <w:t>推动项目建设投资</w:t>
      </w:r>
      <w:r>
        <w:rPr>
          <w:rFonts w:hint="eastAsia" w:ascii="仿宋" w:hAnsi="仿宋" w:eastAsia="仿宋" w:cs="仿宋"/>
          <w:sz w:val="32"/>
          <w:szCs w:val="32"/>
          <w:highlight w:val="none"/>
          <w:lang w:val="en-US" w:eastAsia="zh-CN"/>
        </w:rPr>
        <w:t>2亿元。</w:t>
      </w:r>
    </w:p>
    <w:p w14:paraId="6CBFF1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w:t>
      </w:r>
      <w:r>
        <w:rPr>
          <w:rFonts w:hint="default" w:ascii="仿宋" w:hAnsi="仿宋" w:eastAsia="仿宋" w:cs="仿宋"/>
          <w:sz w:val="32"/>
          <w:szCs w:val="32"/>
          <w:highlight w:val="none"/>
          <w:lang w:val="en-US" w:eastAsia="zh-CN"/>
        </w:rPr>
        <w:t>完成入库档案率≥</w:t>
      </w:r>
      <w:r>
        <w:rPr>
          <w:rFonts w:hint="eastAsia" w:ascii="仿宋" w:hAnsi="仿宋" w:eastAsia="仿宋" w:cs="仿宋"/>
          <w:sz w:val="32"/>
          <w:szCs w:val="32"/>
          <w:highlight w:val="none"/>
          <w:lang w:val="en-US" w:eastAsia="zh-CN"/>
        </w:rPr>
        <w:t>95%。</w:t>
      </w:r>
    </w:p>
    <w:p w14:paraId="616B36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③</w:t>
      </w:r>
      <w:r>
        <w:rPr>
          <w:rFonts w:hint="default" w:ascii="仿宋" w:hAnsi="仿宋" w:eastAsia="仿宋" w:cs="仿宋"/>
          <w:sz w:val="32"/>
          <w:szCs w:val="32"/>
          <w:highlight w:val="none"/>
          <w:lang w:val="en-US" w:eastAsia="zh-CN"/>
        </w:rPr>
        <w:t>白蚁防治药物发挥作用有效期≤</w:t>
      </w:r>
      <w:r>
        <w:rPr>
          <w:rFonts w:hint="eastAsia" w:ascii="仿宋" w:hAnsi="仿宋" w:eastAsia="仿宋" w:cs="仿宋"/>
          <w:sz w:val="32"/>
          <w:szCs w:val="32"/>
          <w:highlight w:val="none"/>
          <w:lang w:val="en-US" w:eastAsia="zh-CN"/>
        </w:rPr>
        <w:t>15年，为中心城区房屋的白蚁防治提供有力保障。</w:t>
      </w:r>
    </w:p>
    <w:p w14:paraId="269C6E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④</w:t>
      </w:r>
      <w:r>
        <w:rPr>
          <w:rFonts w:hint="default" w:ascii="仿宋" w:hAnsi="仿宋" w:eastAsia="仿宋" w:cs="仿宋"/>
          <w:sz w:val="32"/>
          <w:szCs w:val="32"/>
          <w:highlight w:val="none"/>
          <w:lang w:val="en-US" w:eastAsia="zh-CN"/>
        </w:rPr>
        <w:t>政策宣传、中心城区房屋交易网签、备案，促交易增税收≥</w:t>
      </w:r>
      <w:r>
        <w:rPr>
          <w:rFonts w:hint="eastAsia" w:ascii="仿宋" w:hAnsi="仿宋" w:eastAsia="仿宋" w:cs="仿宋"/>
          <w:sz w:val="32"/>
          <w:szCs w:val="32"/>
          <w:highlight w:val="none"/>
          <w:lang w:val="en-US" w:eastAsia="zh-CN"/>
        </w:rPr>
        <w:t>95%。</w:t>
      </w:r>
    </w:p>
    <w:p w14:paraId="67CF52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⑤实现维修资金保值增值≥2800元</w:t>
      </w:r>
    </w:p>
    <w:p w14:paraId="7694EF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⑥测绘成果长期有效。</w:t>
      </w:r>
    </w:p>
    <w:p w14:paraId="76B967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⑦提高建筑业产值对发展地域经济的贡献率≥98%。</w:t>
      </w:r>
    </w:p>
    <w:p w14:paraId="32135B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（2）社会效益指标</w:t>
      </w:r>
    </w:p>
    <w:p w14:paraId="291B3D85">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①中心城区生活垃圾实现无害化管理和资源化利用≥100%。</w:t>
      </w:r>
    </w:p>
    <w:p w14:paraId="41D03D7A">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w:t>
      </w:r>
      <w:r>
        <w:rPr>
          <w:rFonts w:hint="default" w:ascii="仿宋" w:hAnsi="仿宋" w:eastAsia="仿宋" w:cs="仿宋"/>
          <w:sz w:val="32"/>
          <w:szCs w:val="32"/>
          <w:highlight w:val="none"/>
          <w:lang w:val="en-US" w:eastAsia="zh-CN"/>
        </w:rPr>
        <w:t>不发生较大以上质量安全生产事故</w:t>
      </w:r>
      <w:r>
        <w:rPr>
          <w:rFonts w:hint="eastAsia" w:ascii="仿宋" w:hAnsi="仿宋" w:eastAsia="仿宋" w:cs="仿宋"/>
          <w:sz w:val="32"/>
          <w:szCs w:val="32"/>
          <w:highlight w:val="none"/>
          <w:lang w:val="en-US" w:eastAsia="zh-CN"/>
        </w:rPr>
        <w:t>。</w:t>
      </w:r>
    </w:p>
    <w:p w14:paraId="6801FBA8">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③城建</w:t>
      </w:r>
      <w:r>
        <w:rPr>
          <w:rFonts w:hint="default" w:ascii="仿宋" w:hAnsi="仿宋" w:eastAsia="仿宋" w:cs="仿宋"/>
          <w:sz w:val="32"/>
          <w:szCs w:val="32"/>
          <w:highlight w:val="none"/>
          <w:lang w:val="en-US" w:eastAsia="zh-CN"/>
        </w:rPr>
        <w:t>档案查阅利用服务</w:t>
      </w:r>
      <w:r>
        <w:rPr>
          <w:rFonts w:hint="eastAsia" w:ascii="仿宋" w:hAnsi="仿宋" w:eastAsia="仿宋" w:cs="仿宋"/>
          <w:sz w:val="32"/>
          <w:szCs w:val="32"/>
          <w:highlight w:val="none"/>
          <w:lang w:val="en-US" w:eastAsia="zh-CN"/>
        </w:rPr>
        <w:t>≥100%。</w:t>
      </w:r>
    </w:p>
    <w:p w14:paraId="1F8213B8">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④</w:t>
      </w:r>
      <w:r>
        <w:rPr>
          <w:rFonts w:hint="default" w:ascii="仿宋" w:hAnsi="仿宋" w:eastAsia="仿宋" w:cs="仿宋"/>
          <w:sz w:val="32"/>
          <w:szCs w:val="32"/>
          <w:highlight w:val="none"/>
          <w:lang w:val="en-US" w:eastAsia="zh-CN"/>
        </w:rPr>
        <w:t>提升培训水平，确保培训质量，为建筑行业输送人才</w:t>
      </w:r>
      <w:r>
        <w:rPr>
          <w:rFonts w:hint="eastAsia" w:ascii="仿宋" w:hAnsi="仿宋" w:eastAsia="仿宋" w:cs="仿宋"/>
          <w:sz w:val="32"/>
          <w:szCs w:val="32"/>
          <w:highlight w:val="none"/>
          <w:lang w:val="en-US" w:eastAsia="zh-CN"/>
        </w:rPr>
        <w:t>。</w:t>
      </w:r>
    </w:p>
    <w:p w14:paraId="15C47966">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⑤</w:t>
      </w:r>
      <w:r>
        <w:rPr>
          <w:rFonts w:hint="default" w:ascii="仿宋" w:hAnsi="仿宋" w:eastAsia="仿宋" w:cs="仿宋"/>
          <w:sz w:val="32"/>
          <w:szCs w:val="32"/>
          <w:highlight w:val="none"/>
          <w:lang w:val="en-US" w:eastAsia="zh-CN"/>
        </w:rPr>
        <w:t>提高造价咨询工作对发展地域经济的贡献率</w:t>
      </w:r>
      <w:r>
        <w:rPr>
          <w:rFonts w:hint="eastAsia" w:ascii="仿宋" w:hAnsi="仿宋" w:eastAsia="仿宋" w:cs="仿宋"/>
          <w:sz w:val="32"/>
          <w:szCs w:val="32"/>
          <w:highlight w:val="none"/>
          <w:lang w:val="en-US" w:eastAsia="zh-CN"/>
        </w:rPr>
        <w:t>≥98%。</w:t>
      </w:r>
    </w:p>
    <w:p w14:paraId="1ECCD49B">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⑥</w:t>
      </w:r>
      <w:r>
        <w:rPr>
          <w:rFonts w:hint="default" w:ascii="仿宋" w:hAnsi="仿宋" w:eastAsia="仿宋" w:cs="仿宋"/>
          <w:sz w:val="32"/>
          <w:szCs w:val="32"/>
          <w:highlight w:val="none"/>
          <w:lang w:val="en-US" w:eastAsia="zh-CN"/>
        </w:rPr>
        <w:t>按市里要求，完成国有土地上房屋征收面积</w:t>
      </w:r>
      <w:r>
        <w:rPr>
          <w:rFonts w:hint="eastAsia" w:ascii="仿宋" w:hAnsi="仿宋" w:eastAsia="仿宋" w:cs="仿宋"/>
          <w:sz w:val="32"/>
          <w:szCs w:val="32"/>
          <w:highlight w:val="none"/>
          <w:lang w:val="en-US" w:eastAsia="zh-CN"/>
        </w:rPr>
        <w:t>≥4212㎡。</w:t>
      </w:r>
    </w:p>
    <w:p w14:paraId="7B486976">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⑦</w:t>
      </w:r>
      <w:r>
        <w:rPr>
          <w:rFonts w:hint="default" w:ascii="仿宋" w:hAnsi="仿宋" w:eastAsia="仿宋" w:cs="仿宋"/>
          <w:sz w:val="32"/>
          <w:szCs w:val="32"/>
          <w:highlight w:val="none"/>
          <w:lang w:val="en-US" w:eastAsia="zh-CN"/>
        </w:rPr>
        <w:t>提升中心城区建筑检测质量</w:t>
      </w:r>
      <w:r>
        <w:rPr>
          <w:rFonts w:hint="eastAsia" w:ascii="仿宋" w:hAnsi="仿宋" w:eastAsia="仿宋" w:cs="仿宋"/>
          <w:sz w:val="32"/>
          <w:szCs w:val="32"/>
          <w:highlight w:val="none"/>
          <w:lang w:val="en-US" w:eastAsia="zh-CN"/>
        </w:rPr>
        <w:t>。</w:t>
      </w:r>
    </w:p>
    <w:p w14:paraId="39FE803C">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⑧</w:t>
      </w:r>
      <w:r>
        <w:rPr>
          <w:rFonts w:hint="default" w:ascii="仿宋" w:hAnsi="仿宋" w:eastAsia="仿宋" w:cs="仿宋"/>
          <w:sz w:val="32"/>
          <w:szCs w:val="32"/>
          <w:highlight w:val="none"/>
          <w:lang w:val="en-US" w:eastAsia="zh-CN"/>
        </w:rPr>
        <w:t>有效防治白蚁对居民居住建筑的大规模危害</w:t>
      </w:r>
      <w:r>
        <w:rPr>
          <w:rFonts w:hint="eastAsia" w:ascii="仿宋" w:hAnsi="仿宋" w:eastAsia="仿宋" w:cs="仿宋"/>
          <w:sz w:val="32"/>
          <w:szCs w:val="32"/>
          <w:highlight w:val="none"/>
          <w:lang w:val="en-US" w:eastAsia="zh-CN"/>
        </w:rPr>
        <w:t>。</w:t>
      </w:r>
    </w:p>
    <w:p w14:paraId="4740797B">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⑨</w:t>
      </w:r>
      <w:r>
        <w:rPr>
          <w:rFonts w:hint="default" w:ascii="仿宋" w:hAnsi="仿宋" w:eastAsia="仿宋" w:cs="仿宋"/>
          <w:sz w:val="32"/>
          <w:szCs w:val="32"/>
          <w:highlight w:val="none"/>
          <w:lang w:val="en-US" w:eastAsia="zh-CN"/>
        </w:rPr>
        <w:t>政策宣传、中心城区房屋交易网签备案，使房屋交易更规范</w:t>
      </w:r>
      <w:r>
        <w:rPr>
          <w:rFonts w:hint="eastAsia" w:ascii="仿宋" w:hAnsi="仿宋" w:eastAsia="仿宋" w:cs="仿宋"/>
          <w:sz w:val="32"/>
          <w:szCs w:val="32"/>
          <w:highlight w:val="none"/>
          <w:lang w:val="en-US" w:eastAsia="zh-CN"/>
        </w:rPr>
        <w:t>。</w:t>
      </w:r>
    </w:p>
    <w:p w14:paraId="5651ECAD">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⑩</w:t>
      </w:r>
      <w:r>
        <w:rPr>
          <w:rFonts w:hint="default" w:ascii="仿宋" w:hAnsi="仿宋" w:eastAsia="仿宋" w:cs="仿宋"/>
          <w:sz w:val="32"/>
          <w:szCs w:val="32"/>
          <w:highlight w:val="none"/>
          <w:lang w:val="en-US" w:eastAsia="zh-CN"/>
        </w:rPr>
        <w:t>政策宣传，持续加大物业维修资金的归集力度和使用覆盖率≥</w:t>
      </w:r>
      <w:r>
        <w:rPr>
          <w:rFonts w:hint="eastAsia" w:ascii="仿宋" w:hAnsi="仿宋" w:eastAsia="仿宋" w:cs="仿宋"/>
          <w:sz w:val="32"/>
          <w:szCs w:val="32"/>
          <w:highlight w:val="none"/>
          <w:lang w:val="en-US" w:eastAsia="zh-CN"/>
        </w:rPr>
        <w:t>100%。</w:t>
      </w:r>
    </w:p>
    <w:p w14:paraId="63C0BFA8">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⑪</w:t>
      </w:r>
      <w:r>
        <w:rPr>
          <w:rFonts w:hint="default" w:ascii="仿宋" w:hAnsi="仿宋" w:eastAsia="仿宋" w:cs="仿宋"/>
          <w:sz w:val="32"/>
          <w:szCs w:val="32"/>
          <w:highlight w:val="none"/>
          <w:lang w:val="en-US" w:eastAsia="zh-CN"/>
        </w:rPr>
        <w:t>提供合法、有效的测绘成果基础数据≥</w:t>
      </w:r>
      <w:r>
        <w:rPr>
          <w:rFonts w:hint="eastAsia" w:ascii="仿宋" w:hAnsi="仿宋" w:eastAsia="仿宋" w:cs="仿宋"/>
          <w:sz w:val="32"/>
          <w:szCs w:val="32"/>
          <w:highlight w:val="none"/>
          <w:lang w:val="en-US" w:eastAsia="zh-CN"/>
        </w:rPr>
        <w:t>100%。</w:t>
      </w:r>
    </w:p>
    <w:p w14:paraId="3A210FF8">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（3）生态效益指标</w:t>
      </w:r>
    </w:p>
    <w:p w14:paraId="32FEF2F7">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①污水处理排放水质达到一级A排放标准，达标率100%。</w:t>
      </w:r>
    </w:p>
    <w:p w14:paraId="49B872DB">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w:t>
      </w:r>
      <w:r>
        <w:rPr>
          <w:rFonts w:hint="default" w:ascii="仿宋" w:hAnsi="仿宋" w:eastAsia="仿宋" w:cs="仿宋"/>
          <w:sz w:val="32"/>
          <w:szCs w:val="32"/>
          <w:highlight w:val="none"/>
          <w:lang w:val="en-US" w:eastAsia="zh-CN"/>
        </w:rPr>
        <w:t>中心城区受监项目达到扬尘治理六个100%标准，确保全市大气环境持续好转</w:t>
      </w:r>
      <w:r>
        <w:rPr>
          <w:rFonts w:hint="eastAsia" w:ascii="仿宋" w:hAnsi="仿宋" w:eastAsia="仿宋" w:cs="仿宋"/>
          <w:sz w:val="32"/>
          <w:szCs w:val="32"/>
          <w:highlight w:val="none"/>
          <w:lang w:val="en-US" w:eastAsia="zh-CN"/>
        </w:rPr>
        <w:t>。</w:t>
      </w:r>
    </w:p>
    <w:p w14:paraId="58878809">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③</w:t>
      </w:r>
      <w:r>
        <w:rPr>
          <w:rFonts w:hint="default" w:ascii="仿宋" w:hAnsi="仿宋" w:eastAsia="仿宋" w:cs="仿宋"/>
          <w:sz w:val="32"/>
          <w:szCs w:val="32"/>
          <w:highlight w:val="none"/>
          <w:lang w:val="en-US" w:eastAsia="zh-CN"/>
        </w:rPr>
        <w:t>加强城乡建设，改善人居环境</w:t>
      </w:r>
      <w:r>
        <w:rPr>
          <w:rFonts w:hint="eastAsia" w:ascii="仿宋" w:hAnsi="仿宋" w:eastAsia="仿宋" w:cs="仿宋"/>
          <w:sz w:val="32"/>
          <w:szCs w:val="32"/>
          <w:highlight w:val="none"/>
          <w:lang w:val="en-US" w:eastAsia="zh-CN"/>
        </w:rPr>
        <w:t>，城镇化率≥98%。</w:t>
      </w:r>
    </w:p>
    <w:p w14:paraId="29ED118E">
      <w:pPr>
        <w:numPr>
          <w:ilvl w:val="0"/>
          <w:numId w:val="0"/>
        </w:numPr>
        <w:tabs>
          <w:tab w:val="left" w:pos="474"/>
        </w:tabs>
        <w:spacing w:line="560" w:lineRule="exact"/>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④</w:t>
      </w:r>
      <w:r>
        <w:rPr>
          <w:rFonts w:hint="default" w:ascii="仿宋" w:hAnsi="仿宋" w:eastAsia="仿宋" w:cs="仿宋"/>
          <w:sz w:val="32"/>
          <w:szCs w:val="32"/>
          <w:highlight w:val="none"/>
          <w:lang w:val="en-US" w:eastAsia="zh-CN"/>
        </w:rPr>
        <w:t>实现和谐拆迁</w:t>
      </w:r>
      <w:r>
        <w:rPr>
          <w:rFonts w:hint="eastAsia" w:ascii="仿宋" w:hAnsi="仿宋" w:eastAsia="仿宋" w:cs="仿宋"/>
          <w:sz w:val="32"/>
          <w:szCs w:val="32"/>
          <w:highlight w:val="none"/>
          <w:lang w:val="en-US" w:eastAsia="zh-CN"/>
        </w:rPr>
        <w:t>≥98%。</w:t>
      </w:r>
    </w:p>
    <w:p w14:paraId="09F049A1">
      <w:pPr>
        <w:numPr>
          <w:ilvl w:val="0"/>
          <w:numId w:val="0"/>
        </w:numPr>
        <w:tabs>
          <w:tab w:val="left" w:pos="474"/>
        </w:tabs>
        <w:spacing w:line="560" w:lineRule="exact"/>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⑤</w:t>
      </w:r>
      <w:r>
        <w:rPr>
          <w:rFonts w:hint="default" w:ascii="仿宋" w:hAnsi="仿宋" w:eastAsia="仿宋" w:cs="仿宋"/>
          <w:sz w:val="32"/>
          <w:szCs w:val="32"/>
          <w:highlight w:val="none"/>
          <w:lang w:val="en-US" w:eastAsia="zh-CN"/>
        </w:rPr>
        <w:t>监督和管理城市基础设施建设项目</w:t>
      </w:r>
      <w:r>
        <w:rPr>
          <w:rFonts w:hint="eastAsia" w:ascii="仿宋" w:hAnsi="仿宋" w:eastAsia="仿宋" w:cs="仿宋"/>
          <w:sz w:val="32"/>
          <w:szCs w:val="32"/>
          <w:highlight w:val="none"/>
          <w:lang w:val="en-US" w:eastAsia="zh-CN"/>
        </w:rPr>
        <w:t>，</w:t>
      </w:r>
      <w:r>
        <w:rPr>
          <w:rFonts w:hint="default" w:ascii="仿宋" w:hAnsi="仿宋" w:eastAsia="仿宋" w:cs="仿宋"/>
          <w:sz w:val="32"/>
          <w:szCs w:val="32"/>
          <w:highlight w:val="none"/>
          <w:lang w:val="en-US" w:eastAsia="zh-CN"/>
        </w:rPr>
        <w:t>优化市容市貌</w:t>
      </w:r>
      <w:r>
        <w:rPr>
          <w:rFonts w:hint="eastAsia" w:ascii="仿宋" w:hAnsi="仿宋" w:eastAsia="仿宋" w:cs="仿宋"/>
          <w:sz w:val="32"/>
          <w:szCs w:val="32"/>
          <w:highlight w:val="none"/>
          <w:lang w:val="en-US" w:eastAsia="zh-CN"/>
        </w:rPr>
        <w:t>，保护自然生态环境。</w:t>
      </w:r>
    </w:p>
    <w:p w14:paraId="584B1235">
      <w:pPr>
        <w:numPr>
          <w:ilvl w:val="0"/>
          <w:numId w:val="0"/>
        </w:numPr>
        <w:tabs>
          <w:tab w:val="left" w:pos="474"/>
        </w:tabs>
        <w:spacing w:line="560" w:lineRule="exact"/>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⑥</w:t>
      </w:r>
      <w:r>
        <w:rPr>
          <w:rFonts w:hint="default" w:ascii="仿宋" w:hAnsi="仿宋" w:eastAsia="仿宋" w:cs="仿宋"/>
          <w:sz w:val="32"/>
          <w:szCs w:val="32"/>
          <w:highlight w:val="none"/>
          <w:lang w:val="en-US" w:eastAsia="zh-CN"/>
        </w:rPr>
        <w:t>中心城区检测工程材料节能环保，保障城市生态环境可持续发展</w:t>
      </w:r>
      <w:r>
        <w:rPr>
          <w:rFonts w:hint="eastAsia" w:ascii="仿宋" w:hAnsi="仿宋" w:eastAsia="仿宋" w:cs="仿宋"/>
          <w:sz w:val="32"/>
          <w:szCs w:val="32"/>
          <w:highlight w:val="none"/>
          <w:lang w:val="en-US" w:eastAsia="zh-CN"/>
        </w:rPr>
        <w:t>。</w:t>
      </w:r>
    </w:p>
    <w:p w14:paraId="73F0C317">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⑦确保中心城区房屋无大规模白蚁灾害。</w:t>
      </w:r>
    </w:p>
    <w:p w14:paraId="3279D79C">
      <w:pPr>
        <w:numPr>
          <w:ilvl w:val="0"/>
          <w:numId w:val="1"/>
        </w:numPr>
        <w:spacing w:line="560" w:lineRule="exact"/>
        <w:ind w:firstLine="508"/>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成本指标</w:t>
      </w:r>
    </w:p>
    <w:p w14:paraId="33836E08">
      <w:pPr>
        <w:numPr>
          <w:ilvl w:val="0"/>
          <w:numId w:val="2"/>
        </w:numPr>
        <w:spacing w:line="560" w:lineRule="exact"/>
        <w:ind w:left="480" w:leftChars="0" w:firstLine="0" w:firstLineChars="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经济成本指标</w:t>
      </w:r>
    </w:p>
    <w:p w14:paraId="380C3A81">
      <w:pPr>
        <w:numPr>
          <w:ilvl w:val="0"/>
          <w:numId w:val="0"/>
        </w:numPr>
        <w:tabs>
          <w:tab w:val="left" w:pos="474"/>
        </w:tabs>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w:t>
      </w:r>
      <w:r>
        <w:rPr>
          <w:rFonts w:hint="eastAsia" w:ascii="微软雅黑" w:hAnsi="微软雅黑" w:eastAsia="微软雅黑" w:cs="微软雅黑"/>
          <w:sz w:val="32"/>
          <w:szCs w:val="32"/>
          <w:highlight w:val="none"/>
          <w:lang w:val="en-US" w:eastAsia="zh-CN"/>
        </w:rPr>
        <w:t xml:space="preserve"> </w:t>
      </w:r>
      <w:r>
        <w:rPr>
          <w:rFonts w:hint="eastAsia" w:ascii="仿宋" w:hAnsi="仿宋" w:eastAsia="仿宋" w:cs="仿宋"/>
          <w:sz w:val="32"/>
          <w:szCs w:val="32"/>
          <w:highlight w:val="none"/>
          <w:lang w:val="en-US" w:eastAsia="zh-CN"/>
        </w:rPr>
        <w:t>“三公”经费</w:t>
      </w:r>
      <w:r>
        <w:rPr>
          <w:rFonts w:hint="default" w:ascii="仿宋" w:hAnsi="仿宋" w:eastAsia="仿宋" w:cs="仿宋"/>
          <w:sz w:val="32"/>
          <w:szCs w:val="32"/>
          <w:highlight w:val="none"/>
          <w:lang w:val="en-US" w:eastAsia="zh-CN"/>
        </w:rPr>
        <w:t>控制率≤</w:t>
      </w:r>
      <w:r>
        <w:rPr>
          <w:rFonts w:hint="eastAsia" w:ascii="仿宋" w:hAnsi="仿宋" w:eastAsia="仿宋" w:cs="仿宋"/>
          <w:sz w:val="32"/>
          <w:szCs w:val="32"/>
          <w:highlight w:val="none"/>
          <w:lang w:val="en-US" w:eastAsia="zh-CN"/>
        </w:rPr>
        <w:t>100%，人员经费支出控制在指标范围内。</w:t>
      </w:r>
    </w:p>
    <w:p w14:paraId="26EF859A">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w:t>
      </w:r>
      <w:r>
        <w:rPr>
          <w:rFonts w:hint="default" w:ascii="仿宋" w:hAnsi="仿宋" w:eastAsia="仿宋" w:cs="仿宋"/>
          <w:sz w:val="32"/>
          <w:szCs w:val="32"/>
          <w:highlight w:val="none"/>
          <w:lang w:val="en-US" w:eastAsia="zh-CN"/>
        </w:rPr>
        <w:t>完成本年度建设工程材料价格搜集、校核和发布工作所需资金</w:t>
      </w:r>
      <w:r>
        <w:rPr>
          <w:rFonts w:hint="eastAsia" w:ascii="仿宋" w:hAnsi="仿宋" w:eastAsia="仿宋" w:cs="仿宋"/>
          <w:sz w:val="32"/>
          <w:szCs w:val="32"/>
          <w:highlight w:val="none"/>
          <w:lang w:val="en-US" w:eastAsia="zh-CN"/>
        </w:rPr>
        <w:t>≥98%；</w:t>
      </w:r>
    </w:p>
    <w:p w14:paraId="743C8025">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③拨付</w:t>
      </w:r>
      <w:r>
        <w:rPr>
          <w:rFonts w:hint="default" w:ascii="仿宋" w:hAnsi="仿宋" w:eastAsia="仿宋" w:cs="仿宋"/>
          <w:sz w:val="32"/>
          <w:szCs w:val="32"/>
          <w:highlight w:val="none"/>
          <w:lang w:val="en-US" w:eastAsia="zh-CN"/>
        </w:rPr>
        <w:t>市本级保障性住房维修维护资金</w:t>
      </w:r>
      <w:r>
        <w:rPr>
          <w:rFonts w:hint="eastAsia" w:ascii="仿宋" w:hAnsi="仿宋" w:eastAsia="仿宋" w:cs="仿宋"/>
          <w:sz w:val="32"/>
          <w:szCs w:val="32"/>
          <w:highlight w:val="none"/>
          <w:lang w:val="en-US" w:eastAsia="zh-CN"/>
        </w:rPr>
        <w:t>≥100万元；</w:t>
      </w:r>
    </w:p>
    <w:p w14:paraId="5DF7F16B">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④</w:t>
      </w:r>
      <w:r>
        <w:rPr>
          <w:rFonts w:hint="default" w:ascii="仿宋" w:hAnsi="仿宋" w:eastAsia="仿宋" w:cs="仿宋"/>
          <w:sz w:val="32"/>
          <w:szCs w:val="32"/>
          <w:highlight w:val="none"/>
          <w:lang w:val="en-US" w:eastAsia="zh-CN"/>
        </w:rPr>
        <w:t>城市基础设施项目建设管理工作经费控制在预算安排范围内≤</w:t>
      </w:r>
      <w:r>
        <w:rPr>
          <w:rFonts w:hint="eastAsia" w:ascii="仿宋" w:hAnsi="仿宋" w:eastAsia="仿宋" w:cs="仿宋"/>
          <w:sz w:val="32"/>
          <w:szCs w:val="32"/>
          <w:highlight w:val="none"/>
          <w:lang w:val="en-US" w:eastAsia="zh-CN"/>
        </w:rPr>
        <w:t>70万元。</w:t>
      </w:r>
    </w:p>
    <w:p w14:paraId="438C2054">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⑤</w:t>
      </w:r>
      <w:r>
        <w:rPr>
          <w:rFonts w:hint="default" w:ascii="仿宋" w:hAnsi="仿宋" w:eastAsia="仿宋" w:cs="仿宋"/>
          <w:sz w:val="32"/>
          <w:szCs w:val="32"/>
          <w:highlight w:val="none"/>
          <w:lang w:val="en-US" w:eastAsia="zh-CN"/>
        </w:rPr>
        <w:t>完成本年度白蚁防治工作所需资金≤</w:t>
      </w:r>
      <w:r>
        <w:rPr>
          <w:rFonts w:hint="eastAsia" w:ascii="仿宋" w:hAnsi="仿宋" w:eastAsia="仿宋" w:cs="仿宋"/>
          <w:sz w:val="32"/>
          <w:szCs w:val="32"/>
          <w:highlight w:val="none"/>
          <w:lang w:val="en-US" w:eastAsia="zh-CN"/>
        </w:rPr>
        <w:t>50万元；</w:t>
      </w:r>
    </w:p>
    <w:p w14:paraId="0717FE58">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⑥</w:t>
      </w:r>
      <w:r>
        <w:rPr>
          <w:rFonts w:hint="default" w:ascii="仿宋" w:hAnsi="仿宋" w:eastAsia="仿宋" w:cs="仿宋"/>
          <w:sz w:val="32"/>
          <w:szCs w:val="32"/>
          <w:highlight w:val="none"/>
          <w:lang w:val="en-US" w:eastAsia="zh-CN"/>
        </w:rPr>
        <w:t>完成本年度中心城区房屋交易网签、备案等工作所需资金</w:t>
      </w:r>
      <w:r>
        <w:rPr>
          <w:rFonts w:hint="eastAsia" w:ascii="仿宋" w:hAnsi="仿宋" w:eastAsia="仿宋" w:cs="仿宋"/>
          <w:sz w:val="32"/>
          <w:szCs w:val="32"/>
          <w:highlight w:val="none"/>
          <w:lang w:val="en-US" w:eastAsia="zh-CN"/>
        </w:rPr>
        <w:t>≥98%。</w:t>
      </w:r>
    </w:p>
    <w:p w14:paraId="714E3E0C">
      <w:pPr>
        <w:numPr>
          <w:ilvl w:val="0"/>
          <w:numId w:val="0"/>
        </w:numPr>
        <w:spacing w:line="560" w:lineRule="exact"/>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⑦</w:t>
      </w:r>
      <w:r>
        <w:rPr>
          <w:rFonts w:hint="default" w:ascii="仿宋" w:hAnsi="仿宋" w:eastAsia="仿宋" w:cs="仿宋"/>
          <w:sz w:val="32"/>
          <w:szCs w:val="32"/>
          <w:highlight w:val="none"/>
          <w:lang w:val="en-US" w:eastAsia="zh-CN"/>
        </w:rPr>
        <w:t>完成本年度建筑施工企业动态核查所需资金</w:t>
      </w:r>
      <w:r>
        <w:rPr>
          <w:rFonts w:hint="eastAsia" w:ascii="仿宋" w:hAnsi="仿宋" w:eastAsia="仿宋" w:cs="仿宋"/>
          <w:sz w:val="32"/>
          <w:szCs w:val="32"/>
          <w:highlight w:val="none"/>
          <w:lang w:val="en-US" w:eastAsia="zh-CN"/>
        </w:rPr>
        <w:t>≥98%。</w:t>
      </w:r>
    </w:p>
    <w:p w14:paraId="769E2099">
      <w:pPr>
        <w:pStyle w:val="8"/>
        <w:spacing w:before="0" w:after="0" w:line="560" w:lineRule="exact"/>
        <w:ind w:firstLine="616" w:firstLineChars="200"/>
        <w:jc w:val="both"/>
        <w:outlineLvl w:val="9"/>
        <w:rPr>
          <w:rFonts w:ascii="方正黑体_GBK" w:hAnsi="方正黑体_GBK" w:eastAsia="方正黑体_GBK" w:cs="方正黑体_GBK"/>
          <w:b w:val="0"/>
          <w:bCs w:val="0"/>
          <w:smallCaps/>
          <w:spacing w:val="-6"/>
          <w:kern w:val="2"/>
          <w:highlight w:val="none"/>
        </w:rPr>
      </w:pPr>
      <w:r>
        <w:rPr>
          <w:rFonts w:hint="eastAsia" w:ascii="方正黑体_GBK" w:hAnsi="方正黑体_GBK" w:eastAsia="方正黑体_GBK" w:cs="方正黑体_GBK"/>
          <w:b w:val="0"/>
          <w:bCs w:val="0"/>
          <w:smallCaps/>
          <w:spacing w:val="-6"/>
          <w:kern w:val="2"/>
          <w:highlight w:val="none"/>
        </w:rPr>
        <w:t>三、202</w:t>
      </w:r>
      <w:r>
        <w:rPr>
          <w:rFonts w:hint="eastAsia" w:ascii="方正黑体_GBK" w:hAnsi="方正黑体_GBK" w:eastAsia="方正黑体_GBK" w:cs="方正黑体_GBK"/>
          <w:b w:val="0"/>
          <w:bCs w:val="0"/>
          <w:smallCaps/>
          <w:spacing w:val="-6"/>
          <w:kern w:val="2"/>
          <w:highlight w:val="none"/>
          <w:lang w:val="en-US" w:eastAsia="zh-CN"/>
        </w:rPr>
        <w:t>4</w:t>
      </w:r>
      <w:r>
        <w:rPr>
          <w:rFonts w:hint="eastAsia" w:ascii="方正黑体_GBK" w:hAnsi="方正黑体_GBK" w:eastAsia="方正黑体_GBK" w:cs="方正黑体_GBK"/>
          <w:b w:val="0"/>
          <w:bCs w:val="0"/>
          <w:smallCaps/>
          <w:spacing w:val="-6"/>
          <w:kern w:val="2"/>
          <w:highlight w:val="none"/>
        </w:rPr>
        <w:t>部门整体支出绩效目标及完成情况</w:t>
      </w:r>
    </w:p>
    <w:p w14:paraId="1AFD1228">
      <w:pPr>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通过查阅部门年度工作计划、年度工作总结，</w:t>
      </w:r>
      <w:r>
        <w:rPr>
          <w:rFonts w:hint="eastAsia" w:ascii="仿宋" w:hAnsi="仿宋" w:eastAsia="仿宋" w:cs="仿宋"/>
          <w:sz w:val="32"/>
          <w:szCs w:val="32"/>
          <w:highlight w:val="none"/>
          <w:lang w:eastAsia="zh-CN"/>
        </w:rPr>
        <w:t>对照</w:t>
      </w:r>
      <w:r>
        <w:rPr>
          <w:rFonts w:hint="eastAsia" w:ascii="仿宋" w:hAnsi="仿宋" w:eastAsia="仿宋" w:cs="仿宋"/>
          <w:sz w:val="32"/>
          <w:szCs w:val="32"/>
          <w:highlight w:val="none"/>
        </w:rPr>
        <w:t>年度整体支出绩效目标、绩效指标</w:t>
      </w:r>
      <w:r>
        <w:rPr>
          <w:rFonts w:hint="eastAsia" w:ascii="仿宋" w:hAnsi="仿宋" w:eastAsia="仿宋" w:cs="仿宋"/>
          <w:sz w:val="32"/>
          <w:szCs w:val="32"/>
          <w:highlight w:val="none"/>
          <w:lang w:eastAsia="zh-CN"/>
        </w:rPr>
        <w:t>完成情况，</w:t>
      </w:r>
      <w:r>
        <w:rPr>
          <w:rFonts w:hint="eastAsia" w:ascii="仿宋" w:hAnsi="仿宋" w:eastAsia="仿宋" w:cs="仿宋"/>
          <w:sz w:val="32"/>
          <w:szCs w:val="32"/>
          <w:highlight w:val="none"/>
        </w:rPr>
        <w:t>该部门整体支出绩效目标完成良好</w:t>
      </w:r>
      <w:r>
        <w:rPr>
          <w:rFonts w:hint="eastAsia" w:ascii="仿宋" w:hAnsi="仿宋" w:eastAsia="仿宋" w:cs="仿宋"/>
          <w:sz w:val="32"/>
          <w:szCs w:val="32"/>
          <w:highlight w:val="none"/>
          <w:lang w:val="en-US" w:eastAsia="zh-CN"/>
        </w:rPr>
        <w:t>(详见附件2：2024年益阳市住房和城乡建设局部门整体支出主要绩效指标实现程度统计表)</w:t>
      </w:r>
      <w:r>
        <w:rPr>
          <w:rFonts w:hint="eastAsia" w:ascii="仿宋" w:hAnsi="仿宋" w:eastAsia="仿宋" w:cs="仿宋"/>
          <w:sz w:val="32"/>
          <w:szCs w:val="32"/>
          <w:highlight w:val="none"/>
          <w:lang w:eastAsia="zh-CN"/>
        </w:rPr>
        <w:t>。</w:t>
      </w:r>
    </w:p>
    <w:p w14:paraId="09184D37">
      <w:pPr>
        <w:numPr>
          <w:ilvl w:val="0"/>
          <w:numId w:val="3"/>
        </w:numPr>
        <w:pBdr>
          <w:bottom w:val="single" w:color="FFFFFF" w:sz="4" w:space="31"/>
        </w:pBdr>
        <w:tabs>
          <w:tab w:val="left" w:pos="1440"/>
        </w:tabs>
        <w:snapToGrid w:val="0"/>
        <w:spacing w:line="560" w:lineRule="exact"/>
        <w:ind w:firstLine="616" w:firstLineChars="200"/>
        <w:rPr>
          <w:rFonts w:ascii="方正黑体_GBK" w:hAnsi="方正黑体_GBK" w:eastAsia="方正黑体_GBK" w:cs="方正黑体_GBK"/>
          <w:smallCaps/>
          <w:spacing w:val="-6"/>
          <w:sz w:val="32"/>
          <w:szCs w:val="32"/>
          <w:highlight w:val="none"/>
        </w:rPr>
      </w:pPr>
      <w:r>
        <w:rPr>
          <w:rFonts w:hint="eastAsia" w:ascii="方正黑体_GBK" w:hAnsi="方正黑体_GBK" w:eastAsia="方正黑体_GBK" w:cs="方正黑体_GBK"/>
          <w:smallCaps/>
          <w:spacing w:val="-6"/>
          <w:sz w:val="32"/>
          <w:szCs w:val="32"/>
          <w:highlight w:val="none"/>
        </w:rPr>
        <w:t>部门整体支出绩效评价分析</w:t>
      </w:r>
    </w:p>
    <w:p w14:paraId="18BF6948">
      <w:pPr>
        <w:numPr>
          <w:ilvl w:val="0"/>
          <w:numId w:val="4"/>
        </w:numPr>
        <w:pBdr>
          <w:bottom w:val="single" w:color="FFFFFF" w:sz="4" w:space="31"/>
        </w:pBdr>
        <w:tabs>
          <w:tab w:val="left" w:pos="1440"/>
        </w:tabs>
        <w:snapToGrid w:val="0"/>
        <w:spacing w:line="560" w:lineRule="exact"/>
        <w:ind w:firstLine="640" w:firstLineChars="200"/>
        <w:rPr>
          <w:rFonts w:ascii="楷体" w:hAnsi="楷体" w:eastAsia="楷体" w:cs="楷体"/>
          <w:sz w:val="32"/>
          <w:szCs w:val="32"/>
          <w:highlight w:val="none"/>
        </w:rPr>
      </w:pPr>
      <w:r>
        <w:rPr>
          <w:rFonts w:hint="eastAsia" w:ascii="楷体" w:hAnsi="楷体" w:eastAsia="楷体" w:cs="楷体"/>
          <w:sz w:val="32"/>
          <w:szCs w:val="32"/>
          <w:highlight w:val="none"/>
        </w:rPr>
        <w:t>投入（</w:t>
      </w:r>
      <w:r>
        <w:rPr>
          <w:rFonts w:hint="eastAsia" w:ascii="楷体" w:hAnsi="楷体" w:eastAsia="楷体" w:cs="楷体"/>
          <w:sz w:val="32"/>
          <w:szCs w:val="32"/>
          <w:highlight w:val="none"/>
          <w:lang w:val="en-US" w:eastAsia="zh-CN"/>
        </w:rPr>
        <w:t>20</w:t>
      </w:r>
      <w:r>
        <w:rPr>
          <w:rFonts w:hint="eastAsia" w:ascii="楷体" w:hAnsi="楷体" w:eastAsia="楷体" w:cs="楷体"/>
          <w:sz w:val="32"/>
          <w:szCs w:val="32"/>
          <w:highlight w:val="none"/>
        </w:rPr>
        <w:t>分）</w:t>
      </w:r>
      <w:r>
        <w:rPr>
          <w:rFonts w:hint="eastAsia" w:ascii="楷体" w:hAnsi="楷体" w:eastAsia="楷体" w:cs="楷体"/>
          <w:sz w:val="32"/>
          <w:szCs w:val="32"/>
          <w:highlight w:val="none"/>
          <w:lang w:eastAsia="zh-CN"/>
        </w:rPr>
        <w:t>，得</w:t>
      </w:r>
      <w:r>
        <w:rPr>
          <w:rFonts w:hint="eastAsia" w:ascii="楷体" w:hAnsi="楷体" w:eastAsia="楷体" w:cs="楷体"/>
          <w:sz w:val="32"/>
          <w:szCs w:val="32"/>
          <w:highlight w:val="none"/>
          <w:lang w:val="en-US" w:eastAsia="zh-CN"/>
        </w:rPr>
        <w:t>16.35分</w:t>
      </w:r>
    </w:p>
    <w:p w14:paraId="0FECAEF6">
      <w:pPr>
        <w:pBdr>
          <w:bottom w:val="single" w:color="FFFFFF" w:sz="4" w:space="31"/>
        </w:pBdr>
        <w:tabs>
          <w:tab w:val="left" w:pos="1440"/>
        </w:tabs>
        <w:snapToGrid w:val="0"/>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1.绩效目标合理性（</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分），得2分</w:t>
      </w:r>
    </w:p>
    <w:p w14:paraId="4AC71221">
      <w:pPr>
        <w:pBdr>
          <w:bottom w:val="single" w:color="FFFFFF" w:sz="4" w:space="31"/>
        </w:pBdr>
        <w:tabs>
          <w:tab w:val="left" w:pos="1440"/>
        </w:tabs>
        <w:snapToGrid w:val="0"/>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年年初部门整体绩效目标设定情况，符合国家法律法规、国民经济和社会发展总体规划</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符合部门“三定”方案确定的职责</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符合部门制定的中长期实施规划</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根据评分标准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本项指标得分2分。</w:t>
      </w:r>
    </w:p>
    <w:p w14:paraId="16CCF876">
      <w:pPr>
        <w:pBdr>
          <w:bottom w:val="single" w:color="FFFFFF" w:sz="4" w:space="31"/>
        </w:pBdr>
        <w:tabs>
          <w:tab w:val="left" w:pos="1440"/>
        </w:tabs>
        <w:snapToGrid w:val="0"/>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2.绩效指标明确性（</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分），得</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rPr>
        <w:t>分</w:t>
      </w:r>
    </w:p>
    <w:p w14:paraId="53EB3DF1">
      <w:pPr>
        <w:pBdr>
          <w:bottom w:val="single" w:color="FFFFFF" w:sz="4" w:space="31"/>
        </w:pBdr>
        <w:tabs>
          <w:tab w:val="left" w:pos="1440"/>
        </w:tabs>
        <w:snapToGrid w:val="0"/>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该部门年初绩效目标</w:t>
      </w:r>
      <w:r>
        <w:rPr>
          <w:rFonts w:hint="eastAsia" w:ascii="仿宋" w:hAnsi="仿宋" w:eastAsia="仿宋" w:cs="仿宋"/>
          <w:sz w:val="32"/>
          <w:szCs w:val="32"/>
          <w:highlight w:val="none"/>
          <w:lang w:eastAsia="zh-CN"/>
        </w:rPr>
        <w:t>的</w:t>
      </w:r>
      <w:r>
        <w:rPr>
          <w:rFonts w:hint="eastAsia" w:ascii="仿宋" w:hAnsi="仿宋" w:eastAsia="仿宋" w:cs="仿宋"/>
          <w:sz w:val="32"/>
          <w:szCs w:val="32"/>
          <w:highlight w:val="none"/>
        </w:rPr>
        <w:t>绩效指标</w:t>
      </w:r>
      <w:r>
        <w:rPr>
          <w:rFonts w:hint="eastAsia" w:ascii="仿宋" w:hAnsi="仿宋" w:eastAsia="仿宋" w:cs="仿宋"/>
          <w:sz w:val="32"/>
          <w:szCs w:val="32"/>
          <w:highlight w:val="none"/>
          <w:lang w:eastAsia="zh-CN"/>
        </w:rPr>
        <w:t>设定</w:t>
      </w:r>
      <w:r>
        <w:rPr>
          <w:rFonts w:hint="eastAsia" w:ascii="仿宋" w:hAnsi="仿宋" w:eastAsia="仿宋" w:cs="仿宋"/>
          <w:sz w:val="32"/>
          <w:szCs w:val="32"/>
          <w:highlight w:val="none"/>
        </w:rPr>
        <w:t>，将整体绩效目标细化分解为具体的工作任务</w:t>
      </w:r>
      <w:r>
        <w:rPr>
          <w:rFonts w:hint="eastAsia" w:ascii="仿宋" w:hAnsi="仿宋" w:eastAsia="仿宋" w:cs="仿宋"/>
          <w:sz w:val="32"/>
          <w:szCs w:val="32"/>
          <w:highlight w:val="none"/>
          <w:lang w:eastAsia="zh-CN"/>
        </w:rPr>
        <w:t>，大部分能</w:t>
      </w:r>
      <w:r>
        <w:rPr>
          <w:rFonts w:hint="eastAsia" w:ascii="仿宋" w:hAnsi="仿宋" w:eastAsia="仿宋" w:cs="仿宋"/>
          <w:sz w:val="32"/>
          <w:szCs w:val="32"/>
          <w:highlight w:val="none"/>
        </w:rPr>
        <w:t>通过清晰、可衡量的指标值予以体现</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与部门年度的任务数或计划数相对应</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与本年度部门预算资金相匹配</w:t>
      </w:r>
      <w:r>
        <w:rPr>
          <w:rFonts w:hint="eastAsia" w:ascii="仿宋" w:hAnsi="仿宋" w:eastAsia="仿宋" w:cs="仿宋"/>
          <w:sz w:val="32"/>
          <w:szCs w:val="32"/>
          <w:highlight w:val="none"/>
          <w:lang w:eastAsia="zh-CN"/>
        </w:rPr>
        <w:t>。但有个别绩效指标较笼统，不够细化量化，与</w:t>
      </w:r>
      <w:r>
        <w:rPr>
          <w:rFonts w:hint="eastAsia" w:ascii="仿宋" w:hAnsi="仿宋" w:eastAsia="仿宋" w:cs="仿宋"/>
          <w:sz w:val="32"/>
          <w:szCs w:val="32"/>
          <w:highlight w:val="none"/>
        </w:rPr>
        <w:t>部门预算资金</w:t>
      </w:r>
      <w:r>
        <w:rPr>
          <w:rFonts w:hint="eastAsia" w:ascii="仿宋" w:hAnsi="仿宋" w:eastAsia="仿宋" w:cs="仿宋"/>
          <w:sz w:val="32"/>
          <w:szCs w:val="32"/>
          <w:highlight w:val="none"/>
          <w:lang w:eastAsia="zh-CN"/>
        </w:rPr>
        <w:t>不</w:t>
      </w:r>
      <w:r>
        <w:rPr>
          <w:rFonts w:hint="eastAsia" w:ascii="仿宋" w:hAnsi="仿宋" w:eastAsia="仿宋" w:cs="仿宋"/>
          <w:sz w:val="32"/>
          <w:szCs w:val="32"/>
          <w:highlight w:val="none"/>
        </w:rPr>
        <w:t>相匹配根据评分标准</w:t>
      </w:r>
      <w:r>
        <w:rPr>
          <w:rFonts w:hint="eastAsia" w:ascii="仿宋" w:hAnsi="仿宋" w:eastAsia="仿宋" w:cs="仿宋"/>
          <w:sz w:val="32"/>
          <w:szCs w:val="32"/>
          <w:highlight w:val="none"/>
          <w:lang w:eastAsia="zh-CN"/>
        </w:rPr>
        <w:t>，酌情扣</w:t>
      </w:r>
      <w:r>
        <w:rPr>
          <w:rFonts w:hint="eastAsia" w:ascii="仿宋" w:hAnsi="仿宋" w:eastAsia="仿宋" w:cs="仿宋"/>
          <w:sz w:val="32"/>
          <w:szCs w:val="32"/>
          <w:highlight w:val="none"/>
          <w:lang w:val="en-US" w:eastAsia="zh-CN"/>
        </w:rPr>
        <w:t>0.5分，</w:t>
      </w:r>
      <w:r>
        <w:rPr>
          <w:rFonts w:hint="eastAsia" w:ascii="仿宋" w:hAnsi="仿宋" w:eastAsia="仿宋" w:cs="仿宋"/>
          <w:sz w:val="32"/>
          <w:szCs w:val="32"/>
          <w:highlight w:val="none"/>
        </w:rPr>
        <w:t>本项指标得分</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rPr>
        <w:t>分。</w:t>
      </w:r>
    </w:p>
    <w:p w14:paraId="1D19FF40">
      <w:pPr>
        <w:pBdr>
          <w:bottom w:val="single" w:color="FFFFFF" w:sz="4" w:space="31"/>
        </w:pBdr>
        <w:tabs>
          <w:tab w:val="left" w:pos="1440"/>
        </w:tabs>
        <w:snapToGrid w:val="0"/>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3.在职人员控制率（5分），得5分</w:t>
      </w:r>
    </w:p>
    <w:p w14:paraId="11FBAFC2">
      <w:pPr>
        <w:pBdr>
          <w:bottom w:val="single" w:color="FFFFFF" w:sz="4" w:space="31"/>
        </w:pBdr>
        <w:tabs>
          <w:tab w:val="left" w:pos="1440"/>
        </w:tabs>
        <w:snapToGrid w:val="0"/>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年该部门机构编制</w:t>
      </w:r>
      <w:r>
        <w:rPr>
          <w:rFonts w:hint="eastAsia" w:ascii="仿宋" w:hAnsi="仿宋" w:eastAsia="仿宋" w:cs="仿宋"/>
          <w:sz w:val="32"/>
          <w:szCs w:val="32"/>
          <w:highlight w:val="none"/>
          <w:lang w:eastAsia="zh-CN"/>
        </w:rPr>
        <w:t>人数为</w:t>
      </w:r>
      <w:r>
        <w:rPr>
          <w:rFonts w:hint="eastAsia" w:ascii="仿宋" w:hAnsi="仿宋" w:eastAsia="仿宋" w:cs="仿宋"/>
          <w:sz w:val="32"/>
          <w:szCs w:val="32"/>
          <w:highlight w:val="none"/>
          <w:lang w:val="en-US" w:eastAsia="zh-CN"/>
        </w:rPr>
        <w:t>302人，</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 xml:space="preserve">年度决算报表，年末实有在职人员数 </w:t>
      </w:r>
      <w:r>
        <w:rPr>
          <w:rFonts w:hint="eastAsia" w:ascii="仿宋" w:hAnsi="仿宋" w:eastAsia="仿宋" w:cs="仿宋"/>
          <w:sz w:val="32"/>
          <w:szCs w:val="32"/>
          <w:highlight w:val="none"/>
          <w:lang w:val="en-US" w:eastAsia="zh-CN"/>
        </w:rPr>
        <w:t>275</w:t>
      </w:r>
      <w:r>
        <w:rPr>
          <w:rFonts w:hint="eastAsia" w:ascii="仿宋" w:hAnsi="仿宋" w:eastAsia="仿宋" w:cs="仿宋"/>
          <w:sz w:val="32"/>
          <w:szCs w:val="32"/>
          <w:highlight w:val="none"/>
        </w:rPr>
        <w:t xml:space="preserve"> 人</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在职人员控制率为100%。根据评分标准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本项指标得分</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分。</w:t>
      </w:r>
    </w:p>
    <w:p w14:paraId="36B66537">
      <w:pPr>
        <w:pBdr>
          <w:bottom w:val="single" w:color="FFFFFF" w:sz="4" w:space="31"/>
        </w:pBdr>
        <w:tabs>
          <w:tab w:val="left" w:pos="1440"/>
        </w:tabs>
        <w:snapToGrid w:val="0"/>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4.</w:t>
      </w:r>
      <w:r>
        <w:rPr>
          <w:rFonts w:hint="eastAsia" w:ascii="仿宋" w:hAnsi="仿宋" w:eastAsia="仿宋" w:cs="仿宋"/>
          <w:sz w:val="32"/>
          <w:szCs w:val="32"/>
          <w:highlight w:val="none"/>
          <w:lang w:eastAsia="zh-CN"/>
        </w:rPr>
        <w:t>“三公”经费</w:t>
      </w:r>
      <w:r>
        <w:rPr>
          <w:rFonts w:hint="eastAsia" w:ascii="仿宋" w:hAnsi="仿宋" w:eastAsia="仿宋" w:cs="仿宋"/>
          <w:sz w:val="32"/>
          <w:szCs w:val="32"/>
          <w:highlight w:val="none"/>
        </w:rPr>
        <w:t xml:space="preserve"> 变动率（5分），得5分</w:t>
      </w:r>
    </w:p>
    <w:p w14:paraId="7C4FEA33">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val="0"/>
        <w:snapToGrid w:val="0"/>
        <w:spacing w:line="560" w:lineRule="exact"/>
        <w:ind w:left="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年度该部门</w:t>
      </w:r>
      <w:r>
        <w:rPr>
          <w:rFonts w:hint="eastAsia" w:ascii="仿宋" w:hAnsi="仿宋" w:eastAsia="仿宋" w:cs="仿宋"/>
          <w:sz w:val="32"/>
          <w:szCs w:val="32"/>
          <w:highlight w:val="none"/>
          <w:lang w:eastAsia="zh-CN"/>
        </w:rPr>
        <w:t>“三公”经费预算</w:t>
      </w:r>
      <w:r>
        <w:rPr>
          <w:rFonts w:hint="eastAsia" w:ascii="仿宋" w:hAnsi="仿宋" w:eastAsia="仿宋" w:cs="仿宋"/>
          <w:sz w:val="32"/>
          <w:szCs w:val="32"/>
          <w:highlight w:val="none"/>
        </w:rPr>
        <w:t>数</w:t>
      </w:r>
      <w:r>
        <w:rPr>
          <w:rFonts w:hint="eastAsia" w:ascii="仿宋" w:hAnsi="仿宋" w:eastAsia="仿宋" w:cs="仿宋"/>
          <w:sz w:val="32"/>
          <w:szCs w:val="32"/>
          <w:highlight w:val="none"/>
          <w:lang w:val="en-US" w:eastAsia="zh-CN"/>
        </w:rPr>
        <w:t>65</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 xml:space="preserve">年度预算数 </w:t>
      </w:r>
      <w:r>
        <w:rPr>
          <w:rFonts w:hint="eastAsia" w:ascii="仿宋" w:hAnsi="仿宋" w:eastAsia="仿宋" w:cs="仿宋"/>
          <w:color w:val="auto"/>
          <w:sz w:val="32"/>
          <w:szCs w:val="32"/>
          <w:highlight w:val="none"/>
          <w:lang w:val="en-US" w:eastAsia="zh-CN"/>
        </w:rPr>
        <w:t>50.5</w:t>
      </w:r>
      <w:r>
        <w:rPr>
          <w:rFonts w:hint="eastAsia" w:ascii="仿宋" w:hAnsi="仿宋" w:eastAsia="仿宋" w:cs="仿宋"/>
          <w:color w:val="auto"/>
          <w:sz w:val="32"/>
          <w:szCs w:val="32"/>
          <w:highlight w:val="none"/>
        </w:rPr>
        <w:t>万元 。</w:t>
      </w:r>
      <w:r>
        <w:rPr>
          <w:rFonts w:hint="eastAsia" w:ascii="仿宋" w:hAnsi="仿宋" w:eastAsia="仿宋" w:cs="仿宋"/>
          <w:color w:val="auto"/>
          <w:sz w:val="32"/>
          <w:szCs w:val="32"/>
          <w:highlight w:val="none"/>
          <w:lang w:eastAsia="zh-CN"/>
        </w:rPr>
        <w:t>“三公”经费</w:t>
      </w:r>
      <w:r>
        <w:rPr>
          <w:rFonts w:hint="eastAsia" w:ascii="仿宋" w:hAnsi="仿宋" w:eastAsia="仿宋" w:cs="仿宋"/>
          <w:color w:val="auto"/>
          <w:sz w:val="32"/>
          <w:szCs w:val="32"/>
          <w:highlight w:val="none"/>
        </w:rPr>
        <w:t>变动率=</w:t>
      </w:r>
      <w:r>
        <w:rPr>
          <w:rFonts w:hint="default" w:ascii="仿宋" w:hAnsi="仿宋" w:eastAsia="仿宋" w:cs="仿宋"/>
          <w:color w:val="auto"/>
          <w:sz w:val="32"/>
          <w:szCs w:val="32"/>
          <w:highlight w:val="none"/>
        </w:rPr>
        <w:t>[（本年度</w:t>
      </w:r>
      <w:r>
        <w:rPr>
          <w:rFonts w:hint="eastAsia" w:ascii="仿宋" w:hAnsi="仿宋" w:eastAsia="仿宋" w:cs="仿宋"/>
          <w:color w:val="auto"/>
          <w:sz w:val="32"/>
          <w:szCs w:val="32"/>
          <w:highlight w:val="none"/>
          <w:lang w:eastAsia="zh-CN"/>
        </w:rPr>
        <w:t>“三公”经费</w:t>
      </w:r>
      <w:r>
        <w:rPr>
          <w:rFonts w:hint="default" w:ascii="仿宋" w:hAnsi="仿宋" w:eastAsia="仿宋" w:cs="仿宋"/>
          <w:color w:val="auto"/>
          <w:sz w:val="32"/>
          <w:szCs w:val="32"/>
          <w:highlight w:val="none"/>
        </w:rPr>
        <w:t>总额-上年度</w:t>
      </w:r>
      <w:r>
        <w:rPr>
          <w:rFonts w:hint="eastAsia" w:ascii="仿宋" w:hAnsi="仿宋" w:eastAsia="仿宋" w:cs="仿宋"/>
          <w:color w:val="auto"/>
          <w:sz w:val="32"/>
          <w:szCs w:val="32"/>
          <w:highlight w:val="none"/>
          <w:lang w:eastAsia="zh-CN"/>
        </w:rPr>
        <w:t>“三公”经费</w:t>
      </w:r>
      <w:r>
        <w:rPr>
          <w:rFonts w:hint="default" w:ascii="仿宋" w:hAnsi="仿宋" w:eastAsia="仿宋" w:cs="仿宋"/>
          <w:color w:val="auto"/>
          <w:sz w:val="32"/>
          <w:szCs w:val="32"/>
          <w:highlight w:val="none"/>
        </w:rPr>
        <w:t>总额）/上年度</w:t>
      </w:r>
      <w:r>
        <w:rPr>
          <w:rFonts w:hint="eastAsia" w:ascii="仿宋" w:hAnsi="仿宋" w:eastAsia="仿宋" w:cs="仿宋"/>
          <w:color w:val="auto"/>
          <w:sz w:val="32"/>
          <w:szCs w:val="32"/>
          <w:highlight w:val="none"/>
          <w:lang w:eastAsia="zh-CN"/>
        </w:rPr>
        <w:t>“三公”经费</w:t>
      </w:r>
      <w:r>
        <w:rPr>
          <w:rFonts w:hint="default" w:ascii="仿宋" w:hAnsi="仿宋" w:eastAsia="仿宋" w:cs="仿宋"/>
          <w:color w:val="auto"/>
          <w:sz w:val="32"/>
          <w:szCs w:val="32"/>
          <w:highlight w:val="none"/>
        </w:rPr>
        <w:t>总额]×100%。</w:t>
      </w:r>
      <w:r>
        <w:rPr>
          <w:rFonts w:hint="eastAsia" w:ascii="仿宋" w:hAnsi="仿宋" w:eastAsia="仿宋" w:cs="仿宋"/>
          <w:color w:val="auto"/>
          <w:sz w:val="32"/>
          <w:szCs w:val="32"/>
          <w:highlight w:val="none"/>
          <w:lang w:val="en-US" w:eastAsia="zh-CN"/>
        </w:rPr>
        <w:t>即：</w:t>
      </w:r>
      <w:r>
        <w:rPr>
          <w:rFonts w:hint="default" w:ascii="仿宋" w:hAnsi="仿宋" w:eastAsia="仿宋" w:cs="仿宋"/>
          <w:color w:val="auto"/>
          <w:sz w:val="32"/>
          <w:szCs w:val="32"/>
          <w:highlight w:val="none"/>
        </w:rPr>
        <w:t>[</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50.5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65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65</w:t>
      </w:r>
      <w:r>
        <w:rPr>
          <w:rFonts w:hint="default" w:ascii="仿宋" w:hAnsi="仿宋" w:eastAsia="仿宋" w:cs="仿宋"/>
          <w:color w:val="auto"/>
          <w:sz w:val="32"/>
          <w:szCs w:val="32"/>
          <w:highlight w:val="none"/>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-22.3%</w:t>
      </w:r>
      <w:r>
        <w:rPr>
          <w:rFonts w:hint="eastAsia" w:ascii="仿宋" w:hAnsi="仿宋" w:eastAsia="仿宋" w:cs="仿宋"/>
          <w:color w:val="auto"/>
          <w:sz w:val="32"/>
          <w:szCs w:val="32"/>
          <w:highlight w:val="none"/>
        </w:rPr>
        <w:t>，</w:t>
      </w:r>
      <w:r>
        <w:rPr>
          <w:rFonts w:hint="eastAsia" w:ascii="仿宋" w:hAnsi="仿宋" w:eastAsia="仿宋" w:cs="仿宋"/>
          <w:sz w:val="32"/>
          <w:szCs w:val="32"/>
          <w:highlight w:val="none"/>
        </w:rPr>
        <w:t>该部门</w:t>
      </w:r>
      <w:r>
        <w:rPr>
          <w:rFonts w:hint="eastAsia" w:ascii="仿宋" w:hAnsi="仿宋" w:eastAsia="仿宋" w:cs="仿宋"/>
          <w:sz w:val="32"/>
          <w:szCs w:val="32"/>
          <w:highlight w:val="none"/>
          <w:lang w:eastAsia="zh-CN"/>
        </w:rPr>
        <w:t>“三公”经费</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年度比202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年度的预算数有所降低。根据评</w:t>
      </w:r>
      <w:r>
        <w:rPr>
          <w:rFonts w:hint="eastAsia" w:ascii="仿宋" w:hAnsi="仿宋" w:eastAsia="仿宋" w:cs="仿宋"/>
          <w:sz w:val="32"/>
          <w:szCs w:val="32"/>
          <w:highlight w:val="none"/>
          <w:lang w:eastAsia="zh-CN"/>
        </w:rPr>
        <w:t>分</w:t>
      </w:r>
      <w:r>
        <w:rPr>
          <w:rFonts w:hint="eastAsia" w:ascii="仿宋" w:hAnsi="仿宋" w:eastAsia="仿宋" w:cs="仿宋"/>
          <w:sz w:val="32"/>
          <w:szCs w:val="32"/>
          <w:highlight w:val="none"/>
        </w:rPr>
        <w:t>标准：</w:t>
      </w:r>
      <w:r>
        <w:rPr>
          <w:rFonts w:hint="eastAsia" w:ascii="仿宋" w:hAnsi="仿宋" w:eastAsia="仿宋" w:cs="仿宋"/>
          <w:sz w:val="32"/>
          <w:szCs w:val="32"/>
          <w:highlight w:val="none"/>
          <w:lang w:eastAsia="zh-CN"/>
        </w:rPr>
        <w:t>“三公”经费</w:t>
      </w:r>
      <w:r>
        <w:rPr>
          <w:rFonts w:hint="eastAsia" w:ascii="仿宋" w:hAnsi="仿宋" w:eastAsia="仿宋" w:cs="仿宋"/>
          <w:sz w:val="32"/>
          <w:szCs w:val="32"/>
          <w:highlight w:val="none"/>
        </w:rPr>
        <w:t>变动率≤0，计5分，故本次</w:t>
      </w:r>
      <w:r>
        <w:rPr>
          <w:rFonts w:hint="eastAsia" w:ascii="仿宋" w:hAnsi="仿宋" w:eastAsia="仿宋" w:cs="仿宋"/>
          <w:sz w:val="32"/>
          <w:szCs w:val="32"/>
          <w:highlight w:val="none"/>
          <w:lang w:eastAsia="zh-CN"/>
        </w:rPr>
        <w:t>“三公”经费</w:t>
      </w:r>
      <w:r>
        <w:rPr>
          <w:rFonts w:hint="eastAsia" w:ascii="仿宋" w:hAnsi="仿宋" w:eastAsia="仿宋" w:cs="仿宋"/>
          <w:sz w:val="32"/>
          <w:szCs w:val="32"/>
          <w:highlight w:val="none"/>
        </w:rPr>
        <w:t>变动率</w:t>
      </w:r>
      <w:r>
        <w:rPr>
          <w:rFonts w:hint="eastAsia" w:ascii="仿宋" w:hAnsi="仿宋" w:eastAsia="仿宋" w:cs="仿宋"/>
          <w:sz w:val="32"/>
          <w:szCs w:val="32"/>
          <w:highlight w:val="none"/>
          <w:lang w:eastAsia="zh-CN"/>
        </w:rPr>
        <w:t>指标</w:t>
      </w:r>
      <w:r>
        <w:rPr>
          <w:rFonts w:hint="eastAsia" w:ascii="仿宋" w:hAnsi="仿宋" w:eastAsia="仿宋" w:cs="仿宋"/>
          <w:sz w:val="32"/>
          <w:szCs w:val="32"/>
          <w:highlight w:val="none"/>
        </w:rPr>
        <w:t>计 5分。</w:t>
      </w:r>
    </w:p>
    <w:p w14:paraId="4C60E83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重点支出安排率（</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分），得</w:t>
      </w:r>
      <w:r>
        <w:rPr>
          <w:rFonts w:hint="eastAsia" w:ascii="仿宋" w:hAnsi="仿宋" w:eastAsia="仿宋" w:cs="仿宋"/>
          <w:sz w:val="32"/>
          <w:szCs w:val="32"/>
          <w:highlight w:val="none"/>
          <w:lang w:val="en-US" w:eastAsia="zh-CN"/>
        </w:rPr>
        <w:t>1.85</w:t>
      </w:r>
      <w:r>
        <w:rPr>
          <w:rFonts w:hint="eastAsia" w:ascii="仿宋" w:hAnsi="仿宋" w:eastAsia="仿宋" w:cs="仿宋"/>
          <w:sz w:val="32"/>
          <w:szCs w:val="32"/>
          <w:highlight w:val="none"/>
        </w:rPr>
        <w:t>分</w:t>
      </w:r>
    </w:p>
    <w:p w14:paraId="5B152D42">
      <w:pPr>
        <w:pBdr>
          <w:bottom w:val="single" w:color="FFFFFF" w:sz="4" w:space="31"/>
        </w:pBdr>
        <w:tabs>
          <w:tab w:val="left" w:pos="1440"/>
        </w:tabs>
        <w:snapToGrid w:val="0"/>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eastAsia="zh-CN"/>
        </w:rPr>
        <w:t>市级重点</w:t>
      </w:r>
      <w:r>
        <w:rPr>
          <w:rFonts w:hint="eastAsia" w:ascii="仿宋" w:hAnsi="仿宋" w:eastAsia="仿宋" w:cs="仿宋"/>
          <w:sz w:val="32"/>
          <w:szCs w:val="32"/>
          <w:highlight w:val="none"/>
        </w:rPr>
        <w:t>项目支出预算为</w:t>
      </w:r>
      <w:r>
        <w:rPr>
          <w:rFonts w:hint="eastAsia" w:ascii="仿宋" w:hAnsi="仿宋" w:eastAsia="仿宋" w:cs="仿宋"/>
          <w:sz w:val="32"/>
          <w:szCs w:val="32"/>
          <w:highlight w:val="none"/>
          <w:lang w:val="en-US" w:eastAsia="zh-CN"/>
        </w:rPr>
        <w:t>1930.96</w:t>
      </w:r>
      <w:r>
        <w:rPr>
          <w:rFonts w:hint="eastAsia" w:ascii="仿宋" w:hAnsi="仿宋" w:eastAsia="仿宋" w:cs="仿宋"/>
          <w:sz w:val="32"/>
          <w:szCs w:val="32"/>
          <w:highlight w:val="none"/>
        </w:rPr>
        <w:t>万元，部门预算</w:t>
      </w:r>
      <w:r>
        <w:rPr>
          <w:rFonts w:hint="eastAsia" w:ascii="仿宋" w:hAnsi="仿宋" w:eastAsia="仿宋" w:cs="仿宋"/>
          <w:sz w:val="32"/>
          <w:szCs w:val="32"/>
          <w:highlight w:val="none"/>
          <w:lang w:eastAsia="zh-CN"/>
        </w:rPr>
        <w:t>全年项目</w:t>
      </w:r>
      <w:r>
        <w:rPr>
          <w:rFonts w:hint="eastAsia" w:ascii="仿宋" w:hAnsi="仿宋" w:eastAsia="仿宋" w:cs="仿宋"/>
          <w:sz w:val="32"/>
          <w:szCs w:val="32"/>
          <w:highlight w:val="none"/>
        </w:rPr>
        <w:t>总支出</w:t>
      </w:r>
      <w:r>
        <w:rPr>
          <w:rFonts w:hint="eastAsia" w:ascii="仿宋" w:hAnsi="仿宋" w:eastAsia="仿宋" w:cs="仿宋"/>
          <w:sz w:val="32"/>
          <w:szCs w:val="32"/>
          <w:highlight w:val="none"/>
          <w:lang w:val="en-US" w:eastAsia="zh-CN"/>
        </w:rPr>
        <w:t>5235.9</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重点</w:t>
      </w:r>
      <w:r>
        <w:rPr>
          <w:rFonts w:hint="eastAsia" w:ascii="仿宋" w:hAnsi="仿宋" w:eastAsia="仿宋" w:cs="仿宋"/>
          <w:sz w:val="32"/>
          <w:szCs w:val="32"/>
          <w:highlight w:val="none"/>
        </w:rPr>
        <w:t>支出安排率=（</w:t>
      </w:r>
      <w:r>
        <w:rPr>
          <w:rFonts w:hint="eastAsia" w:ascii="仿宋" w:hAnsi="仿宋" w:eastAsia="仿宋" w:cs="仿宋"/>
          <w:sz w:val="32"/>
          <w:szCs w:val="32"/>
          <w:highlight w:val="none"/>
          <w:lang w:eastAsia="zh-CN"/>
        </w:rPr>
        <w:t>重点</w:t>
      </w:r>
      <w:r>
        <w:rPr>
          <w:rFonts w:hint="eastAsia" w:ascii="仿宋" w:hAnsi="仿宋" w:eastAsia="仿宋" w:cs="仿宋"/>
          <w:sz w:val="32"/>
          <w:szCs w:val="32"/>
          <w:highlight w:val="none"/>
        </w:rPr>
        <w:t>项目支出/部门预算</w:t>
      </w:r>
      <w:r>
        <w:rPr>
          <w:rFonts w:hint="eastAsia" w:ascii="仿宋" w:hAnsi="仿宋" w:eastAsia="仿宋" w:cs="仿宋"/>
          <w:sz w:val="32"/>
          <w:szCs w:val="32"/>
          <w:highlight w:val="none"/>
          <w:lang w:eastAsia="zh-CN"/>
        </w:rPr>
        <w:t>项目</w:t>
      </w:r>
      <w:r>
        <w:rPr>
          <w:rFonts w:hint="eastAsia" w:ascii="仿宋" w:hAnsi="仿宋" w:eastAsia="仿宋" w:cs="仿宋"/>
          <w:sz w:val="32"/>
          <w:szCs w:val="32"/>
          <w:highlight w:val="none"/>
        </w:rPr>
        <w:t>总支出）</w:t>
      </w:r>
      <w:r>
        <w:rPr>
          <w:rFonts w:ascii="Arial" w:hAnsi="Arial" w:eastAsia="仿宋" w:cs="Arial"/>
          <w:sz w:val="32"/>
          <w:szCs w:val="32"/>
          <w:highlight w:val="none"/>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eastAsia="zh-CN"/>
        </w:rPr>
        <w:t>重点</w:t>
      </w:r>
      <w:r>
        <w:rPr>
          <w:rFonts w:hint="eastAsia" w:ascii="仿宋" w:hAnsi="仿宋" w:eastAsia="仿宋" w:cs="仿宋"/>
          <w:sz w:val="32"/>
          <w:szCs w:val="32"/>
          <w:highlight w:val="none"/>
        </w:rPr>
        <w:t>项目支出安排率为</w:t>
      </w:r>
      <w:r>
        <w:rPr>
          <w:rFonts w:hint="eastAsia" w:ascii="仿宋" w:hAnsi="仿宋" w:eastAsia="仿宋" w:cs="仿宋"/>
          <w:sz w:val="32"/>
          <w:szCs w:val="32"/>
          <w:highlight w:val="none"/>
          <w:lang w:val="en-US" w:eastAsia="zh-CN"/>
        </w:rPr>
        <w:t>37</w:t>
      </w:r>
      <w:r>
        <w:rPr>
          <w:rFonts w:hint="eastAsia" w:ascii="仿宋" w:hAnsi="仿宋" w:eastAsia="仿宋" w:cs="仿宋"/>
          <w:sz w:val="32"/>
          <w:szCs w:val="32"/>
          <w:highlight w:val="none"/>
        </w:rPr>
        <w:t>%，根据评价标准：实际得分=支出安排率</w:t>
      </w:r>
      <w:r>
        <w:rPr>
          <w:rFonts w:ascii="Arial" w:hAnsi="Arial" w:eastAsia="仿宋" w:cs="Arial"/>
          <w:sz w:val="32"/>
          <w:szCs w:val="32"/>
          <w:highlight w:val="none"/>
        </w:rPr>
        <w:t>×</w:t>
      </w:r>
      <w:r>
        <w:rPr>
          <w:rFonts w:hint="eastAsia" w:ascii="仿宋" w:hAnsi="仿宋" w:eastAsia="仿宋" w:cs="仿宋"/>
          <w:sz w:val="32"/>
          <w:szCs w:val="32"/>
          <w:highlight w:val="none"/>
          <w:lang w:eastAsia="zh-CN"/>
        </w:rPr>
        <w:t>本项指标分，</w:t>
      </w:r>
      <w:r>
        <w:rPr>
          <w:rFonts w:hint="eastAsia" w:ascii="仿宋" w:hAnsi="仿宋" w:eastAsia="仿宋" w:cs="仿宋"/>
          <w:sz w:val="32"/>
          <w:szCs w:val="32"/>
          <w:highlight w:val="none"/>
        </w:rPr>
        <w:t>故本项指标</w:t>
      </w:r>
      <w:r>
        <w:rPr>
          <w:rFonts w:hint="eastAsia" w:ascii="仿宋" w:hAnsi="仿宋" w:eastAsia="仿宋" w:cs="仿宋"/>
          <w:sz w:val="32"/>
          <w:szCs w:val="32"/>
          <w:highlight w:val="none"/>
          <w:lang w:eastAsia="zh-CN"/>
        </w:rPr>
        <w:t>实际得分</w:t>
      </w:r>
      <w:r>
        <w:rPr>
          <w:rFonts w:hint="eastAsia" w:ascii="仿宋" w:hAnsi="仿宋" w:eastAsia="仿宋" w:cs="仿宋"/>
          <w:sz w:val="32"/>
          <w:szCs w:val="32"/>
          <w:highlight w:val="none"/>
          <w:lang w:val="en-US" w:eastAsia="zh-CN"/>
        </w:rPr>
        <w:t>1.85</w:t>
      </w:r>
      <w:r>
        <w:rPr>
          <w:rFonts w:hint="eastAsia" w:ascii="仿宋" w:hAnsi="仿宋" w:eastAsia="仿宋" w:cs="仿宋"/>
          <w:sz w:val="32"/>
          <w:szCs w:val="32"/>
          <w:highlight w:val="none"/>
        </w:rPr>
        <w:t>分。</w:t>
      </w:r>
    </w:p>
    <w:p w14:paraId="5BC22201">
      <w:pPr>
        <w:numPr>
          <w:ilvl w:val="0"/>
          <w:numId w:val="0"/>
        </w:numPr>
        <w:pBdr>
          <w:bottom w:val="single" w:color="FFFFFF" w:sz="4" w:space="31"/>
        </w:pBdr>
        <w:tabs>
          <w:tab w:val="left" w:pos="1440"/>
        </w:tabs>
        <w:snapToGrid w:val="0"/>
        <w:spacing w:line="560" w:lineRule="exact"/>
        <w:ind w:firstLine="640" w:firstLineChars="200"/>
        <w:rPr>
          <w:rFonts w:hint="default"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（二）过程（30分）得25.69分</w:t>
      </w:r>
    </w:p>
    <w:p w14:paraId="77906DF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1.预算完成率（5分），得3.14分</w:t>
      </w:r>
    </w:p>
    <w:p w14:paraId="6DBF1D5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2024年度决算报表、预算报表，本年度年初收入预算为12918.4万元，支出预算12891.93万元，实际支出12412.82万元，比预算减少479.11万元，本年预算支出完成率为96.28%。根据预算支出完成率评分标准：100%计满分5分，每低1%扣0.5分，故本项指标扣1.86分，得分3.14分。</w:t>
      </w:r>
    </w:p>
    <w:p w14:paraId="7600BC4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2.预算调整率（3 分），得2.5分</w:t>
      </w:r>
    </w:p>
    <w:p w14:paraId="7CB9002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部门年初预算数为12918.4万元，年度收入为12412.82万元，本年度调增与调减预算数之和为-505.58万元，预算调整率=（本年实际调整预算/年初预算）×100%=-3.91%。根据预算控制率评价标准：未调整，计3分，调整率</w:t>
      </w:r>
      <w:r>
        <w:rPr>
          <w:rFonts w:hint="eastAsia" w:ascii="微软雅黑" w:hAnsi="微软雅黑" w:eastAsia="微软雅黑" w:cs="微软雅黑"/>
          <w:sz w:val="32"/>
          <w:szCs w:val="32"/>
          <w:highlight w:val="none"/>
          <w:lang w:val="en-US" w:eastAsia="zh-CN"/>
        </w:rPr>
        <w:t>±</w:t>
      </w:r>
      <w:r>
        <w:rPr>
          <w:rFonts w:hint="eastAsia" w:ascii="仿宋" w:hAnsi="仿宋" w:eastAsia="仿宋" w:cs="仿宋"/>
          <w:sz w:val="32"/>
          <w:szCs w:val="32"/>
          <w:highlight w:val="none"/>
          <w:lang w:val="en-US" w:eastAsia="zh-CN"/>
        </w:rPr>
        <w:t>5%以内，计2.5分，超过</w:t>
      </w:r>
      <w:r>
        <w:rPr>
          <w:rFonts w:hint="eastAsia" w:ascii="微软雅黑" w:hAnsi="微软雅黑" w:eastAsia="微软雅黑" w:cs="微软雅黑"/>
          <w:sz w:val="32"/>
          <w:szCs w:val="32"/>
          <w:highlight w:val="none"/>
          <w:lang w:val="en-US" w:eastAsia="zh-CN"/>
        </w:rPr>
        <w:t>±</w:t>
      </w:r>
      <w:r>
        <w:rPr>
          <w:rFonts w:hint="eastAsia" w:ascii="仿宋" w:hAnsi="仿宋" w:eastAsia="仿宋" w:cs="仿宋"/>
          <w:sz w:val="32"/>
          <w:szCs w:val="32"/>
          <w:highlight w:val="none"/>
          <w:lang w:val="en-US" w:eastAsia="zh-CN"/>
        </w:rPr>
        <w:t>5%每增加1个百分点扣0.5分，本项指标得2.5分。</w:t>
      </w:r>
    </w:p>
    <w:p w14:paraId="44D0800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3.支付进度率（3分），得2.6分</w:t>
      </w:r>
    </w:p>
    <w:p w14:paraId="73A6EE6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年度预算收入12412.82万元，截至2024年12月31日，一季度支出累计3947.36万元，平均支出率26.92%，二季度（上半年）累计支出5990.02万元，平均支出率48.3%，三季度支出累计8213.47万元，平均支出率70.61%，四季度（全年）支出累计11016.01万元，平均支出率96.88%。</w:t>
      </w:r>
    </w:p>
    <w:p w14:paraId="0EB4144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评分标准：1-4季支付进度率累计达25%、50%、75%、100%每季0.5分，进度率未达到每季计0.4分，全年支付进度率≥100%，得1分；100%＞进度率≥95%，得0.9分；95%＞进度率≥70%，得0.8分；进度率＜70%，得0分。故本指标季度支付率得1.7分，全年支付进度得0.9分，合计得2.9分。</w:t>
      </w:r>
    </w:p>
    <w:p w14:paraId="084CE430">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4.资金结转结余率（2分），得2分</w:t>
      </w:r>
    </w:p>
    <w:p w14:paraId="045A9D65">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2024年度部门决算收入12252.82万元，决算支出12252.82万元，资金结转结余率为0，根据资金结转结余率评价标准：目标值：0%；达到目标值得2分，未达到目标值的，每增加5%扣0.2分，扣完为止。故本项指标得分2分。</w:t>
      </w:r>
    </w:p>
    <w:p w14:paraId="08E3182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5.公用经费控制率（2分），得2分</w:t>
      </w:r>
    </w:p>
    <w:p w14:paraId="7DACB57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2024年度公用经费支出决算数1981.36万元，2024年度公用经费预算数1909.89万元。公用经费控制率=</w:t>
      </w:r>
      <w:r>
        <w:rPr>
          <w:rFonts w:hint="default" w:ascii="仿宋" w:hAnsi="仿宋" w:eastAsia="仿宋" w:cs="仿宋"/>
          <w:sz w:val="32"/>
          <w:szCs w:val="32"/>
          <w:highlight w:val="none"/>
          <w:lang w:val="en-US" w:eastAsia="zh-CN"/>
        </w:rPr>
        <w:t>（实际支出数/预算安排数）×100%。</w:t>
      </w:r>
      <w:r>
        <w:rPr>
          <w:rFonts w:hint="eastAsia" w:ascii="仿宋" w:hAnsi="仿宋" w:eastAsia="仿宋" w:cs="仿宋"/>
          <w:sz w:val="32"/>
          <w:szCs w:val="32"/>
          <w:highlight w:val="none"/>
          <w:lang w:val="en-US" w:eastAsia="zh-CN"/>
        </w:rPr>
        <w:t>根据计算公式，公用经费控制率为96.4%。根据评分标准，公用经费控制率在100%以下（含）计满分 2 分，每超出1%扣0.2分，扣完为止。故该项指标得满分 2分。</w:t>
      </w:r>
    </w:p>
    <w:p w14:paraId="6EA3DE22">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6.“三公”经费控制率（2分）：得1分</w:t>
      </w:r>
    </w:p>
    <w:p w14:paraId="3F019F9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2024年该部门“三公”经费实际支出</w:t>
      </w:r>
      <w:r>
        <w:rPr>
          <w:rFonts w:hint="eastAsia" w:ascii="仿宋_GB2312" w:hAnsi="Times New Roman" w:eastAsia="仿宋_GB2312" w:cs="Times New Roman"/>
          <w:sz w:val="32"/>
          <w:szCs w:val="32"/>
          <w:highlight w:val="none"/>
          <w:lang w:val="en-US" w:eastAsia="zh-CN"/>
        </w:rPr>
        <w:t>56.10</w:t>
      </w:r>
      <w:r>
        <w:rPr>
          <w:rFonts w:hint="eastAsia" w:ascii="仿宋" w:hAnsi="仿宋" w:eastAsia="仿宋" w:cs="仿宋"/>
          <w:sz w:val="32"/>
          <w:szCs w:val="32"/>
          <w:highlight w:val="none"/>
          <w:lang w:val="en-US" w:eastAsia="zh-CN"/>
        </w:rPr>
        <w:t>万元，年初预算安排</w:t>
      </w:r>
      <w:r>
        <w:rPr>
          <w:rFonts w:hint="eastAsia" w:ascii="仿宋" w:hAnsi="仿宋" w:eastAsia="仿宋" w:cs="仿宋"/>
          <w:color w:val="auto"/>
          <w:sz w:val="32"/>
          <w:szCs w:val="32"/>
          <w:highlight w:val="none"/>
          <w:lang w:val="en-US" w:eastAsia="zh-CN"/>
        </w:rPr>
        <w:t>50.5万元，实际支出较年初预算安排增加5.6万元，“三公”经费控制率为111.09%，</w:t>
      </w:r>
      <w:r>
        <w:rPr>
          <w:rFonts w:hint="eastAsia" w:ascii="仿宋" w:hAnsi="仿宋" w:eastAsia="仿宋" w:cs="仿宋"/>
          <w:sz w:val="32"/>
          <w:szCs w:val="32"/>
          <w:highlight w:val="none"/>
          <w:lang w:val="en-US" w:eastAsia="zh-CN"/>
        </w:rPr>
        <w:t>根据评分标准，控制率为100%的计2分，每超过1个百分点扣0.5分，扣完为止。本项指标有因公出国考察特殊原因，酌情扣1分，得1分。</w:t>
      </w:r>
    </w:p>
    <w:p w14:paraId="1D2C4E8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8.政府采购执行率（2分），得2分</w:t>
      </w:r>
    </w:p>
    <w:p w14:paraId="54FF4BF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年度预算内未安排政府集中采购（公开招标）支出项目，政府集中采购限额以下的分散采购支出376.95万元，其中货物支出31.27万元，工程支出280.49万元，服务支出239.44万元，全部通过政采云电子卖场采购，采购执行率100%，根据评分考核标准，该部门本项指标得2分。</w:t>
      </w:r>
    </w:p>
    <w:p w14:paraId="54A93D4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9.资金管理制度健全性（2分），得2分</w:t>
      </w:r>
    </w:p>
    <w:p w14:paraId="1A8E807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健全了财务管理体系，制定了《公务用餐公务接待商务接待管理实施细则》《财务管理工作制度》《加强对局属二级机构财务管理的规定》《支出管理内部控制制度》《内部审计制度》等一系列资金管理制度，资金使用实行事前申请审批制度，设置了2万至5万元的支出须召开专题会议，5万元及以上的项目支出党组会议（二级机构领导班子会议）审议，相关制度合法合规、完整，并得到有效执行。故本项指标计满分2 分。</w:t>
      </w:r>
    </w:p>
    <w:p w14:paraId="725F9CA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10.资金使用合规性（2分），得1.6分</w:t>
      </w:r>
    </w:p>
    <w:p w14:paraId="424D787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支出符合国家财经法规和财务管理制度规定以及有关专项资金管理办法的规定，资金拨付有完整的审批程序和手续，项目支出按规定实行会签联审制度，支出符合部门预算批复的用途，基础数据信息和会计信息资料准确，无截留、挤占、挪用、虚列支出、未按时支付等情况。经查阅财务支付凭证，住房保障中心2024年物业管理费四个季度均提前10天至1个月时间不等支付，根据资金使用合规性评价标准，扣0.4分本项指标得分1.6分。</w:t>
      </w:r>
    </w:p>
    <w:p w14:paraId="7DD1682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11.预决算信息公开性（1分），得1分</w:t>
      </w:r>
    </w:p>
    <w:p w14:paraId="48D88A6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该部门2024年度预算信息、“三公”经费 等会计信息资料已按规定内容公开预算信息， 按规定时限公开预算信息， 基础数据信息和会计信息资料真实，基础数据信息和会计信息资料完整，基础数据信息和会计信息资料准确，在本级局机关人民政府网站进行了公开，但2024年度的决算尚未批复和上网公开，不影响评分。根据评分标准，本项指标得1 分。</w:t>
      </w:r>
    </w:p>
    <w:p w14:paraId="04F759E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12.基础信息完善性（1分），得0.85分</w:t>
      </w:r>
    </w:p>
    <w:p w14:paraId="4971DE8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该部门2024年度基础数据信息和会计信息资料真实，基础数据信息和会计信息资料准确，但基础数据信息和会计信息资料有3例不完整，根据评分标准，扣0.15分，得0.85分。</w:t>
      </w:r>
    </w:p>
    <w:p w14:paraId="63E20CE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13.资产管理制度健全性（2分），得2分</w:t>
      </w:r>
    </w:p>
    <w:p w14:paraId="1C0BBEC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该部门制定了《固定资产管理制度》《资产保管制度》，落实固定资产保管、使用责任人，资产管理制度合法、合规、完整，并得到有效执行。根据评分标准，本项指标计满分2分。</w:t>
      </w:r>
    </w:p>
    <w:p w14:paraId="06E72BC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14.资产管理安全性（2分），得2分</w:t>
      </w:r>
    </w:p>
    <w:p w14:paraId="4744E1B2">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资产保存完整，按使用人建立了资产实物管理台账，实行使用、保管签字登记制度，资产账务管理合规，账实相符，年底对财产物资进行清查、盘点、核对、处理。对取得的资产实物及时进行会计核算。根据评价标准，评分指标全部符合，故本项指标得满分 2 分。</w:t>
      </w:r>
    </w:p>
    <w:p w14:paraId="194E521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15.固定资产利用率（1分），得分1分</w:t>
      </w:r>
    </w:p>
    <w:p w14:paraId="699D187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2024年末所有固定资产净值总额15139.47万元，实际在用固定资产净值总额15139.47万元，固定资产利用率=（实际在用固定资产总额/所有固定资产总额）×100%。根据评分标准，利用率为100%的计1分，每降1个百分点扣0.1分，扣完为止。部门固定资产利用率为100 %，本项指标得满分1分。</w:t>
      </w:r>
    </w:p>
    <w:p w14:paraId="432FA7C1">
      <w:pPr>
        <w:numPr>
          <w:ilvl w:val="0"/>
          <w:numId w:val="0"/>
        </w:numPr>
        <w:pBdr>
          <w:bottom w:val="single" w:color="FFFFFF" w:sz="4" w:space="31"/>
        </w:pBdr>
        <w:tabs>
          <w:tab w:val="left" w:pos="1440"/>
        </w:tabs>
        <w:snapToGrid w:val="0"/>
        <w:spacing w:line="560" w:lineRule="exact"/>
        <w:ind w:firstLine="640" w:firstLineChars="20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（三）部门履职产出（30分），得分28.72分</w:t>
      </w:r>
    </w:p>
    <w:p w14:paraId="35D9F4F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1.实际完成率（6分），得5.72分</w:t>
      </w:r>
    </w:p>
    <w:p w14:paraId="0B07972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对照年初制定的部门支出整体绩效指标计划，大部分产出数量绩效指标均已完成，综合完成率为95.2%。未能全部完成的项目主要有城乡建设职业技术学校完成年度培训服务产值计划88.9%，建设工程质量检测中心完成年度检测服务产值计划45.17%。未完成绩效指标计划的主要原因，主要是受经济大环境影响，房地产市场调整转型，整体建筑市场的开发项目缩水，建筑行业从业人员减少和检测业务急剧减少，导致培训服务和检测服务收入大幅减少。根据评分标准，本项指标扣0.28分，得5.72分。</w:t>
      </w:r>
    </w:p>
    <w:p w14:paraId="5C28CDA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2.完成及时率（4分），得4分</w:t>
      </w:r>
    </w:p>
    <w:p w14:paraId="7466791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对照核实该部门2024年度工作规划和月度实施计划及时完成情况，均按时完成工作任务，完成及时率100%，得4分。</w:t>
      </w:r>
    </w:p>
    <w:p w14:paraId="1E9562C2">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3.质量达标率（5分），得5分</w:t>
      </w:r>
    </w:p>
    <w:p w14:paraId="5F7985D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该部门2024年度工作完成质量达标率100%，得5分。</w:t>
      </w:r>
    </w:p>
    <w:p w14:paraId="127AFE3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4.年度工作绩效考核成效（8分），得7分</w:t>
      </w:r>
    </w:p>
    <w:p w14:paraId="5093499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根据市委组织部对2024年度市管领导班子</w:t>
      </w:r>
      <w:r>
        <w:rPr>
          <w:rFonts w:hint="default" w:ascii="仿宋" w:hAnsi="仿宋" w:eastAsia="仿宋" w:cs="仿宋"/>
          <w:sz w:val="32"/>
          <w:szCs w:val="32"/>
          <w:highlight w:val="none"/>
          <w:lang w:val="en-US" w:eastAsia="zh-CN"/>
        </w:rPr>
        <w:t>年度考核等次评定结果的通报</w:t>
      </w:r>
      <w:r>
        <w:rPr>
          <w:rFonts w:hint="eastAsia" w:ascii="仿宋" w:hAnsi="仿宋" w:eastAsia="仿宋" w:cs="仿宋"/>
          <w:sz w:val="32"/>
          <w:szCs w:val="32"/>
          <w:highlight w:val="none"/>
          <w:lang w:val="en-US" w:eastAsia="zh-CN"/>
        </w:rPr>
        <w:t>，该部门为二类等次（良好），根据评分标准，评估结果为一类等次；得8分；评估考核结果为二类等次7分，评估考核结果为三类等次6分，故本项指标得7分。</w:t>
      </w:r>
    </w:p>
    <w:p w14:paraId="2CD6015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5.年度重点工作办结率（7分）</w:t>
      </w:r>
    </w:p>
    <w:p w14:paraId="11AE97F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2024年度完成市领导部署的保交房任务，保交房交付</w:t>
      </w:r>
      <w:r>
        <w:rPr>
          <w:rFonts w:hint="eastAsia" w:ascii="仿宋_GB2312" w:hAnsi="仿宋" w:eastAsia="仿宋_GB2312" w:cs="Times New Roman"/>
          <w:dstrike w:val="0"/>
          <w:kern w:val="2"/>
          <w:sz w:val="32"/>
          <w:szCs w:val="32"/>
          <w:highlight w:val="none"/>
          <w:lang w:val="en-US" w:eastAsia="zh-CN" w:bidi="ar-SA"/>
        </w:rPr>
        <w:t>11679套，交付率97.72%，超额完成省定90%的目标；完成第二轮中央、第二轮省级、第三轮中央及2023年生态环境部调研指出问题整改销号6个，2个完成了年度整改任务；根据市政府2024年第16次常务会议精神和各级领导要求，积极开展“一园两中心”增收提效工作，完成与相关单位市民服务中心闲置办公场所的购置与投资意向洽谈、在园区实施停车棚光伏发电的相关事宜；牵头负责新建和提质改造竞赛场馆33个</w:t>
      </w:r>
      <w:r>
        <w:rPr>
          <w:rFonts w:hint="default" w:ascii="Times New Roman" w:hAnsi="Times New Roman" w:eastAsia="方正仿宋简体" w:cs="Times New Roman"/>
          <w:color w:val="auto"/>
          <w:sz w:val="32"/>
          <w:szCs w:val="32"/>
          <w:highlight w:val="none"/>
        </w:rPr>
        <w:t>建设稳步推进</w:t>
      </w:r>
      <w:r>
        <w:rPr>
          <w:rFonts w:hint="eastAsia" w:ascii="Times New Roman" w:hAnsi="Times New Roman" w:eastAsia="方正仿宋简体" w:cs="Times New Roman"/>
          <w:color w:val="auto"/>
          <w:sz w:val="32"/>
          <w:szCs w:val="32"/>
          <w:highlight w:val="none"/>
          <w:lang w:eastAsia="zh-CN"/>
        </w:rPr>
        <w:t>；</w:t>
      </w:r>
      <w:r>
        <w:rPr>
          <w:rFonts w:hint="eastAsia" w:ascii="方正仿宋简体" w:hAnsi="方正仿宋简体" w:eastAsia="方正仿宋简体" w:cs="方正仿宋简体"/>
          <w:sz w:val="32"/>
          <w:szCs w:val="32"/>
          <w:highlight w:val="none"/>
          <w:lang w:val="en-US" w:eastAsia="en-US"/>
        </w:rPr>
        <w:t>根据《关于促进市中心城区房地产市场平稳健康发展的若干政策措施》（益政办发〔2022〕12号）文件精神</w:t>
      </w:r>
      <w:r>
        <w:rPr>
          <w:rFonts w:hint="eastAsia" w:ascii="方正仿宋简体" w:hAnsi="方正仿宋简体" w:eastAsia="方正仿宋简体" w:cs="方正仿宋简体"/>
          <w:sz w:val="32"/>
          <w:szCs w:val="32"/>
          <w:highlight w:val="none"/>
          <w:lang w:val="en-US" w:eastAsia="zh-CN"/>
        </w:rPr>
        <w:t>，汇总2022—2023</w:t>
      </w:r>
      <w:r>
        <w:rPr>
          <w:rFonts w:hint="eastAsia" w:ascii="方正仿宋简体" w:hAnsi="方正仿宋简体" w:eastAsia="方正仿宋简体" w:cs="方正仿宋简体"/>
          <w:sz w:val="32"/>
          <w:szCs w:val="32"/>
          <w:highlight w:val="none"/>
          <w:lang w:val="en-US" w:eastAsia="en-US"/>
        </w:rPr>
        <w:t>年购房契税补贴资料</w:t>
      </w:r>
      <w:r>
        <w:rPr>
          <w:rFonts w:hint="eastAsia" w:ascii="方正仿宋简体" w:hAnsi="方正仿宋简体" w:eastAsia="方正仿宋简体" w:cs="方正仿宋简体"/>
          <w:sz w:val="32"/>
          <w:szCs w:val="32"/>
          <w:highlight w:val="none"/>
          <w:lang w:val="en-US" w:eastAsia="zh-CN"/>
        </w:rPr>
        <w:t>十批次</w:t>
      </w:r>
      <w:r>
        <w:rPr>
          <w:rFonts w:hint="eastAsia" w:ascii="方正仿宋简体" w:hAnsi="方正仿宋简体" w:eastAsia="方正仿宋简体" w:cs="方正仿宋简体"/>
          <w:sz w:val="32"/>
          <w:szCs w:val="32"/>
          <w:highlight w:val="none"/>
          <w:lang w:val="en-US" w:eastAsia="en-US"/>
        </w:rPr>
        <w:t>合计</w:t>
      </w:r>
      <w:r>
        <w:rPr>
          <w:rFonts w:hint="eastAsia" w:ascii="方正仿宋简体" w:hAnsi="方正仿宋简体" w:eastAsia="方正仿宋简体" w:cs="方正仿宋简体"/>
          <w:sz w:val="32"/>
          <w:szCs w:val="32"/>
          <w:highlight w:val="none"/>
          <w:lang w:val="en-US" w:eastAsia="zh-CN"/>
        </w:rPr>
        <w:t>6416</w:t>
      </w:r>
      <w:r>
        <w:rPr>
          <w:rFonts w:hint="eastAsia" w:ascii="方正仿宋简体" w:hAnsi="方正仿宋简体" w:eastAsia="方正仿宋简体" w:cs="方正仿宋简体"/>
          <w:sz w:val="32"/>
          <w:szCs w:val="32"/>
          <w:highlight w:val="none"/>
          <w:lang w:val="en-US" w:eastAsia="en-US"/>
        </w:rPr>
        <w:t>户</w:t>
      </w:r>
      <w:r>
        <w:rPr>
          <w:rFonts w:hint="eastAsia" w:ascii="方正仿宋简体" w:hAnsi="方正仿宋简体" w:eastAsia="方正仿宋简体" w:cs="方正仿宋简体"/>
          <w:sz w:val="32"/>
          <w:szCs w:val="32"/>
          <w:highlight w:val="none"/>
          <w:lang w:val="en-US" w:eastAsia="zh-CN"/>
        </w:rPr>
        <w:t>，补贴</w:t>
      </w:r>
      <w:r>
        <w:rPr>
          <w:rFonts w:hint="eastAsia" w:ascii="方正仿宋简体" w:hAnsi="方正仿宋简体" w:eastAsia="方正仿宋简体" w:cs="方正仿宋简体"/>
          <w:sz w:val="32"/>
          <w:szCs w:val="32"/>
          <w:highlight w:val="none"/>
          <w:lang w:val="en-US" w:eastAsia="en-US"/>
        </w:rPr>
        <w:t>金额</w:t>
      </w:r>
      <w:r>
        <w:rPr>
          <w:rFonts w:hint="eastAsia" w:ascii="方正仿宋简体" w:hAnsi="方正仿宋简体" w:eastAsia="方正仿宋简体" w:cs="方正仿宋简体"/>
          <w:sz w:val="32"/>
          <w:szCs w:val="32"/>
          <w:highlight w:val="none"/>
          <w:lang w:val="en-US" w:eastAsia="zh-CN"/>
        </w:rPr>
        <w:t>4099万</w:t>
      </w:r>
      <w:r>
        <w:rPr>
          <w:rFonts w:hint="eastAsia" w:ascii="方正仿宋简体" w:hAnsi="方正仿宋简体" w:eastAsia="方正仿宋简体" w:cs="方正仿宋简体"/>
          <w:sz w:val="32"/>
          <w:szCs w:val="32"/>
          <w:highlight w:val="none"/>
          <w:lang w:val="en-US" w:eastAsia="en-US"/>
        </w:rPr>
        <w:t>元</w:t>
      </w:r>
      <w:r>
        <w:rPr>
          <w:rFonts w:hint="eastAsia" w:ascii="方正仿宋简体" w:hAnsi="方正仿宋简体" w:eastAsia="方正仿宋简体" w:cs="方正仿宋简体"/>
          <w:sz w:val="32"/>
          <w:szCs w:val="32"/>
          <w:highlight w:val="none"/>
          <w:lang w:val="en-US" w:eastAsia="zh-CN"/>
        </w:rPr>
        <w:t>，均已全部拨付到位。完成4个主办、4个协办建议提案办理。负责办理的建议提案均得到相关人大代表和政协委员的充分肯定，并给予了“满意”回复。完成市领导推动的燃气安全隐患整治。</w:t>
      </w:r>
      <w:r>
        <w:rPr>
          <w:rFonts w:hint="eastAsia" w:ascii="仿宋" w:hAnsi="仿宋" w:eastAsia="仿宋" w:cs="仿宋"/>
          <w:sz w:val="32"/>
          <w:szCs w:val="32"/>
          <w:highlight w:val="none"/>
          <w:lang w:val="en-US" w:eastAsia="zh-CN"/>
        </w:rPr>
        <w:t>年度重点工作办结率100%，本项指标计满分7分。</w:t>
      </w:r>
    </w:p>
    <w:p w14:paraId="6774B5E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（四）部门履职效益（20分），得分18.62分</w:t>
      </w:r>
    </w:p>
    <w:p w14:paraId="1CECC71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1.经济效益（5分），得5分</w:t>
      </w:r>
    </w:p>
    <w:p w14:paraId="3B9F7BE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2024年部门一般公共财政支出决算6738.16万元，2023年一般公共财政决算支出9489.36万元，根据评分标准，(当年公共财政决算支出-上年公共财政决算支出) +上年公共财政决算支出</w:t>
      </w:r>
      <w:r>
        <w:rPr>
          <w:rFonts w:hint="default" w:ascii="Arial" w:hAnsi="Arial" w:eastAsia="仿宋" w:cs="Arial"/>
          <w:sz w:val="32"/>
          <w:szCs w:val="32"/>
          <w:highlight w:val="none"/>
          <w:lang w:val="en-US" w:eastAsia="zh-CN"/>
        </w:rPr>
        <w:t>×</w:t>
      </w:r>
      <w:r>
        <w:rPr>
          <w:rFonts w:hint="eastAsia" w:ascii="仿宋" w:hAnsi="仿宋" w:eastAsia="仿宋" w:cs="仿宋"/>
          <w:sz w:val="32"/>
          <w:szCs w:val="32"/>
          <w:highlight w:val="none"/>
          <w:lang w:val="en-US" w:eastAsia="zh-CN"/>
        </w:rPr>
        <w:t>100%,≤100%计5分，每高出一个百分点扣0.5分，扣完为止。该部门一般公共财政支出控制率为71%，经济效益显著，故该项指标得5分。</w:t>
      </w:r>
    </w:p>
    <w:p w14:paraId="37A2C5C1">
      <w:pPr>
        <w:keepNext w:val="0"/>
        <w:keepLines w:val="0"/>
        <w:pageBreakBefore w:val="0"/>
        <w:widowControl w:val="0"/>
        <w:numPr>
          <w:ilvl w:val="0"/>
          <w:numId w:val="0"/>
        </w:numPr>
        <w:pBdr>
          <w:bottom w:val="single" w:color="FFFFFF" w:sz="4" w:space="31"/>
        </w:pBdr>
        <w:tabs>
          <w:tab w:val="left" w:pos="639"/>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2.社会效益（5分）得5分</w:t>
      </w:r>
    </w:p>
    <w:p w14:paraId="66C803F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_GB2312" w:hAnsi="仿宋" w:eastAsia="仿宋_GB2312" w:cs="Times New Roman"/>
          <w:dstrike w:val="0"/>
          <w:kern w:val="2"/>
          <w:sz w:val="32"/>
          <w:szCs w:val="32"/>
          <w:highlight w:val="none"/>
          <w:lang w:val="en-US" w:eastAsia="zh-CN" w:bidi="ar-SA"/>
        </w:rPr>
        <w:t>加速城市基础设施建设，交通、市政道路雨污水分流、电动汽车充电桩、供水（气）管网等基础设施得到改善，促进了区域经济和社会发展；</w:t>
      </w:r>
      <w:r>
        <w:rPr>
          <w:rFonts w:hint="eastAsia" w:ascii="仿宋" w:hAnsi="仿宋" w:eastAsia="仿宋" w:cs="仿宋"/>
          <w:sz w:val="32"/>
          <w:szCs w:val="32"/>
          <w:highlight w:val="none"/>
          <w:lang w:val="en-US" w:eastAsia="zh-CN"/>
        </w:rPr>
        <w:t>中心城区生活垃圾实现无害化处理和资源化利用达100%，</w:t>
      </w:r>
      <w:r>
        <w:rPr>
          <w:rFonts w:hint="eastAsia" w:ascii="仿宋_GB2312" w:hAnsi="仿宋" w:eastAsia="仿宋_GB2312" w:cs="Times New Roman"/>
          <w:dstrike w:val="0"/>
          <w:kern w:val="2"/>
          <w:sz w:val="32"/>
          <w:szCs w:val="32"/>
          <w:highlight w:val="none"/>
          <w:lang w:val="en-US" w:eastAsia="zh-CN" w:bidi="ar-SA"/>
        </w:rPr>
        <w:t>打造了优美整洁宜居的城市环境；</w:t>
      </w:r>
      <w:r>
        <w:rPr>
          <w:rFonts w:hint="eastAsia" w:ascii="仿宋" w:hAnsi="仿宋" w:eastAsia="仿宋" w:cs="仿宋"/>
          <w:sz w:val="32"/>
          <w:szCs w:val="32"/>
          <w:highlight w:val="none"/>
          <w:lang w:val="en-US" w:eastAsia="zh-CN"/>
        </w:rPr>
        <w:t>加强建设工程质量安全监督，杜绝了较大以上质量安全生产事故；加强中心城区重点工程项目扬尘治理，减少了大气污染，改善了市民的居住环境。综上所述，部门履职社会效益良好。根据评分标准，得5分。</w:t>
      </w:r>
    </w:p>
    <w:p w14:paraId="33275B4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3.生态效益（5分），得3.8分</w:t>
      </w:r>
    </w:p>
    <w:p w14:paraId="19EDFC8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污水处理7389万吨，排放水质达标率100%；14个城市黑臭水体整治项目14个全部达标；城乡生活垃圾焚烧处理率100%；城市污水管网建设改造攻坚行动取得明显成效，完成新建改造污水管网40.31公里，污水处理厂进水BOD浓度较上年提升3个百分点，城市生活污水集中收集率达77.94%。全市5座垃圾填埋场已全部封场或腾退治理。中心城区受监项目扬尘治理124个，经查益阳市城市管理和综合执法局官网中“综合执法”栏目处罚信息，全年有6家施工单位防尘、降尘等扬尘防治措施不到位被通报处罚，根据评分标准，部门履职生态环境所带来直接或间接影响，被生态管理部门、城市管理执法部门通报处罚的，扣1.2分，本项指标得3.8分。</w:t>
      </w:r>
    </w:p>
    <w:p w14:paraId="0FAC15B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4.社会公众或服务对象满意度（5分），得分4.82分</w:t>
      </w:r>
    </w:p>
    <w:p w14:paraId="5442775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价组结合各个单位的工作性质和服务对象，分类制定满意度调查问卷内容，基于社会公众和服务对象住址较为分散，区域广泛，本次采取电话问卷调查83家服务对象单位或个人，其中市本级7家，局属12个二级机构抽查服务对象76家，调查结果非常满意和满意人数80家（人），一般2家（人），1人不作评价。满意率96.38%。根据社会公众或服务对象满意度评分标准：满意率</w:t>
      </w:r>
      <w:r>
        <w:rPr>
          <w:rFonts w:hint="default" w:ascii="Arial" w:hAnsi="Arial" w:eastAsia="仿宋" w:cs="Arial"/>
          <w:sz w:val="32"/>
          <w:szCs w:val="32"/>
          <w:highlight w:val="none"/>
          <w:lang w:val="en-US" w:eastAsia="zh-CN"/>
        </w:rPr>
        <w:t>×</w:t>
      </w:r>
      <w:r>
        <w:rPr>
          <w:rFonts w:hint="eastAsia" w:ascii="仿宋" w:hAnsi="仿宋" w:eastAsia="仿宋" w:cs="仿宋"/>
          <w:sz w:val="32"/>
          <w:szCs w:val="32"/>
          <w:highlight w:val="none"/>
          <w:lang w:val="en-US" w:eastAsia="zh-CN"/>
        </w:rPr>
        <w:t>本项指标分值。本次社会公众或服务对象满意度为96.38%，故本次社会公众或服务对象满意度得4.82分。</w:t>
      </w:r>
    </w:p>
    <w:p w14:paraId="23EBFB0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五、绩效评价工作情况</w:t>
      </w:r>
    </w:p>
    <w:p w14:paraId="0DD36C0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（一）绩效评价目的</w:t>
      </w:r>
    </w:p>
    <w:p w14:paraId="6BBFC22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全面分析和综合评价益阳市住房和城乡建设局项目资金决策、管理及使用情况，以使预算资金效用最大化并为以后年度财政资金安排提供参考依据。通过此次绩效评价，使益阳市住房和城乡建设局能发现自己的不足，进一步增强支出管理的责任，优化支出结构，提高财政资金使用效益；创新和加强社会经济管理工作，促使其提高服务水平，更好地履行职责。</w:t>
      </w:r>
    </w:p>
    <w:p w14:paraId="678388C9">
      <w:pPr>
        <w:keepNext w:val="0"/>
        <w:keepLines w:val="0"/>
        <w:pageBreakBefore w:val="0"/>
        <w:widowControl w:val="0"/>
        <w:numPr>
          <w:ilvl w:val="0"/>
          <w:numId w:val="4"/>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绩效评价实施过程</w:t>
      </w:r>
    </w:p>
    <w:p w14:paraId="231506B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根据《益阳市财政局关于开展20</w:t>
      </w:r>
      <w:r>
        <w:rPr>
          <w:rFonts w:ascii="仿宋" w:hAnsi="仿宋" w:eastAsia="仿宋" w:cs="仿宋"/>
          <w:color w:val="000000"/>
          <w:kern w:val="0"/>
          <w:sz w:val="31"/>
          <w:szCs w:val="31"/>
          <w:highlight w:val="none"/>
          <w:lang w:val="en-US" w:eastAsia="zh-CN" w:bidi="ar"/>
        </w:rPr>
        <w:t>25年财政绩效评价工作的通知》（益</w:t>
      </w:r>
      <w:r>
        <w:rPr>
          <w:rFonts w:hint="eastAsia" w:ascii="仿宋" w:hAnsi="仿宋" w:eastAsia="仿宋" w:cs="仿宋"/>
          <w:color w:val="000000"/>
          <w:kern w:val="0"/>
          <w:sz w:val="31"/>
          <w:szCs w:val="31"/>
          <w:highlight w:val="none"/>
          <w:lang w:val="en-US" w:eastAsia="zh-CN" w:bidi="ar"/>
        </w:rPr>
        <w:t>财绩〔2025〕163 号）</w:t>
      </w:r>
      <w:r>
        <w:rPr>
          <w:rFonts w:hint="eastAsia" w:ascii="仿宋" w:hAnsi="仿宋" w:eastAsia="仿宋" w:cs="仿宋"/>
          <w:sz w:val="32"/>
          <w:szCs w:val="32"/>
          <w:highlight w:val="none"/>
          <w:lang w:val="en-US" w:eastAsia="zh-CN"/>
        </w:rPr>
        <w:t>等相关文件要求，成立了绩效评价工作小组，制定了部门整体支出绩效评价的工作方案、评价指标，联系了相关部门和单位，确定了实施时间。绩效评价工作过程主要如下：</w:t>
      </w:r>
    </w:p>
    <w:p w14:paraId="7FFDEEA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1.搜集汇总资料。搜集 2024年度预算安排、非税收入、预算追加、资金管理、经费支出、年度决算、资产管理、年度规划总结等相关文件资料。</w:t>
      </w:r>
    </w:p>
    <w:p w14:paraId="1AEB1F2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2.核实数据。对2024年度部门整体支出数据的准确性、 真实性进行核实。</w:t>
      </w:r>
    </w:p>
    <w:p w14:paraId="2FB5CC4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3.实地查看。抽查局机关以及市重点办、市物业维修资金管理服务中心、市住房保障中心、市质安监督站、质量检测中心、市建校、市白蚁防治所7个局属二级机构财务支付凭证和实物资产等。</w:t>
      </w:r>
    </w:p>
    <w:p w14:paraId="0711CE6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4.电话调查问卷。对部门履行职责情况的公众满意度进行电话调查。</w:t>
      </w:r>
    </w:p>
    <w:p w14:paraId="6B6EA70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5.归纳汇总。对提供的材料及评价报告，结合现场评价情况进行综合分析、归纳汇总。</w:t>
      </w:r>
    </w:p>
    <w:p w14:paraId="492D193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6.评价组对各项评价指标进行分析讨论。</w:t>
      </w:r>
    </w:p>
    <w:p w14:paraId="3750AD0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7.形成绩效评价报告。</w:t>
      </w:r>
    </w:p>
    <w:p w14:paraId="2CFBBE1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六、项目评价结论</w:t>
      </w:r>
    </w:p>
    <w:p w14:paraId="06B96D1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部门整体支出绩效评价指标体系和绩效检查情况，我们对益阳市住房和城乡建设局2024年度整体支出绩效进行了综合评分，2024年部门整体支出重点绩效评价指标总分值100分，实得89.38分，评价等级为“良”等次（详见附件1：2024年益阳市住房和城乡建设局部门整体支出绩效评价指标评分表）。</w:t>
      </w:r>
    </w:p>
    <w:p w14:paraId="668FDD1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七、主要工作及做法</w:t>
      </w:r>
    </w:p>
    <w:p w14:paraId="7C0B289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（一）攻坚破难，加速城市基础设施建设进程。</w:t>
      </w:r>
      <w:r>
        <w:rPr>
          <w:rFonts w:hint="eastAsia" w:ascii="仿宋_GB2312" w:hAnsi="仿宋" w:eastAsia="仿宋_GB2312" w:cs="Times New Roman"/>
          <w:dstrike w:val="0"/>
          <w:kern w:val="2"/>
          <w:sz w:val="32"/>
          <w:szCs w:val="32"/>
          <w:highlight w:val="none"/>
          <w:lang w:val="en-US" w:eastAsia="zh-CN" w:bidi="ar-SA"/>
        </w:rPr>
        <w:t>推进益沅桃城镇群城市基础设施建设计划，明清古巷一期全面开街，打通教育路、团洲北路、西环线（虎山路-益桃线）、南环线（G319-银城大道-康富南路），益阳大道西延线二期基本建成，西环线（益桃线－新市渡）、南环线（金山南路-新市渡）加快推进；完成市中心城区饮用水安全保障项目、秀峰湖综合泵站建设，完成秀峰湖片区121个小区和16条市政道路雨污分流改造；继续实施“三微”项目，加快推进虎形山社区、人民路社区绿色完整社区建设试点，建成各类公共、专用充电桩3353个，老旧供水管网改造45.98公里，老化燃气管道改造47.22公里；加快出台《益阳市中心城区电动汽车充电基础设施专项规划（2021—2035年）》《益阳市中心城区排水专项规划（2021—2035年）》。</w:t>
      </w:r>
    </w:p>
    <w:p w14:paraId="5DFFA03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（三）持之以恒，深入开展环境污染防治行动。</w:t>
      </w:r>
      <w:r>
        <w:rPr>
          <w:rFonts w:hint="eastAsia" w:ascii="仿宋_GB2312" w:hAnsi="仿宋" w:eastAsia="仿宋_GB2312" w:cs="Times New Roman"/>
          <w:dstrike w:val="0"/>
          <w:kern w:val="2"/>
          <w:sz w:val="32"/>
          <w:szCs w:val="32"/>
          <w:highlight w:val="none"/>
          <w:lang w:val="en-US" w:eastAsia="zh-CN" w:bidi="ar-SA"/>
        </w:rPr>
        <w:t>完成2024年“夏季攻势”包括洞庭湖总磷污染控制与消减、乡镇污水管网建设、入河排污口整治等项目67项；完成第二轮中央、第二轮省级、第三轮中央及2023年生态环境部调研指出问题整改销号6个，2个完成了年度整改任务；启动并办结生态环境损害赔偿案件17个。配合开展执法检查，推进城市污水管网建设改造攻坚行动，完成新建改造污水管网40.31公里，污水处理厂进水BOD浓度较上年提升3个百分点，城市生活污水集中收集率达77.94%。全市5座垃圾填埋场已全部封场或腾退治理，3座生活垃圾焚烧发电厂总处理能力达到2500吨/日，收运焚烧处理城乡生活垃圾77.48万吨，生活垃圾焚烧处理率100%，垃圾焚烧飞灰得到规范处置；完成了南县大神庙渠、桃江七星河两个县城黑臭水体治理；完成了沅江石矶湖、活鱼塘水体整治，县级城市黑臭水体消除比例达到考核要求（80%以上）；全市78个乡镇全部建成（或接入）污水处理设施，共有污水处理设施厂站134座，总处理规模达10.55万吨/日。</w:t>
      </w:r>
    </w:p>
    <w:p w14:paraId="3C17A568">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仿宋_GB2312" w:hAnsi="仿宋" w:eastAsia="仿宋_GB2312" w:cs="Times New Roman"/>
          <w:dstrike w:val="0"/>
          <w:kern w:val="2"/>
          <w:sz w:val="32"/>
          <w:szCs w:val="32"/>
          <w:highlight w:val="none"/>
          <w:lang w:val="en-US" w:eastAsia="zh-CN" w:bidi="ar-SA"/>
        </w:rPr>
        <w:t>（三）</w:t>
      </w:r>
      <w:r>
        <w:rPr>
          <w:rFonts w:hint="eastAsia" w:ascii="楷体" w:hAnsi="楷体" w:eastAsia="楷体" w:cs="楷体"/>
          <w:dstrike w:val="0"/>
          <w:kern w:val="2"/>
          <w:sz w:val="32"/>
          <w:szCs w:val="32"/>
          <w:highlight w:val="none"/>
          <w:lang w:val="en-US" w:eastAsia="zh-CN" w:bidi="ar-SA"/>
        </w:rPr>
        <w:t>精准施策，强力推进保障性住房、棚户区改造安置工作。</w:t>
      </w:r>
      <w:r>
        <w:rPr>
          <w:rFonts w:hint="eastAsia" w:ascii="仿宋_GB2312" w:hAnsi="仿宋" w:eastAsia="仿宋_GB2312" w:cs="Times New Roman"/>
          <w:dstrike w:val="0"/>
          <w:kern w:val="2"/>
          <w:sz w:val="32"/>
          <w:szCs w:val="32"/>
          <w:highlight w:val="none"/>
          <w:lang w:val="en-US" w:eastAsia="zh-CN" w:bidi="ar-SA"/>
        </w:rPr>
        <w:t>会同财政、发改、资规、审计、住保等6部门联合印发《关于棚户区改造等住房民生问题重点整治工作5条措施》《关于城镇棚户区改造等住房民生突出问题专项整治“八个一”工作措施》等多项工作方案及措施，召开推进会、调度会32次。开展了三轮自查自纠，围绕计划项目申报、立项实施、工程建设、资金使用管理等方面的真实性、合规性和完整性，系统排查历年城镇棚户区改造项目中存在的突出问题，建立问题台账，实行清单式管理。2024年，全市共发现问题388个，已整改364个，整改率为93.8%。全市逾期未回迁安置项目7个（1234户），完成回迁安置1174户，完成安置率95.14%。开工城市危旧房改造644户，开工保障性租赁住房建设3123套，开工城镇老旧小区改造388个、39899户，开工民生可感行动十大重点民生实事项目131个、13106户，完成既有多层住宅加装电梯208台，完成农村危房改造1596户。</w:t>
      </w:r>
    </w:p>
    <w:p w14:paraId="71C9D15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（四）乘势而上，加快推进建筑业转型发展。</w:t>
      </w:r>
      <w:r>
        <w:rPr>
          <w:rFonts w:hint="eastAsia" w:ascii="仿宋_GB2312" w:hAnsi="仿宋" w:eastAsia="仿宋_GB2312" w:cs="Times New Roman"/>
          <w:dstrike w:val="0"/>
          <w:kern w:val="2"/>
          <w:sz w:val="32"/>
          <w:szCs w:val="32"/>
          <w:highlight w:val="none"/>
          <w:lang w:val="en-US" w:eastAsia="zh-CN" w:bidi="ar-SA"/>
        </w:rPr>
        <w:t>实施住建领域主体强身行动，全市培育规模以上建筑业企业160家，完成年度目标任务。深入企业开展“三送三解三优”行动，组织开展了“建筑业企业走访活动月”，共走访全市157家建筑企业。房建市政项目公开招标96个，交易额31亿元，标后稽查项目51个。益阳师范学校提质搬迁工程项目—实训楼等12个项目荣获市优质工程奖项称号，资阳区人民医院内科大楼等10个项目荣获省优质工程荣誉称号。牵头制定印发《益阳市装配式建筑发展提升三年行动实施方案（2024—2026年）》，装配式产业纳入“334”现代化产业体系。组织设计单位、建设单位召开动员会、推介会，推广农房超市建设，打造会龙山片区、金塘冲水库建设安置区、抽水蓄能建设安置区等装配式农房示范片区，重点推进装配式绿色农房应用。10月，全省装配式绿色农房工作现场推进会在益阳市桃江县召开，桃江县作了经验交流发言。全年完成装配式建筑产值70.07亿元，装配式建筑新开工面积为66.22万平方米，新开工装配式建筑面积占比为44.69%，较2023年提升12.2个百分点。</w:t>
      </w:r>
    </w:p>
    <w:p w14:paraId="673450C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（五）全力以赴，确保保交房工作顺利完成。</w:t>
      </w:r>
      <w:r>
        <w:rPr>
          <w:rFonts w:hint="eastAsia" w:ascii="仿宋_GB2312" w:hAnsi="仿宋" w:eastAsia="仿宋_GB2312" w:cs="Times New Roman"/>
          <w:dstrike w:val="0"/>
          <w:kern w:val="2"/>
          <w:sz w:val="32"/>
          <w:szCs w:val="32"/>
          <w:highlight w:val="none"/>
          <w:lang w:val="en-US" w:eastAsia="zh-CN" w:bidi="ar-SA"/>
        </w:rPr>
        <w:t>市领导亲自部署推动保交房工作，实行一周一调度，一月一点评，全面推进保交房。贯彻落实中央、省一揽子政策，出台八条硬措施，使购房户获得真金白银实惠。压实企业责任，依法保全碧桂园项目资产，依法收储171.45亩未开发土地，筹措资金1.28亿元，发挥保交房“1+4”专班作用，高位调度，全力推进保交房项目建设，取得阶段性成果。2024年，全市共37个项目11952套保交房任务，已交付11679套（32个项目全部交付，2个项目部分交付），交付率97.72%，超额完成省定90%的目标。</w:t>
      </w:r>
    </w:p>
    <w:p w14:paraId="2E1CD320">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（六）多措并举，积极推动传统村落保护传承。</w:t>
      </w:r>
      <w:r>
        <w:rPr>
          <w:rFonts w:hint="eastAsia" w:ascii="仿宋_GB2312" w:hAnsi="仿宋" w:eastAsia="仿宋_GB2312" w:cs="Times New Roman"/>
          <w:dstrike w:val="0"/>
          <w:kern w:val="2"/>
          <w:sz w:val="32"/>
          <w:szCs w:val="32"/>
          <w:highlight w:val="none"/>
          <w:lang w:val="en-US" w:eastAsia="zh-CN" w:bidi="ar-SA"/>
        </w:rPr>
        <w:t>制定《益阳市农村住房风貌管理暂行办法》，指导镇村两级成立专门保护机构，实施传统村落格局和历史风貌整体保护工程，陆续成功申报中国传统村落资金2400万元，争取国家文物保护专项补助资金3000万元，整合各项涉农资金1.5亿元，撬动社会资本超3亿元。安化县财政每年预算安排1000万元用于传统村落的基础设施建设和村落的保护利用，出台了《安化县传统村落保护利用工作实施方案》等规范性文件。通过修缮维护，新增传统民居25栋，目前传统民居达到718栋。今年，安化县成功申报中国传统村落集中连片保护利用示范县，争取中央补助资金5000万元（已拨付1820）。桃江县争取国家专项维护资金300万元用于传统村落保护，修缮了三闾桥，完成青龙寺立面改造、书房冲13栋民居立面改造及配套设施（路灯、排水、消防）建设。</w:t>
      </w:r>
    </w:p>
    <w:p w14:paraId="4F4D777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（七）真抓实干，显著提升建筑安全管理水平。</w:t>
      </w:r>
      <w:r>
        <w:rPr>
          <w:rFonts w:hint="eastAsia" w:ascii="仿宋_GB2312" w:hAnsi="仿宋" w:eastAsia="仿宋_GB2312" w:cs="Times New Roman"/>
          <w:dstrike w:val="0"/>
          <w:kern w:val="2"/>
          <w:sz w:val="32"/>
          <w:szCs w:val="32"/>
          <w:highlight w:val="none"/>
          <w:lang w:val="en-US" w:eastAsia="zh-CN" w:bidi="ar-SA"/>
        </w:rPr>
        <w:t>开展安全生产治本攻坚三年行动，持续开展“打非治违”，累计发现非法违法行为161起，移交（实施）处罚155起，“行刑衔接”1起。推进城市危旧房摸底，初判已完成52979个图斑，完成率100%。推动人员密集场所消防设计审验手续排查整治2658处（栋）。持续开展居民自建房排查整治工作，整治库中四性问题隐患已全数整治到位。开展建筑工地季度执法督查3次，抽查项目44个，发现质量安全问题隐患473个，下发整改通知书44份，印发检查通报3份。强化建筑施工安全管控，开展隐患排查，累计发现整改一般隐患2718个、重大隐患40个，开展安全生产月活动，举办启动仪式暨现场观摩交流会，制作长沙“4.29事故”警示片，开展建筑施工高处坠落应急救援演练和防汛应急演练。2024年“安全生产月”建筑施工“安康杯”安全生产知识竞赛活动荣获一等奖。</w:t>
      </w:r>
    </w:p>
    <w:p w14:paraId="1FBB3E8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（八）严抓共管，筑牢燃气安全坚固防线。</w:t>
      </w:r>
      <w:r>
        <w:rPr>
          <w:rFonts w:hint="eastAsia" w:ascii="仿宋_GB2312" w:hAnsi="仿宋" w:eastAsia="仿宋_GB2312" w:cs="Times New Roman"/>
          <w:dstrike w:val="0"/>
          <w:kern w:val="2"/>
          <w:sz w:val="32"/>
          <w:szCs w:val="32"/>
          <w:highlight w:val="none"/>
          <w:lang w:val="en-US" w:eastAsia="zh-CN" w:bidi="ar-SA"/>
        </w:rPr>
        <w:t>市领导每季度调度部署，高位推动燃气专项整治。起草燃气发展规划、燃气管理办法、送气工管理规定等制度，规范燃气市场。设立市燃气安全事务中心，解决了我市燃气安全监管人员力量不足问题。打造银城智慧燃气监管平台，通过智慧燃气可视化分析页面（驾驶舱），直观展示今日充装、配送、安检、建档情况，实时统计场站、车辆、燃气用户和气瓶数据，实现对行业的全方位、全过程安全管理。支持建设标准化站点，组织召开现场推介会，全面推进规范化站点建设。开展燃气安全隐患专项整治，集中开展了6次暗访检查，发现隐患463起，全部按期整改。责令停业整改液化气站7家，查处非法储存燃气黑窝点6处，查扣问题钢瓶283个和倒灌设备5台。强化宣传教育，组织开展警示会、送气工培训会，规范化管理，打通“最后一公里”，全面守牢安全底线。</w:t>
      </w:r>
    </w:p>
    <w:p w14:paraId="216DD175">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（九）优化升级，持续提高政务服务质量效能。</w:t>
      </w:r>
      <w:r>
        <w:rPr>
          <w:rFonts w:hint="eastAsia" w:ascii="仿宋_GB2312" w:hAnsi="仿宋" w:eastAsia="仿宋_GB2312" w:cs="Times New Roman"/>
          <w:dstrike w:val="0"/>
          <w:kern w:val="2"/>
          <w:sz w:val="32"/>
          <w:szCs w:val="32"/>
          <w:highlight w:val="none"/>
          <w:lang w:val="en-US" w:eastAsia="zh-CN" w:bidi="ar-SA"/>
        </w:rPr>
        <w:t>持续深化“营商环境提升行动”决策部署，全面实行清单管理，153项政务服务事项均已入驻政务大厅。积极推进“互联网+政务服务”，9月30日，湖南省首张建筑业企业资质电子证照在益阳市住建局政务服务窗口发出。实现了建筑业企业资质办理“全程网办”，工程建设领域资质“电子证照”在全省范围内实现了互通互认，进一步方便了企业和群众办事。以“便捷精准、集约务实、协同推进”为原则，出台《益阳市“水电气网联合报装一件事”联动工作制度（试行）》等系列文件，建立“联合踏勘、联合审批、联合施工、联合验收”的联动工作机制，完成10件办理，实现耗时和材料双减，政务服务协同并行。出台《益阳市住房和城乡建设局“审批精简大增效”行动实施方案》（益建发〔2024〕40号），进一步梳理了局行政审批政务服务《即办事项清单》《会商承诺事项清单》，通过全面清理规范审批服务事项、强化归口管理、建立快速便捷审批流程。进入“湖南省互联网+政务服务一体化行政效能电子监察系统”的办件为1691件，办结1691件，办结率100%。</w:t>
      </w:r>
    </w:p>
    <w:p w14:paraId="063338E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（十）协同联动，凝聚部门合作强大合力。</w:t>
      </w:r>
      <w:r>
        <w:rPr>
          <w:rFonts w:hint="eastAsia" w:ascii="仿宋_GB2312" w:hAnsi="仿宋" w:eastAsia="仿宋_GB2312" w:cs="Times New Roman"/>
          <w:dstrike w:val="0"/>
          <w:kern w:val="2"/>
          <w:sz w:val="32"/>
          <w:szCs w:val="32"/>
          <w:highlight w:val="none"/>
          <w:lang w:val="en-US" w:eastAsia="zh-CN" w:bidi="ar-SA"/>
        </w:rPr>
        <w:t>联合财政、民政、规划、环保等部门制定出台了《益阳市保障性住房管理办法》《益阳市建筑工程绿色施工标准》等文件。牵头组织市资规、气象、国安、市质安监站、市城建档案馆等单位开展市城市规划区建设工程项目联合验收，共办结项目42个，平均办结时限为3.8个工作日，仅为规定时限的47.5%。与城管局建立了常态化的联合执法机制，针对城市建设与管理中的违法建设治理、燃气安全整治、建筑工地扬尘治理等重点难点问题开展集中整治行动。在处理涉房涉建违法犯罪案件时，与法院、公安等司法机关紧密配合，及时移送法院，配合法院开展财产保全、强制执行等工作，联合公安部门迅速介入，依法追究相关责任人的刑事责任。为相关工作的开展提供了坚实的制度支撑，显著改善城市环境，有效提升城市形象，形成了强大的执法威慑力，有效解决了案件执行难的问题，维护了法律法规的尊严与公信力。</w:t>
      </w:r>
    </w:p>
    <w:p w14:paraId="6479DC3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dstrike w:val="0"/>
          <w:kern w:val="2"/>
          <w:sz w:val="32"/>
          <w:szCs w:val="32"/>
          <w:highlight w:val="none"/>
          <w:lang w:val="en-US" w:eastAsia="zh-CN" w:bidi="ar-SA"/>
        </w:rPr>
        <w:t>（十一）积极回应，妥善处理信访投诉事项。</w:t>
      </w:r>
      <w:r>
        <w:rPr>
          <w:rFonts w:hint="eastAsia" w:ascii="仿宋_GB2312" w:hAnsi="仿宋" w:eastAsia="仿宋_GB2312" w:cs="Times New Roman"/>
          <w:dstrike w:val="0"/>
          <w:kern w:val="2"/>
          <w:sz w:val="32"/>
          <w:szCs w:val="32"/>
          <w:highlight w:val="none"/>
          <w:lang w:val="en-US" w:eastAsia="zh-CN" w:bidi="ar-SA"/>
        </w:rPr>
        <w:t>一是办好群众信访事项。深入开展信访问题源头治理和积案化解攻坚，联合市信访局在全市开展住房城乡建设领域信访突出问题治理三年攻坚行动，筛选10件信访件列入2024年度益阳市住房城乡建设领域典型信访事项清单。全年共受理群众信访问题121件，已办结119件，未办结案件均在办理时限内。二是统筹推进市长热线办理。全年共接收市长热线工单4026个，同比下降31.46%，按时反馈率99.47%，回访满意率90.57%。三是加强网络舆情处置。共办理人民网、百姓呼声、问政湖南等栏目回复网友留言142条。</w:t>
      </w:r>
    </w:p>
    <w:p w14:paraId="32064A80">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highlight w:val="none"/>
          <w:lang w:val="en-US" w:eastAsia="zh-CN"/>
        </w:rPr>
      </w:pPr>
      <w:r>
        <w:rPr>
          <w:rFonts w:hint="eastAsia" w:ascii="楷体" w:hAnsi="楷体" w:eastAsia="楷体" w:cs="楷体"/>
          <w:dstrike w:val="0"/>
          <w:kern w:val="2"/>
          <w:sz w:val="32"/>
          <w:szCs w:val="32"/>
          <w:highlight w:val="none"/>
          <w:lang w:val="en-US" w:eastAsia="zh-CN" w:bidi="ar-SA"/>
        </w:rPr>
        <w:t>（十二）强化提升，着力打造高素质干部队伍。</w:t>
      </w:r>
      <w:r>
        <w:rPr>
          <w:rFonts w:hint="eastAsia" w:ascii="仿宋_GB2312" w:hAnsi="仿宋" w:eastAsia="仿宋_GB2312" w:cs="Times New Roman"/>
          <w:dstrike w:val="0"/>
          <w:kern w:val="2"/>
          <w:sz w:val="32"/>
          <w:szCs w:val="32"/>
          <w:highlight w:val="none"/>
          <w:lang w:val="en-US" w:eastAsia="zh-CN" w:bidi="ar-SA"/>
        </w:rPr>
        <w:t>持续开展“营商环境提升、能力素质提升、执行力提升”三项行动，把学习贯彻习近平新时代中国特色社会主义思想和党的二十大及党的二十届三中全会精神作为首要政治任务，坚决落实第一议题制度，及时跟进学习习近平总书记最新重要讲话重要指示批示精神和党中央重大决策部署。扎实开展党纪学习教育，党纪学习教育启动以来，组织学习研讨《条例》4次，依托“一月一课一片一实践”主题党日，党组织书记讲纪律党课20次，党员、干部讲微党课7次。围绕城市更新、依法行政、燃气安全、干部人事工作、新型城镇化等方面制定全员业务培训计划开展培训，通过邀请国内专家授课，单位中层干部轮流讲授核心业务，提高干部队伍综合素质。</w:t>
      </w:r>
    </w:p>
    <w:p w14:paraId="609C051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七、存在的问题</w:t>
      </w:r>
    </w:p>
    <w:p w14:paraId="07050A7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sz w:val="32"/>
          <w:szCs w:val="32"/>
          <w:highlight w:val="none"/>
          <w:lang w:val="en-US" w:eastAsia="zh-CN"/>
        </w:rPr>
        <w:t>（一）个别绩效指标笼统或过大难以衡量。</w:t>
      </w:r>
      <w:r>
        <w:rPr>
          <w:rFonts w:hint="eastAsia" w:ascii="仿宋_GB2312" w:hAnsi="仿宋" w:eastAsia="仿宋_GB2312" w:cs="Times New Roman"/>
          <w:dstrike w:val="0"/>
          <w:kern w:val="2"/>
          <w:sz w:val="32"/>
          <w:szCs w:val="32"/>
          <w:highlight w:val="none"/>
          <w:lang w:val="en-US" w:eastAsia="zh-CN" w:bidi="ar-SA"/>
        </w:rPr>
        <w:t>如造价管理站整体支出绩效指标中的社会效益指标“提高造价咨询工作对发展地域经济的贡献率≥98%”，这是比较宽泛的指标，涉及到直接经济贡献、间接产业协同、区域发展战略支撑作用等，行业分散性导致直接统计困难，无法衡量指标实现程度。生态效益指标，“加强城乡建设，提高城镇化率≥98%”，2023年益阳市社会发展统计年报城镇化率52.67%，且提高城镇化率本身非生态效益指标。又如多个部门在经济成本指标中“完成本年度某项工作所需资金≥98%”的表述也不正确。</w:t>
      </w:r>
    </w:p>
    <w:p w14:paraId="73A6B3C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sz w:val="32"/>
          <w:szCs w:val="32"/>
          <w:highlight w:val="none"/>
          <w:lang w:val="en-US" w:eastAsia="zh-CN"/>
        </w:rPr>
        <w:t>（二）个别财务报销资料不尽完整。</w:t>
      </w:r>
      <w:r>
        <w:rPr>
          <w:rFonts w:hint="eastAsia" w:ascii="仿宋_GB2312" w:hAnsi="仿宋" w:eastAsia="仿宋_GB2312" w:cs="Times New Roman"/>
          <w:dstrike w:val="0"/>
          <w:kern w:val="2"/>
          <w:sz w:val="32"/>
          <w:szCs w:val="32"/>
          <w:highlight w:val="none"/>
          <w:lang w:val="en-US" w:eastAsia="zh-CN" w:bidi="ar-SA"/>
        </w:rPr>
        <w:t>经抽查局机关3月份财务报销凭证，发现3月份的志愿者服务活动采购项目，在采购合同上未注明采购明细，实际是采购志愿者服装，财务报账未附货物附件资料；市建设工程质量安全监督站、市建设工程质量检测中心，根据往年工会相关文件精神为女职工购买防癌保险，未附文件依据资料；公务用车ETC费用报销未附公务用车出车派遣单。市政重点工程建设事务中心公车洗车费用未附洗车明细。</w:t>
      </w:r>
    </w:p>
    <w:p w14:paraId="5C54349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楷体" w:hAnsi="楷体" w:eastAsia="楷体" w:cs="楷体"/>
          <w:dstrike w:val="0"/>
          <w:kern w:val="2"/>
          <w:sz w:val="32"/>
          <w:szCs w:val="32"/>
          <w:highlight w:val="none"/>
          <w:lang w:val="en-US" w:eastAsia="zh-CN" w:bidi="ar-SA"/>
        </w:rPr>
        <w:t>（三）预算编制有待加强。</w:t>
      </w:r>
      <w:r>
        <w:rPr>
          <w:rFonts w:hint="eastAsia" w:ascii="仿宋_GB2312" w:hAnsi="Times New Roman" w:eastAsia="仿宋_GB2312" w:cs="Times New Roman"/>
          <w:sz w:val="32"/>
          <w:szCs w:val="32"/>
          <w:highlight w:val="none"/>
          <w:lang w:val="en-US" w:eastAsia="zh-CN"/>
        </w:rPr>
        <w:t>2024年度本年支出与年初预算相比减少505.58万元。其中：2024年度基本支出减少2458.62万元</w:t>
      </w:r>
      <w:bookmarkStart w:id="4" w:name="_Hlk155171173"/>
      <w:r>
        <w:rPr>
          <w:rFonts w:hint="eastAsia" w:ascii="仿宋_GB2312" w:hAnsi="Times New Roman" w:eastAsia="仿宋_GB2312" w:cs="Times New Roman"/>
          <w:sz w:val="32"/>
          <w:szCs w:val="32"/>
          <w:highlight w:val="none"/>
          <w:lang w:val="en-US" w:eastAsia="zh-CN"/>
        </w:rPr>
        <w:t>，2024年度项目支出增加1953.04万元</w:t>
      </w:r>
      <w:bookmarkEnd w:id="4"/>
      <w:r>
        <w:rPr>
          <w:rFonts w:hint="eastAsia" w:ascii="仿宋_GB2312" w:hAnsi="Times New Roman" w:eastAsia="仿宋_GB2312" w:cs="Times New Roman"/>
          <w:sz w:val="32"/>
          <w:szCs w:val="32"/>
          <w:highlight w:val="none"/>
          <w:lang w:val="en-US" w:eastAsia="zh-CN"/>
        </w:rPr>
        <w:t>。总额减少幅度为3.91%；基本支出年初预算9683.09万元，支出减少额占年初预算的25.39%，基本支出预算偏差较大。</w:t>
      </w:r>
    </w:p>
    <w:p w14:paraId="1A694C3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楷体" w:hAnsi="楷体" w:eastAsia="楷体" w:cs="楷体"/>
          <w:sz w:val="32"/>
          <w:szCs w:val="32"/>
          <w:highlight w:val="none"/>
          <w:lang w:val="en-US" w:eastAsia="zh-CN"/>
        </w:rPr>
        <w:t>（四）部分项目资金未支付到位。</w:t>
      </w:r>
      <w:r>
        <w:rPr>
          <w:rFonts w:hint="eastAsia" w:ascii="仿宋_GB2312" w:hAnsi="Times New Roman" w:eastAsia="仿宋_GB2312" w:cs="Times New Roman"/>
          <w:sz w:val="32"/>
          <w:szCs w:val="32"/>
          <w:highlight w:val="none"/>
          <w:lang w:val="en-US" w:eastAsia="zh-CN"/>
        </w:rPr>
        <w:t>经电话问卷调查，益阳中交二航建设发展有限公司反馈住建局实施的PPP项目专项债欠款几个亿尚未收回，希望住建局相关部门帮助企业追回欠款，缓解企业资金压力。益阳市建筑设计院有限公司反馈有的设计项目设计成果已提交一年多，至今资金尚未支付到位。</w:t>
      </w:r>
    </w:p>
    <w:p w14:paraId="0EB97F68">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楷体" w:hAnsi="楷体" w:eastAsia="楷体" w:cs="楷体"/>
          <w:sz w:val="32"/>
          <w:szCs w:val="32"/>
          <w:highlight w:val="none"/>
          <w:lang w:val="en-US" w:eastAsia="zh-CN"/>
        </w:rPr>
        <w:t>（五）房屋维修资金审核时间过长，拨款较慢。</w:t>
      </w:r>
      <w:r>
        <w:rPr>
          <w:rFonts w:hint="eastAsia" w:ascii="仿宋_GB2312" w:hAnsi="Times New Roman" w:eastAsia="仿宋_GB2312" w:cs="Times New Roman"/>
          <w:sz w:val="32"/>
          <w:szCs w:val="32"/>
          <w:highlight w:val="none"/>
          <w:lang w:val="en-US" w:eastAsia="zh-CN"/>
        </w:rPr>
        <w:t>益阳市宝晨物业管理服务有限公司反馈，一期一栋二栋去年启动今年申报，并已公示20多天，至今尚未审核拨款。益阳长恒物业管理服务有限公司5.6万元房屋维修资金，2022年5月报送维修资料审核被退回，屋维修资金无着落，无法支付施工人员工资。</w:t>
      </w:r>
    </w:p>
    <w:p w14:paraId="56BA869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sz w:val="32"/>
          <w:szCs w:val="32"/>
          <w:highlight w:val="none"/>
          <w:lang w:val="en-US" w:eastAsia="zh-CN"/>
        </w:rPr>
        <w:t>（六）退役军人安置人员经费缺口问题。</w:t>
      </w:r>
      <w:r>
        <w:rPr>
          <w:rFonts w:hint="eastAsia" w:ascii="仿宋_GB2312" w:hAnsi="仿宋" w:eastAsia="仿宋_GB2312" w:cs="Times New Roman"/>
          <w:dstrike w:val="0"/>
          <w:kern w:val="2"/>
          <w:sz w:val="32"/>
          <w:szCs w:val="32"/>
          <w:highlight w:val="none"/>
          <w:lang w:val="en-US" w:eastAsia="zh-CN" w:bidi="ar-SA"/>
        </w:rPr>
        <w:t>2024年该局9个局属二级机构退役士兵安置（未纳入编制，为人事代理）人数28名，人员经费共385.07万元，人均13.76万元/年。因未纳入编制，其行政运行经费、车补均未纳入预算拨款，两项共计约需60万元左右，且大多数为单位业务技术骨干，部分人员技术职称晋级后，面临待遇提高问题，而单位又无其他资金来源解决。</w:t>
      </w:r>
    </w:p>
    <w:p w14:paraId="6DD3F69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八、建议</w:t>
      </w:r>
    </w:p>
    <w:p w14:paraId="1DEB926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sz w:val="32"/>
          <w:szCs w:val="32"/>
          <w:highlight w:val="none"/>
          <w:lang w:val="en-US" w:eastAsia="zh-CN"/>
        </w:rPr>
        <w:t>（一）制定清晰量化可衡量的年度绩效指标。</w:t>
      </w:r>
      <w:r>
        <w:rPr>
          <w:rFonts w:hint="eastAsia" w:ascii="仿宋_GB2312" w:hAnsi="仿宋" w:eastAsia="仿宋_GB2312" w:cs="Times New Roman"/>
          <w:dstrike w:val="0"/>
          <w:kern w:val="2"/>
          <w:sz w:val="32"/>
          <w:szCs w:val="32"/>
          <w:highlight w:val="none"/>
          <w:lang w:val="en-US" w:eastAsia="zh-CN" w:bidi="ar-SA"/>
        </w:rPr>
        <w:t>造价管理站整体支出绩效指标中的社会效益指标“提高造价咨询工作对发展地域经济的贡献率≥98%”，为便于指标直观简洁，建议以直接经济贡献为绩效指标，包括行业收入占比、税收贡献、就业带动对发展地域经济的贡献率。关于生态效益指标细化，建议改为每年发布绿色节能、环保建材信息数量或如“绿色建筑造价占比”“节能技术应用率”等，避免模糊描述，通过项目造价审核、标准制定、市场监管等体现其在生态保护中的引导作用。其他部门经济成本指标“完成本年度某项工作所需资金≥98%”，建议改为“完成本年度某项工作项目资金支出控制率≥98%”。</w:t>
      </w:r>
    </w:p>
    <w:p w14:paraId="283CF97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dstrike w:val="0"/>
          <w:kern w:val="2"/>
          <w:sz w:val="32"/>
          <w:szCs w:val="32"/>
          <w:highlight w:val="none"/>
          <w:lang w:val="en-US" w:eastAsia="zh-CN" w:bidi="ar-SA"/>
        </w:rPr>
      </w:pPr>
      <w:r>
        <w:rPr>
          <w:rFonts w:hint="eastAsia" w:ascii="楷体" w:hAnsi="楷体" w:eastAsia="楷体" w:cs="楷体"/>
          <w:sz w:val="32"/>
          <w:szCs w:val="32"/>
          <w:highlight w:val="none"/>
          <w:lang w:val="en-US" w:eastAsia="zh-CN"/>
        </w:rPr>
        <w:t>（二）规范财务报账管理，确保会计基础资料完整。</w:t>
      </w:r>
      <w:r>
        <w:rPr>
          <w:rFonts w:hint="eastAsia" w:ascii="仿宋_GB2312" w:hAnsi="仿宋" w:eastAsia="仿宋_GB2312" w:cs="Times New Roman"/>
          <w:dstrike w:val="0"/>
          <w:kern w:val="2"/>
          <w:sz w:val="32"/>
          <w:szCs w:val="32"/>
          <w:highlight w:val="none"/>
          <w:lang w:val="en-US" w:eastAsia="zh-CN" w:bidi="ar-SA"/>
        </w:rPr>
        <w:t>严格审核资金支付报账资料，做到每一笔资金支付依据充分、数据真实、核算准确、用途合规、票证合法、资料完整、审批流程规范，手续齐全，保证资金使用规范、合规、安全。</w:t>
      </w:r>
    </w:p>
    <w:p w14:paraId="52706CE5">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（三）科学合理编制年度预算，确保预算的准确性。</w:t>
      </w:r>
      <w:r>
        <w:rPr>
          <w:rFonts w:hint="eastAsia" w:ascii="仿宋" w:hAnsi="仿宋" w:eastAsia="仿宋" w:cs="仿宋"/>
          <w:sz w:val="32"/>
          <w:szCs w:val="32"/>
          <w:highlight w:val="none"/>
          <w:lang w:val="en-US" w:eastAsia="zh-CN"/>
        </w:rPr>
        <w:t>要根据上年度预算执行情况、本年度部门工作计划和重点工作，坚持适度从紧、厉行节约的原则，单位各相关股室共同参与，对每个项目预算逐一进行分析、论证、评估，对部门年度工作保障所需的合理资金科学预测，确保年度预算编制科学合理，既能满足本部门工作的实际需要，又具有前瞻性，尽可能减少预算调整和指标追加，提高预算执行效率。</w:t>
      </w:r>
    </w:p>
    <w:p w14:paraId="3C81BE1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default"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（四）按项目合同约定等支付建设项目款项。</w:t>
      </w:r>
      <w:r>
        <w:rPr>
          <w:rFonts w:hint="eastAsia" w:ascii="仿宋" w:hAnsi="仿宋" w:eastAsia="仿宋" w:cs="仿宋"/>
          <w:sz w:val="32"/>
          <w:szCs w:val="32"/>
          <w:highlight w:val="none"/>
          <w:lang w:val="en-US" w:eastAsia="zh-CN"/>
        </w:rPr>
        <w:t>多方筹集资金，根据项目合同约定、竣工（设计成果）验收结论、结算审计和PPP项目运营绩效考核结果支付相关项目合同款项，帮助企业缓解资金压力。</w:t>
      </w:r>
    </w:p>
    <w:p w14:paraId="2FAE859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（五）及时审批、拨付房屋维修资金。</w:t>
      </w:r>
      <w:r>
        <w:rPr>
          <w:rFonts w:hint="eastAsia" w:ascii="仿宋" w:hAnsi="仿宋" w:eastAsia="仿宋" w:cs="仿宋"/>
          <w:sz w:val="32"/>
          <w:szCs w:val="32"/>
          <w:highlight w:val="none"/>
          <w:lang w:val="en-US" w:eastAsia="zh-CN"/>
        </w:rPr>
        <w:t>对房屋维修资金申报单位计划施工项目，及时进行现场查勘、核定工程量，按照房屋维修资金审批流程审核，审核未通过的，应督促其完善相关项目资料并及时复审拨款，确保房屋维修施工顺利进行。</w:t>
      </w:r>
    </w:p>
    <w:p w14:paraId="14A981D8">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highlight w:val="none"/>
          <w:lang w:val="en-US" w:eastAsia="zh-CN"/>
        </w:rPr>
      </w:pPr>
      <w:r>
        <w:rPr>
          <w:rFonts w:hint="eastAsia" w:ascii="仿宋" w:hAnsi="仿宋" w:eastAsia="仿宋" w:cs="仿宋"/>
          <w:sz w:val="32"/>
          <w:szCs w:val="32"/>
          <w:highlight w:val="none"/>
          <w:lang w:val="en-US" w:eastAsia="zh-CN"/>
        </w:rPr>
        <w:t>（</w:t>
      </w:r>
      <w:r>
        <w:rPr>
          <w:rFonts w:hint="eastAsia" w:ascii="楷体" w:hAnsi="楷体" w:eastAsia="楷体" w:cs="楷体"/>
          <w:sz w:val="32"/>
          <w:szCs w:val="32"/>
          <w:highlight w:val="none"/>
          <w:lang w:val="en-US" w:eastAsia="zh-CN"/>
        </w:rPr>
        <w:t>六）建议调整年度预算，酌情解决退伍军人安置经费不足问题。</w:t>
      </w:r>
    </w:p>
    <w:p w14:paraId="1754402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p>
    <w:p w14:paraId="3490013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附件：</w:t>
      </w:r>
    </w:p>
    <w:p w14:paraId="1315C233">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1.2024年度益阳市住房和城乡建设局部门整体支出绩效评价指标评分表</w:t>
      </w:r>
    </w:p>
    <w:p w14:paraId="55C554C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2.2024年益阳市住房和城乡建设局部门整体支出主要绩效指标实现程度统计表</w:t>
      </w:r>
    </w:p>
    <w:p w14:paraId="51AB5C5A">
      <w:pPr>
        <w:pStyle w:val="2"/>
        <w:rPr>
          <w:rFonts w:hint="default"/>
          <w:lang w:val="en-US" w:eastAsia="zh-CN"/>
        </w:rPr>
      </w:pPr>
    </w:p>
    <w:p w14:paraId="52C125DD">
      <w:pPr>
        <w:pStyle w:val="2"/>
        <w:rPr>
          <w:rFonts w:hint="eastAsia"/>
          <w:lang w:val="en-US" w:eastAsia="zh-CN"/>
        </w:rPr>
      </w:pPr>
    </w:p>
    <w:p w14:paraId="7709158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p>
    <w:p w14:paraId="1FFFC169">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湖南世纪金源工程咨询有限公司</w:t>
      </w:r>
    </w:p>
    <w:p w14:paraId="33FC5040">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2025年10月11日</w:t>
      </w:r>
    </w:p>
    <w:p w14:paraId="1D04ED22">
      <w:pPr>
        <w:pStyle w:val="7"/>
        <w:rPr>
          <w:rFonts w:hint="eastAsia" w:ascii="仿宋" w:hAnsi="仿宋" w:eastAsia="仿宋" w:cs="仿宋"/>
          <w:sz w:val="32"/>
          <w:szCs w:val="32"/>
          <w:highlight w:val="none"/>
          <w:lang w:val="en-US" w:eastAsia="zh-CN"/>
        </w:rPr>
      </w:pPr>
    </w:p>
    <w:p w14:paraId="02B99132">
      <w:pPr>
        <w:rPr>
          <w:rFonts w:hint="eastAsia"/>
          <w:highlight w:val="none"/>
          <w:lang w:val="en-US" w:eastAsia="zh-CN"/>
        </w:rPr>
        <w:sectPr>
          <w:foot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tbl>
      <w:tblPr>
        <w:tblStyle w:val="11"/>
        <w:tblpPr w:leftFromText="180" w:rightFromText="180" w:vertAnchor="text" w:horzAnchor="page" w:tblpX="1316" w:tblpY="733"/>
        <w:tblOverlap w:val="never"/>
        <w:tblW w:w="14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2"/>
        <w:gridCol w:w="1031"/>
        <w:gridCol w:w="1044"/>
        <w:gridCol w:w="625"/>
        <w:gridCol w:w="4605"/>
        <w:gridCol w:w="5087"/>
        <w:gridCol w:w="815"/>
      </w:tblGrid>
      <w:tr w14:paraId="3FBFF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FC1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720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40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CE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F8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w:t>
            </w:r>
            <w:r>
              <w:rPr>
                <w:rFonts w:ascii="黑体" w:hAnsi="宋体" w:eastAsia="黑体" w:cs="黑体"/>
                <w:i w:val="0"/>
                <w:iCs w:val="0"/>
                <w:caps w:val="0"/>
                <w:color w:val="000000"/>
                <w:spacing w:val="0"/>
                <w:sz w:val="21"/>
                <w:szCs w:val="21"/>
                <w:highlight w:val="none"/>
                <w:shd w:val="clear" w:fill="FFFFFF"/>
              </w:rPr>
              <w:t>解释</w:t>
            </w:r>
          </w:p>
        </w:tc>
        <w:tc>
          <w:tcPr>
            <w:tcW w:w="5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D6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评分标准</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397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14:paraId="4D758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D49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投入    （20分）</w:t>
            </w: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784C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目标设</w:t>
            </w:r>
            <w:r>
              <w:rPr>
                <w:rFonts w:hint="eastAsia" w:ascii="宋体" w:hAnsi="宋体" w:cs="宋体"/>
                <w:i w:val="0"/>
                <w:iCs w:val="0"/>
                <w:color w:val="000000"/>
                <w:kern w:val="0"/>
                <w:sz w:val="18"/>
                <w:szCs w:val="18"/>
                <w:highlight w:val="none"/>
                <w:u w:val="none"/>
                <w:lang w:val="en-US" w:eastAsia="zh-CN" w:bidi="ar"/>
              </w:rPr>
              <w:t>定（5分）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D2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绩效</w:t>
            </w:r>
            <w:r>
              <w:rPr>
                <w:rFonts w:hint="eastAsia" w:ascii="宋体" w:hAnsi="宋体" w:eastAsia="宋体" w:cs="宋体"/>
                <w:i w:val="0"/>
                <w:iCs w:val="0"/>
                <w:color w:val="000000"/>
                <w:kern w:val="0"/>
                <w:sz w:val="18"/>
                <w:szCs w:val="18"/>
                <w:highlight w:val="none"/>
                <w:u w:val="none"/>
                <w:lang w:val="en-US" w:eastAsia="zh-CN" w:bidi="ar"/>
              </w:rPr>
              <w:t>目标</w:t>
            </w:r>
            <w:r>
              <w:rPr>
                <w:rFonts w:hint="eastAsia" w:ascii="宋体" w:hAnsi="宋体" w:cs="宋体"/>
                <w:i w:val="0"/>
                <w:iCs w:val="0"/>
                <w:color w:val="000000"/>
                <w:kern w:val="0"/>
                <w:sz w:val="18"/>
                <w:szCs w:val="18"/>
                <w:highlight w:val="none"/>
                <w:u w:val="none"/>
                <w:lang w:val="en-US" w:eastAsia="zh-CN" w:bidi="ar"/>
              </w:rPr>
              <w:t>合理</w:t>
            </w:r>
            <w:r>
              <w:rPr>
                <w:rFonts w:hint="eastAsia" w:ascii="宋体" w:hAnsi="宋体" w:eastAsia="宋体" w:cs="宋体"/>
                <w:i w:val="0"/>
                <w:iCs w:val="0"/>
                <w:color w:val="000000"/>
                <w:kern w:val="0"/>
                <w:sz w:val="18"/>
                <w:szCs w:val="18"/>
                <w:highlight w:val="none"/>
                <w:u w:val="none"/>
                <w:lang w:val="en-US" w:eastAsia="zh-CN" w:bidi="ar"/>
              </w:rPr>
              <w:t>性</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BF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2</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88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部门所设立的整体绩效目标依据是否充分，是否符合客观实际，用以反映和考核部门整体绩效目标与部门履职、年度工作任务的相符性情况。</w:t>
            </w:r>
          </w:p>
        </w:tc>
        <w:tc>
          <w:tcPr>
            <w:tcW w:w="5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4A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①符合国家法律法规、国民经济和社会发展总体规划计1分；②符合部门“三定”方案确定的职责计0.5分；③是否符合部门制定的中长期实施规划计0.5分。</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3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8B75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22530">
            <w:pPr>
              <w:jc w:val="center"/>
              <w:rPr>
                <w:rFonts w:hint="eastAsia" w:ascii="宋体" w:hAnsi="宋体" w:eastAsia="宋体" w:cs="宋体"/>
                <w:i w:val="0"/>
                <w:iCs w:val="0"/>
                <w:color w:val="000000"/>
                <w:sz w:val="20"/>
                <w:szCs w:val="20"/>
                <w:highlight w:val="none"/>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2A8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D27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绩效指</w:t>
            </w:r>
            <w:r>
              <w:rPr>
                <w:rFonts w:hint="eastAsia" w:ascii="宋体" w:hAnsi="宋体" w:eastAsia="宋体" w:cs="宋体"/>
                <w:i w:val="0"/>
                <w:iCs w:val="0"/>
                <w:color w:val="000000"/>
                <w:kern w:val="0"/>
                <w:sz w:val="18"/>
                <w:szCs w:val="18"/>
                <w:highlight w:val="none"/>
                <w:u w:val="none"/>
                <w:lang w:val="en-US" w:eastAsia="zh-CN" w:bidi="ar"/>
              </w:rPr>
              <w:t>标</w:t>
            </w:r>
            <w:r>
              <w:rPr>
                <w:rFonts w:hint="eastAsia" w:ascii="宋体" w:hAnsi="宋体" w:cs="宋体"/>
                <w:i w:val="0"/>
                <w:iCs w:val="0"/>
                <w:color w:val="000000"/>
                <w:kern w:val="0"/>
                <w:sz w:val="18"/>
                <w:szCs w:val="18"/>
                <w:highlight w:val="none"/>
                <w:u w:val="none"/>
                <w:lang w:val="en-US" w:eastAsia="zh-CN" w:bidi="ar"/>
              </w:rPr>
              <w:t>明确</w:t>
            </w:r>
            <w:r>
              <w:rPr>
                <w:rFonts w:hint="eastAsia" w:ascii="宋体" w:hAnsi="宋体" w:eastAsia="宋体" w:cs="宋体"/>
                <w:i w:val="0"/>
                <w:iCs w:val="0"/>
                <w:color w:val="000000"/>
                <w:kern w:val="0"/>
                <w:sz w:val="18"/>
                <w:szCs w:val="18"/>
                <w:highlight w:val="none"/>
                <w:u w:val="none"/>
                <w:lang w:val="en-US" w:eastAsia="zh-CN" w:bidi="ar"/>
              </w:rPr>
              <w:t>性</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7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35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部门依据整体绩效目标所设定的绩效指标是否清晰、细化、可衡量，用以反映和考核部门整体绩效目标明细化情况。</w:t>
            </w:r>
          </w:p>
        </w:tc>
        <w:tc>
          <w:tcPr>
            <w:tcW w:w="5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334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①将部门整体的绩效目标细化分解为具体的工作任务计1分；②通过清晰、可衡量的指标值予以体现计0.5分。③与部门年度的任务数或计划数相对应计0.5分；④与本年度部门预算资金相匹配计1分。</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0E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2.5</w:t>
            </w:r>
          </w:p>
        </w:tc>
      </w:tr>
      <w:tr w14:paraId="26169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BE2AF">
            <w:pPr>
              <w:jc w:val="center"/>
              <w:rPr>
                <w:rFonts w:hint="eastAsia" w:ascii="宋体" w:hAnsi="宋体" w:eastAsia="宋体" w:cs="宋体"/>
                <w:i w:val="0"/>
                <w:iCs w:val="0"/>
                <w:color w:val="000000"/>
                <w:sz w:val="20"/>
                <w:szCs w:val="20"/>
                <w:highlight w:val="none"/>
                <w:u w:val="none"/>
              </w:rPr>
            </w:pP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9D6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预算配置</w:t>
            </w:r>
            <w:r>
              <w:rPr>
                <w:rFonts w:hint="eastAsia" w:ascii="宋体" w:hAnsi="宋体" w:cs="宋体"/>
                <w:i w:val="0"/>
                <w:iCs w:val="0"/>
                <w:color w:val="000000"/>
                <w:kern w:val="0"/>
                <w:sz w:val="20"/>
                <w:szCs w:val="20"/>
                <w:highlight w:val="none"/>
                <w:u w:val="none"/>
                <w:lang w:val="en-US" w:eastAsia="zh-CN" w:bidi="ar"/>
              </w:rPr>
              <w:t>（15分）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87F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在职人员控制率</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15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FA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部门本年度实际在职人员数与编制数的比率，用以反映和考核部门对人员成本的控制程度。</w:t>
            </w:r>
          </w:p>
        </w:tc>
        <w:tc>
          <w:tcPr>
            <w:tcW w:w="5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61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在职人员控制率=（在职人员数/编制数）×100%</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小于或等于1计5分，否则按比例计分。在职人员数：部门实际在职人数，以财政部确定的部门决算编制口径为准。编制数：机构编制部门核定批复的部门的人员编制数。</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C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r>
      <w:tr w14:paraId="04B2E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0" w:hRule="atLeast"/>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F08A5">
            <w:pPr>
              <w:jc w:val="center"/>
              <w:rPr>
                <w:rFonts w:hint="eastAsia" w:ascii="宋体" w:hAnsi="宋体" w:eastAsia="宋体" w:cs="宋体"/>
                <w:i w:val="0"/>
                <w:iCs w:val="0"/>
                <w:color w:val="000000"/>
                <w:sz w:val="20"/>
                <w:szCs w:val="20"/>
                <w:highlight w:val="none"/>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E60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8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“三公”经费变动率</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73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C77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部门本年度</w:t>
            </w:r>
            <w:r>
              <w:rPr>
                <w:rFonts w:hint="eastAsia" w:ascii="宋体" w:hAnsi="宋体" w:cs="宋体"/>
                <w:i w:val="0"/>
                <w:iCs w:val="0"/>
                <w:color w:val="000000"/>
                <w:kern w:val="0"/>
                <w:sz w:val="18"/>
                <w:szCs w:val="18"/>
                <w:highlight w:val="none"/>
                <w:u w:val="none"/>
                <w:lang w:val="en-US" w:eastAsia="zh-CN" w:bidi="ar"/>
              </w:rPr>
              <w:t>“三公”经费预算</w:t>
            </w:r>
            <w:r>
              <w:rPr>
                <w:rFonts w:hint="eastAsia" w:ascii="宋体" w:hAnsi="宋体" w:eastAsia="宋体" w:cs="宋体"/>
                <w:i w:val="0"/>
                <w:iCs w:val="0"/>
                <w:color w:val="000000"/>
                <w:kern w:val="0"/>
                <w:sz w:val="18"/>
                <w:szCs w:val="18"/>
                <w:highlight w:val="none"/>
                <w:u w:val="none"/>
                <w:lang w:val="en-US" w:eastAsia="zh-CN" w:bidi="ar"/>
              </w:rPr>
              <w:t>数与上年度</w:t>
            </w:r>
            <w:r>
              <w:rPr>
                <w:rFonts w:hint="eastAsia" w:ascii="宋体" w:hAnsi="宋体" w:cs="宋体"/>
                <w:i w:val="0"/>
                <w:iCs w:val="0"/>
                <w:color w:val="000000"/>
                <w:kern w:val="0"/>
                <w:sz w:val="18"/>
                <w:szCs w:val="18"/>
                <w:highlight w:val="none"/>
                <w:u w:val="none"/>
                <w:lang w:val="en-US" w:eastAsia="zh-CN" w:bidi="ar"/>
              </w:rPr>
              <w:t>“三公”经费预算</w:t>
            </w:r>
            <w:r>
              <w:rPr>
                <w:rFonts w:hint="eastAsia" w:ascii="宋体" w:hAnsi="宋体" w:eastAsia="宋体" w:cs="宋体"/>
                <w:i w:val="0"/>
                <w:iCs w:val="0"/>
                <w:color w:val="000000"/>
                <w:kern w:val="0"/>
                <w:sz w:val="18"/>
                <w:szCs w:val="18"/>
                <w:highlight w:val="none"/>
                <w:u w:val="none"/>
                <w:lang w:val="en-US" w:eastAsia="zh-CN" w:bidi="ar"/>
              </w:rPr>
              <w:t>数的变动比率，用以反映和考核部门对控制重点行政成本的努力程度。</w:t>
            </w:r>
          </w:p>
        </w:tc>
        <w:tc>
          <w:tcPr>
            <w:tcW w:w="5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289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18"/>
                <w:szCs w:val="18"/>
                <w:highlight w:val="none"/>
                <w:u w:val="none"/>
                <w:lang w:val="en-US" w:eastAsia="zh-CN" w:bidi="ar"/>
              </w:rPr>
              <w:t>“三公”经费</w:t>
            </w:r>
            <w:r>
              <w:rPr>
                <w:rFonts w:hint="eastAsia" w:ascii="宋体" w:hAnsi="宋体" w:eastAsia="宋体" w:cs="宋体"/>
                <w:i w:val="0"/>
                <w:iCs w:val="0"/>
                <w:color w:val="000000"/>
                <w:kern w:val="0"/>
                <w:sz w:val="18"/>
                <w:szCs w:val="18"/>
                <w:highlight w:val="none"/>
                <w:u w:val="none"/>
                <w:lang w:val="en-US" w:eastAsia="zh-CN" w:bidi="ar"/>
              </w:rPr>
              <w:t>变动率=[（本年度</w:t>
            </w:r>
            <w:r>
              <w:rPr>
                <w:rFonts w:hint="eastAsia" w:ascii="宋体" w:hAnsi="宋体" w:cs="宋体"/>
                <w:i w:val="0"/>
                <w:iCs w:val="0"/>
                <w:color w:val="000000"/>
                <w:kern w:val="0"/>
                <w:sz w:val="18"/>
                <w:szCs w:val="18"/>
                <w:highlight w:val="none"/>
                <w:u w:val="none"/>
                <w:lang w:val="en-US" w:eastAsia="zh-CN" w:bidi="ar"/>
              </w:rPr>
              <w:t>“三公”经费</w:t>
            </w:r>
            <w:r>
              <w:rPr>
                <w:rFonts w:hint="eastAsia" w:ascii="宋体" w:hAnsi="宋体" w:eastAsia="宋体" w:cs="宋体"/>
                <w:i w:val="0"/>
                <w:iCs w:val="0"/>
                <w:color w:val="000000"/>
                <w:kern w:val="0"/>
                <w:sz w:val="18"/>
                <w:szCs w:val="18"/>
                <w:highlight w:val="none"/>
                <w:u w:val="none"/>
                <w:lang w:val="en-US" w:eastAsia="zh-CN" w:bidi="ar"/>
              </w:rPr>
              <w:t>总额-上年度</w:t>
            </w:r>
            <w:r>
              <w:rPr>
                <w:rFonts w:hint="eastAsia" w:ascii="宋体" w:hAnsi="宋体" w:cs="宋体"/>
                <w:i w:val="0"/>
                <w:iCs w:val="0"/>
                <w:color w:val="000000"/>
                <w:kern w:val="0"/>
                <w:sz w:val="18"/>
                <w:szCs w:val="18"/>
                <w:highlight w:val="none"/>
                <w:u w:val="none"/>
                <w:lang w:val="en-US" w:eastAsia="zh-CN" w:bidi="ar"/>
              </w:rPr>
              <w:t>“三公”经费</w:t>
            </w:r>
            <w:r>
              <w:rPr>
                <w:rFonts w:hint="eastAsia" w:ascii="宋体" w:hAnsi="宋体" w:eastAsia="宋体" w:cs="宋体"/>
                <w:i w:val="0"/>
                <w:iCs w:val="0"/>
                <w:color w:val="000000"/>
                <w:kern w:val="0"/>
                <w:sz w:val="18"/>
                <w:szCs w:val="18"/>
                <w:highlight w:val="none"/>
                <w:u w:val="none"/>
                <w:lang w:val="en-US" w:eastAsia="zh-CN" w:bidi="ar"/>
              </w:rPr>
              <w:t>总额）/上年度</w:t>
            </w:r>
            <w:r>
              <w:rPr>
                <w:rFonts w:hint="eastAsia" w:ascii="宋体" w:hAnsi="宋体" w:cs="宋体"/>
                <w:i w:val="0"/>
                <w:iCs w:val="0"/>
                <w:color w:val="000000"/>
                <w:kern w:val="0"/>
                <w:sz w:val="18"/>
                <w:szCs w:val="18"/>
                <w:highlight w:val="none"/>
                <w:u w:val="none"/>
                <w:lang w:val="en-US" w:eastAsia="zh-CN" w:bidi="ar"/>
              </w:rPr>
              <w:t>“三公”经费</w:t>
            </w:r>
            <w:r>
              <w:rPr>
                <w:rFonts w:hint="eastAsia" w:ascii="宋体" w:hAnsi="宋体" w:eastAsia="宋体" w:cs="宋体"/>
                <w:i w:val="0"/>
                <w:iCs w:val="0"/>
                <w:color w:val="000000"/>
                <w:kern w:val="0"/>
                <w:sz w:val="18"/>
                <w:szCs w:val="18"/>
                <w:highlight w:val="none"/>
                <w:u w:val="none"/>
                <w:lang w:val="en-US" w:eastAsia="zh-CN" w:bidi="ar"/>
              </w:rPr>
              <w:t>总额]×100%。下降的计5分，增加的按比例扣减。</w:t>
            </w:r>
            <w:r>
              <w:rPr>
                <w:rFonts w:hint="eastAsia" w:ascii="宋体" w:hAnsi="宋体" w:cs="宋体"/>
                <w:i w:val="0"/>
                <w:iCs w:val="0"/>
                <w:color w:val="000000"/>
                <w:kern w:val="0"/>
                <w:sz w:val="18"/>
                <w:szCs w:val="18"/>
                <w:highlight w:val="none"/>
                <w:u w:val="none"/>
                <w:lang w:val="en-US" w:eastAsia="zh-CN" w:bidi="ar"/>
              </w:rPr>
              <w:t>“三公”经费</w:t>
            </w:r>
            <w:r>
              <w:rPr>
                <w:rFonts w:hint="eastAsia" w:ascii="宋体" w:hAnsi="宋体" w:eastAsia="宋体" w:cs="宋体"/>
                <w:i w:val="0"/>
                <w:iCs w:val="0"/>
                <w:color w:val="000000"/>
                <w:kern w:val="0"/>
                <w:sz w:val="18"/>
                <w:szCs w:val="18"/>
                <w:highlight w:val="none"/>
                <w:u w:val="none"/>
                <w:lang w:val="en-US" w:eastAsia="zh-CN" w:bidi="ar"/>
              </w:rPr>
              <w:t>：年度预算安排的因公出国（境）费、公务车辆购置及运行费和公务招待费。</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DB8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r>
      <w:tr w14:paraId="014BB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5221">
            <w:pPr>
              <w:jc w:val="center"/>
              <w:rPr>
                <w:rFonts w:hint="eastAsia" w:ascii="宋体" w:hAnsi="宋体" w:eastAsia="宋体" w:cs="宋体"/>
                <w:i w:val="0"/>
                <w:iCs w:val="0"/>
                <w:color w:val="000000"/>
                <w:sz w:val="20"/>
                <w:szCs w:val="20"/>
                <w:highlight w:val="none"/>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87D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B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重点支出安排率</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CC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D3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部门本年度预算安排的重点项目支出与部门项目总支出的比率，用以反映和考核部门对履行主要职责或完成重点任务的保障程度。</w:t>
            </w:r>
          </w:p>
        </w:tc>
        <w:tc>
          <w:tcPr>
            <w:tcW w:w="5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340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重点支出安排率=（重点项目支出/项目总支出）×100%。实际得分=支出安排率*5分。重点项目支出：部门年度预算安排的，与本部门履职和发展密切相关、具有明显社会和经济影响、</w:t>
            </w:r>
            <w:r>
              <w:rPr>
                <w:rFonts w:hint="eastAsia" w:ascii="宋体" w:hAnsi="宋体" w:cs="宋体"/>
                <w:i w:val="0"/>
                <w:iCs w:val="0"/>
                <w:color w:val="000000"/>
                <w:kern w:val="0"/>
                <w:sz w:val="18"/>
                <w:szCs w:val="18"/>
                <w:highlight w:val="none"/>
                <w:u w:val="none"/>
                <w:lang w:val="en-US" w:eastAsia="zh-CN" w:bidi="ar"/>
              </w:rPr>
              <w:t>党委、政府</w:t>
            </w:r>
            <w:r>
              <w:rPr>
                <w:rFonts w:hint="eastAsia" w:ascii="宋体" w:hAnsi="宋体" w:eastAsia="宋体" w:cs="宋体"/>
                <w:i w:val="0"/>
                <w:iCs w:val="0"/>
                <w:color w:val="000000"/>
                <w:kern w:val="0"/>
                <w:sz w:val="18"/>
                <w:szCs w:val="18"/>
                <w:highlight w:val="none"/>
                <w:u w:val="none"/>
                <w:lang w:val="en-US" w:eastAsia="zh-CN" w:bidi="ar"/>
              </w:rPr>
              <w:t>关心或社会比较关注的项目支出总额。项目总支出：部门年度预算安排的项目支出总额。</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F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1</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85</w:t>
            </w:r>
          </w:p>
        </w:tc>
      </w:tr>
      <w:tr w14:paraId="0E7F3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1052" w:type="dxa"/>
            <w:vMerge w:val="restart"/>
            <w:tcBorders>
              <w:top w:val="single" w:color="000000" w:sz="4" w:space="0"/>
              <w:left w:val="single" w:color="000000" w:sz="4" w:space="0"/>
              <w:right w:val="single" w:color="000000" w:sz="4" w:space="0"/>
            </w:tcBorders>
            <w:shd w:val="clear" w:color="auto" w:fill="auto"/>
            <w:vAlign w:val="center"/>
          </w:tcPr>
          <w:p w14:paraId="3FE623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过程（30）</w:t>
            </w:r>
          </w:p>
        </w:tc>
        <w:tc>
          <w:tcPr>
            <w:tcW w:w="1031" w:type="dxa"/>
            <w:vMerge w:val="restart"/>
            <w:tcBorders>
              <w:top w:val="single" w:color="000000" w:sz="4" w:space="0"/>
              <w:left w:val="single" w:color="000000" w:sz="4" w:space="0"/>
              <w:right w:val="single" w:color="000000" w:sz="4" w:space="0"/>
            </w:tcBorders>
            <w:shd w:val="clear" w:color="auto" w:fill="auto"/>
            <w:vAlign w:val="center"/>
          </w:tcPr>
          <w:p w14:paraId="23B455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预算执行（18分）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00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预算完成率</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C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5</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DE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部门本年度预算完成数与预算数的比率，用以反映和考核部门预算完成程度。</w:t>
            </w:r>
          </w:p>
        </w:tc>
        <w:tc>
          <w:tcPr>
            <w:tcW w:w="5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8B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预算完成率=（预算完成数/预算数）×100%。完成年初预算计</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分，未完成年初预算</w:t>
            </w:r>
            <w:r>
              <w:rPr>
                <w:rFonts w:hint="eastAsia" w:ascii="宋体" w:hAnsi="宋体" w:cs="宋体"/>
                <w:i w:val="0"/>
                <w:iCs w:val="0"/>
                <w:color w:val="000000"/>
                <w:kern w:val="0"/>
                <w:sz w:val="18"/>
                <w:szCs w:val="18"/>
                <w:highlight w:val="none"/>
                <w:u w:val="none"/>
                <w:lang w:val="en-US" w:eastAsia="zh-CN" w:bidi="ar"/>
              </w:rPr>
              <w:t>，每低1%扣0.2分，</w:t>
            </w:r>
            <w:r>
              <w:rPr>
                <w:rFonts w:hint="eastAsia" w:ascii="宋体" w:hAnsi="宋体" w:eastAsia="宋体" w:cs="宋体"/>
                <w:i w:val="0"/>
                <w:iCs w:val="0"/>
                <w:color w:val="000000"/>
                <w:kern w:val="0"/>
                <w:sz w:val="18"/>
                <w:szCs w:val="18"/>
                <w:highlight w:val="none"/>
                <w:u w:val="none"/>
                <w:lang w:val="en-US" w:eastAsia="zh-CN" w:bidi="ar"/>
              </w:rPr>
              <w:t>按比例扣减，预算完成数：部门本年度实际完成的预算数。预算数：财政部门批复的本年度部门预算数。</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CD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3.14</w:t>
            </w:r>
          </w:p>
        </w:tc>
      </w:tr>
      <w:tr w14:paraId="28EC1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1052" w:type="dxa"/>
            <w:vMerge w:val="continue"/>
            <w:tcBorders>
              <w:left w:val="single" w:color="000000" w:sz="4" w:space="0"/>
              <w:bottom w:val="single" w:color="000000" w:sz="4" w:space="0"/>
              <w:right w:val="single" w:color="000000" w:sz="4" w:space="0"/>
            </w:tcBorders>
            <w:shd w:val="clear" w:color="auto" w:fill="auto"/>
            <w:vAlign w:val="center"/>
          </w:tcPr>
          <w:p w14:paraId="76C3412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31" w:type="dxa"/>
            <w:vMerge w:val="continue"/>
            <w:tcBorders>
              <w:left w:val="single" w:color="000000" w:sz="4" w:space="0"/>
              <w:bottom w:val="single" w:color="000000" w:sz="4" w:space="0"/>
              <w:right w:val="single" w:color="000000" w:sz="4" w:space="0"/>
            </w:tcBorders>
            <w:shd w:val="clear" w:color="auto" w:fill="auto"/>
            <w:vAlign w:val="center"/>
          </w:tcPr>
          <w:p w14:paraId="4B8D2A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44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预算调整率</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CF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3</w:t>
            </w:r>
          </w:p>
        </w:tc>
        <w:tc>
          <w:tcPr>
            <w:tcW w:w="4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F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aps w:val="0"/>
                <w:color w:val="000000"/>
                <w:spacing w:val="0"/>
                <w:sz w:val="18"/>
                <w:szCs w:val="18"/>
                <w:highlight w:val="none"/>
                <w:shd w:val="clear" w:fill="FFFFFF"/>
              </w:rPr>
              <w:t>部门本年度预算调整数与预算数的比率，用以反映和考核部门预算的调整程度。</w:t>
            </w:r>
          </w:p>
        </w:tc>
        <w:tc>
          <w:tcPr>
            <w:tcW w:w="5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CA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aps w:val="0"/>
                <w:color w:val="000000"/>
                <w:spacing w:val="0"/>
                <w:sz w:val="18"/>
                <w:szCs w:val="18"/>
                <w:highlight w:val="none"/>
                <w:shd w:val="clear" w:fill="FFFFFF"/>
              </w:rPr>
              <w:t>预算调整率=（预算调整数/预算数）×100%。未调整的计</w:t>
            </w:r>
            <w:r>
              <w:rPr>
                <w:rFonts w:hint="eastAsia" w:ascii="宋体" w:hAnsi="宋体" w:cs="宋体"/>
                <w:i w:val="0"/>
                <w:iCs w:val="0"/>
                <w:caps w:val="0"/>
                <w:color w:val="000000"/>
                <w:spacing w:val="0"/>
                <w:sz w:val="18"/>
                <w:szCs w:val="18"/>
                <w:highlight w:val="none"/>
                <w:shd w:val="clear" w:fill="FFFFFF"/>
                <w:lang w:val="en-US" w:eastAsia="zh-CN"/>
              </w:rPr>
              <w:t>3</w:t>
            </w:r>
            <w:r>
              <w:rPr>
                <w:rFonts w:hint="eastAsia" w:ascii="宋体" w:hAnsi="宋体" w:eastAsia="宋体" w:cs="宋体"/>
                <w:i w:val="0"/>
                <w:iCs w:val="0"/>
                <w:caps w:val="0"/>
                <w:color w:val="000000"/>
                <w:spacing w:val="0"/>
                <w:sz w:val="18"/>
                <w:szCs w:val="18"/>
                <w:highlight w:val="none"/>
                <w:shd w:val="clear" w:fill="FFFFFF"/>
              </w:rPr>
              <w:t>分，调整率±</w:t>
            </w:r>
            <w:r>
              <w:rPr>
                <w:rFonts w:hint="eastAsia" w:ascii="宋体" w:hAnsi="宋体" w:cs="宋体"/>
                <w:i w:val="0"/>
                <w:iCs w:val="0"/>
                <w:caps w:val="0"/>
                <w:color w:val="000000"/>
                <w:spacing w:val="0"/>
                <w:sz w:val="18"/>
                <w:szCs w:val="18"/>
                <w:highlight w:val="none"/>
                <w:shd w:val="clear" w:fill="FFFFFF"/>
                <w:lang w:val="en-US" w:eastAsia="zh-CN"/>
              </w:rPr>
              <w:t>5</w:t>
            </w:r>
            <w:r>
              <w:rPr>
                <w:rFonts w:hint="eastAsia" w:ascii="宋体" w:hAnsi="宋体" w:eastAsia="宋体" w:cs="宋体"/>
                <w:i w:val="0"/>
                <w:iCs w:val="0"/>
                <w:caps w:val="0"/>
                <w:color w:val="000000"/>
                <w:spacing w:val="0"/>
                <w:sz w:val="18"/>
                <w:szCs w:val="18"/>
                <w:highlight w:val="none"/>
                <w:shd w:val="clear" w:fill="FFFFFF"/>
              </w:rPr>
              <w:t>%以内，计2.5分，超过±</w:t>
            </w:r>
            <w:r>
              <w:rPr>
                <w:rFonts w:hint="eastAsia" w:ascii="宋体" w:hAnsi="宋体" w:cs="宋体"/>
                <w:i w:val="0"/>
                <w:iCs w:val="0"/>
                <w:caps w:val="0"/>
                <w:color w:val="000000"/>
                <w:spacing w:val="0"/>
                <w:sz w:val="18"/>
                <w:szCs w:val="18"/>
                <w:highlight w:val="none"/>
                <w:shd w:val="clear" w:fill="FFFFFF"/>
                <w:lang w:val="en-US" w:eastAsia="zh-CN"/>
              </w:rPr>
              <w:t>5</w:t>
            </w:r>
            <w:r>
              <w:rPr>
                <w:rFonts w:hint="eastAsia" w:ascii="宋体" w:hAnsi="宋体" w:eastAsia="宋体" w:cs="宋体"/>
                <w:i w:val="0"/>
                <w:iCs w:val="0"/>
                <w:caps w:val="0"/>
                <w:color w:val="000000"/>
                <w:spacing w:val="0"/>
                <w:sz w:val="18"/>
                <w:szCs w:val="18"/>
                <w:highlight w:val="none"/>
                <w:shd w:val="clear" w:fill="FFFFFF"/>
              </w:rPr>
              <w:t>%每增加1个百分点扣0.</w:t>
            </w:r>
            <w:r>
              <w:rPr>
                <w:rFonts w:hint="eastAsia" w:ascii="宋体" w:hAnsi="宋体" w:cs="宋体"/>
                <w:i w:val="0"/>
                <w:iCs w:val="0"/>
                <w:caps w:val="0"/>
                <w:color w:val="000000"/>
                <w:spacing w:val="0"/>
                <w:sz w:val="18"/>
                <w:szCs w:val="18"/>
                <w:highlight w:val="none"/>
                <w:shd w:val="clear" w:fill="FFFFFF"/>
                <w:lang w:val="en-US" w:eastAsia="zh-CN"/>
              </w:rPr>
              <w:t>5</w:t>
            </w:r>
            <w:r>
              <w:rPr>
                <w:rFonts w:hint="eastAsia" w:ascii="宋体" w:hAnsi="宋体" w:eastAsia="宋体" w:cs="宋体"/>
                <w:i w:val="0"/>
                <w:iCs w:val="0"/>
                <w:caps w:val="0"/>
                <w:color w:val="000000"/>
                <w:spacing w:val="0"/>
                <w:sz w:val="18"/>
                <w:szCs w:val="18"/>
                <w:highlight w:val="none"/>
                <w:shd w:val="clear" w:fill="FFFFFF"/>
              </w:rPr>
              <w:t>分，预算调整数：部门在本年度内涉及预算的追加、追减或结构调整的资金总和（因落实国家政策、发生不可抗力、上级部门或同级</w:t>
            </w:r>
            <w:r>
              <w:rPr>
                <w:rFonts w:hint="eastAsia" w:ascii="宋体" w:hAnsi="宋体" w:cs="宋体"/>
                <w:i w:val="0"/>
                <w:iCs w:val="0"/>
                <w:caps w:val="0"/>
                <w:color w:val="000000"/>
                <w:spacing w:val="0"/>
                <w:sz w:val="18"/>
                <w:szCs w:val="18"/>
                <w:highlight w:val="none"/>
                <w:shd w:val="clear" w:fill="FFFFFF"/>
                <w:lang w:eastAsia="zh-CN"/>
              </w:rPr>
              <w:t>党委、政府</w:t>
            </w:r>
            <w:r>
              <w:rPr>
                <w:rFonts w:hint="eastAsia" w:ascii="宋体" w:hAnsi="宋体" w:eastAsia="宋体" w:cs="宋体"/>
                <w:i w:val="0"/>
                <w:iCs w:val="0"/>
                <w:caps w:val="0"/>
                <w:color w:val="000000"/>
                <w:spacing w:val="0"/>
                <w:sz w:val="18"/>
                <w:szCs w:val="18"/>
                <w:highlight w:val="none"/>
                <w:shd w:val="clear" w:fill="FFFFFF"/>
              </w:rPr>
              <w:t>临时交办而产生的调整除外）。</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6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w:t>
            </w:r>
            <w:r>
              <w:rPr>
                <w:rFonts w:hint="eastAsia" w:ascii="宋体" w:hAnsi="宋体" w:cs="宋体"/>
                <w:i w:val="0"/>
                <w:iCs w:val="0"/>
                <w:color w:val="000000"/>
                <w:kern w:val="0"/>
                <w:sz w:val="20"/>
                <w:szCs w:val="20"/>
                <w:highlight w:val="none"/>
                <w:u w:val="none"/>
                <w:lang w:val="en-US" w:eastAsia="zh-CN" w:bidi="ar"/>
              </w:rPr>
              <w:t>.5</w:t>
            </w:r>
          </w:p>
        </w:tc>
      </w:tr>
    </w:tbl>
    <w:p w14:paraId="5B507FC2">
      <w:pPr>
        <w:pStyle w:val="10"/>
        <w:keepNext w:val="0"/>
        <w:keepLines w:val="0"/>
        <w:widowControl/>
        <w:suppressLineNumbers w:val="0"/>
        <w:spacing w:before="0" w:beforeAutospacing="0" w:after="0" w:afterAutospacing="0"/>
        <w:ind w:left="0" w:right="0" w:firstLine="0"/>
        <w:rPr>
          <w:rFonts w:hint="default" w:ascii="宋体" w:hAnsi="宋体" w:eastAsia="宋体" w:cs="宋体"/>
          <w:i w:val="0"/>
          <w:iCs w:val="0"/>
          <w:color w:val="000000"/>
          <w:kern w:val="0"/>
          <w:sz w:val="28"/>
          <w:szCs w:val="28"/>
          <w:highlight w:val="none"/>
          <w:u w:val="none"/>
          <w:lang w:val="en-US" w:eastAsia="zh-CN" w:bidi="ar"/>
        </w:rPr>
      </w:pPr>
      <w:r>
        <w:rPr>
          <w:rFonts w:hint="eastAsia" w:ascii="宋体" w:hAnsi="宋体" w:eastAsia="宋体" w:cs="宋体"/>
          <w:i w:val="0"/>
          <w:iCs w:val="0"/>
          <w:color w:val="000000"/>
          <w:kern w:val="0"/>
          <w:sz w:val="28"/>
          <w:szCs w:val="28"/>
          <w:highlight w:val="none"/>
          <w:u w:val="none"/>
          <w:lang w:val="en-US" w:eastAsia="zh-CN" w:bidi="ar"/>
        </w:rPr>
        <w:t>附件</w:t>
      </w:r>
      <w:r>
        <w:rPr>
          <w:rFonts w:hint="eastAsia" w:ascii="宋体" w:hAnsi="宋体" w:cs="宋体"/>
          <w:i w:val="0"/>
          <w:iCs w:val="0"/>
          <w:color w:val="000000"/>
          <w:kern w:val="0"/>
          <w:sz w:val="28"/>
          <w:szCs w:val="28"/>
          <w:highlight w:val="none"/>
          <w:u w:val="none"/>
          <w:lang w:val="en-US" w:eastAsia="zh-CN" w:bidi="ar"/>
        </w:rPr>
        <w:t xml:space="preserve"> 1                      </w:t>
      </w:r>
      <w:r>
        <w:rPr>
          <w:sz w:val="28"/>
          <w:szCs w:val="28"/>
          <w:highlight w:val="none"/>
        </w:rPr>
        <w:t>益阳市住房和城乡建设局部门整体支出绩效评价</w:t>
      </w:r>
      <w:r>
        <w:rPr>
          <w:rFonts w:hint="eastAsia"/>
          <w:sz w:val="28"/>
          <w:szCs w:val="28"/>
          <w:highlight w:val="none"/>
          <w:lang w:eastAsia="zh-CN"/>
        </w:rPr>
        <w:t>指标体系评分表</w:t>
      </w:r>
    </w:p>
    <w:tbl>
      <w:tblPr>
        <w:tblStyle w:val="11"/>
        <w:tblW w:w="14347" w:type="dxa"/>
        <w:tblInd w:w="1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5"/>
        <w:gridCol w:w="1065"/>
        <w:gridCol w:w="1020"/>
        <w:gridCol w:w="675"/>
        <w:gridCol w:w="4612"/>
        <w:gridCol w:w="5088"/>
        <w:gridCol w:w="812"/>
      </w:tblGrid>
      <w:tr w14:paraId="2BAF5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blHead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51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A4B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C15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7A25">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分值</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19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指标</w:t>
            </w:r>
            <w:r>
              <w:rPr>
                <w:rFonts w:ascii="黑体" w:hAnsi="宋体" w:eastAsia="黑体" w:cs="黑体"/>
                <w:i w:val="0"/>
                <w:iCs w:val="0"/>
                <w:caps w:val="0"/>
                <w:color w:val="000000"/>
                <w:spacing w:val="0"/>
                <w:sz w:val="21"/>
                <w:szCs w:val="21"/>
                <w:highlight w:val="none"/>
                <w:shd w:val="clear" w:fill="FFFFFF"/>
              </w:rPr>
              <w:t>解释</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1B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评分标准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B0D4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得分</w:t>
            </w:r>
          </w:p>
        </w:tc>
      </w:tr>
      <w:tr w14:paraId="13E75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06464">
            <w:pP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过程（30）</w:t>
            </w:r>
          </w:p>
          <w:p w14:paraId="1E935A69">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过程</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C13333">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预算执行</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7A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支付进度率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44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3</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10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部门实际支付进度与既定支付进度的比率，用以反映和考核部门预算执行的及时性和均衡性程度。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DC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支付进度率=（实际支付进度/既定支付进度）×100%。完成年终进度的计</w:t>
            </w:r>
            <w:r>
              <w:rPr>
                <w:rFonts w:hint="eastAsia" w:ascii="宋体" w:hAnsi="宋体" w:cs="宋体"/>
                <w:i w:val="0"/>
                <w:iCs w:val="0"/>
                <w:color w:val="000000"/>
                <w:kern w:val="0"/>
                <w:sz w:val="20"/>
                <w:szCs w:val="20"/>
                <w:highlight w:val="none"/>
                <w:u w:val="none"/>
                <w:lang w:val="en-US" w:eastAsia="zh-CN" w:bidi="ar"/>
              </w:rPr>
              <w:t>1</w:t>
            </w:r>
            <w:r>
              <w:rPr>
                <w:rFonts w:hint="eastAsia" w:ascii="宋体" w:hAnsi="宋体" w:eastAsia="宋体" w:cs="宋体"/>
                <w:i w:val="0"/>
                <w:iCs w:val="0"/>
                <w:color w:val="000000"/>
                <w:kern w:val="0"/>
                <w:sz w:val="20"/>
                <w:szCs w:val="20"/>
                <w:highlight w:val="none"/>
                <w:u w:val="none"/>
                <w:lang w:val="en-US" w:eastAsia="zh-CN" w:bidi="ar"/>
              </w:rPr>
              <w:t>分，按季度完成预算进度的计</w:t>
            </w:r>
            <w:r>
              <w:rPr>
                <w:rFonts w:hint="eastAsia" w:ascii="宋体" w:hAnsi="宋体" w:cs="宋体"/>
                <w:i w:val="0"/>
                <w:iCs w:val="0"/>
                <w:color w:val="000000"/>
                <w:kern w:val="0"/>
                <w:sz w:val="20"/>
                <w:szCs w:val="20"/>
                <w:highlight w:val="none"/>
                <w:u w:val="none"/>
                <w:lang w:val="en-US" w:eastAsia="zh-CN" w:bidi="ar"/>
              </w:rPr>
              <w:t>2</w:t>
            </w:r>
            <w:r>
              <w:rPr>
                <w:rFonts w:hint="eastAsia" w:ascii="宋体" w:hAnsi="宋体" w:eastAsia="宋体" w:cs="宋体"/>
                <w:i w:val="0"/>
                <w:iCs w:val="0"/>
                <w:color w:val="000000"/>
                <w:kern w:val="0"/>
                <w:sz w:val="20"/>
                <w:szCs w:val="20"/>
                <w:highlight w:val="none"/>
                <w:u w:val="none"/>
                <w:lang w:val="en-US" w:eastAsia="zh-CN" w:bidi="ar"/>
              </w:rPr>
              <w:t>分。</w:t>
            </w:r>
            <w:r>
              <w:rPr>
                <w:rFonts w:hint="eastAsia" w:ascii="宋体" w:hAnsi="宋体" w:cs="宋体"/>
                <w:i w:val="0"/>
                <w:iCs w:val="0"/>
                <w:color w:val="000000"/>
                <w:kern w:val="0"/>
                <w:sz w:val="20"/>
                <w:szCs w:val="20"/>
                <w:highlight w:val="none"/>
                <w:u w:val="none"/>
                <w:lang w:val="en-US" w:eastAsia="zh-CN" w:bidi="ar"/>
              </w:rPr>
              <w:t>具体标准：1-4</w:t>
            </w:r>
            <w:r>
              <w:rPr>
                <w:rFonts w:hint="eastAsia" w:ascii="宋体" w:hAnsi="宋体" w:eastAsia="宋体" w:cs="宋体"/>
                <w:i w:val="0"/>
                <w:iCs w:val="0"/>
                <w:color w:val="000000"/>
                <w:kern w:val="0"/>
                <w:sz w:val="20"/>
                <w:szCs w:val="20"/>
                <w:highlight w:val="none"/>
                <w:u w:val="none"/>
                <w:lang w:val="en-US" w:eastAsia="zh-CN" w:bidi="ar"/>
              </w:rPr>
              <w:t>季</w:t>
            </w:r>
            <w:r>
              <w:rPr>
                <w:rFonts w:hint="eastAsia" w:ascii="宋体" w:hAnsi="宋体" w:cs="宋体"/>
                <w:i w:val="0"/>
                <w:iCs w:val="0"/>
                <w:color w:val="000000"/>
                <w:kern w:val="0"/>
                <w:sz w:val="20"/>
                <w:szCs w:val="20"/>
                <w:highlight w:val="none"/>
                <w:u w:val="none"/>
                <w:lang w:val="en-US" w:eastAsia="zh-CN" w:bidi="ar"/>
              </w:rPr>
              <w:t>度</w:t>
            </w:r>
            <w:r>
              <w:rPr>
                <w:rFonts w:hint="eastAsia" w:ascii="宋体" w:hAnsi="宋体" w:eastAsia="宋体" w:cs="宋体"/>
                <w:i w:val="0"/>
                <w:iCs w:val="0"/>
                <w:color w:val="000000"/>
                <w:kern w:val="0"/>
                <w:sz w:val="20"/>
                <w:szCs w:val="20"/>
                <w:highlight w:val="none"/>
                <w:u w:val="none"/>
                <w:lang w:val="en-US" w:eastAsia="zh-CN" w:bidi="ar"/>
              </w:rPr>
              <w:t>支付进度率</w:t>
            </w:r>
            <w:r>
              <w:rPr>
                <w:rFonts w:hint="eastAsia" w:ascii="宋体" w:hAnsi="宋体" w:cs="宋体"/>
                <w:i w:val="0"/>
                <w:iCs w:val="0"/>
                <w:color w:val="000000"/>
                <w:kern w:val="0"/>
                <w:sz w:val="20"/>
                <w:szCs w:val="20"/>
                <w:highlight w:val="none"/>
                <w:u w:val="none"/>
                <w:lang w:val="en-US" w:eastAsia="zh-CN" w:bidi="ar"/>
              </w:rPr>
              <w:t>累计</w:t>
            </w:r>
            <w:r>
              <w:rPr>
                <w:rFonts w:hint="eastAsia" w:ascii="宋体" w:hAnsi="宋体" w:eastAsia="宋体" w:cs="宋体"/>
                <w:i w:val="0"/>
                <w:iCs w:val="0"/>
                <w:color w:val="000000"/>
                <w:kern w:val="0"/>
                <w:sz w:val="20"/>
                <w:szCs w:val="20"/>
                <w:highlight w:val="none"/>
                <w:u w:val="none"/>
                <w:lang w:val="en-US" w:eastAsia="zh-CN" w:bidi="ar"/>
              </w:rPr>
              <w:t>达2</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、50%、75%、100%</w:t>
            </w:r>
            <w:r>
              <w:rPr>
                <w:rFonts w:hint="eastAsia" w:ascii="宋体" w:hAnsi="宋体" w:eastAsia="宋体" w:cs="宋体"/>
                <w:i w:val="0"/>
                <w:iCs w:val="0"/>
                <w:color w:val="000000"/>
                <w:kern w:val="0"/>
                <w:sz w:val="20"/>
                <w:szCs w:val="20"/>
                <w:highlight w:val="none"/>
                <w:u w:val="none"/>
                <w:lang w:val="en-US" w:eastAsia="zh-CN" w:bidi="ar"/>
              </w:rPr>
              <w:t>每季0.5分，进度率</w:t>
            </w:r>
            <w:r>
              <w:rPr>
                <w:rFonts w:hint="eastAsia" w:ascii="宋体" w:hAnsi="宋体" w:cs="宋体"/>
                <w:i w:val="0"/>
                <w:iCs w:val="0"/>
                <w:color w:val="000000"/>
                <w:kern w:val="0"/>
                <w:sz w:val="20"/>
                <w:szCs w:val="20"/>
                <w:highlight w:val="none"/>
                <w:u w:val="none"/>
                <w:lang w:val="en-US" w:eastAsia="zh-CN" w:bidi="ar"/>
              </w:rPr>
              <w:t>未达到</w:t>
            </w:r>
            <w:r>
              <w:rPr>
                <w:rFonts w:hint="eastAsia" w:ascii="宋体" w:hAnsi="宋体" w:eastAsia="宋体" w:cs="宋体"/>
                <w:i w:val="0"/>
                <w:iCs w:val="0"/>
                <w:color w:val="000000"/>
                <w:kern w:val="0"/>
                <w:sz w:val="20"/>
                <w:szCs w:val="20"/>
                <w:highlight w:val="none"/>
                <w:u w:val="none"/>
                <w:lang w:val="en-US" w:eastAsia="zh-CN" w:bidi="ar"/>
              </w:rPr>
              <w:t>每季计0.4分，全年支付进度率≥100%，得1分； 100%＞进度率≥95%，得0.9分；95%＞进度率≥70%，得0.8分；进度率＜70%，得0分。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7F2B9">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2.6</w:t>
            </w:r>
          </w:p>
        </w:tc>
      </w:tr>
      <w:tr w14:paraId="18F3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B60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544E">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6E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结转结余控制率</w:t>
            </w:r>
          </w:p>
          <w:p w14:paraId="427FAA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1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F73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部门本年度结转结余总额与上年结转结余总额增减比例，用以反映和考核部门对存量资金的实际控制程度。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F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结转结余控制率=（本年结转结余总额-上年结转结余总额）/上年结转结余总额×100%。低于15%的计</w:t>
            </w:r>
            <w:r>
              <w:rPr>
                <w:rFonts w:hint="eastAsia" w:ascii="宋体" w:hAnsi="宋体" w:cs="宋体"/>
                <w:i w:val="0"/>
                <w:iCs w:val="0"/>
                <w:color w:val="000000"/>
                <w:kern w:val="0"/>
                <w:sz w:val="20"/>
                <w:szCs w:val="20"/>
                <w:highlight w:val="none"/>
                <w:u w:val="none"/>
                <w:lang w:val="en-US" w:eastAsia="zh-CN" w:bidi="ar"/>
              </w:rPr>
              <w:t>2</w:t>
            </w:r>
            <w:r>
              <w:rPr>
                <w:rFonts w:hint="eastAsia" w:ascii="宋体" w:hAnsi="宋体" w:eastAsia="宋体" w:cs="宋体"/>
                <w:i w:val="0"/>
                <w:iCs w:val="0"/>
                <w:color w:val="000000"/>
                <w:kern w:val="0"/>
                <w:sz w:val="20"/>
                <w:szCs w:val="20"/>
                <w:highlight w:val="none"/>
                <w:u w:val="none"/>
                <w:lang w:val="en-US" w:eastAsia="zh-CN" w:bidi="ar"/>
              </w:rPr>
              <w:t>分，每超过5个百分点扣</w:t>
            </w:r>
            <w:r>
              <w:rPr>
                <w:rFonts w:hint="eastAsia" w:ascii="宋体" w:hAnsi="宋体" w:cs="宋体"/>
                <w:i w:val="0"/>
                <w:iCs w:val="0"/>
                <w:color w:val="000000"/>
                <w:kern w:val="0"/>
                <w:sz w:val="20"/>
                <w:szCs w:val="20"/>
                <w:highlight w:val="none"/>
                <w:u w:val="none"/>
                <w:lang w:val="en-US" w:eastAsia="zh-CN" w:bidi="ar"/>
              </w:rPr>
              <w:t>0.5</w:t>
            </w:r>
            <w:r>
              <w:rPr>
                <w:rFonts w:hint="eastAsia" w:ascii="宋体" w:hAnsi="宋体" w:eastAsia="宋体" w:cs="宋体"/>
                <w:i w:val="0"/>
                <w:iCs w:val="0"/>
                <w:color w:val="000000"/>
                <w:kern w:val="0"/>
                <w:sz w:val="20"/>
                <w:szCs w:val="20"/>
                <w:highlight w:val="none"/>
                <w:u w:val="none"/>
                <w:lang w:val="en-US" w:eastAsia="zh-CN" w:bidi="ar"/>
              </w:rPr>
              <w:t>分，扣完为止。结转结余总额：部门本年度的结转资金与结余资金之和（以决算数为准）。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98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2</w:t>
            </w:r>
          </w:p>
        </w:tc>
      </w:tr>
      <w:tr w14:paraId="1213C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E892D">
            <w:pP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F7E1A">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3B7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公用经费控制率</w:t>
            </w:r>
          </w:p>
          <w:p w14:paraId="13F7FC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3B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D0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部门本年度实际支出的公用经费总额与预算安排的公用经费总额的比率，用以反映和考核部门对机构运转成本的实际控制程度。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21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公用经费控制率=（实际支出公用经费总额/预算安排公用经费总额）×100%。为100%的计2分，每超过1个百分点扣0.</w:t>
            </w:r>
            <w:r>
              <w:rPr>
                <w:rFonts w:hint="eastAsia" w:ascii="宋体" w:hAnsi="宋体" w:cs="宋体"/>
                <w:i w:val="0"/>
                <w:iCs w:val="0"/>
                <w:color w:val="000000"/>
                <w:kern w:val="0"/>
                <w:sz w:val="20"/>
                <w:szCs w:val="20"/>
                <w:highlight w:val="none"/>
                <w:u w:val="none"/>
                <w:lang w:val="en-US" w:eastAsia="zh-CN" w:bidi="ar"/>
              </w:rPr>
              <w:t>2</w:t>
            </w:r>
            <w:r>
              <w:rPr>
                <w:rFonts w:hint="eastAsia" w:ascii="宋体" w:hAnsi="宋体" w:eastAsia="宋体" w:cs="宋体"/>
                <w:i w:val="0"/>
                <w:iCs w:val="0"/>
                <w:color w:val="000000"/>
                <w:kern w:val="0"/>
                <w:sz w:val="20"/>
                <w:szCs w:val="20"/>
                <w:highlight w:val="none"/>
                <w:u w:val="none"/>
                <w:lang w:val="en-US" w:eastAsia="zh-CN" w:bidi="ar"/>
              </w:rPr>
              <w:t>分，扣完为止。</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17B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w:t>
            </w:r>
          </w:p>
        </w:tc>
      </w:tr>
      <w:tr w14:paraId="04936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8A443">
            <w:pP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18810">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D1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“三公”经费</w:t>
            </w:r>
            <w:r>
              <w:rPr>
                <w:rFonts w:hint="eastAsia" w:ascii="宋体" w:hAnsi="宋体" w:eastAsia="宋体" w:cs="宋体"/>
                <w:i w:val="0"/>
                <w:iCs w:val="0"/>
                <w:color w:val="000000"/>
                <w:kern w:val="0"/>
                <w:sz w:val="20"/>
                <w:szCs w:val="20"/>
                <w:highlight w:val="none"/>
                <w:u w:val="none"/>
                <w:lang w:val="en-US" w:eastAsia="zh-CN" w:bidi="ar"/>
              </w:rPr>
              <w:t>控制率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CF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9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“三公”经费</w:t>
            </w:r>
            <w:r>
              <w:rPr>
                <w:rFonts w:hint="eastAsia" w:ascii="宋体" w:hAnsi="宋体" w:eastAsia="宋体" w:cs="宋体"/>
                <w:i w:val="0"/>
                <w:iCs w:val="0"/>
                <w:color w:val="000000"/>
                <w:kern w:val="0"/>
                <w:sz w:val="20"/>
                <w:szCs w:val="20"/>
                <w:highlight w:val="none"/>
                <w:u w:val="none"/>
                <w:lang w:val="en-US" w:eastAsia="zh-CN" w:bidi="ar"/>
              </w:rPr>
              <w:t>控制率-（</w:t>
            </w:r>
            <w:r>
              <w:rPr>
                <w:rFonts w:hint="eastAsia" w:ascii="宋体" w:hAnsi="宋体" w:cs="宋体"/>
                <w:i w:val="0"/>
                <w:iCs w:val="0"/>
                <w:color w:val="000000"/>
                <w:kern w:val="0"/>
                <w:sz w:val="20"/>
                <w:szCs w:val="20"/>
                <w:highlight w:val="none"/>
                <w:u w:val="none"/>
                <w:lang w:val="en-US" w:eastAsia="zh-CN" w:bidi="ar"/>
              </w:rPr>
              <w:t>“三公”经费</w:t>
            </w:r>
            <w:r>
              <w:rPr>
                <w:rFonts w:hint="eastAsia" w:ascii="宋体" w:hAnsi="宋体" w:eastAsia="宋体" w:cs="宋体"/>
                <w:i w:val="0"/>
                <w:iCs w:val="0"/>
                <w:color w:val="000000"/>
                <w:kern w:val="0"/>
                <w:sz w:val="20"/>
                <w:szCs w:val="20"/>
                <w:highlight w:val="none"/>
                <w:u w:val="none"/>
                <w:lang w:val="en-US" w:eastAsia="zh-CN" w:bidi="ar"/>
              </w:rPr>
              <w:t>实际支出数/</w:t>
            </w:r>
            <w:r>
              <w:rPr>
                <w:rFonts w:hint="eastAsia" w:ascii="宋体" w:hAnsi="宋体" w:cs="宋体"/>
                <w:i w:val="0"/>
                <w:iCs w:val="0"/>
                <w:color w:val="000000"/>
                <w:kern w:val="0"/>
                <w:sz w:val="20"/>
                <w:szCs w:val="20"/>
                <w:highlight w:val="none"/>
                <w:u w:val="none"/>
                <w:lang w:val="en-US" w:eastAsia="zh-CN" w:bidi="ar"/>
              </w:rPr>
              <w:t>“三公”经费预算</w:t>
            </w:r>
            <w:r>
              <w:rPr>
                <w:rFonts w:hint="eastAsia" w:ascii="宋体" w:hAnsi="宋体" w:eastAsia="宋体" w:cs="宋体"/>
                <w:i w:val="0"/>
                <w:iCs w:val="0"/>
                <w:color w:val="000000"/>
                <w:kern w:val="0"/>
                <w:sz w:val="20"/>
                <w:szCs w:val="20"/>
                <w:highlight w:val="none"/>
                <w:u w:val="none"/>
                <w:lang w:val="en-US" w:eastAsia="zh-CN" w:bidi="ar"/>
              </w:rPr>
              <w:t>安排数）×100%。</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AF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“三公”经费</w:t>
            </w:r>
            <w:r>
              <w:rPr>
                <w:rFonts w:hint="eastAsia" w:ascii="宋体" w:hAnsi="宋体" w:eastAsia="宋体" w:cs="宋体"/>
                <w:i w:val="0"/>
                <w:iCs w:val="0"/>
                <w:color w:val="000000"/>
                <w:kern w:val="0"/>
                <w:sz w:val="20"/>
                <w:szCs w:val="20"/>
                <w:highlight w:val="none"/>
                <w:u w:val="none"/>
                <w:lang w:val="en-US" w:eastAsia="zh-CN" w:bidi="ar"/>
              </w:rPr>
              <w:t>控制率=（</w:t>
            </w:r>
            <w:r>
              <w:rPr>
                <w:rFonts w:hint="eastAsia" w:ascii="宋体" w:hAnsi="宋体" w:cs="宋体"/>
                <w:i w:val="0"/>
                <w:iCs w:val="0"/>
                <w:color w:val="000000"/>
                <w:kern w:val="0"/>
                <w:sz w:val="20"/>
                <w:szCs w:val="20"/>
                <w:highlight w:val="none"/>
                <w:u w:val="none"/>
                <w:lang w:val="en-US" w:eastAsia="zh-CN" w:bidi="ar"/>
              </w:rPr>
              <w:t>“三公”经费</w:t>
            </w:r>
            <w:r>
              <w:rPr>
                <w:rFonts w:hint="eastAsia" w:ascii="宋体" w:hAnsi="宋体" w:eastAsia="宋体" w:cs="宋体"/>
                <w:i w:val="0"/>
                <w:iCs w:val="0"/>
                <w:color w:val="000000"/>
                <w:kern w:val="0"/>
                <w:sz w:val="20"/>
                <w:szCs w:val="20"/>
                <w:highlight w:val="none"/>
                <w:u w:val="none"/>
                <w:lang w:val="en-US" w:eastAsia="zh-CN" w:bidi="ar"/>
              </w:rPr>
              <w:t>实际支出数/</w:t>
            </w:r>
            <w:r>
              <w:rPr>
                <w:rFonts w:hint="eastAsia" w:ascii="宋体" w:hAnsi="宋体" w:cs="宋体"/>
                <w:i w:val="0"/>
                <w:iCs w:val="0"/>
                <w:color w:val="000000"/>
                <w:kern w:val="0"/>
                <w:sz w:val="20"/>
                <w:szCs w:val="20"/>
                <w:highlight w:val="none"/>
                <w:u w:val="none"/>
                <w:lang w:val="en-US" w:eastAsia="zh-CN" w:bidi="ar"/>
              </w:rPr>
              <w:t>“三公”经费预算</w:t>
            </w:r>
            <w:r>
              <w:rPr>
                <w:rFonts w:hint="eastAsia" w:ascii="宋体" w:hAnsi="宋体" w:eastAsia="宋体" w:cs="宋体"/>
                <w:i w:val="0"/>
                <w:iCs w:val="0"/>
                <w:color w:val="000000"/>
                <w:kern w:val="0"/>
                <w:sz w:val="20"/>
                <w:szCs w:val="20"/>
                <w:highlight w:val="none"/>
                <w:u w:val="none"/>
                <w:lang w:val="en-US" w:eastAsia="zh-CN" w:bidi="ar"/>
              </w:rPr>
              <w:t>安排数）×100%。为100%的计2分，每超过1个百分点扣0.</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分，扣完为止。</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499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r>
      <w:tr w14:paraId="0E01E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5"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D2F97">
            <w:pP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2EC3F">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639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政府采购执行率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8E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AD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部门本年度实际政府采购金额与年初政府采购预算的比率，用以反映和考核部门政府采购预算执行情况。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D2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政府采购执行率=（实际政府采购金额/政府采购预算数）×100%，为100%的计2分，每低于1个百分点扣0.5分，扣完为止；政府采购预算：采购机关根据事业发展计划和行政任务编制的并经过规定程序批准的年度政府采购计划。</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57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w:t>
            </w:r>
          </w:p>
        </w:tc>
      </w:tr>
      <w:tr w14:paraId="27CE1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1A65E">
            <w:pPr>
              <w:rPr>
                <w:rFonts w:hint="eastAsia" w:ascii="宋体" w:hAnsi="宋体" w:eastAsia="宋体" w:cs="宋体"/>
                <w:i w:val="0"/>
                <w:iCs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5591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预算管理（6分）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BB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管理制度健全性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0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6A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部门为加强预算管理、规范财务行为而制定的管理制度是否健全完整，用以反映和考核部门预算管理制度对完成主要职责或促进事业发展的保障情况。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43A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已制定或具有预算资金管理办法、内部财务管理制度、会计核算制度等管理制度计1分；相关管理制度合法、合规、完整计0.5分；相关管理制度得到有效执行计0.5分。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AB678">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w:t>
            </w:r>
          </w:p>
        </w:tc>
      </w:tr>
      <w:tr w14:paraId="75778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4D369">
            <w:pP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D79D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5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资金使用合规性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D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4E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部门使用预算资金是否符合相关的预算财务管理制度的规定，用以反映和考核部门预算资金的规范运行情况。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89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①符合国家财经法规和财务管理制度规定以及有关专项资金管理办法的规定计0.</w:t>
            </w:r>
            <w:r>
              <w:rPr>
                <w:rFonts w:hint="eastAsia" w:ascii="宋体" w:hAnsi="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t>分；②资金的拨付有完整的审批程序和手续计0.</w:t>
            </w:r>
            <w:r>
              <w:rPr>
                <w:rFonts w:hint="eastAsia" w:ascii="宋体" w:hAnsi="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t>分；③项目的重大开支经过评估论证计0.</w:t>
            </w:r>
            <w:r>
              <w:rPr>
                <w:rFonts w:hint="eastAsia" w:ascii="宋体" w:hAnsi="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t>分；④符合部门预算批复的用途计0.</w:t>
            </w:r>
            <w:r>
              <w:rPr>
                <w:rFonts w:hint="eastAsia" w:ascii="宋体" w:hAnsi="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t>分；⑤不存在截留、挤占、挪用、虚列支出</w:t>
            </w:r>
            <w:r>
              <w:rPr>
                <w:rFonts w:hint="eastAsia" w:ascii="宋体" w:hAnsi="宋体" w:cs="宋体"/>
                <w:i w:val="0"/>
                <w:iCs w:val="0"/>
                <w:color w:val="000000"/>
                <w:kern w:val="0"/>
                <w:sz w:val="20"/>
                <w:szCs w:val="20"/>
                <w:highlight w:val="none"/>
                <w:u w:val="none"/>
                <w:lang w:val="en-US" w:eastAsia="zh-CN" w:bidi="ar"/>
              </w:rPr>
              <w:t>、未按时支付</w:t>
            </w:r>
            <w:r>
              <w:rPr>
                <w:rFonts w:hint="eastAsia" w:ascii="宋体" w:hAnsi="宋体" w:eastAsia="宋体" w:cs="宋体"/>
                <w:i w:val="0"/>
                <w:iCs w:val="0"/>
                <w:color w:val="000000"/>
                <w:kern w:val="0"/>
                <w:sz w:val="20"/>
                <w:szCs w:val="20"/>
                <w:highlight w:val="none"/>
                <w:u w:val="none"/>
                <w:lang w:val="en-US" w:eastAsia="zh-CN" w:bidi="ar"/>
              </w:rPr>
              <w:t>等情况计0.</w:t>
            </w:r>
            <w:r>
              <w:rPr>
                <w:rFonts w:hint="eastAsia" w:ascii="宋体" w:hAnsi="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t>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CBC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1.6</w:t>
            </w:r>
          </w:p>
        </w:tc>
      </w:tr>
      <w:tr w14:paraId="17685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5"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2166E">
            <w:pPr>
              <w:jc w:val="center"/>
              <w:rPr>
                <w:rFonts w:hint="eastAsia" w:ascii="宋体" w:hAnsi="宋体" w:eastAsia="宋体" w:cs="宋体"/>
                <w:i w:val="0"/>
                <w:iCs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242852">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预算管理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DD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预决算信息公开性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FA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72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部门是否按照政府信息公开有关规定公开相关预决算信息，用以反映和考核部门预决算管理的公开透明情况。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87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①按规定内容公开预决算信息计0.5分；②按规定时限公开预决算信息计0.5分。预决算信息是指与部门预算、执行、决算、监督、绩效等管理相关的信息。</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21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r>
      <w:tr w14:paraId="7DB88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BE655">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41B1A">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84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基础信息完善性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3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46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部门基础信息是否完善，用以反映和考核基础信息对预算管理工作的支撑情况。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B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①基础数据信息和会计信息资料真实计0.4分；②基础数据信息和会计信息资料完整计0.3分；③基础数据信息和会计信息资料准确计0.3分。</w:t>
            </w:r>
            <w:r>
              <w:rPr>
                <w:rFonts w:hint="eastAsia" w:ascii="宋体" w:hAnsi="宋体" w:cs="宋体"/>
                <w:i w:val="0"/>
                <w:iCs w:val="0"/>
                <w:color w:val="000000"/>
                <w:kern w:val="0"/>
                <w:sz w:val="20"/>
                <w:szCs w:val="20"/>
                <w:highlight w:val="none"/>
                <w:u w:val="none"/>
                <w:lang w:val="en-US" w:eastAsia="zh-CN" w:bidi="ar"/>
              </w:rPr>
              <w:t>每有1例不符合，扣0.05分。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B72CF">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0.85</w:t>
            </w:r>
          </w:p>
        </w:tc>
      </w:tr>
      <w:tr w14:paraId="5C719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75" w:type="dxa"/>
            <w:vMerge w:val="continue"/>
            <w:tcBorders>
              <w:top w:val="single" w:color="000000" w:sz="4" w:space="0"/>
              <w:left w:val="single" w:color="000000" w:sz="4" w:space="0"/>
              <w:right w:val="single" w:color="000000" w:sz="4" w:space="0"/>
            </w:tcBorders>
            <w:shd w:val="clear" w:color="auto" w:fill="auto"/>
            <w:vAlign w:val="center"/>
          </w:tcPr>
          <w:p w14:paraId="6205FB32">
            <w:pPr>
              <w:jc w:val="center"/>
              <w:rPr>
                <w:rFonts w:hint="eastAsia" w:ascii="宋体" w:hAnsi="宋体" w:eastAsia="宋体" w:cs="宋体"/>
                <w:i w:val="0"/>
                <w:iCs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18F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资产管理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4CB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管理制度健全性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8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515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部门为加强资产管理、规范资产管理行为而制定的管理制度是否健全完整，用以反映和考核部门资产管理制度对完成主要职责或促进社会发展的保障情况。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39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①制定或具有资产管理制度计1分；②相关资金管理制度合法、合规、完整计0.5分；③相关资产管理制度得到有效执行计0.5分。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CAF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r>
      <w:tr w14:paraId="3F946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1075" w:type="dxa"/>
            <w:vMerge w:val="continue"/>
            <w:tcBorders>
              <w:left w:val="single" w:color="000000" w:sz="4" w:space="0"/>
              <w:right w:val="single" w:color="000000" w:sz="4" w:space="0"/>
            </w:tcBorders>
            <w:shd w:val="clear" w:color="auto" w:fill="auto"/>
            <w:vAlign w:val="center"/>
          </w:tcPr>
          <w:p w14:paraId="1D669433">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DE38E">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48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资产管理     安全性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635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3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部门的资产是否保存完整、使用合规、配置合理、处置规范、收入及时足额上缴，用以反映和考核部门资产安全运行情况。</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AF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①资产保存完整计0.4分；②资产配置合理计0.4分；③资产处置规范计0.4分；④资产账务管理合规、账实相符计0.4分；⑤资产有偿使用及处置收入及时足额上缴计0.4分。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E41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r>
      <w:tr w14:paraId="6BA2F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1075" w:type="dxa"/>
            <w:vMerge w:val="continue"/>
            <w:tcBorders>
              <w:left w:val="single" w:color="000000" w:sz="4" w:space="0"/>
              <w:bottom w:val="single" w:color="000000" w:sz="4" w:space="0"/>
              <w:right w:val="single" w:color="000000" w:sz="4" w:space="0"/>
            </w:tcBorders>
            <w:shd w:val="clear" w:color="auto" w:fill="auto"/>
            <w:vAlign w:val="center"/>
          </w:tcPr>
          <w:p w14:paraId="7463236B">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06304">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E8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固定资产利用率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3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73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部门实际在用固定资产总额与所有固定资产总额的比率，用以反映和考核部门固定资产使用效率程度。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C6C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固定资产利用率=（实际在用固定资产总额/所有固定资产总额）×100%。利用率为100%的计</w:t>
            </w:r>
            <w:r>
              <w:rPr>
                <w:rFonts w:hint="eastAsia" w:ascii="宋体" w:hAnsi="宋体" w:cs="宋体"/>
                <w:i w:val="0"/>
                <w:iCs w:val="0"/>
                <w:color w:val="000000"/>
                <w:kern w:val="0"/>
                <w:sz w:val="20"/>
                <w:szCs w:val="20"/>
                <w:highlight w:val="none"/>
                <w:u w:val="none"/>
                <w:lang w:val="en-US" w:eastAsia="zh-CN" w:bidi="ar"/>
              </w:rPr>
              <w:t>1</w:t>
            </w:r>
            <w:r>
              <w:rPr>
                <w:rFonts w:hint="eastAsia" w:ascii="宋体" w:hAnsi="宋体" w:eastAsia="宋体" w:cs="宋体"/>
                <w:i w:val="0"/>
                <w:iCs w:val="0"/>
                <w:color w:val="000000"/>
                <w:kern w:val="0"/>
                <w:sz w:val="20"/>
                <w:szCs w:val="20"/>
                <w:highlight w:val="none"/>
                <w:u w:val="none"/>
                <w:lang w:val="en-US" w:eastAsia="zh-CN" w:bidi="ar"/>
              </w:rPr>
              <w:t>分，每降1个百分点扣0.1分，扣完为止。</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BA5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w:t>
            </w:r>
          </w:p>
        </w:tc>
      </w:tr>
      <w:tr w14:paraId="5C01E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62E70">
            <w:pPr>
              <w:jc w:val="center"/>
              <w:rPr>
                <w:rFonts w:hint="eastAsia" w:ascii="宋体" w:hAnsi="宋体" w:cs="宋体"/>
                <w:i w:val="0"/>
                <w:iCs w:val="0"/>
                <w:color w:val="000000"/>
                <w:sz w:val="20"/>
                <w:szCs w:val="20"/>
                <w:highlight w:val="none"/>
                <w:u w:val="none"/>
                <w:lang w:val="en-US" w:eastAsia="zh-CN"/>
              </w:rPr>
            </w:pPr>
          </w:p>
          <w:p w14:paraId="20FC25F4">
            <w:pPr>
              <w:jc w:val="center"/>
              <w:rPr>
                <w:rFonts w:hint="eastAsia" w:ascii="宋体" w:hAnsi="宋体" w:cs="宋体"/>
                <w:i w:val="0"/>
                <w:iCs w:val="0"/>
                <w:color w:val="000000"/>
                <w:sz w:val="20"/>
                <w:szCs w:val="20"/>
                <w:highlight w:val="none"/>
                <w:u w:val="none"/>
                <w:lang w:val="en-US" w:eastAsia="zh-CN"/>
              </w:rPr>
            </w:pPr>
          </w:p>
          <w:p w14:paraId="6EBBB68C">
            <w:pPr>
              <w:jc w:val="center"/>
              <w:rPr>
                <w:rFonts w:hint="eastAsia" w:ascii="宋体" w:hAnsi="宋体" w:cs="宋体"/>
                <w:i w:val="0"/>
                <w:iCs w:val="0"/>
                <w:color w:val="000000"/>
                <w:sz w:val="20"/>
                <w:szCs w:val="20"/>
                <w:highlight w:val="none"/>
                <w:u w:val="none"/>
                <w:lang w:val="en-US" w:eastAsia="zh-CN"/>
              </w:rPr>
            </w:pPr>
          </w:p>
          <w:p w14:paraId="17751821">
            <w:pPr>
              <w:jc w:val="center"/>
              <w:rPr>
                <w:rFonts w:hint="eastAsia" w:ascii="宋体" w:hAnsi="宋体" w:cs="宋体"/>
                <w:i w:val="0"/>
                <w:iCs w:val="0"/>
                <w:color w:val="000000"/>
                <w:sz w:val="20"/>
                <w:szCs w:val="20"/>
                <w:highlight w:val="none"/>
                <w:u w:val="none"/>
                <w:lang w:val="en-US" w:eastAsia="zh-CN"/>
              </w:rPr>
            </w:pPr>
          </w:p>
          <w:p w14:paraId="19B324DE">
            <w:pPr>
              <w:jc w:val="center"/>
              <w:rPr>
                <w:rFonts w:hint="eastAsia" w:ascii="宋体" w:hAnsi="宋体" w:cs="宋体"/>
                <w:i w:val="0"/>
                <w:iCs w:val="0"/>
                <w:color w:val="000000"/>
                <w:sz w:val="20"/>
                <w:szCs w:val="20"/>
                <w:highlight w:val="none"/>
                <w:u w:val="none"/>
                <w:lang w:val="en-US" w:eastAsia="zh-CN"/>
              </w:rPr>
            </w:pPr>
          </w:p>
          <w:p w14:paraId="14952B6E">
            <w:pPr>
              <w:jc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产出（30分）</w:t>
            </w:r>
          </w:p>
          <w:p w14:paraId="59F61B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0ED459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4080CE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048F9D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7A58ED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726757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443811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70CF2D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718819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1B4BC4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p>
          <w:p w14:paraId="7F357F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cs="宋体"/>
                <w:i w:val="0"/>
                <w:iCs w:val="0"/>
                <w:color w:val="000000"/>
                <w:kern w:val="0"/>
                <w:sz w:val="22"/>
                <w:szCs w:val="22"/>
                <w:highlight w:val="none"/>
                <w:u w:val="none"/>
                <w:lang w:val="en-US" w:eastAsia="zh-CN" w:bidi="ar"/>
              </w:rPr>
              <w:t>产出</w:t>
            </w:r>
          </w:p>
          <w:p w14:paraId="284B9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E2E83">
            <w:pPr>
              <w:jc w:val="center"/>
              <w:rPr>
                <w:rFonts w:hint="eastAsia" w:ascii="宋体" w:hAnsi="宋体" w:cs="宋体"/>
                <w:i w:val="0"/>
                <w:iCs w:val="0"/>
                <w:color w:val="000000"/>
                <w:sz w:val="20"/>
                <w:szCs w:val="20"/>
                <w:highlight w:val="none"/>
                <w:u w:val="none"/>
                <w:lang w:val="en-US" w:eastAsia="zh-CN"/>
              </w:rPr>
            </w:pPr>
          </w:p>
          <w:p w14:paraId="558A8BCC">
            <w:pPr>
              <w:jc w:val="center"/>
              <w:rPr>
                <w:rFonts w:hint="eastAsia" w:ascii="宋体" w:hAnsi="宋体" w:cs="宋体"/>
                <w:i w:val="0"/>
                <w:iCs w:val="0"/>
                <w:color w:val="000000"/>
                <w:sz w:val="20"/>
                <w:szCs w:val="20"/>
                <w:highlight w:val="none"/>
                <w:u w:val="none"/>
                <w:lang w:val="en-US" w:eastAsia="zh-CN"/>
              </w:rPr>
            </w:pPr>
          </w:p>
          <w:p w14:paraId="36B83552">
            <w:pPr>
              <w:jc w:val="center"/>
              <w:rPr>
                <w:rFonts w:hint="eastAsia" w:ascii="宋体" w:hAnsi="宋体" w:cs="宋体"/>
                <w:i w:val="0"/>
                <w:iCs w:val="0"/>
                <w:color w:val="000000"/>
                <w:sz w:val="20"/>
                <w:szCs w:val="20"/>
                <w:highlight w:val="none"/>
                <w:u w:val="none"/>
                <w:lang w:val="en-US" w:eastAsia="zh-CN"/>
              </w:rPr>
            </w:pPr>
          </w:p>
          <w:p w14:paraId="503D9C1D">
            <w:pPr>
              <w:jc w:val="center"/>
              <w:rPr>
                <w:rFonts w:hint="eastAsia" w:ascii="宋体" w:hAnsi="宋体" w:cs="宋体"/>
                <w:i w:val="0"/>
                <w:iCs w:val="0"/>
                <w:color w:val="000000"/>
                <w:sz w:val="20"/>
                <w:szCs w:val="20"/>
                <w:highlight w:val="none"/>
                <w:u w:val="none"/>
                <w:lang w:val="en-US" w:eastAsia="zh-CN"/>
              </w:rPr>
            </w:pPr>
          </w:p>
          <w:p w14:paraId="57C0442B">
            <w:pPr>
              <w:jc w:val="center"/>
              <w:rPr>
                <w:rFonts w:hint="eastAsia" w:ascii="宋体" w:hAnsi="宋体" w:cs="宋体"/>
                <w:i w:val="0"/>
                <w:iCs w:val="0"/>
                <w:color w:val="000000"/>
                <w:sz w:val="20"/>
                <w:szCs w:val="20"/>
                <w:highlight w:val="none"/>
                <w:u w:val="none"/>
                <w:lang w:val="en-US" w:eastAsia="zh-CN"/>
              </w:rPr>
            </w:pPr>
          </w:p>
          <w:p w14:paraId="3BAE0FCA">
            <w:pPr>
              <w:jc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职责履行</w:t>
            </w:r>
          </w:p>
          <w:p w14:paraId="110C5CFE">
            <w:pPr>
              <w:jc w:val="center"/>
              <w:rPr>
                <w:rFonts w:hint="eastAsia" w:ascii="宋体" w:hAnsi="宋体" w:cs="宋体"/>
                <w:i w:val="0"/>
                <w:iCs w:val="0"/>
                <w:color w:val="000000"/>
                <w:sz w:val="20"/>
                <w:szCs w:val="20"/>
                <w:highlight w:val="none"/>
                <w:u w:val="none"/>
                <w:lang w:val="en-US" w:eastAsia="zh-CN"/>
              </w:rPr>
            </w:pPr>
          </w:p>
          <w:p w14:paraId="0DF2B4E3">
            <w:pPr>
              <w:jc w:val="center"/>
              <w:rPr>
                <w:rFonts w:hint="eastAsia" w:ascii="宋体" w:hAnsi="宋体" w:cs="宋体"/>
                <w:i w:val="0"/>
                <w:iCs w:val="0"/>
                <w:color w:val="000000"/>
                <w:sz w:val="20"/>
                <w:szCs w:val="20"/>
                <w:highlight w:val="none"/>
                <w:u w:val="none"/>
                <w:lang w:val="en-US" w:eastAsia="zh-CN"/>
              </w:rPr>
            </w:pPr>
          </w:p>
          <w:p w14:paraId="726181EB">
            <w:pPr>
              <w:jc w:val="center"/>
              <w:rPr>
                <w:rFonts w:hint="eastAsia" w:ascii="宋体" w:hAnsi="宋体" w:cs="宋体"/>
                <w:i w:val="0"/>
                <w:iCs w:val="0"/>
                <w:color w:val="000000"/>
                <w:sz w:val="20"/>
                <w:szCs w:val="20"/>
                <w:highlight w:val="none"/>
                <w:u w:val="none"/>
                <w:lang w:val="en-US" w:eastAsia="zh-CN"/>
              </w:rPr>
            </w:pPr>
          </w:p>
          <w:p w14:paraId="74A22D82">
            <w:pPr>
              <w:jc w:val="center"/>
              <w:rPr>
                <w:rFonts w:hint="eastAsia" w:ascii="宋体" w:hAnsi="宋体" w:cs="宋体"/>
                <w:i w:val="0"/>
                <w:iCs w:val="0"/>
                <w:color w:val="000000"/>
                <w:sz w:val="20"/>
                <w:szCs w:val="20"/>
                <w:highlight w:val="none"/>
                <w:u w:val="none"/>
                <w:lang w:val="en-US" w:eastAsia="zh-CN"/>
              </w:rPr>
            </w:pPr>
          </w:p>
          <w:p w14:paraId="75FACBA4">
            <w:pPr>
              <w:jc w:val="center"/>
              <w:rPr>
                <w:rFonts w:hint="eastAsia" w:ascii="宋体" w:hAnsi="宋体" w:cs="宋体"/>
                <w:i w:val="0"/>
                <w:iCs w:val="0"/>
                <w:color w:val="000000"/>
                <w:sz w:val="20"/>
                <w:szCs w:val="20"/>
                <w:highlight w:val="none"/>
                <w:u w:val="none"/>
                <w:lang w:val="en-US" w:eastAsia="zh-CN"/>
              </w:rPr>
            </w:pPr>
          </w:p>
          <w:p w14:paraId="773D638B">
            <w:pPr>
              <w:jc w:val="center"/>
              <w:rPr>
                <w:rFonts w:hint="eastAsia" w:ascii="宋体" w:hAnsi="宋体" w:cs="宋体"/>
                <w:i w:val="0"/>
                <w:iCs w:val="0"/>
                <w:color w:val="000000"/>
                <w:sz w:val="20"/>
                <w:szCs w:val="20"/>
                <w:highlight w:val="none"/>
                <w:u w:val="none"/>
                <w:lang w:val="en-US" w:eastAsia="zh-CN"/>
              </w:rPr>
            </w:pPr>
          </w:p>
          <w:p w14:paraId="4377E112">
            <w:pPr>
              <w:jc w:val="center"/>
              <w:rPr>
                <w:rFonts w:hint="eastAsia" w:ascii="宋体" w:hAnsi="宋体" w:cs="宋体"/>
                <w:i w:val="0"/>
                <w:iCs w:val="0"/>
                <w:color w:val="000000"/>
                <w:sz w:val="20"/>
                <w:szCs w:val="20"/>
                <w:highlight w:val="none"/>
                <w:u w:val="none"/>
                <w:lang w:val="en-US" w:eastAsia="zh-CN"/>
              </w:rPr>
            </w:pPr>
          </w:p>
          <w:p w14:paraId="2280BF83">
            <w:pPr>
              <w:jc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sz w:val="20"/>
                <w:szCs w:val="20"/>
                <w:highlight w:val="none"/>
                <w:u w:val="none"/>
                <w:lang w:val="en-US" w:eastAsia="zh-CN"/>
              </w:rPr>
              <w:t>职责履行</w:t>
            </w:r>
          </w:p>
          <w:p w14:paraId="50A4C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10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实际完成率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7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6</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B6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部门履行职责而实际完成工作数与计划工作数的比率，用以反映和考核部门履职工作任务目标的实现程度。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888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实际完成率得分=完成市委、市政府绩效考核得分或上级主管部门考核指标得分</w:t>
            </w:r>
            <w:r>
              <w:rPr>
                <w:rFonts w:hint="eastAsia" w:ascii="宋体" w:hAnsi="宋体" w:cs="宋体"/>
                <w:i w:val="0"/>
                <w:iCs w:val="0"/>
                <w:color w:val="000000"/>
                <w:kern w:val="0"/>
                <w:sz w:val="20"/>
                <w:szCs w:val="20"/>
                <w:highlight w:val="none"/>
                <w:u w:val="none"/>
                <w:lang w:val="en-US" w:eastAsia="zh-CN" w:bidi="ar"/>
              </w:rPr>
              <w:t>或全年绩效指标值，完成率</w:t>
            </w:r>
            <w:r>
              <w:rPr>
                <w:rFonts w:hint="eastAsia" w:ascii="宋体" w:hAnsi="宋体" w:eastAsia="宋体" w:cs="宋体"/>
                <w:i w:val="0"/>
                <w:iCs w:val="0"/>
                <w:color w:val="000000"/>
                <w:kern w:val="0"/>
                <w:sz w:val="20"/>
                <w:szCs w:val="20"/>
                <w:highlight w:val="none"/>
                <w:u w:val="none"/>
                <w:lang w:val="en-US" w:eastAsia="zh-CN" w:bidi="ar"/>
              </w:rPr>
              <w:t>×指标分值</w:t>
            </w:r>
            <w:r>
              <w:rPr>
                <w:rFonts w:hint="eastAsia" w:ascii="宋体" w:hAnsi="宋体" w:cs="宋体"/>
                <w:i w:val="0"/>
                <w:iCs w:val="0"/>
                <w:color w:val="000000"/>
                <w:kern w:val="0"/>
                <w:sz w:val="20"/>
                <w:szCs w:val="20"/>
                <w:highlight w:val="none"/>
                <w:u w:val="none"/>
                <w:lang w:val="en-US" w:eastAsia="zh-CN" w:bidi="ar"/>
              </w:rPr>
              <w:t>6</w:t>
            </w:r>
            <w:r>
              <w:rPr>
                <w:rFonts w:hint="eastAsia" w:ascii="宋体" w:hAnsi="宋体" w:eastAsia="宋体" w:cs="宋体"/>
                <w:i w:val="0"/>
                <w:iCs w:val="0"/>
                <w:color w:val="000000"/>
                <w:kern w:val="0"/>
                <w:sz w:val="20"/>
                <w:szCs w:val="20"/>
                <w:highlight w:val="none"/>
                <w:u w:val="none"/>
                <w:lang w:val="en-US" w:eastAsia="zh-CN" w:bidi="ar"/>
              </w:rPr>
              <w:t>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4D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5.72</w:t>
            </w:r>
          </w:p>
        </w:tc>
      </w:tr>
      <w:tr w14:paraId="7263C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00C8F">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C2ABB">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400C">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完成及时率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3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C5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部门在规定时限内及时完成的实际工作数与计划工作数的比率,用以反映和考核部门履职时效目标的实现程度。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9A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完成及时率=（及时完成实际工作数/计划工作数）×100%。1-4季度各得1分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44EF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4</w:t>
            </w:r>
          </w:p>
        </w:tc>
      </w:tr>
      <w:tr w14:paraId="56833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44B96">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7E6CE">
            <w:pPr>
              <w:jc w:val="center"/>
              <w:rPr>
                <w:rFonts w:hint="eastAsia" w:ascii="宋体" w:hAnsi="宋体" w:eastAsia="宋体" w:cs="宋体"/>
                <w:i w:val="0"/>
                <w:iCs w:val="0"/>
                <w:color w:val="000000"/>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2E9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质量达标率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78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058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达到质量标准（绩效标准值）的实际工作数与计划工作数的比率,用以反映和考核部门履职质量目标的实现程度。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A80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质量达标率=（质量达标实际工作数/计划工作数）×100%。实际得分=达标率*</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B9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w:t>
            </w:r>
          </w:p>
        </w:tc>
      </w:tr>
      <w:tr w14:paraId="58773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075" w:type="dxa"/>
            <w:vMerge w:val="continue"/>
            <w:tcBorders>
              <w:top w:val="single" w:color="000000" w:sz="4" w:space="0"/>
              <w:left w:val="single" w:color="000000" w:sz="4" w:space="0"/>
              <w:right w:val="single" w:color="000000" w:sz="4" w:space="0"/>
            </w:tcBorders>
            <w:shd w:val="clear" w:color="auto" w:fill="auto"/>
            <w:vAlign w:val="center"/>
          </w:tcPr>
          <w:p w14:paraId="011D43B4">
            <w:pPr>
              <w:jc w:val="center"/>
              <w:rPr>
                <w:rFonts w:hint="eastAsia" w:ascii="宋体" w:hAnsi="宋体" w:cs="宋体"/>
                <w:i w:val="0"/>
                <w:iCs w:val="0"/>
                <w:color w:val="000000"/>
                <w:sz w:val="22"/>
                <w:szCs w:val="22"/>
                <w:highlight w:val="none"/>
                <w:u w:val="none"/>
                <w:lang w:val="en-US" w:eastAsia="zh-CN"/>
              </w:rPr>
            </w:pPr>
          </w:p>
        </w:tc>
        <w:tc>
          <w:tcPr>
            <w:tcW w:w="1065" w:type="dxa"/>
            <w:vMerge w:val="continue"/>
            <w:tcBorders>
              <w:top w:val="single" w:color="000000" w:sz="4" w:space="0"/>
              <w:left w:val="single" w:color="000000" w:sz="4" w:space="0"/>
              <w:right w:val="single" w:color="000000" w:sz="4" w:space="0"/>
            </w:tcBorders>
            <w:shd w:val="clear" w:color="auto" w:fill="auto"/>
            <w:vAlign w:val="center"/>
          </w:tcPr>
          <w:p w14:paraId="7AD832A2">
            <w:pPr>
              <w:jc w:val="center"/>
              <w:rPr>
                <w:rFonts w:hint="eastAsia" w:ascii="宋体" w:hAnsi="宋体" w:cs="宋体"/>
                <w:i w:val="0"/>
                <w:iCs w:val="0"/>
                <w:color w:val="000000"/>
                <w:sz w:val="20"/>
                <w:szCs w:val="20"/>
                <w:highlight w:val="none"/>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E1B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年度重点工作办结率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33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7</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24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部门年度重点工作</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（是指党委、政府、人大、相关部门交办或下达的工作任务）。实际完成数与交办或下达数的比率，用以反映部门对重点工作的办理落实程度。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CF2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部门重点工作办结率=重点工作实际完成数/交办或下达数×100%。用以反映部门对重点工作的办理落实程度。</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A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7</w:t>
            </w:r>
          </w:p>
        </w:tc>
      </w:tr>
      <w:tr w14:paraId="5C6C6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75" w:type="dxa"/>
            <w:vMerge w:val="continue"/>
            <w:tcBorders>
              <w:left w:val="single" w:color="000000" w:sz="4" w:space="0"/>
              <w:bottom w:val="single" w:color="000000" w:sz="4" w:space="0"/>
              <w:right w:val="single" w:color="000000" w:sz="4" w:space="0"/>
            </w:tcBorders>
            <w:shd w:val="clear" w:color="auto" w:fill="auto"/>
            <w:vAlign w:val="center"/>
          </w:tcPr>
          <w:p w14:paraId="06D90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c>
          <w:tcPr>
            <w:tcW w:w="1065" w:type="dxa"/>
            <w:vMerge w:val="continue"/>
            <w:tcBorders>
              <w:left w:val="single" w:color="000000" w:sz="4" w:space="0"/>
              <w:bottom w:val="single" w:color="000000" w:sz="4" w:space="0"/>
              <w:right w:val="single" w:color="000000" w:sz="4" w:space="0"/>
            </w:tcBorders>
            <w:shd w:val="clear" w:color="auto" w:fill="auto"/>
            <w:vAlign w:val="center"/>
          </w:tcPr>
          <w:p w14:paraId="031CD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08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年度工作绩效考核</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B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8</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BAB4">
            <w:pPr>
              <w:keepNext w:val="0"/>
              <w:keepLines w:val="0"/>
              <w:widowControl/>
              <w:suppressLineNumbers w:val="0"/>
              <w:jc w:val="left"/>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根据</w:t>
            </w:r>
            <w:r>
              <w:rPr>
                <w:rFonts w:hint="eastAsia" w:ascii="宋体" w:hAnsi="宋体" w:cs="宋体"/>
                <w:i w:val="0"/>
                <w:iCs w:val="0"/>
                <w:color w:val="000000"/>
                <w:kern w:val="0"/>
                <w:sz w:val="20"/>
                <w:szCs w:val="20"/>
                <w:highlight w:val="none"/>
                <w:u w:val="none"/>
                <w:lang w:val="en-US" w:eastAsia="zh-CN" w:bidi="ar"/>
              </w:rPr>
              <w:t>益阳市</w:t>
            </w:r>
            <w:r>
              <w:rPr>
                <w:rFonts w:hint="eastAsia" w:ascii="宋体" w:hAnsi="宋体" w:eastAsia="宋体" w:cs="宋体"/>
                <w:i w:val="0"/>
                <w:iCs w:val="0"/>
                <w:color w:val="000000"/>
                <w:kern w:val="0"/>
                <w:sz w:val="20"/>
                <w:szCs w:val="20"/>
                <w:highlight w:val="none"/>
                <w:u w:val="none"/>
                <w:lang w:val="en-US" w:eastAsia="zh-CN" w:bidi="ar"/>
              </w:rPr>
              <w:t>委</w:t>
            </w:r>
            <w:r>
              <w:rPr>
                <w:rFonts w:hint="eastAsia" w:ascii="宋体" w:hAnsi="宋体" w:cs="宋体"/>
                <w:i w:val="0"/>
                <w:iCs w:val="0"/>
                <w:color w:val="000000"/>
                <w:kern w:val="0"/>
                <w:sz w:val="20"/>
                <w:szCs w:val="20"/>
                <w:highlight w:val="none"/>
                <w:u w:val="none"/>
                <w:lang w:val="en-US" w:eastAsia="zh-CN" w:bidi="ar"/>
              </w:rPr>
              <w:t>组织</w:t>
            </w:r>
            <w:r>
              <w:rPr>
                <w:rFonts w:hint="eastAsia" w:ascii="宋体" w:hAnsi="宋体" w:eastAsia="宋体" w:cs="宋体"/>
                <w:i w:val="0"/>
                <w:iCs w:val="0"/>
                <w:color w:val="000000"/>
                <w:kern w:val="0"/>
                <w:sz w:val="20"/>
                <w:szCs w:val="20"/>
                <w:highlight w:val="none"/>
                <w:u w:val="none"/>
                <w:lang w:val="en-US" w:eastAsia="zh-CN" w:bidi="ar"/>
              </w:rPr>
              <w:t>部</w:t>
            </w:r>
            <w:r>
              <w:rPr>
                <w:rFonts w:hint="eastAsia" w:ascii="宋体" w:hAnsi="宋体" w:cs="宋体"/>
                <w:i w:val="0"/>
                <w:iCs w:val="0"/>
                <w:color w:val="000000"/>
                <w:kern w:val="0"/>
                <w:sz w:val="20"/>
                <w:szCs w:val="20"/>
                <w:highlight w:val="none"/>
                <w:u w:val="none"/>
                <w:lang w:val="en-US" w:eastAsia="zh-CN" w:bidi="ar"/>
              </w:rPr>
              <w:t>对市市管领导班子年度考核等次评定</w:t>
            </w:r>
            <w:r>
              <w:rPr>
                <w:rFonts w:hint="eastAsia" w:ascii="宋体" w:hAnsi="宋体" w:eastAsia="宋体" w:cs="宋体"/>
                <w:i w:val="0"/>
                <w:iCs w:val="0"/>
                <w:color w:val="000000"/>
                <w:kern w:val="0"/>
                <w:sz w:val="20"/>
                <w:szCs w:val="20"/>
                <w:highlight w:val="none"/>
                <w:u w:val="none"/>
                <w:lang w:val="en-US" w:eastAsia="zh-CN" w:bidi="ar"/>
              </w:rPr>
              <w:t>结果评分。</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AD9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目标值为</w:t>
            </w:r>
            <w:r>
              <w:rPr>
                <w:rFonts w:hint="eastAsia" w:ascii="宋体" w:hAnsi="宋体" w:cs="宋体"/>
                <w:i w:val="0"/>
                <w:iCs w:val="0"/>
                <w:color w:val="000000"/>
                <w:kern w:val="0"/>
                <w:sz w:val="20"/>
                <w:szCs w:val="20"/>
                <w:highlight w:val="none"/>
                <w:u w:val="none"/>
                <w:lang w:val="en-US" w:eastAsia="zh-CN" w:bidi="ar"/>
              </w:rPr>
              <w:t>优</w:t>
            </w:r>
            <w:r>
              <w:rPr>
                <w:rFonts w:hint="eastAsia" w:ascii="宋体" w:hAnsi="宋体" w:eastAsia="宋体" w:cs="宋体"/>
                <w:i w:val="0"/>
                <w:iCs w:val="0"/>
                <w:color w:val="000000"/>
                <w:kern w:val="0"/>
                <w:sz w:val="20"/>
                <w:szCs w:val="20"/>
                <w:highlight w:val="none"/>
                <w:u w:val="none"/>
                <w:lang w:val="en-US" w:eastAsia="zh-CN" w:bidi="ar"/>
              </w:rPr>
              <w:t>等次；达到目标值得 8 分；评估结果为</w:t>
            </w:r>
            <w:r>
              <w:rPr>
                <w:rFonts w:hint="eastAsia" w:ascii="宋体" w:hAnsi="宋体" w:cs="宋体"/>
                <w:i w:val="0"/>
                <w:iCs w:val="0"/>
                <w:color w:val="000000"/>
                <w:kern w:val="0"/>
                <w:sz w:val="20"/>
                <w:szCs w:val="20"/>
                <w:highlight w:val="none"/>
                <w:u w:val="none"/>
                <w:lang w:val="en-US" w:eastAsia="zh-CN" w:bidi="ar"/>
              </w:rPr>
              <w:t>良等</w:t>
            </w:r>
            <w:r>
              <w:rPr>
                <w:rFonts w:hint="eastAsia" w:ascii="宋体" w:hAnsi="宋体" w:eastAsia="宋体" w:cs="宋体"/>
                <w:i w:val="0"/>
                <w:iCs w:val="0"/>
                <w:color w:val="000000"/>
                <w:kern w:val="0"/>
                <w:sz w:val="20"/>
                <w:szCs w:val="20"/>
                <w:highlight w:val="none"/>
                <w:u w:val="none"/>
                <w:lang w:val="en-US" w:eastAsia="zh-CN" w:bidi="ar"/>
              </w:rPr>
              <w:t>次7分；评估结果为</w:t>
            </w:r>
            <w:r>
              <w:rPr>
                <w:rFonts w:hint="eastAsia" w:ascii="宋体" w:hAnsi="宋体" w:cs="宋体"/>
                <w:i w:val="0"/>
                <w:iCs w:val="0"/>
                <w:color w:val="000000"/>
                <w:kern w:val="0"/>
                <w:sz w:val="20"/>
                <w:szCs w:val="20"/>
                <w:highlight w:val="none"/>
                <w:u w:val="none"/>
                <w:lang w:val="en-US" w:eastAsia="zh-CN" w:bidi="ar"/>
              </w:rPr>
              <w:t>合格</w:t>
            </w:r>
            <w:r>
              <w:rPr>
                <w:rFonts w:hint="eastAsia" w:ascii="宋体" w:hAnsi="宋体" w:eastAsia="宋体" w:cs="宋体"/>
                <w:i w:val="0"/>
                <w:iCs w:val="0"/>
                <w:color w:val="000000"/>
                <w:kern w:val="0"/>
                <w:sz w:val="20"/>
                <w:szCs w:val="20"/>
                <w:highlight w:val="none"/>
                <w:u w:val="none"/>
                <w:lang w:val="en-US" w:eastAsia="zh-CN" w:bidi="ar"/>
              </w:rPr>
              <w:t>等次6分；评估结果为</w:t>
            </w:r>
            <w:r>
              <w:rPr>
                <w:rFonts w:hint="eastAsia" w:ascii="宋体" w:hAnsi="宋体" w:cs="宋体"/>
                <w:i w:val="0"/>
                <w:iCs w:val="0"/>
                <w:color w:val="000000"/>
                <w:kern w:val="0"/>
                <w:sz w:val="20"/>
                <w:szCs w:val="20"/>
                <w:highlight w:val="none"/>
                <w:u w:val="none"/>
                <w:lang w:val="en-US" w:eastAsia="zh-CN" w:bidi="ar"/>
              </w:rPr>
              <w:t>不合格不计分</w:t>
            </w:r>
            <w:r>
              <w:rPr>
                <w:rFonts w:hint="eastAsia" w:ascii="宋体" w:hAnsi="宋体" w:eastAsia="宋体" w:cs="宋体"/>
                <w:i w:val="0"/>
                <w:iCs w:val="0"/>
                <w:color w:val="000000"/>
                <w:kern w:val="0"/>
                <w:sz w:val="20"/>
                <w:szCs w:val="20"/>
                <w:highlight w:val="none"/>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92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r>
      <w:tr w14:paraId="2DBEA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1075" w:type="dxa"/>
            <w:vMerge w:val="restart"/>
            <w:tcBorders>
              <w:top w:val="single" w:color="000000" w:sz="4" w:space="0"/>
              <w:left w:val="single" w:color="000000" w:sz="4" w:space="0"/>
              <w:right w:val="single" w:color="000000" w:sz="4" w:space="0"/>
            </w:tcBorders>
            <w:shd w:val="clear" w:color="auto" w:fill="auto"/>
            <w:vAlign w:val="center"/>
          </w:tcPr>
          <w:p w14:paraId="2F71376C">
            <w:pPr>
              <w:jc w:val="center"/>
              <w:rPr>
                <w:rFonts w:hint="eastAsia" w:ascii="宋体" w:hAnsi="宋体" w:cs="宋体"/>
                <w:i w:val="0"/>
                <w:iCs w:val="0"/>
                <w:color w:val="000000"/>
                <w:sz w:val="22"/>
                <w:szCs w:val="22"/>
                <w:highlight w:val="none"/>
                <w:u w:val="none"/>
                <w:lang w:val="en-US" w:eastAsia="zh-CN"/>
              </w:rPr>
            </w:pPr>
            <w:r>
              <w:rPr>
                <w:rFonts w:hint="eastAsia" w:ascii="宋体" w:hAnsi="宋体" w:cs="宋体"/>
                <w:i w:val="0"/>
                <w:iCs w:val="0"/>
                <w:color w:val="000000"/>
                <w:sz w:val="22"/>
                <w:szCs w:val="22"/>
                <w:highlight w:val="none"/>
                <w:u w:val="none"/>
                <w:lang w:val="en-US" w:eastAsia="zh-CN"/>
              </w:rPr>
              <w:t>效益（20分）</w:t>
            </w:r>
          </w:p>
          <w:p w14:paraId="4F5577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c>
          <w:tcPr>
            <w:tcW w:w="1065" w:type="dxa"/>
            <w:vMerge w:val="restart"/>
            <w:tcBorders>
              <w:top w:val="single" w:color="000000" w:sz="4" w:space="0"/>
              <w:left w:val="single" w:color="000000" w:sz="4" w:space="0"/>
              <w:right w:val="single" w:color="000000" w:sz="4" w:space="0"/>
            </w:tcBorders>
            <w:shd w:val="clear" w:color="auto" w:fill="auto"/>
            <w:vAlign w:val="center"/>
          </w:tcPr>
          <w:p w14:paraId="4AF28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sz w:val="20"/>
                <w:szCs w:val="20"/>
                <w:highlight w:val="none"/>
                <w:u w:val="none"/>
                <w:lang w:val="en-US" w:eastAsia="zh-CN"/>
              </w:rPr>
              <w:t>履职效益</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D4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经济效益</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0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55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部门履行职责对经济发展所带来的直接或间接影响。</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8E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(当年公共财政</w:t>
            </w:r>
            <w:r>
              <w:rPr>
                <w:rFonts w:hint="eastAsia" w:ascii="宋体" w:hAnsi="宋体" w:cs="宋体"/>
                <w:i w:val="0"/>
                <w:iCs w:val="0"/>
                <w:color w:val="000000"/>
                <w:kern w:val="0"/>
                <w:sz w:val="20"/>
                <w:szCs w:val="20"/>
                <w:highlight w:val="none"/>
                <w:u w:val="none"/>
                <w:lang w:val="en-US" w:eastAsia="zh-CN" w:bidi="ar"/>
              </w:rPr>
              <w:t>决</w:t>
            </w:r>
            <w:r>
              <w:rPr>
                <w:rFonts w:hint="eastAsia" w:ascii="宋体" w:hAnsi="宋体" w:eastAsia="宋体" w:cs="宋体"/>
                <w:i w:val="0"/>
                <w:iCs w:val="0"/>
                <w:color w:val="000000"/>
                <w:kern w:val="0"/>
                <w:sz w:val="20"/>
                <w:szCs w:val="20"/>
                <w:highlight w:val="none"/>
                <w:u w:val="none"/>
                <w:lang w:val="en-US" w:eastAsia="zh-CN" w:bidi="ar"/>
              </w:rPr>
              <w:t>算支出-上年公共财政</w:t>
            </w:r>
            <w:r>
              <w:rPr>
                <w:rFonts w:hint="eastAsia" w:ascii="宋体" w:hAnsi="宋体" w:cs="宋体"/>
                <w:i w:val="0"/>
                <w:iCs w:val="0"/>
                <w:color w:val="000000"/>
                <w:kern w:val="0"/>
                <w:sz w:val="20"/>
                <w:szCs w:val="20"/>
                <w:highlight w:val="none"/>
                <w:u w:val="none"/>
                <w:lang w:val="en-US" w:eastAsia="zh-CN" w:bidi="ar"/>
              </w:rPr>
              <w:t>决</w:t>
            </w:r>
            <w:r>
              <w:rPr>
                <w:rFonts w:hint="eastAsia" w:ascii="宋体" w:hAnsi="宋体" w:eastAsia="宋体" w:cs="宋体"/>
                <w:i w:val="0"/>
                <w:iCs w:val="0"/>
                <w:color w:val="000000"/>
                <w:kern w:val="0"/>
                <w:sz w:val="20"/>
                <w:szCs w:val="20"/>
                <w:highlight w:val="none"/>
                <w:u w:val="none"/>
                <w:lang w:val="en-US" w:eastAsia="zh-CN" w:bidi="ar"/>
              </w:rPr>
              <w:t>算支出) +上年</w:t>
            </w:r>
          </w:p>
          <w:p w14:paraId="24C75A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公共财政</w:t>
            </w:r>
            <w:r>
              <w:rPr>
                <w:rFonts w:hint="eastAsia" w:ascii="宋体" w:hAnsi="宋体" w:cs="宋体"/>
                <w:i w:val="0"/>
                <w:iCs w:val="0"/>
                <w:color w:val="000000"/>
                <w:kern w:val="0"/>
                <w:sz w:val="20"/>
                <w:szCs w:val="20"/>
                <w:highlight w:val="none"/>
                <w:u w:val="none"/>
                <w:lang w:val="en-US" w:eastAsia="zh-CN" w:bidi="ar"/>
              </w:rPr>
              <w:t>决</w:t>
            </w:r>
            <w:r>
              <w:rPr>
                <w:rFonts w:hint="eastAsia" w:ascii="宋体" w:hAnsi="宋体" w:eastAsia="宋体" w:cs="宋体"/>
                <w:i w:val="0"/>
                <w:iCs w:val="0"/>
                <w:color w:val="000000"/>
                <w:kern w:val="0"/>
                <w:sz w:val="20"/>
                <w:szCs w:val="20"/>
                <w:highlight w:val="none"/>
                <w:u w:val="none"/>
                <w:lang w:val="en-US" w:eastAsia="zh-CN" w:bidi="ar"/>
              </w:rPr>
              <w:t>算支出x 100%,≤100%计</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分，每高出一个百</w:t>
            </w:r>
          </w:p>
          <w:p w14:paraId="5A5944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分点扣</w:t>
            </w:r>
            <w:r>
              <w:rPr>
                <w:rFonts w:hint="eastAsia" w:ascii="宋体" w:hAnsi="宋体" w:cs="宋体"/>
                <w:i w:val="0"/>
                <w:iCs w:val="0"/>
                <w:color w:val="000000"/>
                <w:kern w:val="0"/>
                <w:sz w:val="20"/>
                <w:szCs w:val="20"/>
                <w:highlight w:val="none"/>
                <w:u w:val="none"/>
                <w:lang w:val="en-US" w:eastAsia="zh-CN" w:bidi="ar"/>
              </w:rPr>
              <w:t>0.5</w:t>
            </w:r>
            <w:r>
              <w:rPr>
                <w:rFonts w:hint="eastAsia" w:ascii="宋体" w:hAnsi="宋体" w:eastAsia="宋体" w:cs="宋体"/>
                <w:i w:val="0"/>
                <w:iCs w:val="0"/>
                <w:color w:val="000000"/>
                <w:kern w:val="0"/>
                <w:sz w:val="20"/>
                <w:szCs w:val="20"/>
                <w:highlight w:val="none"/>
                <w:u w:val="none"/>
                <w:lang w:val="en-US" w:eastAsia="zh-CN" w:bidi="ar"/>
              </w:rPr>
              <w:t>分，扣完为止。</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7C7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r>
      <w:tr w14:paraId="0F777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1075" w:type="dxa"/>
            <w:vMerge w:val="continue"/>
            <w:tcBorders>
              <w:left w:val="single" w:color="000000" w:sz="4" w:space="0"/>
              <w:right w:val="single" w:color="000000" w:sz="4" w:space="0"/>
            </w:tcBorders>
            <w:shd w:val="clear" w:color="auto" w:fill="auto"/>
            <w:vAlign w:val="center"/>
          </w:tcPr>
          <w:p w14:paraId="6F1D5D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5" w:type="dxa"/>
            <w:vMerge w:val="continue"/>
            <w:tcBorders>
              <w:left w:val="single" w:color="000000" w:sz="4" w:space="0"/>
              <w:right w:val="single" w:color="000000" w:sz="4" w:space="0"/>
            </w:tcBorders>
            <w:shd w:val="clear" w:color="auto" w:fill="auto"/>
            <w:vAlign w:val="center"/>
          </w:tcPr>
          <w:p w14:paraId="23353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B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A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12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部门履行职责对经济发展所带来的直接或间接影响。</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40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部门履行职责对社会稳定发展、民生改善作用良好，计5分，作用一般计3分，未发挥作用，不计分。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E704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r>
      <w:tr w14:paraId="65204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1075" w:type="dxa"/>
            <w:vMerge w:val="continue"/>
            <w:tcBorders>
              <w:left w:val="single" w:color="000000" w:sz="4" w:space="0"/>
              <w:right w:val="single" w:color="000000" w:sz="4" w:space="0"/>
            </w:tcBorders>
            <w:shd w:val="clear" w:color="auto" w:fill="auto"/>
            <w:vAlign w:val="center"/>
          </w:tcPr>
          <w:p w14:paraId="42311A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20"/>
                <w:szCs w:val="20"/>
                <w:highlight w:val="none"/>
                <w:u w:val="none"/>
                <w:lang w:val="en-US" w:eastAsia="zh-CN" w:bidi="ar"/>
              </w:rPr>
            </w:pPr>
          </w:p>
        </w:tc>
        <w:tc>
          <w:tcPr>
            <w:tcW w:w="1065" w:type="dxa"/>
            <w:vMerge w:val="continue"/>
            <w:tcBorders>
              <w:left w:val="single" w:color="000000" w:sz="4" w:space="0"/>
              <w:right w:val="single" w:color="000000" w:sz="4" w:space="0"/>
            </w:tcBorders>
            <w:shd w:val="clear" w:color="auto" w:fill="auto"/>
            <w:vAlign w:val="center"/>
          </w:tcPr>
          <w:p w14:paraId="17CFE0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20"/>
                <w:szCs w:val="20"/>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F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生态效益</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D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A1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部门履行职责对生态环境所带来的直接或间接影响。</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56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部门履职生态环境所带来直接或间接影响，</w:t>
            </w:r>
            <w:r>
              <w:rPr>
                <w:rFonts w:hint="eastAsia" w:ascii="宋体" w:hAnsi="宋体" w:cs="宋体"/>
                <w:i w:val="0"/>
                <w:iCs w:val="0"/>
                <w:color w:val="000000"/>
                <w:kern w:val="0"/>
                <w:sz w:val="20"/>
                <w:szCs w:val="20"/>
                <w:highlight w:val="none"/>
                <w:u w:val="none"/>
                <w:lang w:val="en-US" w:eastAsia="zh-CN" w:bidi="ar"/>
              </w:rPr>
              <w:t>监管项目或企业</w:t>
            </w:r>
            <w:r>
              <w:rPr>
                <w:rFonts w:hint="eastAsia" w:ascii="宋体" w:hAnsi="宋体" w:eastAsia="宋体" w:cs="宋体"/>
                <w:i w:val="0"/>
                <w:iCs w:val="0"/>
                <w:color w:val="000000"/>
                <w:kern w:val="0"/>
                <w:sz w:val="20"/>
                <w:szCs w:val="20"/>
                <w:highlight w:val="none"/>
                <w:u w:val="none"/>
                <w:lang w:val="en-US" w:eastAsia="zh-CN" w:bidi="ar"/>
              </w:rPr>
              <w:t>被生态管理部门、城市管理执法部门通报</w:t>
            </w:r>
            <w:r>
              <w:rPr>
                <w:rFonts w:hint="eastAsia" w:ascii="宋体" w:hAnsi="宋体" w:cs="宋体"/>
                <w:i w:val="0"/>
                <w:iCs w:val="0"/>
                <w:color w:val="000000"/>
                <w:kern w:val="0"/>
                <w:sz w:val="20"/>
                <w:szCs w:val="20"/>
                <w:highlight w:val="none"/>
                <w:u w:val="none"/>
                <w:lang w:val="en-US" w:eastAsia="zh-CN" w:bidi="ar"/>
              </w:rPr>
              <w:t>或</w:t>
            </w:r>
            <w:r>
              <w:rPr>
                <w:rFonts w:hint="eastAsia" w:ascii="宋体" w:hAnsi="宋体" w:eastAsia="宋体" w:cs="宋体"/>
                <w:i w:val="0"/>
                <w:iCs w:val="0"/>
                <w:color w:val="000000"/>
                <w:kern w:val="0"/>
                <w:sz w:val="20"/>
                <w:szCs w:val="20"/>
                <w:highlight w:val="none"/>
                <w:u w:val="none"/>
                <w:lang w:val="en-US" w:eastAsia="zh-CN" w:bidi="ar"/>
              </w:rPr>
              <w:t>处罚的，每次扣</w:t>
            </w:r>
            <w:r>
              <w:rPr>
                <w:rFonts w:hint="eastAsia" w:ascii="宋体" w:hAnsi="宋体" w:cs="宋体"/>
                <w:i w:val="0"/>
                <w:iCs w:val="0"/>
                <w:color w:val="000000"/>
                <w:kern w:val="0"/>
                <w:sz w:val="20"/>
                <w:szCs w:val="20"/>
                <w:highlight w:val="none"/>
                <w:u w:val="none"/>
                <w:lang w:val="en-US" w:eastAsia="zh-CN" w:bidi="ar"/>
              </w:rPr>
              <w:t>0.2</w:t>
            </w:r>
            <w:r>
              <w:rPr>
                <w:rFonts w:hint="eastAsia" w:ascii="宋体" w:hAnsi="宋体" w:eastAsia="宋体" w:cs="宋体"/>
                <w:i w:val="0"/>
                <w:iCs w:val="0"/>
                <w:color w:val="000000"/>
                <w:kern w:val="0"/>
                <w:sz w:val="20"/>
                <w:szCs w:val="20"/>
                <w:highlight w:val="none"/>
                <w:u w:val="none"/>
                <w:lang w:val="en-US" w:eastAsia="zh-CN" w:bidi="ar"/>
              </w:rPr>
              <w:t>分，被举报或投诉的，每次扣0.</w:t>
            </w:r>
            <w:r>
              <w:rPr>
                <w:rFonts w:hint="eastAsia" w:ascii="宋体" w:hAnsi="宋体" w:cs="宋体"/>
                <w:i w:val="0"/>
                <w:iCs w:val="0"/>
                <w:color w:val="000000"/>
                <w:kern w:val="0"/>
                <w:sz w:val="20"/>
                <w:szCs w:val="20"/>
                <w:highlight w:val="none"/>
                <w:u w:val="none"/>
                <w:lang w:val="en-US" w:eastAsia="zh-CN" w:bidi="ar"/>
              </w:rPr>
              <w:t>1</w:t>
            </w:r>
            <w:r>
              <w:rPr>
                <w:rFonts w:hint="eastAsia" w:ascii="宋体" w:hAnsi="宋体" w:eastAsia="宋体" w:cs="宋体"/>
                <w:i w:val="0"/>
                <w:iCs w:val="0"/>
                <w:color w:val="000000"/>
                <w:kern w:val="0"/>
                <w:sz w:val="20"/>
                <w:szCs w:val="20"/>
                <w:highlight w:val="none"/>
                <w:u w:val="none"/>
                <w:lang w:val="en-US" w:eastAsia="zh-CN" w:bidi="ar"/>
              </w:rPr>
              <w:t>分。</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6537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3.8</w:t>
            </w:r>
          </w:p>
        </w:tc>
      </w:tr>
      <w:tr w14:paraId="04C8E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75" w:type="dxa"/>
            <w:vMerge w:val="continue"/>
            <w:tcBorders>
              <w:left w:val="single" w:color="000000" w:sz="4" w:space="0"/>
              <w:bottom w:val="single" w:color="000000" w:sz="4" w:space="0"/>
              <w:right w:val="single" w:color="000000" w:sz="4" w:space="0"/>
            </w:tcBorders>
            <w:shd w:val="clear" w:color="auto" w:fill="auto"/>
            <w:vAlign w:val="center"/>
          </w:tcPr>
          <w:p w14:paraId="36C8C9E1">
            <w:pPr>
              <w:jc w:val="center"/>
              <w:rPr>
                <w:rFonts w:hint="eastAsia" w:ascii="宋体" w:hAnsi="宋体" w:eastAsia="宋体" w:cs="宋体"/>
                <w:i w:val="0"/>
                <w:iCs w:val="0"/>
                <w:color w:val="000000"/>
                <w:kern w:val="0"/>
                <w:sz w:val="20"/>
                <w:szCs w:val="20"/>
                <w:highlight w:val="none"/>
                <w:u w:val="none"/>
                <w:lang w:val="en-US" w:eastAsia="zh-CN" w:bidi="ar"/>
              </w:rPr>
            </w:pPr>
          </w:p>
        </w:tc>
        <w:tc>
          <w:tcPr>
            <w:tcW w:w="1065" w:type="dxa"/>
            <w:vMerge w:val="continue"/>
            <w:tcBorders>
              <w:left w:val="single" w:color="000000" w:sz="4" w:space="0"/>
              <w:bottom w:val="single" w:color="000000" w:sz="4" w:space="0"/>
              <w:right w:val="single" w:color="000000" w:sz="4" w:space="0"/>
            </w:tcBorders>
            <w:shd w:val="clear" w:color="auto" w:fill="auto"/>
            <w:vAlign w:val="center"/>
          </w:tcPr>
          <w:p w14:paraId="3B2B0D34">
            <w:pPr>
              <w:jc w:val="center"/>
              <w:rPr>
                <w:rFonts w:hint="eastAsia" w:ascii="宋体" w:hAnsi="宋体" w:eastAsia="宋体" w:cs="宋体"/>
                <w:i w:val="0"/>
                <w:iCs w:val="0"/>
                <w:color w:val="000000"/>
                <w:kern w:val="0"/>
                <w:sz w:val="20"/>
                <w:szCs w:val="20"/>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DD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社会公众或服务对象满意度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B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4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D7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社会公众或部门的服务对象对部门履职效果的满意程度。</w:t>
            </w:r>
          </w:p>
        </w:tc>
        <w:tc>
          <w:tcPr>
            <w:tcW w:w="5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447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问卷调查满意率*指标分值</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5F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4.82</w:t>
            </w:r>
          </w:p>
        </w:tc>
      </w:tr>
      <w:tr w14:paraId="5E13C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40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总分</w:t>
            </w:r>
          </w:p>
        </w:tc>
        <w:tc>
          <w:tcPr>
            <w:tcW w:w="675" w:type="dxa"/>
            <w:tcBorders>
              <w:top w:val="single" w:color="000000" w:sz="4" w:space="0"/>
              <w:left w:val="nil"/>
              <w:bottom w:val="single" w:color="000000" w:sz="4" w:space="0"/>
              <w:right w:val="single" w:color="000000" w:sz="4" w:space="0"/>
            </w:tcBorders>
            <w:shd w:val="clear" w:color="auto" w:fill="auto"/>
            <w:noWrap/>
            <w:vAlign w:val="center"/>
          </w:tcPr>
          <w:p w14:paraId="3F2ADF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4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A0AA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5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66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4659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89</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38</w:t>
            </w:r>
          </w:p>
        </w:tc>
      </w:tr>
    </w:tbl>
    <w:p w14:paraId="125BABB0">
      <w:pPr>
        <w:rPr>
          <w:rFonts w:hint="eastAsia"/>
          <w:highlight w:val="none"/>
          <w:lang w:val="en-US" w:eastAsia="zh-CN"/>
        </w:rPr>
      </w:pPr>
    </w:p>
    <w:p w14:paraId="78DED6DB">
      <w:pPr>
        <w:pStyle w:val="2"/>
        <w:rPr>
          <w:rFonts w:hint="eastAsia"/>
          <w:highlight w:val="none"/>
          <w:lang w:val="en-US" w:eastAsia="zh-CN"/>
        </w:rPr>
      </w:pPr>
    </w:p>
    <w:p w14:paraId="4FF9C2F8">
      <w:pPr>
        <w:rPr>
          <w:rFonts w:hint="eastAsia"/>
          <w:highlight w:val="none"/>
          <w:lang w:val="en-US" w:eastAsia="zh-CN"/>
        </w:rPr>
      </w:pPr>
    </w:p>
    <w:p w14:paraId="3EC2D3DB">
      <w:pPr>
        <w:pStyle w:val="2"/>
        <w:rPr>
          <w:rFonts w:hint="eastAsia"/>
          <w:highlight w:val="none"/>
          <w:lang w:val="en-US" w:eastAsia="zh-CN"/>
        </w:rPr>
      </w:pPr>
    </w:p>
    <w:p w14:paraId="38AAA7F8">
      <w:pPr>
        <w:rPr>
          <w:rFonts w:hint="eastAsia"/>
          <w:highlight w:val="none"/>
          <w:lang w:val="en-US" w:eastAsia="zh-CN"/>
        </w:rPr>
      </w:pPr>
    </w:p>
    <w:p w14:paraId="49E7E93C">
      <w:pPr>
        <w:pStyle w:val="2"/>
        <w:rPr>
          <w:rFonts w:hint="eastAsia"/>
          <w:highlight w:val="none"/>
          <w:lang w:val="en-US" w:eastAsia="zh-CN"/>
        </w:rPr>
      </w:pPr>
    </w:p>
    <w:p w14:paraId="6D3D98D1">
      <w:pPr>
        <w:rPr>
          <w:rFonts w:hint="eastAsia"/>
          <w:highlight w:val="none"/>
          <w:lang w:val="en-US" w:eastAsia="zh-CN"/>
        </w:rPr>
      </w:pPr>
    </w:p>
    <w:p w14:paraId="3FDF0759">
      <w:pPr>
        <w:pStyle w:val="2"/>
        <w:rPr>
          <w:rFonts w:hint="eastAsia"/>
          <w:highlight w:val="none"/>
          <w:lang w:val="en-US" w:eastAsia="zh-CN"/>
        </w:rPr>
      </w:pPr>
    </w:p>
    <w:p w14:paraId="52FBF504">
      <w:pPr>
        <w:pStyle w:val="2"/>
        <w:ind w:left="0" w:leftChars="0" w:firstLine="0" w:firstLineChars="0"/>
        <w:jc w:val="both"/>
        <w:rPr>
          <w:rFonts w:hint="default" w:ascii="宋体" w:hAnsi="宋体" w:eastAsia="宋体" w:cs="宋体"/>
          <w:i w:val="0"/>
          <w:iCs w:val="0"/>
          <w:color w:val="000000"/>
          <w:kern w:val="0"/>
          <w:sz w:val="32"/>
          <w:szCs w:val="32"/>
          <w:highlight w:val="none"/>
          <w:u w:val="none"/>
          <w:lang w:val="en-US" w:eastAsia="zh-CN" w:bidi="ar"/>
        </w:rPr>
      </w:pPr>
      <w:r>
        <w:rPr>
          <w:rFonts w:hint="eastAsia" w:ascii="宋体" w:hAnsi="宋体" w:cs="宋体"/>
          <w:i w:val="0"/>
          <w:iCs w:val="0"/>
          <w:color w:val="000000"/>
          <w:kern w:val="0"/>
          <w:sz w:val="32"/>
          <w:szCs w:val="32"/>
          <w:highlight w:val="none"/>
          <w:u w:val="none"/>
          <w:lang w:val="en-US" w:eastAsia="zh-CN" w:bidi="ar"/>
        </w:rPr>
        <w:t>附件2</w:t>
      </w:r>
    </w:p>
    <w:p w14:paraId="10E0D4D8">
      <w:pPr>
        <w:pStyle w:val="2"/>
        <w:ind w:left="0" w:leftChars="0" w:firstLine="1920" w:firstLineChars="600"/>
        <w:jc w:val="both"/>
        <w:rPr>
          <w:rFonts w:hint="eastAsia"/>
          <w:highlight w:val="none"/>
          <w:lang w:val="en-US" w:eastAsia="zh-CN"/>
        </w:rPr>
      </w:pPr>
      <w:r>
        <w:rPr>
          <w:rFonts w:hint="eastAsia" w:ascii="宋体" w:hAnsi="宋体" w:eastAsia="宋体" w:cs="宋体"/>
          <w:i w:val="0"/>
          <w:iCs w:val="0"/>
          <w:color w:val="000000"/>
          <w:kern w:val="0"/>
          <w:sz w:val="32"/>
          <w:szCs w:val="32"/>
          <w:highlight w:val="none"/>
          <w:u w:val="none"/>
          <w:lang w:val="en-US" w:eastAsia="zh-CN" w:bidi="ar"/>
        </w:rPr>
        <w:t>2024年益阳市住房和城乡建设局部门整体支出主要绩效指标实现程度统计表</w:t>
      </w:r>
    </w:p>
    <w:tbl>
      <w:tblPr>
        <w:tblStyle w:val="11"/>
        <w:tblW w:w="143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666"/>
        <w:gridCol w:w="3780"/>
        <w:gridCol w:w="945"/>
        <w:gridCol w:w="4035"/>
        <w:gridCol w:w="1185"/>
        <w:gridCol w:w="2672"/>
        <w:gridCol w:w="1110"/>
      </w:tblGrid>
      <w:tr w14:paraId="4CEFC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40" w:hRule="atLeast"/>
          <w:tblHeader/>
          <w:jc w:val="center"/>
        </w:trPr>
        <w:tc>
          <w:tcPr>
            <w:tcW w:w="666" w:type="dxa"/>
            <w:tcBorders>
              <w:tl2br w:val="nil"/>
              <w:tr2bl w:val="nil"/>
            </w:tcBorders>
            <w:shd w:val="clear" w:color="auto" w:fill="auto"/>
            <w:vAlign w:val="center"/>
          </w:tcPr>
          <w:p w14:paraId="7DF66B5C">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 w:hAnsi="仿宋" w:eastAsia="仿宋" w:cs="仿宋"/>
                <w:b/>
                <w:bCs/>
                <w:i w:val="0"/>
                <w:iCs w:val="0"/>
                <w:color w:val="000000"/>
                <w:sz w:val="22"/>
                <w:szCs w:val="22"/>
                <w:highlight w:val="none"/>
                <w:u w:val="none"/>
                <w:lang w:eastAsia="zh-CN"/>
              </w:rPr>
            </w:pPr>
            <w:r>
              <w:rPr>
                <w:rFonts w:hint="eastAsia" w:ascii="仿宋" w:hAnsi="仿宋" w:eastAsia="仿宋" w:cs="仿宋"/>
                <w:b/>
                <w:bCs/>
                <w:i w:val="0"/>
                <w:iCs w:val="0"/>
                <w:color w:val="000000"/>
                <w:sz w:val="22"/>
                <w:szCs w:val="22"/>
                <w:highlight w:val="none"/>
                <w:u w:val="none"/>
                <w:lang w:eastAsia="zh-CN"/>
              </w:rPr>
              <w:t>绩效指标</w:t>
            </w:r>
          </w:p>
        </w:tc>
        <w:tc>
          <w:tcPr>
            <w:tcW w:w="4725" w:type="dxa"/>
            <w:gridSpan w:val="2"/>
            <w:tcBorders>
              <w:tl2br w:val="nil"/>
              <w:tr2bl w:val="nil"/>
            </w:tcBorders>
            <w:shd w:val="clear" w:color="auto" w:fill="auto"/>
            <w:vAlign w:val="center"/>
          </w:tcPr>
          <w:p w14:paraId="2A20676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指标计划</w:t>
            </w:r>
          </w:p>
        </w:tc>
        <w:tc>
          <w:tcPr>
            <w:tcW w:w="5220" w:type="dxa"/>
            <w:gridSpan w:val="2"/>
            <w:tcBorders>
              <w:tl2br w:val="nil"/>
              <w:tr2bl w:val="nil"/>
            </w:tcBorders>
            <w:shd w:val="clear" w:color="auto" w:fill="auto"/>
            <w:vAlign w:val="center"/>
          </w:tcPr>
          <w:p w14:paraId="31E5F9E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指标实现程度</w:t>
            </w:r>
          </w:p>
        </w:tc>
        <w:tc>
          <w:tcPr>
            <w:tcW w:w="3782" w:type="dxa"/>
            <w:gridSpan w:val="2"/>
            <w:tcBorders>
              <w:tl2br w:val="nil"/>
              <w:tr2bl w:val="nil"/>
            </w:tcBorders>
            <w:shd w:val="clear" w:color="auto" w:fill="auto"/>
            <w:vAlign w:val="center"/>
          </w:tcPr>
          <w:p w14:paraId="0DF17B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完成率（%）</w:t>
            </w:r>
          </w:p>
        </w:tc>
      </w:tr>
      <w:tr w14:paraId="50B8B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restart"/>
            <w:tcBorders>
              <w:tl2br w:val="nil"/>
              <w:tr2bl w:val="nil"/>
            </w:tcBorders>
            <w:shd w:val="clear" w:color="auto" w:fill="auto"/>
            <w:vAlign w:val="center"/>
          </w:tcPr>
          <w:p w14:paraId="1BC7D63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3780" w:type="dxa"/>
            <w:tcBorders>
              <w:tl2br w:val="nil"/>
              <w:tr2bl w:val="nil"/>
            </w:tcBorders>
            <w:shd w:val="clear" w:color="auto" w:fill="auto"/>
            <w:vAlign w:val="center"/>
          </w:tcPr>
          <w:p w14:paraId="0CF86C4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城镇新增绿色建筑竣工面积（平方米）</w:t>
            </w:r>
          </w:p>
        </w:tc>
        <w:tc>
          <w:tcPr>
            <w:tcW w:w="945" w:type="dxa"/>
            <w:tcBorders>
              <w:tl2br w:val="nil"/>
              <w:tr2bl w:val="nil"/>
            </w:tcBorders>
            <w:shd w:val="clear" w:color="auto" w:fill="auto"/>
            <w:vAlign w:val="center"/>
          </w:tcPr>
          <w:p w14:paraId="1D3D08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700000</w:t>
            </w:r>
          </w:p>
        </w:tc>
        <w:tc>
          <w:tcPr>
            <w:tcW w:w="4035" w:type="dxa"/>
            <w:tcBorders>
              <w:tl2br w:val="nil"/>
              <w:tr2bl w:val="nil"/>
            </w:tcBorders>
            <w:shd w:val="clear" w:color="auto" w:fill="auto"/>
            <w:vAlign w:val="center"/>
          </w:tcPr>
          <w:p w14:paraId="610AF20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实际新增面积（平方米）</w:t>
            </w:r>
          </w:p>
        </w:tc>
        <w:tc>
          <w:tcPr>
            <w:tcW w:w="1185" w:type="dxa"/>
            <w:tcBorders>
              <w:tl2br w:val="nil"/>
              <w:tr2bl w:val="nil"/>
            </w:tcBorders>
            <w:shd w:val="clear" w:color="auto" w:fill="auto"/>
            <w:vAlign w:val="center"/>
          </w:tcPr>
          <w:p w14:paraId="3B37911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903000</w:t>
            </w:r>
          </w:p>
        </w:tc>
        <w:tc>
          <w:tcPr>
            <w:tcW w:w="2672" w:type="dxa"/>
            <w:tcBorders>
              <w:tl2br w:val="nil"/>
              <w:tr2bl w:val="nil"/>
            </w:tcBorders>
            <w:shd w:val="clear" w:color="auto" w:fill="auto"/>
            <w:vAlign w:val="center"/>
          </w:tcPr>
          <w:p w14:paraId="7398CA7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新增绿色建筑竣工面积占比</w:t>
            </w:r>
          </w:p>
        </w:tc>
        <w:tc>
          <w:tcPr>
            <w:tcW w:w="1110" w:type="dxa"/>
            <w:tcBorders>
              <w:tl2br w:val="nil"/>
              <w:tr2bl w:val="nil"/>
            </w:tcBorders>
            <w:shd w:val="clear" w:color="auto" w:fill="auto"/>
            <w:vAlign w:val="center"/>
          </w:tcPr>
          <w:p w14:paraId="578E127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11D3E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937DAC5">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49D4B20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中心城区工程项目质量、安全投诉（件）</w:t>
            </w:r>
          </w:p>
        </w:tc>
        <w:tc>
          <w:tcPr>
            <w:tcW w:w="945" w:type="dxa"/>
            <w:tcBorders>
              <w:tl2br w:val="nil"/>
              <w:tr2bl w:val="nil"/>
            </w:tcBorders>
            <w:shd w:val="clear" w:color="auto" w:fill="auto"/>
            <w:vAlign w:val="center"/>
          </w:tcPr>
          <w:p w14:paraId="3379F2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1228</w:t>
            </w:r>
          </w:p>
        </w:tc>
        <w:tc>
          <w:tcPr>
            <w:tcW w:w="4035" w:type="dxa"/>
            <w:tcBorders>
              <w:tl2br w:val="nil"/>
              <w:tr2bl w:val="nil"/>
            </w:tcBorders>
            <w:shd w:val="clear" w:color="auto" w:fill="auto"/>
            <w:vAlign w:val="center"/>
          </w:tcPr>
          <w:p w14:paraId="30F6B15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处理件数</w:t>
            </w:r>
          </w:p>
        </w:tc>
        <w:tc>
          <w:tcPr>
            <w:tcW w:w="1185" w:type="dxa"/>
            <w:tcBorders>
              <w:tl2br w:val="nil"/>
              <w:tr2bl w:val="nil"/>
            </w:tcBorders>
            <w:shd w:val="clear" w:color="auto" w:fill="auto"/>
            <w:vAlign w:val="center"/>
          </w:tcPr>
          <w:p w14:paraId="13E752B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1213</w:t>
            </w:r>
          </w:p>
        </w:tc>
        <w:tc>
          <w:tcPr>
            <w:tcW w:w="2672" w:type="dxa"/>
            <w:tcBorders>
              <w:tl2br w:val="nil"/>
              <w:tr2bl w:val="nil"/>
            </w:tcBorders>
            <w:shd w:val="clear" w:color="auto" w:fill="auto"/>
            <w:vAlign w:val="center"/>
          </w:tcPr>
          <w:p w14:paraId="661F4B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处理率</w:t>
            </w:r>
          </w:p>
        </w:tc>
        <w:tc>
          <w:tcPr>
            <w:tcW w:w="1110" w:type="dxa"/>
            <w:tcBorders>
              <w:tl2br w:val="nil"/>
              <w:tr2bl w:val="nil"/>
            </w:tcBorders>
            <w:shd w:val="clear" w:color="auto" w:fill="auto"/>
            <w:vAlign w:val="center"/>
          </w:tcPr>
          <w:p w14:paraId="06001DE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98.78 </w:t>
            </w:r>
          </w:p>
        </w:tc>
      </w:tr>
      <w:tr w14:paraId="7C6B9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35402D44">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2AA3D4E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中心城区工程项目的竣工验收（项、个）</w:t>
            </w:r>
          </w:p>
        </w:tc>
        <w:tc>
          <w:tcPr>
            <w:tcW w:w="945" w:type="dxa"/>
            <w:tcBorders>
              <w:tl2br w:val="nil"/>
              <w:tr2bl w:val="nil"/>
            </w:tcBorders>
            <w:shd w:val="clear" w:color="auto" w:fill="auto"/>
            <w:vAlign w:val="center"/>
          </w:tcPr>
          <w:p w14:paraId="39C5F8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104</w:t>
            </w:r>
          </w:p>
        </w:tc>
        <w:tc>
          <w:tcPr>
            <w:tcW w:w="4035" w:type="dxa"/>
            <w:tcBorders>
              <w:tl2br w:val="nil"/>
              <w:tr2bl w:val="nil"/>
            </w:tcBorders>
            <w:shd w:val="clear" w:color="auto" w:fill="auto"/>
            <w:vAlign w:val="center"/>
          </w:tcPr>
          <w:p w14:paraId="21194B4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一次性合格（项、个）</w:t>
            </w:r>
          </w:p>
        </w:tc>
        <w:tc>
          <w:tcPr>
            <w:tcW w:w="1185" w:type="dxa"/>
            <w:tcBorders>
              <w:tl2br w:val="nil"/>
              <w:tr2bl w:val="nil"/>
            </w:tcBorders>
            <w:shd w:val="clear" w:color="auto" w:fill="auto"/>
            <w:vAlign w:val="center"/>
          </w:tcPr>
          <w:p w14:paraId="57CE795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104</w:t>
            </w:r>
          </w:p>
        </w:tc>
        <w:tc>
          <w:tcPr>
            <w:tcW w:w="2672" w:type="dxa"/>
            <w:tcBorders>
              <w:tl2br w:val="nil"/>
              <w:tr2bl w:val="nil"/>
            </w:tcBorders>
            <w:shd w:val="clear" w:color="auto" w:fill="auto"/>
            <w:vAlign w:val="center"/>
          </w:tcPr>
          <w:p w14:paraId="0E0F0A5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一次性合格率</w:t>
            </w:r>
          </w:p>
        </w:tc>
        <w:tc>
          <w:tcPr>
            <w:tcW w:w="1110" w:type="dxa"/>
            <w:tcBorders>
              <w:tl2br w:val="nil"/>
              <w:tr2bl w:val="nil"/>
            </w:tcBorders>
            <w:shd w:val="clear" w:color="auto" w:fill="auto"/>
            <w:vAlign w:val="center"/>
          </w:tcPr>
          <w:p w14:paraId="5570A7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5C23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40F0DFF8">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5C51986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中心城区建设工程报建项目数</w:t>
            </w:r>
          </w:p>
        </w:tc>
        <w:tc>
          <w:tcPr>
            <w:tcW w:w="945" w:type="dxa"/>
            <w:tcBorders>
              <w:tl2br w:val="nil"/>
              <w:tr2bl w:val="nil"/>
            </w:tcBorders>
            <w:shd w:val="clear" w:color="auto" w:fill="auto"/>
            <w:vAlign w:val="center"/>
          </w:tcPr>
          <w:p w14:paraId="17BE47E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4035" w:type="dxa"/>
            <w:tcBorders>
              <w:tl2br w:val="nil"/>
              <w:tr2bl w:val="nil"/>
            </w:tcBorders>
            <w:shd w:val="clear" w:color="auto" w:fill="auto"/>
            <w:vAlign w:val="center"/>
          </w:tcPr>
          <w:p w14:paraId="7582AD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纳入质量安全监督管理数</w:t>
            </w:r>
          </w:p>
        </w:tc>
        <w:tc>
          <w:tcPr>
            <w:tcW w:w="1185" w:type="dxa"/>
            <w:tcBorders>
              <w:tl2br w:val="nil"/>
              <w:tr2bl w:val="nil"/>
            </w:tcBorders>
            <w:shd w:val="clear" w:color="auto" w:fill="auto"/>
            <w:vAlign w:val="center"/>
          </w:tcPr>
          <w:p w14:paraId="407800A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2672" w:type="dxa"/>
            <w:tcBorders>
              <w:tl2br w:val="nil"/>
              <w:tr2bl w:val="nil"/>
            </w:tcBorders>
            <w:shd w:val="clear" w:color="auto" w:fill="auto"/>
            <w:vAlign w:val="center"/>
          </w:tcPr>
          <w:p w14:paraId="51C4D4F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纳入质量安全监督管理率</w:t>
            </w:r>
          </w:p>
        </w:tc>
        <w:tc>
          <w:tcPr>
            <w:tcW w:w="1110" w:type="dxa"/>
            <w:tcBorders>
              <w:tl2br w:val="nil"/>
              <w:tr2bl w:val="nil"/>
            </w:tcBorders>
            <w:shd w:val="clear" w:color="auto" w:fill="auto"/>
            <w:vAlign w:val="center"/>
          </w:tcPr>
          <w:p w14:paraId="740FEB0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CBD5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666" w:type="dxa"/>
            <w:vMerge w:val="continue"/>
            <w:tcBorders>
              <w:tl2br w:val="nil"/>
              <w:tr2bl w:val="nil"/>
            </w:tcBorders>
            <w:shd w:val="clear" w:color="auto" w:fill="auto"/>
            <w:vAlign w:val="center"/>
          </w:tcPr>
          <w:p w14:paraId="3F252126">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21F5BD0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城建档案馆应参与联合验收项目数（前期和收尾）</w:t>
            </w:r>
          </w:p>
        </w:tc>
        <w:tc>
          <w:tcPr>
            <w:tcW w:w="945" w:type="dxa"/>
            <w:tcBorders>
              <w:tl2br w:val="nil"/>
              <w:tr2bl w:val="nil"/>
            </w:tcBorders>
            <w:shd w:val="clear" w:color="auto" w:fill="auto"/>
            <w:vAlign w:val="center"/>
          </w:tcPr>
          <w:p w14:paraId="0815BFA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120</w:t>
            </w:r>
          </w:p>
        </w:tc>
        <w:tc>
          <w:tcPr>
            <w:tcW w:w="4035" w:type="dxa"/>
            <w:tcBorders>
              <w:tl2br w:val="nil"/>
              <w:tr2bl w:val="nil"/>
            </w:tcBorders>
            <w:shd w:val="clear" w:color="auto" w:fill="auto"/>
            <w:vAlign w:val="center"/>
          </w:tcPr>
          <w:p w14:paraId="4D7A277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实际参与联合验收项目数（项、个）</w:t>
            </w:r>
          </w:p>
        </w:tc>
        <w:tc>
          <w:tcPr>
            <w:tcW w:w="1185" w:type="dxa"/>
            <w:tcBorders>
              <w:tl2br w:val="nil"/>
              <w:tr2bl w:val="nil"/>
            </w:tcBorders>
            <w:shd w:val="clear" w:color="auto" w:fill="auto"/>
            <w:vAlign w:val="center"/>
          </w:tcPr>
          <w:p w14:paraId="3907F5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127</w:t>
            </w:r>
          </w:p>
        </w:tc>
        <w:tc>
          <w:tcPr>
            <w:tcW w:w="2672" w:type="dxa"/>
            <w:tcBorders>
              <w:tl2br w:val="nil"/>
              <w:tr2bl w:val="nil"/>
            </w:tcBorders>
            <w:shd w:val="clear" w:color="auto" w:fill="auto"/>
            <w:vAlign w:val="center"/>
          </w:tcPr>
          <w:p w14:paraId="0DB907B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参与联合验收</w:t>
            </w:r>
          </w:p>
        </w:tc>
        <w:tc>
          <w:tcPr>
            <w:tcW w:w="1110" w:type="dxa"/>
            <w:tcBorders>
              <w:tl2br w:val="nil"/>
              <w:tr2bl w:val="nil"/>
            </w:tcBorders>
            <w:shd w:val="clear" w:color="auto" w:fill="auto"/>
            <w:vAlign w:val="center"/>
          </w:tcPr>
          <w:p w14:paraId="1EDB79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100.00 </w:t>
            </w:r>
          </w:p>
        </w:tc>
      </w:tr>
      <w:tr w14:paraId="04520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666" w:type="dxa"/>
            <w:vMerge w:val="continue"/>
            <w:tcBorders>
              <w:tl2br w:val="nil"/>
              <w:tr2bl w:val="nil"/>
            </w:tcBorders>
            <w:shd w:val="clear" w:color="auto" w:fill="auto"/>
            <w:vAlign w:val="center"/>
          </w:tcPr>
          <w:p w14:paraId="0D6B5598">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8A0307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城乡建设职业技术学校完成培训服务产值（万元）</w:t>
            </w:r>
          </w:p>
        </w:tc>
        <w:tc>
          <w:tcPr>
            <w:tcW w:w="945" w:type="dxa"/>
            <w:tcBorders>
              <w:tl2br w:val="nil"/>
              <w:tr2bl w:val="nil"/>
            </w:tcBorders>
            <w:shd w:val="clear" w:color="auto" w:fill="auto"/>
            <w:vAlign w:val="center"/>
          </w:tcPr>
          <w:p w14:paraId="5038BF0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300</w:t>
            </w:r>
          </w:p>
        </w:tc>
        <w:tc>
          <w:tcPr>
            <w:tcW w:w="4035" w:type="dxa"/>
            <w:tcBorders>
              <w:tl2br w:val="nil"/>
              <w:tr2bl w:val="nil"/>
            </w:tcBorders>
            <w:shd w:val="clear" w:color="auto" w:fill="auto"/>
            <w:vAlign w:val="center"/>
          </w:tcPr>
          <w:p w14:paraId="5C57D33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完成培训服务产值（万元）</w:t>
            </w:r>
          </w:p>
        </w:tc>
        <w:tc>
          <w:tcPr>
            <w:tcW w:w="1185" w:type="dxa"/>
            <w:tcBorders>
              <w:tl2br w:val="nil"/>
              <w:tr2bl w:val="nil"/>
            </w:tcBorders>
            <w:shd w:val="clear" w:color="auto" w:fill="auto"/>
            <w:vAlign w:val="center"/>
          </w:tcPr>
          <w:p w14:paraId="44D31DC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266.69</w:t>
            </w:r>
          </w:p>
        </w:tc>
        <w:tc>
          <w:tcPr>
            <w:tcW w:w="2672" w:type="dxa"/>
            <w:tcBorders>
              <w:tl2br w:val="nil"/>
              <w:tr2bl w:val="nil"/>
            </w:tcBorders>
            <w:shd w:val="clear" w:color="auto" w:fill="auto"/>
            <w:vAlign w:val="center"/>
          </w:tcPr>
          <w:p w14:paraId="53B14B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培训服务产值完成率</w:t>
            </w:r>
          </w:p>
        </w:tc>
        <w:tc>
          <w:tcPr>
            <w:tcW w:w="1110" w:type="dxa"/>
            <w:tcBorders>
              <w:tl2br w:val="nil"/>
              <w:tr2bl w:val="nil"/>
            </w:tcBorders>
            <w:shd w:val="clear" w:color="auto" w:fill="auto"/>
            <w:vAlign w:val="center"/>
          </w:tcPr>
          <w:p w14:paraId="3B26E29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88.90 </w:t>
            </w:r>
          </w:p>
        </w:tc>
      </w:tr>
      <w:tr w14:paraId="4D535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7B15885E">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256353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监督和管理城市建设项目实施完成数</w:t>
            </w:r>
          </w:p>
        </w:tc>
        <w:tc>
          <w:tcPr>
            <w:tcW w:w="945" w:type="dxa"/>
            <w:tcBorders>
              <w:tl2br w:val="nil"/>
              <w:tr2bl w:val="nil"/>
            </w:tcBorders>
            <w:shd w:val="clear" w:color="auto" w:fill="auto"/>
            <w:vAlign w:val="center"/>
          </w:tcPr>
          <w:p w14:paraId="49ABE18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4035" w:type="dxa"/>
            <w:tcBorders>
              <w:tl2br w:val="nil"/>
              <w:tr2bl w:val="nil"/>
            </w:tcBorders>
            <w:shd w:val="clear" w:color="auto" w:fill="auto"/>
            <w:vAlign w:val="center"/>
          </w:tcPr>
          <w:p w14:paraId="5F5361A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实施实际完成数</w:t>
            </w:r>
          </w:p>
        </w:tc>
        <w:tc>
          <w:tcPr>
            <w:tcW w:w="1185" w:type="dxa"/>
            <w:tcBorders>
              <w:tl2br w:val="nil"/>
              <w:tr2bl w:val="nil"/>
            </w:tcBorders>
            <w:shd w:val="clear" w:color="auto" w:fill="auto"/>
            <w:vAlign w:val="center"/>
          </w:tcPr>
          <w:p w14:paraId="310186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2672" w:type="dxa"/>
            <w:tcBorders>
              <w:tl2br w:val="nil"/>
              <w:tr2bl w:val="nil"/>
            </w:tcBorders>
            <w:shd w:val="clear" w:color="auto" w:fill="auto"/>
            <w:vAlign w:val="center"/>
          </w:tcPr>
          <w:p w14:paraId="68F8AF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3E5D7E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1FADA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315ED8EB">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4D7E0D5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完成检测服务产值数（万元）</w:t>
            </w:r>
          </w:p>
        </w:tc>
        <w:tc>
          <w:tcPr>
            <w:tcW w:w="945" w:type="dxa"/>
            <w:tcBorders>
              <w:tl2br w:val="nil"/>
              <w:tr2bl w:val="nil"/>
            </w:tcBorders>
            <w:shd w:val="clear" w:color="auto" w:fill="auto"/>
            <w:vAlign w:val="center"/>
          </w:tcPr>
          <w:p w14:paraId="0388BC7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4156</w:t>
            </w:r>
          </w:p>
        </w:tc>
        <w:tc>
          <w:tcPr>
            <w:tcW w:w="4035" w:type="dxa"/>
            <w:tcBorders>
              <w:tl2br w:val="nil"/>
              <w:tr2bl w:val="nil"/>
            </w:tcBorders>
            <w:shd w:val="clear" w:color="auto" w:fill="auto"/>
            <w:vAlign w:val="center"/>
          </w:tcPr>
          <w:p w14:paraId="6DE1A40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实际完成数</w:t>
            </w:r>
          </w:p>
        </w:tc>
        <w:tc>
          <w:tcPr>
            <w:tcW w:w="1185" w:type="dxa"/>
            <w:tcBorders>
              <w:tl2br w:val="nil"/>
              <w:tr2bl w:val="nil"/>
            </w:tcBorders>
            <w:shd w:val="clear" w:color="auto" w:fill="auto"/>
            <w:vAlign w:val="center"/>
          </w:tcPr>
          <w:p w14:paraId="720A9AA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1877.36</w:t>
            </w:r>
          </w:p>
        </w:tc>
        <w:tc>
          <w:tcPr>
            <w:tcW w:w="2672" w:type="dxa"/>
            <w:tcBorders>
              <w:tl2br w:val="nil"/>
              <w:tr2bl w:val="nil"/>
            </w:tcBorders>
            <w:shd w:val="clear" w:color="auto" w:fill="auto"/>
            <w:vAlign w:val="center"/>
          </w:tcPr>
          <w:p w14:paraId="584C8A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148937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45.17 </w:t>
            </w:r>
          </w:p>
        </w:tc>
      </w:tr>
      <w:tr w14:paraId="52588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6DA2B6F1">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3843119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中心城区房屋白蚁防治申请数</w:t>
            </w:r>
          </w:p>
        </w:tc>
        <w:tc>
          <w:tcPr>
            <w:tcW w:w="945" w:type="dxa"/>
            <w:tcBorders>
              <w:tl2br w:val="nil"/>
              <w:tr2bl w:val="nil"/>
            </w:tcBorders>
            <w:shd w:val="clear" w:color="auto" w:fill="auto"/>
            <w:vAlign w:val="center"/>
          </w:tcPr>
          <w:p w14:paraId="532C6AF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135</w:t>
            </w:r>
          </w:p>
        </w:tc>
        <w:tc>
          <w:tcPr>
            <w:tcW w:w="4035" w:type="dxa"/>
            <w:tcBorders>
              <w:tl2br w:val="nil"/>
              <w:tr2bl w:val="nil"/>
            </w:tcBorders>
            <w:shd w:val="clear" w:color="auto" w:fill="auto"/>
            <w:vAlign w:val="center"/>
          </w:tcPr>
          <w:p w14:paraId="135A38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中心城区房屋白蚁防治签订协议和完成数</w:t>
            </w:r>
          </w:p>
        </w:tc>
        <w:tc>
          <w:tcPr>
            <w:tcW w:w="1185" w:type="dxa"/>
            <w:tcBorders>
              <w:tl2br w:val="nil"/>
              <w:tr2bl w:val="nil"/>
            </w:tcBorders>
            <w:shd w:val="clear" w:color="auto" w:fill="auto"/>
            <w:vAlign w:val="center"/>
          </w:tcPr>
          <w:p w14:paraId="4D5E23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135</w:t>
            </w:r>
          </w:p>
        </w:tc>
        <w:tc>
          <w:tcPr>
            <w:tcW w:w="2672" w:type="dxa"/>
            <w:tcBorders>
              <w:tl2br w:val="nil"/>
              <w:tr2bl w:val="nil"/>
            </w:tcBorders>
            <w:shd w:val="clear" w:color="auto" w:fill="auto"/>
            <w:vAlign w:val="center"/>
          </w:tcPr>
          <w:p w14:paraId="39F73F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08E201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C546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6CBA45C6">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CE4959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中心城区房屋交易网签、备案应完成数</w:t>
            </w:r>
          </w:p>
        </w:tc>
        <w:tc>
          <w:tcPr>
            <w:tcW w:w="945" w:type="dxa"/>
            <w:tcBorders>
              <w:tl2br w:val="nil"/>
              <w:tr2bl w:val="nil"/>
            </w:tcBorders>
            <w:shd w:val="clear" w:color="auto" w:fill="auto"/>
            <w:vAlign w:val="center"/>
          </w:tcPr>
          <w:p w14:paraId="6BA665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1883</w:t>
            </w:r>
          </w:p>
        </w:tc>
        <w:tc>
          <w:tcPr>
            <w:tcW w:w="4035" w:type="dxa"/>
            <w:tcBorders>
              <w:tl2br w:val="nil"/>
              <w:tr2bl w:val="nil"/>
            </w:tcBorders>
            <w:shd w:val="clear" w:color="auto" w:fill="auto"/>
            <w:vAlign w:val="center"/>
          </w:tcPr>
          <w:p w14:paraId="6E660CD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中心城区房屋交易网签、备案实际完成数</w:t>
            </w:r>
          </w:p>
        </w:tc>
        <w:tc>
          <w:tcPr>
            <w:tcW w:w="1185" w:type="dxa"/>
            <w:tcBorders>
              <w:tl2br w:val="nil"/>
              <w:tr2bl w:val="nil"/>
            </w:tcBorders>
            <w:shd w:val="clear" w:color="auto" w:fill="auto"/>
            <w:vAlign w:val="center"/>
          </w:tcPr>
          <w:p w14:paraId="40F3E8F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1883</w:t>
            </w:r>
          </w:p>
        </w:tc>
        <w:tc>
          <w:tcPr>
            <w:tcW w:w="2672" w:type="dxa"/>
            <w:tcBorders>
              <w:tl2br w:val="nil"/>
              <w:tr2bl w:val="nil"/>
            </w:tcBorders>
            <w:shd w:val="clear" w:color="auto" w:fill="auto"/>
            <w:vAlign w:val="center"/>
          </w:tcPr>
          <w:p w14:paraId="4BA258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2DB3C7B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7BDFE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6A865EB8">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47EE0D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新建房屋物业维修资金应归集（万元）</w:t>
            </w:r>
          </w:p>
        </w:tc>
        <w:tc>
          <w:tcPr>
            <w:tcW w:w="945" w:type="dxa"/>
            <w:tcBorders>
              <w:tl2br w:val="nil"/>
              <w:tr2bl w:val="nil"/>
            </w:tcBorders>
            <w:shd w:val="clear" w:color="auto" w:fill="auto"/>
            <w:vAlign w:val="center"/>
          </w:tcPr>
          <w:p w14:paraId="2AE0B39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6783.53</w:t>
            </w:r>
          </w:p>
        </w:tc>
        <w:tc>
          <w:tcPr>
            <w:tcW w:w="4035" w:type="dxa"/>
            <w:tcBorders>
              <w:tl2br w:val="nil"/>
              <w:tr2bl w:val="nil"/>
            </w:tcBorders>
            <w:shd w:val="clear" w:color="auto" w:fill="auto"/>
            <w:vAlign w:val="center"/>
          </w:tcPr>
          <w:p w14:paraId="4C02F0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新建房屋物业维修资金完成归集数（万元）</w:t>
            </w:r>
          </w:p>
        </w:tc>
        <w:tc>
          <w:tcPr>
            <w:tcW w:w="1185" w:type="dxa"/>
            <w:tcBorders>
              <w:tl2br w:val="nil"/>
              <w:tr2bl w:val="nil"/>
            </w:tcBorders>
            <w:shd w:val="clear" w:color="auto" w:fill="auto"/>
            <w:vAlign w:val="center"/>
          </w:tcPr>
          <w:p w14:paraId="2984A9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6783.53</w:t>
            </w:r>
          </w:p>
        </w:tc>
        <w:tc>
          <w:tcPr>
            <w:tcW w:w="2672" w:type="dxa"/>
            <w:tcBorders>
              <w:tl2br w:val="nil"/>
              <w:tr2bl w:val="nil"/>
            </w:tcBorders>
            <w:shd w:val="clear" w:color="auto" w:fill="auto"/>
            <w:vAlign w:val="center"/>
          </w:tcPr>
          <w:p w14:paraId="43E6F2A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08E30A7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ABB6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34DCBBAE">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3DE32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测绘业务完成数</w:t>
            </w:r>
          </w:p>
        </w:tc>
        <w:tc>
          <w:tcPr>
            <w:tcW w:w="945" w:type="dxa"/>
            <w:tcBorders>
              <w:tl2br w:val="nil"/>
              <w:tr2bl w:val="nil"/>
            </w:tcBorders>
            <w:shd w:val="clear" w:color="auto" w:fill="auto"/>
            <w:vAlign w:val="center"/>
          </w:tcPr>
          <w:p w14:paraId="6E8E1B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255.27</w:t>
            </w:r>
          </w:p>
        </w:tc>
        <w:tc>
          <w:tcPr>
            <w:tcW w:w="4035" w:type="dxa"/>
            <w:tcBorders>
              <w:tl2br w:val="nil"/>
              <w:tr2bl w:val="nil"/>
            </w:tcBorders>
            <w:shd w:val="clear" w:color="auto" w:fill="auto"/>
            <w:vAlign w:val="center"/>
          </w:tcPr>
          <w:p w14:paraId="7493FA7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测绘业务应完成数（万平方米）</w:t>
            </w:r>
          </w:p>
        </w:tc>
        <w:tc>
          <w:tcPr>
            <w:tcW w:w="1185" w:type="dxa"/>
            <w:tcBorders>
              <w:tl2br w:val="nil"/>
              <w:tr2bl w:val="nil"/>
            </w:tcBorders>
            <w:shd w:val="clear" w:color="auto" w:fill="auto"/>
            <w:vAlign w:val="center"/>
          </w:tcPr>
          <w:p w14:paraId="3D9626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255.27</w:t>
            </w:r>
          </w:p>
        </w:tc>
        <w:tc>
          <w:tcPr>
            <w:tcW w:w="2672" w:type="dxa"/>
            <w:tcBorders>
              <w:tl2br w:val="nil"/>
              <w:tr2bl w:val="nil"/>
            </w:tcBorders>
            <w:shd w:val="clear" w:color="auto" w:fill="auto"/>
            <w:vAlign w:val="center"/>
          </w:tcPr>
          <w:p w14:paraId="6703ED9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3F99CB5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3CF72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25422F4A">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0BFDB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全市造价行业的业务指导完成数（次）</w:t>
            </w:r>
          </w:p>
        </w:tc>
        <w:tc>
          <w:tcPr>
            <w:tcW w:w="945" w:type="dxa"/>
            <w:tcBorders>
              <w:tl2br w:val="nil"/>
              <w:tr2bl w:val="nil"/>
            </w:tcBorders>
            <w:shd w:val="clear" w:color="auto" w:fill="auto"/>
            <w:vAlign w:val="center"/>
          </w:tcPr>
          <w:p w14:paraId="524A8C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4035" w:type="dxa"/>
            <w:tcBorders>
              <w:tl2br w:val="nil"/>
              <w:tr2bl w:val="nil"/>
            </w:tcBorders>
            <w:shd w:val="clear" w:color="auto" w:fill="auto"/>
            <w:vAlign w:val="center"/>
          </w:tcPr>
          <w:p w14:paraId="5A0CBB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全市造价行业的业务指导实际完成数</w:t>
            </w:r>
          </w:p>
        </w:tc>
        <w:tc>
          <w:tcPr>
            <w:tcW w:w="1185" w:type="dxa"/>
            <w:tcBorders>
              <w:tl2br w:val="nil"/>
              <w:tr2bl w:val="nil"/>
            </w:tcBorders>
            <w:shd w:val="clear" w:color="auto" w:fill="auto"/>
            <w:vAlign w:val="center"/>
          </w:tcPr>
          <w:p w14:paraId="3548008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672" w:type="dxa"/>
            <w:tcBorders>
              <w:tl2br w:val="nil"/>
              <w:tr2bl w:val="nil"/>
            </w:tcBorders>
            <w:shd w:val="clear" w:color="auto" w:fill="auto"/>
            <w:vAlign w:val="center"/>
          </w:tcPr>
          <w:p w14:paraId="0D0878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0723555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511DB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jc w:val="center"/>
        </w:trPr>
        <w:tc>
          <w:tcPr>
            <w:tcW w:w="666" w:type="dxa"/>
            <w:vMerge w:val="continue"/>
            <w:tcBorders>
              <w:tl2br w:val="nil"/>
              <w:tr2bl w:val="nil"/>
            </w:tcBorders>
            <w:shd w:val="clear" w:color="auto" w:fill="auto"/>
            <w:vAlign w:val="center"/>
          </w:tcPr>
          <w:p w14:paraId="18FAE6BC">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426D729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全市燃气经营企业的业务指导和咨询服务工作企业数</w:t>
            </w:r>
          </w:p>
        </w:tc>
        <w:tc>
          <w:tcPr>
            <w:tcW w:w="945" w:type="dxa"/>
            <w:tcBorders>
              <w:tl2br w:val="nil"/>
              <w:tr2bl w:val="nil"/>
            </w:tcBorders>
            <w:shd w:val="clear" w:color="auto" w:fill="auto"/>
            <w:vAlign w:val="center"/>
          </w:tcPr>
          <w:p w14:paraId="752253D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w:t>
            </w:r>
          </w:p>
        </w:tc>
        <w:tc>
          <w:tcPr>
            <w:tcW w:w="4035" w:type="dxa"/>
            <w:tcBorders>
              <w:tl2br w:val="nil"/>
              <w:tr2bl w:val="nil"/>
            </w:tcBorders>
            <w:shd w:val="clear" w:color="auto" w:fill="auto"/>
            <w:vAlign w:val="center"/>
          </w:tcPr>
          <w:p w14:paraId="796750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全市燃气经营企业的业务指导和咨询服务工作企业实际完成数（次）</w:t>
            </w:r>
          </w:p>
        </w:tc>
        <w:tc>
          <w:tcPr>
            <w:tcW w:w="1185" w:type="dxa"/>
            <w:tcBorders>
              <w:tl2br w:val="nil"/>
              <w:tr2bl w:val="nil"/>
            </w:tcBorders>
            <w:shd w:val="clear" w:color="auto" w:fill="auto"/>
            <w:vAlign w:val="center"/>
          </w:tcPr>
          <w:p w14:paraId="38C5281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30</w:t>
            </w:r>
          </w:p>
        </w:tc>
        <w:tc>
          <w:tcPr>
            <w:tcW w:w="2672" w:type="dxa"/>
            <w:tcBorders>
              <w:tl2br w:val="nil"/>
              <w:tr2bl w:val="nil"/>
            </w:tcBorders>
            <w:shd w:val="clear" w:color="auto" w:fill="auto"/>
            <w:vAlign w:val="center"/>
          </w:tcPr>
          <w:p w14:paraId="5D458E7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4A64827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2CFB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666" w:type="dxa"/>
            <w:vMerge w:val="restart"/>
            <w:tcBorders>
              <w:tl2br w:val="nil"/>
              <w:tr2bl w:val="nil"/>
            </w:tcBorders>
            <w:shd w:val="clear" w:color="auto" w:fill="auto"/>
            <w:vAlign w:val="center"/>
          </w:tcPr>
          <w:p w14:paraId="1D1675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质量指标</w:t>
            </w:r>
          </w:p>
        </w:tc>
        <w:tc>
          <w:tcPr>
            <w:tcW w:w="3780" w:type="dxa"/>
            <w:tcBorders>
              <w:tl2br w:val="nil"/>
              <w:tr2bl w:val="nil"/>
            </w:tcBorders>
            <w:shd w:val="clear" w:color="auto" w:fill="auto"/>
            <w:vAlign w:val="center"/>
          </w:tcPr>
          <w:p w14:paraId="5B9D9D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建筑施工质量管理和安全生产标准化工地考评数（个）</w:t>
            </w:r>
          </w:p>
        </w:tc>
        <w:tc>
          <w:tcPr>
            <w:tcW w:w="945" w:type="dxa"/>
            <w:tcBorders>
              <w:tl2br w:val="nil"/>
              <w:tr2bl w:val="nil"/>
            </w:tcBorders>
            <w:shd w:val="clear" w:color="auto" w:fill="auto"/>
            <w:vAlign w:val="center"/>
          </w:tcPr>
          <w:p w14:paraId="27DCB0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237</w:t>
            </w:r>
          </w:p>
        </w:tc>
        <w:tc>
          <w:tcPr>
            <w:tcW w:w="4035" w:type="dxa"/>
            <w:tcBorders>
              <w:tl2br w:val="nil"/>
              <w:tr2bl w:val="nil"/>
            </w:tcBorders>
            <w:shd w:val="clear" w:color="auto" w:fill="auto"/>
            <w:vAlign w:val="center"/>
          </w:tcPr>
          <w:p w14:paraId="757D8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考评分≥80分（个）</w:t>
            </w:r>
          </w:p>
        </w:tc>
        <w:tc>
          <w:tcPr>
            <w:tcW w:w="1185" w:type="dxa"/>
            <w:tcBorders>
              <w:tl2br w:val="nil"/>
              <w:tr2bl w:val="nil"/>
            </w:tcBorders>
            <w:shd w:val="clear" w:color="auto" w:fill="auto"/>
            <w:vAlign w:val="center"/>
          </w:tcPr>
          <w:p w14:paraId="506EEF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237</w:t>
            </w:r>
          </w:p>
        </w:tc>
        <w:tc>
          <w:tcPr>
            <w:tcW w:w="2672" w:type="dxa"/>
            <w:tcBorders>
              <w:tl2br w:val="nil"/>
              <w:tr2bl w:val="nil"/>
            </w:tcBorders>
            <w:shd w:val="clear" w:color="auto" w:fill="auto"/>
            <w:vAlign w:val="center"/>
          </w:tcPr>
          <w:p w14:paraId="551CB0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448870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14C1A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56222A2">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185AC3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争创芙蓉奖工程</w:t>
            </w:r>
          </w:p>
        </w:tc>
        <w:tc>
          <w:tcPr>
            <w:tcW w:w="945" w:type="dxa"/>
            <w:tcBorders>
              <w:tl2br w:val="nil"/>
              <w:tr2bl w:val="nil"/>
            </w:tcBorders>
            <w:shd w:val="clear" w:color="auto" w:fill="auto"/>
            <w:vAlign w:val="center"/>
          </w:tcPr>
          <w:p w14:paraId="5CA64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4035" w:type="dxa"/>
            <w:tcBorders>
              <w:tl2br w:val="nil"/>
              <w:tr2bl w:val="nil"/>
            </w:tcBorders>
            <w:shd w:val="clear" w:color="auto" w:fill="auto"/>
            <w:vAlign w:val="center"/>
          </w:tcPr>
          <w:p w14:paraId="6462FB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获评数</w:t>
            </w:r>
          </w:p>
        </w:tc>
        <w:tc>
          <w:tcPr>
            <w:tcW w:w="1185" w:type="dxa"/>
            <w:tcBorders>
              <w:tl2br w:val="nil"/>
              <w:tr2bl w:val="nil"/>
            </w:tcBorders>
            <w:shd w:val="clear" w:color="auto" w:fill="auto"/>
            <w:vAlign w:val="center"/>
          </w:tcPr>
          <w:p w14:paraId="552265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w:t>
            </w:r>
          </w:p>
        </w:tc>
        <w:tc>
          <w:tcPr>
            <w:tcW w:w="2672" w:type="dxa"/>
            <w:tcBorders>
              <w:tl2br w:val="nil"/>
              <w:tr2bl w:val="nil"/>
            </w:tcBorders>
            <w:shd w:val="clear" w:color="auto" w:fill="auto"/>
            <w:vAlign w:val="center"/>
          </w:tcPr>
          <w:p w14:paraId="094298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0D8EE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w:t>
            </w:r>
          </w:p>
        </w:tc>
      </w:tr>
      <w:tr w14:paraId="0A9A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25A35688">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12C8D1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省优质工程</w:t>
            </w:r>
          </w:p>
        </w:tc>
        <w:tc>
          <w:tcPr>
            <w:tcW w:w="945" w:type="dxa"/>
            <w:tcBorders>
              <w:tl2br w:val="nil"/>
              <w:tr2bl w:val="nil"/>
            </w:tcBorders>
            <w:shd w:val="clear" w:color="auto" w:fill="auto"/>
            <w:vAlign w:val="center"/>
          </w:tcPr>
          <w:p w14:paraId="18F996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4035" w:type="dxa"/>
            <w:tcBorders>
              <w:tl2br w:val="nil"/>
              <w:tr2bl w:val="nil"/>
            </w:tcBorders>
            <w:shd w:val="clear" w:color="auto" w:fill="auto"/>
            <w:vAlign w:val="center"/>
          </w:tcPr>
          <w:p w14:paraId="0B84D1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获评数</w:t>
            </w:r>
          </w:p>
        </w:tc>
        <w:tc>
          <w:tcPr>
            <w:tcW w:w="1185" w:type="dxa"/>
            <w:tcBorders>
              <w:tl2br w:val="nil"/>
              <w:tr2bl w:val="nil"/>
            </w:tcBorders>
            <w:shd w:val="clear" w:color="auto" w:fill="auto"/>
            <w:vAlign w:val="center"/>
          </w:tcPr>
          <w:p w14:paraId="0E7F20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w:t>
            </w:r>
          </w:p>
        </w:tc>
        <w:tc>
          <w:tcPr>
            <w:tcW w:w="2672" w:type="dxa"/>
            <w:tcBorders>
              <w:tl2br w:val="nil"/>
              <w:tr2bl w:val="nil"/>
            </w:tcBorders>
            <w:shd w:val="clear" w:color="auto" w:fill="auto"/>
            <w:vAlign w:val="center"/>
          </w:tcPr>
          <w:p w14:paraId="185E62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2BA34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100.00 </w:t>
            </w:r>
          </w:p>
        </w:tc>
      </w:tr>
      <w:tr w14:paraId="32E71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6243EB3C">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484AB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中心城区项目获得湖南省年度质量安全优良工地</w:t>
            </w:r>
          </w:p>
        </w:tc>
        <w:tc>
          <w:tcPr>
            <w:tcW w:w="945" w:type="dxa"/>
            <w:tcBorders>
              <w:tl2br w:val="nil"/>
              <w:tr2bl w:val="nil"/>
            </w:tcBorders>
            <w:shd w:val="clear" w:color="auto" w:fill="auto"/>
            <w:vAlign w:val="center"/>
          </w:tcPr>
          <w:p w14:paraId="5C526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w:t>
            </w:r>
          </w:p>
        </w:tc>
        <w:tc>
          <w:tcPr>
            <w:tcW w:w="4035" w:type="dxa"/>
            <w:tcBorders>
              <w:tl2br w:val="nil"/>
              <w:tr2bl w:val="nil"/>
            </w:tcBorders>
            <w:shd w:val="clear" w:color="auto" w:fill="auto"/>
            <w:vAlign w:val="center"/>
          </w:tcPr>
          <w:p w14:paraId="564D69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获评数</w:t>
            </w:r>
          </w:p>
        </w:tc>
        <w:tc>
          <w:tcPr>
            <w:tcW w:w="1185" w:type="dxa"/>
            <w:tcBorders>
              <w:tl2br w:val="nil"/>
              <w:tr2bl w:val="nil"/>
            </w:tcBorders>
            <w:shd w:val="clear" w:color="auto" w:fill="auto"/>
            <w:vAlign w:val="center"/>
          </w:tcPr>
          <w:p w14:paraId="0D7417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672" w:type="dxa"/>
            <w:tcBorders>
              <w:tl2br w:val="nil"/>
              <w:tr2bl w:val="nil"/>
            </w:tcBorders>
            <w:shd w:val="clear" w:color="auto" w:fill="auto"/>
            <w:vAlign w:val="center"/>
          </w:tcPr>
          <w:p w14:paraId="5CB79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6D582B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BBD6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4A9EE5BE">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541B3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建设领域从业人员职业教育培训服务人数</w:t>
            </w:r>
          </w:p>
        </w:tc>
        <w:tc>
          <w:tcPr>
            <w:tcW w:w="945" w:type="dxa"/>
            <w:tcBorders>
              <w:tl2br w:val="nil"/>
              <w:tr2bl w:val="nil"/>
            </w:tcBorders>
            <w:shd w:val="clear" w:color="auto" w:fill="auto"/>
            <w:vAlign w:val="center"/>
          </w:tcPr>
          <w:p w14:paraId="305BA5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9120</w:t>
            </w:r>
          </w:p>
        </w:tc>
        <w:tc>
          <w:tcPr>
            <w:tcW w:w="4035" w:type="dxa"/>
            <w:tcBorders>
              <w:tl2br w:val="nil"/>
              <w:tr2bl w:val="nil"/>
            </w:tcBorders>
            <w:shd w:val="clear" w:color="auto" w:fill="auto"/>
            <w:vAlign w:val="center"/>
          </w:tcPr>
          <w:p w14:paraId="4F178D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考核考评合格人数</w:t>
            </w:r>
          </w:p>
        </w:tc>
        <w:tc>
          <w:tcPr>
            <w:tcW w:w="1185" w:type="dxa"/>
            <w:tcBorders>
              <w:tl2br w:val="nil"/>
              <w:tr2bl w:val="nil"/>
            </w:tcBorders>
            <w:shd w:val="clear" w:color="auto" w:fill="auto"/>
            <w:vAlign w:val="center"/>
          </w:tcPr>
          <w:p w14:paraId="64BB27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9120</w:t>
            </w:r>
          </w:p>
        </w:tc>
        <w:tc>
          <w:tcPr>
            <w:tcW w:w="2672" w:type="dxa"/>
            <w:tcBorders>
              <w:tl2br w:val="nil"/>
              <w:tr2bl w:val="nil"/>
            </w:tcBorders>
            <w:shd w:val="clear" w:color="auto" w:fill="auto"/>
            <w:vAlign w:val="center"/>
          </w:tcPr>
          <w:p w14:paraId="2A49B1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合格率</w:t>
            </w:r>
          </w:p>
        </w:tc>
        <w:tc>
          <w:tcPr>
            <w:tcW w:w="1110" w:type="dxa"/>
            <w:tcBorders>
              <w:tl2br w:val="nil"/>
              <w:tr2bl w:val="nil"/>
            </w:tcBorders>
            <w:shd w:val="clear" w:color="auto" w:fill="auto"/>
            <w:vAlign w:val="center"/>
          </w:tcPr>
          <w:p w14:paraId="524D8C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7F1B0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7CD7B0D0">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F4B87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年度计划城市基础设施建设项目竣工验收数</w:t>
            </w:r>
          </w:p>
        </w:tc>
        <w:tc>
          <w:tcPr>
            <w:tcW w:w="945" w:type="dxa"/>
            <w:tcBorders>
              <w:tl2br w:val="nil"/>
              <w:tr2bl w:val="nil"/>
            </w:tcBorders>
            <w:shd w:val="clear" w:color="auto" w:fill="auto"/>
            <w:vAlign w:val="center"/>
          </w:tcPr>
          <w:p w14:paraId="042B2C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4035" w:type="dxa"/>
            <w:tcBorders>
              <w:tl2br w:val="nil"/>
              <w:tr2bl w:val="nil"/>
            </w:tcBorders>
            <w:shd w:val="clear" w:color="auto" w:fill="auto"/>
            <w:vAlign w:val="center"/>
          </w:tcPr>
          <w:p w14:paraId="0E638F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竣工验收合格数</w:t>
            </w:r>
          </w:p>
        </w:tc>
        <w:tc>
          <w:tcPr>
            <w:tcW w:w="1185" w:type="dxa"/>
            <w:tcBorders>
              <w:tl2br w:val="nil"/>
              <w:tr2bl w:val="nil"/>
            </w:tcBorders>
            <w:shd w:val="clear" w:color="auto" w:fill="auto"/>
            <w:vAlign w:val="center"/>
          </w:tcPr>
          <w:p w14:paraId="2F000F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672" w:type="dxa"/>
            <w:tcBorders>
              <w:tl2br w:val="nil"/>
              <w:tr2bl w:val="nil"/>
            </w:tcBorders>
            <w:shd w:val="clear" w:color="auto" w:fill="auto"/>
            <w:vAlign w:val="center"/>
          </w:tcPr>
          <w:p w14:paraId="3DBF19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合格率</w:t>
            </w:r>
          </w:p>
        </w:tc>
        <w:tc>
          <w:tcPr>
            <w:tcW w:w="1110" w:type="dxa"/>
            <w:tcBorders>
              <w:tl2br w:val="nil"/>
              <w:tr2bl w:val="nil"/>
            </w:tcBorders>
            <w:shd w:val="clear" w:color="auto" w:fill="auto"/>
            <w:vAlign w:val="center"/>
          </w:tcPr>
          <w:p w14:paraId="62D68B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C73F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1ECD8D13">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55161B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受监项目检测质量（项、个）数</w:t>
            </w:r>
          </w:p>
        </w:tc>
        <w:tc>
          <w:tcPr>
            <w:tcW w:w="945" w:type="dxa"/>
            <w:tcBorders>
              <w:tl2br w:val="nil"/>
              <w:tr2bl w:val="nil"/>
            </w:tcBorders>
            <w:shd w:val="clear" w:color="auto" w:fill="auto"/>
            <w:vAlign w:val="center"/>
          </w:tcPr>
          <w:p w14:paraId="6BD994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4035" w:type="dxa"/>
            <w:tcBorders>
              <w:tl2br w:val="nil"/>
              <w:tr2bl w:val="nil"/>
            </w:tcBorders>
            <w:shd w:val="clear" w:color="auto" w:fill="auto"/>
            <w:vAlign w:val="center"/>
          </w:tcPr>
          <w:p w14:paraId="149B97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受监项目检测质量合法合规数</w:t>
            </w:r>
          </w:p>
        </w:tc>
        <w:tc>
          <w:tcPr>
            <w:tcW w:w="1185" w:type="dxa"/>
            <w:tcBorders>
              <w:tl2br w:val="nil"/>
              <w:tr2bl w:val="nil"/>
            </w:tcBorders>
            <w:shd w:val="clear" w:color="auto" w:fill="auto"/>
            <w:vAlign w:val="center"/>
          </w:tcPr>
          <w:p w14:paraId="113C10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2672" w:type="dxa"/>
            <w:tcBorders>
              <w:tl2br w:val="nil"/>
              <w:tr2bl w:val="nil"/>
            </w:tcBorders>
            <w:shd w:val="clear" w:color="auto" w:fill="auto"/>
            <w:vAlign w:val="center"/>
          </w:tcPr>
          <w:p w14:paraId="6F149F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合法合规率</w:t>
            </w:r>
          </w:p>
        </w:tc>
        <w:tc>
          <w:tcPr>
            <w:tcW w:w="1110" w:type="dxa"/>
            <w:tcBorders>
              <w:tl2br w:val="nil"/>
              <w:tr2bl w:val="nil"/>
            </w:tcBorders>
            <w:shd w:val="clear" w:color="auto" w:fill="auto"/>
            <w:vAlign w:val="center"/>
          </w:tcPr>
          <w:p w14:paraId="353FCA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3BF66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28E5D641">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0A265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中心城区房屋白蚁防治验收数</w:t>
            </w:r>
          </w:p>
        </w:tc>
        <w:tc>
          <w:tcPr>
            <w:tcW w:w="945" w:type="dxa"/>
            <w:tcBorders>
              <w:tl2br w:val="nil"/>
              <w:tr2bl w:val="nil"/>
            </w:tcBorders>
            <w:shd w:val="clear" w:color="auto" w:fill="auto"/>
            <w:vAlign w:val="center"/>
          </w:tcPr>
          <w:p w14:paraId="76C308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122</w:t>
            </w:r>
          </w:p>
        </w:tc>
        <w:tc>
          <w:tcPr>
            <w:tcW w:w="4035" w:type="dxa"/>
            <w:tcBorders>
              <w:tl2br w:val="nil"/>
              <w:tr2bl w:val="nil"/>
            </w:tcBorders>
            <w:shd w:val="clear" w:color="auto" w:fill="auto"/>
            <w:vAlign w:val="center"/>
          </w:tcPr>
          <w:p w14:paraId="697CC8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验收达标数</w:t>
            </w:r>
          </w:p>
        </w:tc>
        <w:tc>
          <w:tcPr>
            <w:tcW w:w="1185" w:type="dxa"/>
            <w:tcBorders>
              <w:tl2br w:val="nil"/>
              <w:tr2bl w:val="nil"/>
            </w:tcBorders>
            <w:shd w:val="clear" w:color="auto" w:fill="auto"/>
            <w:vAlign w:val="center"/>
          </w:tcPr>
          <w:p w14:paraId="55433B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122</w:t>
            </w:r>
          </w:p>
        </w:tc>
        <w:tc>
          <w:tcPr>
            <w:tcW w:w="2672" w:type="dxa"/>
            <w:tcBorders>
              <w:tl2br w:val="nil"/>
              <w:tr2bl w:val="nil"/>
            </w:tcBorders>
            <w:shd w:val="clear" w:color="auto" w:fill="auto"/>
            <w:vAlign w:val="center"/>
          </w:tcPr>
          <w:p w14:paraId="6E01ED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5EF951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37CAB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49FA09A">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752B6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中心城区房屋交易网签、备案验收数</w:t>
            </w:r>
          </w:p>
        </w:tc>
        <w:tc>
          <w:tcPr>
            <w:tcW w:w="945" w:type="dxa"/>
            <w:tcBorders>
              <w:tl2br w:val="nil"/>
              <w:tr2bl w:val="nil"/>
            </w:tcBorders>
            <w:shd w:val="clear" w:color="auto" w:fill="auto"/>
            <w:vAlign w:val="center"/>
          </w:tcPr>
          <w:p w14:paraId="103ECB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1883</w:t>
            </w:r>
          </w:p>
        </w:tc>
        <w:tc>
          <w:tcPr>
            <w:tcW w:w="4035" w:type="dxa"/>
            <w:tcBorders>
              <w:tl2br w:val="nil"/>
              <w:tr2bl w:val="nil"/>
            </w:tcBorders>
            <w:shd w:val="clear" w:color="auto" w:fill="auto"/>
            <w:vAlign w:val="center"/>
          </w:tcPr>
          <w:p w14:paraId="23B87D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验收达标数</w:t>
            </w:r>
          </w:p>
        </w:tc>
        <w:tc>
          <w:tcPr>
            <w:tcW w:w="1185" w:type="dxa"/>
            <w:tcBorders>
              <w:tl2br w:val="nil"/>
              <w:tr2bl w:val="nil"/>
            </w:tcBorders>
            <w:shd w:val="clear" w:color="auto" w:fill="auto"/>
            <w:vAlign w:val="center"/>
          </w:tcPr>
          <w:p w14:paraId="7278EF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1883</w:t>
            </w:r>
          </w:p>
        </w:tc>
        <w:tc>
          <w:tcPr>
            <w:tcW w:w="2672" w:type="dxa"/>
            <w:tcBorders>
              <w:tl2br w:val="nil"/>
              <w:tr2bl w:val="nil"/>
            </w:tcBorders>
            <w:shd w:val="clear" w:color="auto" w:fill="auto"/>
            <w:vAlign w:val="center"/>
          </w:tcPr>
          <w:p w14:paraId="1BE47F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13FEC1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46D18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jc w:val="center"/>
        </w:trPr>
        <w:tc>
          <w:tcPr>
            <w:tcW w:w="666" w:type="dxa"/>
            <w:vMerge w:val="continue"/>
            <w:tcBorders>
              <w:tl2br w:val="nil"/>
              <w:tr2bl w:val="nil"/>
            </w:tcBorders>
            <w:shd w:val="clear" w:color="auto" w:fill="auto"/>
            <w:vAlign w:val="center"/>
          </w:tcPr>
          <w:p w14:paraId="555F1F8C">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D7A0C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共用部位共用设施设备维修、更新、改造项目的施工质量验收数（项、个）</w:t>
            </w:r>
          </w:p>
        </w:tc>
        <w:tc>
          <w:tcPr>
            <w:tcW w:w="945" w:type="dxa"/>
            <w:tcBorders>
              <w:tl2br w:val="nil"/>
              <w:tr2bl w:val="nil"/>
            </w:tcBorders>
            <w:shd w:val="clear" w:color="auto" w:fill="auto"/>
            <w:vAlign w:val="center"/>
          </w:tcPr>
          <w:p w14:paraId="138305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45</w:t>
            </w:r>
          </w:p>
        </w:tc>
        <w:tc>
          <w:tcPr>
            <w:tcW w:w="4035" w:type="dxa"/>
            <w:tcBorders>
              <w:tl2br w:val="nil"/>
              <w:tr2bl w:val="nil"/>
            </w:tcBorders>
            <w:shd w:val="clear" w:color="auto" w:fill="auto"/>
            <w:vAlign w:val="center"/>
          </w:tcPr>
          <w:p w14:paraId="4924C7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施工质量验收评分≥90分数（项、个）</w:t>
            </w:r>
          </w:p>
        </w:tc>
        <w:tc>
          <w:tcPr>
            <w:tcW w:w="1185" w:type="dxa"/>
            <w:tcBorders>
              <w:tl2br w:val="nil"/>
              <w:tr2bl w:val="nil"/>
            </w:tcBorders>
            <w:shd w:val="clear" w:color="auto" w:fill="auto"/>
            <w:vAlign w:val="center"/>
          </w:tcPr>
          <w:p w14:paraId="3B359E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43</w:t>
            </w:r>
          </w:p>
        </w:tc>
        <w:tc>
          <w:tcPr>
            <w:tcW w:w="2672" w:type="dxa"/>
            <w:tcBorders>
              <w:tl2br w:val="nil"/>
              <w:tr2bl w:val="nil"/>
            </w:tcBorders>
            <w:shd w:val="clear" w:color="auto" w:fill="auto"/>
            <w:vAlign w:val="center"/>
          </w:tcPr>
          <w:p w14:paraId="5254BF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优良率</w:t>
            </w:r>
          </w:p>
        </w:tc>
        <w:tc>
          <w:tcPr>
            <w:tcW w:w="1110" w:type="dxa"/>
            <w:tcBorders>
              <w:tl2br w:val="nil"/>
              <w:tr2bl w:val="nil"/>
            </w:tcBorders>
            <w:shd w:val="clear" w:color="auto" w:fill="auto"/>
            <w:vAlign w:val="center"/>
          </w:tcPr>
          <w:p w14:paraId="0A2B77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95.56 </w:t>
            </w:r>
          </w:p>
        </w:tc>
      </w:tr>
      <w:tr w14:paraId="2F836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CF4B7E9">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C3A29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测绘成果验收数</w:t>
            </w:r>
          </w:p>
        </w:tc>
        <w:tc>
          <w:tcPr>
            <w:tcW w:w="945" w:type="dxa"/>
            <w:tcBorders>
              <w:tl2br w:val="nil"/>
              <w:tr2bl w:val="nil"/>
            </w:tcBorders>
            <w:shd w:val="clear" w:color="auto" w:fill="auto"/>
            <w:vAlign w:val="center"/>
          </w:tcPr>
          <w:p w14:paraId="26C61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255.27</w:t>
            </w:r>
          </w:p>
        </w:tc>
        <w:tc>
          <w:tcPr>
            <w:tcW w:w="4035" w:type="dxa"/>
            <w:tcBorders>
              <w:tl2br w:val="nil"/>
              <w:tr2bl w:val="nil"/>
            </w:tcBorders>
            <w:shd w:val="clear" w:color="auto" w:fill="auto"/>
            <w:vAlign w:val="center"/>
          </w:tcPr>
          <w:p w14:paraId="35F414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达标数（万平方米）</w:t>
            </w:r>
          </w:p>
        </w:tc>
        <w:tc>
          <w:tcPr>
            <w:tcW w:w="1185" w:type="dxa"/>
            <w:tcBorders>
              <w:tl2br w:val="nil"/>
              <w:tr2bl w:val="nil"/>
            </w:tcBorders>
            <w:shd w:val="clear" w:color="auto" w:fill="auto"/>
            <w:vAlign w:val="center"/>
          </w:tcPr>
          <w:p w14:paraId="587A58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255.27</w:t>
            </w:r>
          </w:p>
        </w:tc>
        <w:tc>
          <w:tcPr>
            <w:tcW w:w="2672" w:type="dxa"/>
            <w:tcBorders>
              <w:tl2br w:val="nil"/>
              <w:tr2bl w:val="nil"/>
            </w:tcBorders>
            <w:shd w:val="clear" w:color="auto" w:fill="auto"/>
            <w:vAlign w:val="center"/>
          </w:tcPr>
          <w:p w14:paraId="096FBC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72712C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D0BD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666" w:type="dxa"/>
            <w:vMerge w:val="continue"/>
            <w:tcBorders>
              <w:tl2br w:val="nil"/>
              <w:tr2bl w:val="nil"/>
            </w:tcBorders>
            <w:shd w:val="clear" w:color="auto" w:fill="auto"/>
            <w:vAlign w:val="center"/>
          </w:tcPr>
          <w:p w14:paraId="473F21A0">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C5809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全市燃气经营企业的业务指导和咨询服务企业检查数</w:t>
            </w:r>
          </w:p>
        </w:tc>
        <w:tc>
          <w:tcPr>
            <w:tcW w:w="945" w:type="dxa"/>
            <w:tcBorders>
              <w:tl2br w:val="nil"/>
              <w:tr2bl w:val="nil"/>
            </w:tcBorders>
            <w:shd w:val="clear" w:color="auto" w:fill="auto"/>
            <w:vAlign w:val="center"/>
          </w:tcPr>
          <w:p w14:paraId="49906D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w:t>
            </w:r>
          </w:p>
        </w:tc>
        <w:tc>
          <w:tcPr>
            <w:tcW w:w="4035" w:type="dxa"/>
            <w:tcBorders>
              <w:tl2br w:val="nil"/>
              <w:tr2bl w:val="nil"/>
            </w:tcBorders>
            <w:shd w:val="clear" w:color="auto" w:fill="auto"/>
            <w:vAlign w:val="center"/>
          </w:tcPr>
          <w:p w14:paraId="4B28B6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达标数</w:t>
            </w:r>
          </w:p>
        </w:tc>
        <w:tc>
          <w:tcPr>
            <w:tcW w:w="1185" w:type="dxa"/>
            <w:tcBorders>
              <w:tl2br w:val="nil"/>
              <w:tr2bl w:val="nil"/>
            </w:tcBorders>
            <w:shd w:val="clear" w:color="auto" w:fill="auto"/>
            <w:vAlign w:val="center"/>
          </w:tcPr>
          <w:p w14:paraId="7D815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w:t>
            </w:r>
          </w:p>
        </w:tc>
        <w:tc>
          <w:tcPr>
            <w:tcW w:w="2672" w:type="dxa"/>
            <w:tcBorders>
              <w:tl2br w:val="nil"/>
              <w:tr2bl w:val="nil"/>
            </w:tcBorders>
            <w:shd w:val="clear" w:color="auto" w:fill="auto"/>
            <w:vAlign w:val="center"/>
          </w:tcPr>
          <w:p w14:paraId="07D155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6F7369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184C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restart"/>
            <w:tcBorders>
              <w:tl2br w:val="nil"/>
              <w:tr2bl w:val="nil"/>
            </w:tcBorders>
            <w:shd w:val="clear" w:color="auto" w:fill="auto"/>
            <w:vAlign w:val="center"/>
          </w:tcPr>
          <w:p w14:paraId="1656FE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及时指标</w:t>
            </w:r>
          </w:p>
        </w:tc>
        <w:tc>
          <w:tcPr>
            <w:tcW w:w="3780" w:type="dxa"/>
            <w:tcBorders>
              <w:tl2br w:val="nil"/>
              <w:tr2bl w:val="nil"/>
            </w:tcBorders>
            <w:shd w:val="clear" w:color="auto" w:fill="auto"/>
            <w:vAlign w:val="center"/>
          </w:tcPr>
          <w:p w14:paraId="23071C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购房补贴应按时分批次拨付户数</w:t>
            </w:r>
          </w:p>
        </w:tc>
        <w:tc>
          <w:tcPr>
            <w:tcW w:w="945" w:type="dxa"/>
            <w:tcBorders>
              <w:tl2br w:val="nil"/>
              <w:tr2bl w:val="nil"/>
            </w:tcBorders>
            <w:shd w:val="clear" w:color="auto" w:fill="auto"/>
            <w:vAlign w:val="center"/>
          </w:tcPr>
          <w:p w14:paraId="7F10C1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1512</w:t>
            </w:r>
          </w:p>
        </w:tc>
        <w:tc>
          <w:tcPr>
            <w:tcW w:w="4035" w:type="dxa"/>
            <w:tcBorders>
              <w:tl2br w:val="nil"/>
              <w:tr2bl w:val="nil"/>
            </w:tcBorders>
            <w:shd w:val="clear" w:color="auto" w:fill="auto"/>
            <w:vAlign w:val="center"/>
          </w:tcPr>
          <w:p w14:paraId="0C4482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实际按时分批次拨付户数</w:t>
            </w:r>
          </w:p>
        </w:tc>
        <w:tc>
          <w:tcPr>
            <w:tcW w:w="1185" w:type="dxa"/>
            <w:tcBorders>
              <w:tl2br w:val="nil"/>
              <w:tr2bl w:val="nil"/>
            </w:tcBorders>
            <w:shd w:val="clear" w:color="auto" w:fill="auto"/>
            <w:vAlign w:val="center"/>
          </w:tcPr>
          <w:p w14:paraId="40BC45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1512</w:t>
            </w:r>
          </w:p>
        </w:tc>
        <w:tc>
          <w:tcPr>
            <w:tcW w:w="2672" w:type="dxa"/>
            <w:tcBorders>
              <w:tl2br w:val="nil"/>
              <w:tr2bl w:val="nil"/>
            </w:tcBorders>
            <w:shd w:val="clear" w:color="auto" w:fill="auto"/>
            <w:vAlign w:val="center"/>
          </w:tcPr>
          <w:p w14:paraId="233DA4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15766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3C20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4CD45E93">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19A62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符合考评条件的在建项目数</w:t>
            </w:r>
          </w:p>
        </w:tc>
        <w:tc>
          <w:tcPr>
            <w:tcW w:w="945" w:type="dxa"/>
            <w:tcBorders>
              <w:tl2br w:val="nil"/>
              <w:tr2bl w:val="nil"/>
            </w:tcBorders>
            <w:shd w:val="clear" w:color="auto" w:fill="auto"/>
            <w:vAlign w:val="center"/>
          </w:tcPr>
          <w:p w14:paraId="1A8F9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39</w:t>
            </w:r>
          </w:p>
        </w:tc>
        <w:tc>
          <w:tcPr>
            <w:tcW w:w="4035" w:type="dxa"/>
            <w:tcBorders>
              <w:tl2br w:val="nil"/>
              <w:tr2bl w:val="nil"/>
            </w:tcBorders>
            <w:shd w:val="clear" w:color="auto" w:fill="auto"/>
            <w:vAlign w:val="center"/>
          </w:tcPr>
          <w:p w14:paraId="480FAE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按时间节点开展质量安全标准化考评数</w:t>
            </w:r>
          </w:p>
        </w:tc>
        <w:tc>
          <w:tcPr>
            <w:tcW w:w="1185" w:type="dxa"/>
            <w:tcBorders>
              <w:tl2br w:val="nil"/>
              <w:tr2bl w:val="nil"/>
            </w:tcBorders>
            <w:shd w:val="clear" w:color="auto" w:fill="auto"/>
            <w:vAlign w:val="center"/>
          </w:tcPr>
          <w:p w14:paraId="487709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39</w:t>
            </w:r>
          </w:p>
        </w:tc>
        <w:tc>
          <w:tcPr>
            <w:tcW w:w="2672" w:type="dxa"/>
            <w:tcBorders>
              <w:tl2br w:val="nil"/>
              <w:tr2bl w:val="nil"/>
            </w:tcBorders>
            <w:shd w:val="clear" w:color="auto" w:fill="auto"/>
            <w:vAlign w:val="center"/>
          </w:tcPr>
          <w:p w14:paraId="5E2E9E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291E20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5D2A2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0" w:hRule="atLeast"/>
          <w:jc w:val="center"/>
        </w:trPr>
        <w:tc>
          <w:tcPr>
            <w:tcW w:w="666" w:type="dxa"/>
            <w:vMerge w:val="continue"/>
            <w:tcBorders>
              <w:tl2br w:val="nil"/>
              <w:tr2bl w:val="nil"/>
            </w:tcBorders>
            <w:shd w:val="clear" w:color="auto" w:fill="auto"/>
            <w:vAlign w:val="center"/>
          </w:tcPr>
          <w:p w14:paraId="1FDADD74">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40B502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应按时完成建设领域从业人员职业教育培训服务人数</w:t>
            </w:r>
          </w:p>
        </w:tc>
        <w:tc>
          <w:tcPr>
            <w:tcW w:w="945" w:type="dxa"/>
            <w:tcBorders>
              <w:tl2br w:val="nil"/>
              <w:tr2bl w:val="nil"/>
            </w:tcBorders>
            <w:shd w:val="clear" w:color="auto" w:fill="auto"/>
            <w:vAlign w:val="center"/>
          </w:tcPr>
          <w:p w14:paraId="7EA381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9120</w:t>
            </w:r>
          </w:p>
        </w:tc>
        <w:tc>
          <w:tcPr>
            <w:tcW w:w="4035" w:type="dxa"/>
            <w:tcBorders>
              <w:tl2br w:val="nil"/>
              <w:tr2bl w:val="nil"/>
            </w:tcBorders>
            <w:shd w:val="clear" w:color="auto" w:fill="auto"/>
            <w:vAlign w:val="center"/>
          </w:tcPr>
          <w:p w14:paraId="36641D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实际按时完成建设领域从业人员职业教育培训服务人数</w:t>
            </w:r>
          </w:p>
        </w:tc>
        <w:tc>
          <w:tcPr>
            <w:tcW w:w="1185" w:type="dxa"/>
            <w:tcBorders>
              <w:tl2br w:val="nil"/>
              <w:tr2bl w:val="nil"/>
            </w:tcBorders>
            <w:shd w:val="clear" w:color="auto" w:fill="auto"/>
            <w:vAlign w:val="center"/>
          </w:tcPr>
          <w:p w14:paraId="6F8CF2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9120</w:t>
            </w:r>
          </w:p>
        </w:tc>
        <w:tc>
          <w:tcPr>
            <w:tcW w:w="2672" w:type="dxa"/>
            <w:tcBorders>
              <w:tl2br w:val="nil"/>
              <w:tr2bl w:val="nil"/>
            </w:tcBorders>
            <w:shd w:val="clear" w:color="auto" w:fill="auto"/>
            <w:vAlign w:val="center"/>
          </w:tcPr>
          <w:p w14:paraId="532736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31455E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E710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666" w:type="dxa"/>
            <w:vMerge w:val="continue"/>
            <w:tcBorders>
              <w:tl2br w:val="nil"/>
              <w:tr2bl w:val="nil"/>
            </w:tcBorders>
            <w:shd w:val="clear" w:color="auto" w:fill="auto"/>
            <w:vAlign w:val="center"/>
          </w:tcPr>
          <w:p w14:paraId="549EC279">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12D1AB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征收补偿资金应按时按政策按时发放到个人（单位）数</w:t>
            </w:r>
          </w:p>
        </w:tc>
        <w:tc>
          <w:tcPr>
            <w:tcW w:w="945" w:type="dxa"/>
            <w:tcBorders>
              <w:tl2br w:val="nil"/>
              <w:tr2bl w:val="nil"/>
            </w:tcBorders>
            <w:shd w:val="clear" w:color="auto" w:fill="auto"/>
            <w:vAlign w:val="center"/>
          </w:tcPr>
          <w:p w14:paraId="7FA10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138</w:t>
            </w:r>
          </w:p>
        </w:tc>
        <w:tc>
          <w:tcPr>
            <w:tcW w:w="4035" w:type="dxa"/>
            <w:tcBorders>
              <w:tl2br w:val="nil"/>
              <w:tr2bl w:val="nil"/>
            </w:tcBorders>
            <w:shd w:val="clear" w:color="auto" w:fill="auto"/>
            <w:vAlign w:val="center"/>
          </w:tcPr>
          <w:p w14:paraId="67ABFF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实际按时发放数</w:t>
            </w:r>
          </w:p>
        </w:tc>
        <w:tc>
          <w:tcPr>
            <w:tcW w:w="1185" w:type="dxa"/>
            <w:tcBorders>
              <w:tl2br w:val="nil"/>
              <w:tr2bl w:val="nil"/>
            </w:tcBorders>
            <w:shd w:val="clear" w:color="auto" w:fill="auto"/>
            <w:vAlign w:val="center"/>
          </w:tcPr>
          <w:p w14:paraId="23C149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138</w:t>
            </w:r>
          </w:p>
        </w:tc>
        <w:tc>
          <w:tcPr>
            <w:tcW w:w="2672" w:type="dxa"/>
            <w:tcBorders>
              <w:tl2br w:val="nil"/>
              <w:tr2bl w:val="nil"/>
            </w:tcBorders>
            <w:shd w:val="clear" w:color="auto" w:fill="auto"/>
            <w:vAlign w:val="center"/>
          </w:tcPr>
          <w:p w14:paraId="190DD6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57F9B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50117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2FB7153">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C9F46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应按时完成检测，按时出具检测报告数</w:t>
            </w:r>
          </w:p>
        </w:tc>
        <w:tc>
          <w:tcPr>
            <w:tcW w:w="945" w:type="dxa"/>
            <w:tcBorders>
              <w:tl2br w:val="nil"/>
              <w:tr2bl w:val="nil"/>
            </w:tcBorders>
            <w:shd w:val="clear" w:color="auto" w:fill="auto"/>
            <w:vAlign w:val="center"/>
          </w:tcPr>
          <w:p w14:paraId="080A1E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c>
          <w:tcPr>
            <w:tcW w:w="4035" w:type="dxa"/>
            <w:tcBorders>
              <w:tl2br w:val="nil"/>
              <w:tr2bl w:val="nil"/>
            </w:tcBorders>
            <w:shd w:val="clear" w:color="auto" w:fill="auto"/>
            <w:vAlign w:val="center"/>
          </w:tcPr>
          <w:p w14:paraId="3AE952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实际按时完成数</w:t>
            </w:r>
          </w:p>
        </w:tc>
        <w:tc>
          <w:tcPr>
            <w:tcW w:w="1185" w:type="dxa"/>
            <w:tcBorders>
              <w:tl2br w:val="nil"/>
              <w:tr2bl w:val="nil"/>
            </w:tcBorders>
            <w:shd w:val="clear" w:color="auto" w:fill="auto"/>
            <w:vAlign w:val="center"/>
          </w:tcPr>
          <w:p w14:paraId="70E38F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c>
          <w:tcPr>
            <w:tcW w:w="2672" w:type="dxa"/>
            <w:tcBorders>
              <w:tl2br w:val="nil"/>
              <w:tr2bl w:val="nil"/>
            </w:tcBorders>
            <w:shd w:val="clear" w:color="auto" w:fill="auto"/>
            <w:vAlign w:val="center"/>
          </w:tcPr>
          <w:p w14:paraId="02AC04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202114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2AB61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6C6D6962">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58B71D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中心城区房屋白蚁防治应按时完成数</w:t>
            </w:r>
          </w:p>
        </w:tc>
        <w:tc>
          <w:tcPr>
            <w:tcW w:w="945" w:type="dxa"/>
            <w:tcBorders>
              <w:tl2br w:val="nil"/>
              <w:tr2bl w:val="nil"/>
            </w:tcBorders>
            <w:shd w:val="clear" w:color="auto" w:fill="auto"/>
            <w:vAlign w:val="center"/>
          </w:tcPr>
          <w:p w14:paraId="421239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135</w:t>
            </w:r>
          </w:p>
        </w:tc>
        <w:tc>
          <w:tcPr>
            <w:tcW w:w="4035" w:type="dxa"/>
            <w:tcBorders>
              <w:tl2br w:val="nil"/>
              <w:tr2bl w:val="nil"/>
            </w:tcBorders>
            <w:shd w:val="clear" w:color="auto" w:fill="auto"/>
            <w:vAlign w:val="center"/>
          </w:tcPr>
          <w:p w14:paraId="34B113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实际按时完成数（栋）</w:t>
            </w:r>
          </w:p>
        </w:tc>
        <w:tc>
          <w:tcPr>
            <w:tcW w:w="1185" w:type="dxa"/>
            <w:tcBorders>
              <w:tl2br w:val="nil"/>
              <w:tr2bl w:val="nil"/>
            </w:tcBorders>
            <w:shd w:val="clear" w:color="auto" w:fill="auto"/>
            <w:vAlign w:val="center"/>
          </w:tcPr>
          <w:p w14:paraId="3CE3C1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135</w:t>
            </w:r>
          </w:p>
        </w:tc>
        <w:tc>
          <w:tcPr>
            <w:tcW w:w="2672" w:type="dxa"/>
            <w:tcBorders>
              <w:tl2br w:val="nil"/>
              <w:tr2bl w:val="nil"/>
            </w:tcBorders>
            <w:shd w:val="clear" w:color="auto" w:fill="auto"/>
            <w:vAlign w:val="center"/>
          </w:tcPr>
          <w:p w14:paraId="1397FF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66A8AC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23D5D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795B7B0E">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E064A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中心城区房屋交易网签、备案应按时完成数</w:t>
            </w:r>
          </w:p>
        </w:tc>
        <w:tc>
          <w:tcPr>
            <w:tcW w:w="945" w:type="dxa"/>
            <w:tcBorders>
              <w:tl2br w:val="nil"/>
              <w:tr2bl w:val="nil"/>
            </w:tcBorders>
            <w:shd w:val="clear" w:color="auto" w:fill="auto"/>
            <w:vAlign w:val="center"/>
          </w:tcPr>
          <w:p w14:paraId="331BE8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1883</w:t>
            </w:r>
          </w:p>
        </w:tc>
        <w:tc>
          <w:tcPr>
            <w:tcW w:w="4035" w:type="dxa"/>
            <w:tcBorders>
              <w:tl2br w:val="nil"/>
              <w:tr2bl w:val="nil"/>
            </w:tcBorders>
            <w:shd w:val="clear" w:color="auto" w:fill="auto"/>
            <w:vAlign w:val="center"/>
          </w:tcPr>
          <w:p w14:paraId="245B5A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实际按时完成数</w:t>
            </w:r>
          </w:p>
        </w:tc>
        <w:tc>
          <w:tcPr>
            <w:tcW w:w="1185" w:type="dxa"/>
            <w:tcBorders>
              <w:tl2br w:val="nil"/>
              <w:tr2bl w:val="nil"/>
            </w:tcBorders>
            <w:shd w:val="clear" w:color="auto" w:fill="auto"/>
            <w:vAlign w:val="center"/>
          </w:tcPr>
          <w:p w14:paraId="1A7C5A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1883</w:t>
            </w:r>
          </w:p>
        </w:tc>
        <w:tc>
          <w:tcPr>
            <w:tcW w:w="2672" w:type="dxa"/>
            <w:tcBorders>
              <w:tl2br w:val="nil"/>
              <w:tr2bl w:val="nil"/>
            </w:tcBorders>
            <w:shd w:val="clear" w:color="auto" w:fill="auto"/>
            <w:vAlign w:val="center"/>
          </w:tcPr>
          <w:p w14:paraId="397D92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10A83F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76BC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424BD568">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A78E8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房屋维修资金应按时拨付户数</w:t>
            </w:r>
          </w:p>
        </w:tc>
        <w:tc>
          <w:tcPr>
            <w:tcW w:w="945" w:type="dxa"/>
            <w:tcBorders>
              <w:tl2br w:val="nil"/>
              <w:tr2bl w:val="nil"/>
            </w:tcBorders>
            <w:shd w:val="clear" w:color="auto" w:fill="auto"/>
            <w:vAlign w:val="center"/>
          </w:tcPr>
          <w:p w14:paraId="0B6013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4056</w:t>
            </w:r>
          </w:p>
        </w:tc>
        <w:tc>
          <w:tcPr>
            <w:tcW w:w="4035" w:type="dxa"/>
            <w:tcBorders>
              <w:tl2br w:val="nil"/>
              <w:tr2bl w:val="nil"/>
            </w:tcBorders>
            <w:shd w:val="clear" w:color="auto" w:fill="auto"/>
            <w:vAlign w:val="center"/>
          </w:tcPr>
          <w:p w14:paraId="1CFD9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实际按时拨付户数</w:t>
            </w:r>
          </w:p>
        </w:tc>
        <w:tc>
          <w:tcPr>
            <w:tcW w:w="1185" w:type="dxa"/>
            <w:tcBorders>
              <w:tl2br w:val="nil"/>
              <w:tr2bl w:val="nil"/>
            </w:tcBorders>
            <w:shd w:val="clear" w:color="auto" w:fill="auto"/>
            <w:vAlign w:val="center"/>
          </w:tcPr>
          <w:p w14:paraId="10FD01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4056</w:t>
            </w:r>
          </w:p>
        </w:tc>
        <w:tc>
          <w:tcPr>
            <w:tcW w:w="2672" w:type="dxa"/>
            <w:tcBorders>
              <w:tl2br w:val="nil"/>
              <w:tr2bl w:val="nil"/>
            </w:tcBorders>
            <w:shd w:val="clear" w:color="auto" w:fill="auto"/>
            <w:vAlign w:val="center"/>
          </w:tcPr>
          <w:p w14:paraId="6CB25C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02CD14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D36F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666" w:type="dxa"/>
            <w:vMerge w:val="continue"/>
            <w:tcBorders>
              <w:tl2br w:val="nil"/>
              <w:tr2bl w:val="nil"/>
            </w:tcBorders>
            <w:shd w:val="clear" w:color="auto" w:fill="auto"/>
            <w:vAlign w:val="center"/>
          </w:tcPr>
          <w:p w14:paraId="793A7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E0021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全市燃气安全的宣传，协助开展燃气安全检查（次）</w:t>
            </w:r>
          </w:p>
        </w:tc>
        <w:tc>
          <w:tcPr>
            <w:tcW w:w="945" w:type="dxa"/>
            <w:tcBorders>
              <w:tl2br w:val="nil"/>
              <w:tr2bl w:val="nil"/>
            </w:tcBorders>
            <w:shd w:val="clear" w:color="auto" w:fill="auto"/>
            <w:vAlign w:val="center"/>
          </w:tcPr>
          <w:p w14:paraId="2FF6C0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4035" w:type="dxa"/>
            <w:tcBorders>
              <w:tl2br w:val="nil"/>
              <w:tr2bl w:val="nil"/>
            </w:tcBorders>
            <w:shd w:val="clear" w:color="auto" w:fill="auto"/>
            <w:vAlign w:val="center"/>
          </w:tcPr>
          <w:p w14:paraId="73A9B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及时开展安全宣传、安全检查次数</w:t>
            </w:r>
          </w:p>
        </w:tc>
        <w:tc>
          <w:tcPr>
            <w:tcW w:w="1185" w:type="dxa"/>
            <w:tcBorders>
              <w:tl2br w:val="nil"/>
              <w:tr2bl w:val="nil"/>
            </w:tcBorders>
            <w:shd w:val="clear" w:color="auto" w:fill="auto"/>
            <w:vAlign w:val="center"/>
          </w:tcPr>
          <w:p w14:paraId="3759B9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2672" w:type="dxa"/>
            <w:tcBorders>
              <w:tl2br w:val="nil"/>
              <w:tr2bl w:val="nil"/>
            </w:tcBorders>
            <w:shd w:val="clear" w:color="auto" w:fill="auto"/>
            <w:vAlign w:val="center"/>
          </w:tcPr>
          <w:p w14:paraId="2A75B0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5D9058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2F803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5E5D8AD">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E8D2A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全市发生燃气处理安全事故数</w:t>
            </w:r>
          </w:p>
        </w:tc>
        <w:tc>
          <w:tcPr>
            <w:tcW w:w="945" w:type="dxa"/>
            <w:tcBorders>
              <w:tl2br w:val="nil"/>
              <w:tr2bl w:val="nil"/>
            </w:tcBorders>
            <w:shd w:val="clear" w:color="auto" w:fill="auto"/>
            <w:vAlign w:val="center"/>
          </w:tcPr>
          <w:p w14:paraId="42A1AA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4035" w:type="dxa"/>
            <w:tcBorders>
              <w:tl2br w:val="nil"/>
              <w:tr2bl w:val="nil"/>
            </w:tcBorders>
            <w:shd w:val="clear" w:color="auto" w:fill="auto"/>
            <w:vAlign w:val="center"/>
          </w:tcPr>
          <w:p w14:paraId="32ACC0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及时处理安全事故（次）</w:t>
            </w:r>
          </w:p>
        </w:tc>
        <w:tc>
          <w:tcPr>
            <w:tcW w:w="1185" w:type="dxa"/>
            <w:tcBorders>
              <w:tl2br w:val="nil"/>
              <w:tr2bl w:val="nil"/>
            </w:tcBorders>
            <w:shd w:val="clear" w:color="auto" w:fill="auto"/>
            <w:vAlign w:val="center"/>
          </w:tcPr>
          <w:p w14:paraId="3BA59E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w:t>
            </w:r>
          </w:p>
        </w:tc>
        <w:tc>
          <w:tcPr>
            <w:tcW w:w="2672" w:type="dxa"/>
            <w:tcBorders>
              <w:tl2br w:val="nil"/>
              <w:tr2bl w:val="nil"/>
            </w:tcBorders>
            <w:shd w:val="clear" w:color="auto" w:fill="auto"/>
            <w:vAlign w:val="center"/>
          </w:tcPr>
          <w:p w14:paraId="176AB1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5A0526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200</w:t>
            </w:r>
          </w:p>
        </w:tc>
      </w:tr>
      <w:tr w14:paraId="39921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AB5B062">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5F6E90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燃气相关从业人员的教育培训（次）</w:t>
            </w:r>
          </w:p>
        </w:tc>
        <w:tc>
          <w:tcPr>
            <w:tcW w:w="945" w:type="dxa"/>
            <w:tcBorders>
              <w:tl2br w:val="nil"/>
              <w:tr2bl w:val="nil"/>
            </w:tcBorders>
            <w:shd w:val="clear" w:color="auto" w:fill="auto"/>
            <w:vAlign w:val="center"/>
          </w:tcPr>
          <w:p w14:paraId="08CFD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4035" w:type="dxa"/>
            <w:tcBorders>
              <w:tl2br w:val="nil"/>
              <w:tr2bl w:val="nil"/>
            </w:tcBorders>
            <w:shd w:val="clear" w:color="auto" w:fill="auto"/>
            <w:vAlign w:val="center"/>
          </w:tcPr>
          <w:p w14:paraId="076807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及时教育培训(次)</w:t>
            </w:r>
          </w:p>
        </w:tc>
        <w:tc>
          <w:tcPr>
            <w:tcW w:w="1185" w:type="dxa"/>
            <w:tcBorders>
              <w:tl2br w:val="nil"/>
              <w:tr2bl w:val="nil"/>
            </w:tcBorders>
            <w:shd w:val="clear" w:color="auto" w:fill="auto"/>
            <w:vAlign w:val="center"/>
          </w:tcPr>
          <w:p w14:paraId="33E23A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672" w:type="dxa"/>
            <w:tcBorders>
              <w:tl2br w:val="nil"/>
              <w:tr2bl w:val="nil"/>
            </w:tcBorders>
            <w:shd w:val="clear" w:color="auto" w:fill="auto"/>
            <w:vAlign w:val="center"/>
          </w:tcPr>
          <w:p w14:paraId="0876F8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760A93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5792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46CA5A31">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F600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城镇燃气安全管理方面的投诉和纠纷（次）</w:t>
            </w:r>
          </w:p>
        </w:tc>
        <w:tc>
          <w:tcPr>
            <w:tcW w:w="945" w:type="dxa"/>
            <w:tcBorders>
              <w:tl2br w:val="nil"/>
              <w:tr2bl w:val="nil"/>
            </w:tcBorders>
            <w:shd w:val="clear" w:color="auto" w:fill="auto"/>
            <w:vAlign w:val="center"/>
          </w:tcPr>
          <w:p w14:paraId="7AC738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w:t>
            </w:r>
          </w:p>
        </w:tc>
        <w:tc>
          <w:tcPr>
            <w:tcW w:w="4035" w:type="dxa"/>
            <w:tcBorders>
              <w:tl2br w:val="nil"/>
              <w:tr2bl w:val="nil"/>
            </w:tcBorders>
            <w:shd w:val="clear" w:color="auto" w:fill="auto"/>
            <w:vAlign w:val="center"/>
          </w:tcPr>
          <w:p w14:paraId="7D70A0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处理投诉和纠纷（次）</w:t>
            </w:r>
          </w:p>
        </w:tc>
        <w:tc>
          <w:tcPr>
            <w:tcW w:w="1185" w:type="dxa"/>
            <w:tcBorders>
              <w:tl2br w:val="nil"/>
              <w:tr2bl w:val="nil"/>
            </w:tcBorders>
            <w:shd w:val="clear" w:color="auto" w:fill="auto"/>
            <w:vAlign w:val="center"/>
          </w:tcPr>
          <w:p w14:paraId="41A94C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30</w:t>
            </w:r>
          </w:p>
        </w:tc>
        <w:tc>
          <w:tcPr>
            <w:tcW w:w="2672" w:type="dxa"/>
            <w:tcBorders>
              <w:tl2br w:val="nil"/>
              <w:tr2bl w:val="nil"/>
            </w:tcBorders>
            <w:shd w:val="clear" w:color="auto" w:fill="auto"/>
            <w:vAlign w:val="center"/>
          </w:tcPr>
          <w:p w14:paraId="37EB0B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7A73A9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5D1AD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00324FEF">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2C971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测绘业务应按时完成数</w:t>
            </w:r>
          </w:p>
        </w:tc>
        <w:tc>
          <w:tcPr>
            <w:tcW w:w="945" w:type="dxa"/>
            <w:tcBorders>
              <w:tl2br w:val="nil"/>
              <w:tr2bl w:val="nil"/>
            </w:tcBorders>
            <w:shd w:val="clear" w:color="auto" w:fill="auto"/>
            <w:vAlign w:val="center"/>
          </w:tcPr>
          <w:p w14:paraId="6A80E0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255.27</w:t>
            </w:r>
          </w:p>
        </w:tc>
        <w:tc>
          <w:tcPr>
            <w:tcW w:w="4035" w:type="dxa"/>
            <w:tcBorders>
              <w:tl2br w:val="nil"/>
              <w:tr2bl w:val="nil"/>
            </w:tcBorders>
            <w:shd w:val="clear" w:color="auto" w:fill="auto"/>
            <w:vAlign w:val="center"/>
          </w:tcPr>
          <w:p w14:paraId="36CA2F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实际按时完成数（万平方米）</w:t>
            </w:r>
          </w:p>
        </w:tc>
        <w:tc>
          <w:tcPr>
            <w:tcW w:w="1185" w:type="dxa"/>
            <w:tcBorders>
              <w:tl2br w:val="nil"/>
              <w:tr2bl w:val="nil"/>
            </w:tcBorders>
            <w:shd w:val="clear" w:color="auto" w:fill="auto"/>
            <w:vAlign w:val="center"/>
          </w:tcPr>
          <w:p w14:paraId="3B17D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255.27</w:t>
            </w:r>
          </w:p>
        </w:tc>
        <w:tc>
          <w:tcPr>
            <w:tcW w:w="2672" w:type="dxa"/>
            <w:tcBorders>
              <w:tl2br w:val="nil"/>
              <w:tr2bl w:val="nil"/>
            </w:tcBorders>
            <w:shd w:val="clear" w:color="auto" w:fill="auto"/>
            <w:vAlign w:val="center"/>
          </w:tcPr>
          <w:p w14:paraId="7DFF91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及时率</w:t>
            </w:r>
          </w:p>
        </w:tc>
        <w:tc>
          <w:tcPr>
            <w:tcW w:w="1110" w:type="dxa"/>
            <w:tcBorders>
              <w:tl2br w:val="nil"/>
              <w:tr2bl w:val="nil"/>
            </w:tcBorders>
            <w:shd w:val="clear" w:color="auto" w:fill="auto"/>
            <w:vAlign w:val="center"/>
          </w:tcPr>
          <w:p w14:paraId="44365B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20F4F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666" w:type="dxa"/>
            <w:vMerge w:val="restart"/>
            <w:tcBorders>
              <w:tl2br w:val="nil"/>
              <w:tr2bl w:val="nil"/>
            </w:tcBorders>
            <w:shd w:val="clear" w:color="auto" w:fill="auto"/>
            <w:vAlign w:val="center"/>
          </w:tcPr>
          <w:p w14:paraId="2856B6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经济效益</w:t>
            </w:r>
          </w:p>
        </w:tc>
        <w:tc>
          <w:tcPr>
            <w:tcW w:w="3780" w:type="dxa"/>
            <w:tcBorders>
              <w:tl2br w:val="nil"/>
              <w:tr2bl w:val="nil"/>
            </w:tcBorders>
            <w:shd w:val="clear" w:color="auto" w:fill="auto"/>
            <w:vAlign w:val="center"/>
          </w:tcPr>
          <w:p w14:paraId="78EBEB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强化城市管理、提升城市品质，项目建设拉动相关经济的投资发展（万元）</w:t>
            </w:r>
          </w:p>
        </w:tc>
        <w:tc>
          <w:tcPr>
            <w:tcW w:w="945" w:type="dxa"/>
            <w:tcBorders>
              <w:tl2br w:val="nil"/>
              <w:tr2bl w:val="nil"/>
            </w:tcBorders>
            <w:shd w:val="clear" w:color="auto" w:fill="auto"/>
            <w:vAlign w:val="center"/>
          </w:tcPr>
          <w:p w14:paraId="2B71DC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20000</w:t>
            </w:r>
          </w:p>
        </w:tc>
        <w:tc>
          <w:tcPr>
            <w:tcW w:w="4035" w:type="dxa"/>
            <w:tcBorders>
              <w:tl2br w:val="nil"/>
              <w:tr2bl w:val="nil"/>
            </w:tcBorders>
            <w:shd w:val="clear" w:color="auto" w:fill="auto"/>
            <w:vAlign w:val="center"/>
          </w:tcPr>
          <w:p w14:paraId="06704F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实际完成数（万元）</w:t>
            </w:r>
          </w:p>
        </w:tc>
        <w:tc>
          <w:tcPr>
            <w:tcW w:w="1185" w:type="dxa"/>
            <w:tcBorders>
              <w:tl2br w:val="nil"/>
              <w:tr2bl w:val="nil"/>
            </w:tcBorders>
            <w:shd w:val="clear" w:color="auto" w:fill="auto"/>
            <w:vAlign w:val="center"/>
          </w:tcPr>
          <w:p w14:paraId="376A78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20000</w:t>
            </w:r>
          </w:p>
        </w:tc>
        <w:tc>
          <w:tcPr>
            <w:tcW w:w="2672" w:type="dxa"/>
            <w:tcBorders>
              <w:tl2br w:val="nil"/>
              <w:tr2bl w:val="nil"/>
            </w:tcBorders>
            <w:shd w:val="clear" w:color="auto" w:fill="auto"/>
            <w:vAlign w:val="center"/>
          </w:tcPr>
          <w:p w14:paraId="39B006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4A60D8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6A020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jc w:val="center"/>
        </w:trPr>
        <w:tc>
          <w:tcPr>
            <w:tcW w:w="666" w:type="dxa"/>
            <w:vMerge w:val="continue"/>
            <w:tcBorders>
              <w:tl2br w:val="nil"/>
              <w:tr2bl w:val="nil"/>
            </w:tcBorders>
            <w:shd w:val="clear" w:color="auto" w:fill="auto"/>
            <w:vAlign w:val="center"/>
          </w:tcPr>
          <w:p w14:paraId="24E9996F">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B9D5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政策宣传、中心城区房屋交易网签、备案，促交易增税收计划完成数（万元）</w:t>
            </w:r>
          </w:p>
        </w:tc>
        <w:tc>
          <w:tcPr>
            <w:tcW w:w="945" w:type="dxa"/>
            <w:tcBorders>
              <w:tl2br w:val="nil"/>
              <w:tr2bl w:val="nil"/>
            </w:tcBorders>
            <w:shd w:val="clear" w:color="auto" w:fill="auto"/>
            <w:vAlign w:val="center"/>
          </w:tcPr>
          <w:p w14:paraId="4D1E6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2246.3</w:t>
            </w:r>
          </w:p>
        </w:tc>
        <w:tc>
          <w:tcPr>
            <w:tcW w:w="4035" w:type="dxa"/>
            <w:tcBorders>
              <w:tl2br w:val="nil"/>
              <w:tr2bl w:val="nil"/>
            </w:tcBorders>
            <w:shd w:val="clear" w:color="auto" w:fill="auto"/>
            <w:vAlign w:val="center"/>
          </w:tcPr>
          <w:p w14:paraId="0603EA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实际完成数（万元）</w:t>
            </w:r>
          </w:p>
        </w:tc>
        <w:tc>
          <w:tcPr>
            <w:tcW w:w="1185" w:type="dxa"/>
            <w:tcBorders>
              <w:tl2br w:val="nil"/>
              <w:tr2bl w:val="nil"/>
            </w:tcBorders>
            <w:shd w:val="clear" w:color="auto" w:fill="auto"/>
            <w:vAlign w:val="center"/>
          </w:tcPr>
          <w:p w14:paraId="25D252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2246.3</w:t>
            </w:r>
          </w:p>
        </w:tc>
        <w:tc>
          <w:tcPr>
            <w:tcW w:w="2672" w:type="dxa"/>
            <w:tcBorders>
              <w:tl2br w:val="nil"/>
              <w:tr2bl w:val="nil"/>
            </w:tcBorders>
            <w:shd w:val="clear" w:color="auto" w:fill="auto"/>
            <w:vAlign w:val="center"/>
          </w:tcPr>
          <w:p w14:paraId="7375EE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66E721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79AD9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26EEEEA1">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58E931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实现维修资金保值增值计划（元）</w:t>
            </w:r>
          </w:p>
        </w:tc>
        <w:tc>
          <w:tcPr>
            <w:tcW w:w="945" w:type="dxa"/>
            <w:tcBorders>
              <w:tl2br w:val="nil"/>
              <w:tr2bl w:val="nil"/>
            </w:tcBorders>
            <w:shd w:val="clear" w:color="auto" w:fill="auto"/>
            <w:vAlign w:val="center"/>
          </w:tcPr>
          <w:p w14:paraId="3D467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2800</w:t>
            </w:r>
          </w:p>
        </w:tc>
        <w:tc>
          <w:tcPr>
            <w:tcW w:w="4035" w:type="dxa"/>
            <w:tcBorders>
              <w:tl2br w:val="nil"/>
              <w:tr2bl w:val="nil"/>
            </w:tcBorders>
            <w:shd w:val="clear" w:color="auto" w:fill="auto"/>
            <w:vAlign w:val="center"/>
          </w:tcPr>
          <w:p w14:paraId="11AD44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实际完成数（元）</w:t>
            </w:r>
          </w:p>
        </w:tc>
        <w:tc>
          <w:tcPr>
            <w:tcW w:w="1185" w:type="dxa"/>
            <w:tcBorders>
              <w:tl2br w:val="nil"/>
              <w:tr2bl w:val="nil"/>
            </w:tcBorders>
            <w:shd w:val="clear" w:color="auto" w:fill="auto"/>
            <w:vAlign w:val="center"/>
          </w:tcPr>
          <w:p w14:paraId="775470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8501.28</w:t>
            </w:r>
          </w:p>
        </w:tc>
        <w:tc>
          <w:tcPr>
            <w:tcW w:w="2672" w:type="dxa"/>
            <w:tcBorders>
              <w:tl2br w:val="nil"/>
              <w:tr2bl w:val="nil"/>
            </w:tcBorders>
            <w:shd w:val="clear" w:color="auto" w:fill="auto"/>
            <w:vAlign w:val="center"/>
          </w:tcPr>
          <w:p w14:paraId="327C05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6DA466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100 </w:t>
            </w:r>
          </w:p>
        </w:tc>
      </w:tr>
      <w:tr w14:paraId="33664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restart"/>
            <w:tcBorders>
              <w:tl2br w:val="nil"/>
              <w:tr2bl w:val="nil"/>
            </w:tcBorders>
            <w:shd w:val="clear" w:color="auto" w:fill="auto"/>
            <w:vAlign w:val="center"/>
          </w:tcPr>
          <w:p w14:paraId="363DBF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3780" w:type="dxa"/>
            <w:tcBorders>
              <w:tl2br w:val="nil"/>
              <w:tr2bl w:val="nil"/>
            </w:tcBorders>
            <w:shd w:val="clear" w:color="auto" w:fill="auto"/>
            <w:vAlign w:val="center"/>
          </w:tcPr>
          <w:p w14:paraId="01085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建筑业产值对发展地域经济的贡献率（%）</w:t>
            </w:r>
          </w:p>
        </w:tc>
        <w:tc>
          <w:tcPr>
            <w:tcW w:w="945" w:type="dxa"/>
            <w:tcBorders>
              <w:tl2br w:val="nil"/>
              <w:tr2bl w:val="nil"/>
            </w:tcBorders>
            <w:shd w:val="clear" w:color="auto" w:fill="auto"/>
            <w:vAlign w:val="center"/>
          </w:tcPr>
          <w:p w14:paraId="55F1F3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98</w:t>
            </w:r>
          </w:p>
        </w:tc>
        <w:tc>
          <w:tcPr>
            <w:tcW w:w="4035" w:type="dxa"/>
            <w:tcBorders>
              <w:tl2br w:val="nil"/>
              <w:tr2bl w:val="nil"/>
            </w:tcBorders>
            <w:shd w:val="clear" w:color="auto" w:fill="auto"/>
            <w:vAlign w:val="center"/>
          </w:tcPr>
          <w:p w14:paraId="231E0B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实际完成贡献率</w:t>
            </w:r>
          </w:p>
        </w:tc>
        <w:tc>
          <w:tcPr>
            <w:tcW w:w="1185" w:type="dxa"/>
            <w:tcBorders>
              <w:tl2br w:val="nil"/>
              <w:tr2bl w:val="nil"/>
            </w:tcBorders>
            <w:shd w:val="clear" w:color="auto" w:fill="auto"/>
            <w:vAlign w:val="center"/>
          </w:tcPr>
          <w:p w14:paraId="770BFA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98</w:t>
            </w:r>
          </w:p>
        </w:tc>
        <w:tc>
          <w:tcPr>
            <w:tcW w:w="2672" w:type="dxa"/>
            <w:tcBorders>
              <w:tl2br w:val="nil"/>
              <w:tr2bl w:val="nil"/>
            </w:tcBorders>
            <w:shd w:val="clear" w:color="auto" w:fill="auto"/>
            <w:vAlign w:val="center"/>
          </w:tcPr>
          <w:p w14:paraId="7B903F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6F6052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51E61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666" w:type="dxa"/>
            <w:vMerge w:val="continue"/>
            <w:tcBorders>
              <w:tl2br w:val="nil"/>
              <w:tr2bl w:val="nil"/>
            </w:tcBorders>
            <w:shd w:val="clear" w:color="auto" w:fill="auto"/>
            <w:vAlign w:val="center"/>
          </w:tcPr>
          <w:p w14:paraId="172998C5">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37148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中心城区生活垃圾实现无害化处理和资源化利用率（%）</w:t>
            </w:r>
          </w:p>
        </w:tc>
        <w:tc>
          <w:tcPr>
            <w:tcW w:w="945" w:type="dxa"/>
            <w:tcBorders>
              <w:tl2br w:val="nil"/>
              <w:tr2bl w:val="nil"/>
            </w:tcBorders>
            <w:shd w:val="clear" w:color="auto" w:fill="auto"/>
            <w:vAlign w:val="center"/>
          </w:tcPr>
          <w:p w14:paraId="403D57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c>
          <w:tcPr>
            <w:tcW w:w="4035" w:type="dxa"/>
            <w:tcBorders>
              <w:tl2br w:val="nil"/>
              <w:tr2bl w:val="nil"/>
            </w:tcBorders>
            <w:shd w:val="clear" w:color="auto" w:fill="auto"/>
            <w:vAlign w:val="center"/>
          </w:tcPr>
          <w:p w14:paraId="704FEA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实际完成利用率（%）</w:t>
            </w:r>
          </w:p>
        </w:tc>
        <w:tc>
          <w:tcPr>
            <w:tcW w:w="1185" w:type="dxa"/>
            <w:tcBorders>
              <w:tl2br w:val="nil"/>
              <w:tr2bl w:val="nil"/>
            </w:tcBorders>
            <w:shd w:val="clear" w:color="auto" w:fill="auto"/>
            <w:vAlign w:val="center"/>
          </w:tcPr>
          <w:p w14:paraId="460DD2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c>
          <w:tcPr>
            <w:tcW w:w="2672" w:type="dxa"/>
            <w:tcBorders>
              <w:tl2br w:val="nil"/>
              <w:tr2bl w:val="nil"/>
            </w:tcBorders>
            <w:shd w:val="clear" w:color="auto" w:fill="auto"/>
            <w:vAlign w:val="center"/>
          </w:tcPr>
          <w:p w14:paraId="444F3A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1D2A81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1026C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50C14782">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04D61D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较大以上质量安全生产事故（件）</w:t>
            </w:r>
          </w:p>
        </w:tc>
        <w:tc>
          <w:tcPr>
            <w:tcW w:w="945" w:type="dxa"/>
            <w:tcBorders>
              <w:tl2br w:val="nil"/>
              <w:tr2bl w:val="nil"/>
            </w:tcBorders>
            <w:shd w:val="clear" w:color="auto" w:fill="auto"/>
            <w:vAlign w:val="center"/>
          </w:tcPr>
          <w:p w14:paraId="56229B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不发生</w:t>
            </w:r>
          </w:p>
        </w:tc>
        <w:tc>
          <w:tcPr>
            <w:tcW w:w="4035" w:type="dxa"/>
            <w:tcBorders>
              <w:tl2br w:val="nil"/>
              <w:tr2bl w:val="nil"/>
            </w:tcBorders>
            <w:shd w:val="clear" w:color="auto" w:fill="auto"/>
            <w:vAlign w:val="center"/>
          </w:tcPr>
          <w:p w14:paraId="2BE51E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实际发生数（件）</w:t>
            </w:r>
          </w:p>
        </w:tc>
        <w:tc>
          <w:tcPr>
            <w:tcW w:w="1185" w:type="dxa"/>
            <w:tcBorders>
              <w:tl2br w:val="nil"/>
              <w:tr2bl w:val="nil"/>
            </w:tcBorders>
            <w:shd w:val="clear" w:color="auto" w:fill="auto"/>
            <w:vAlign w:val="center"/>
          </w:tcPr>
          <w:p w14:paraId="5D7C7B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w:t>
            </w:r>
          </w:p>
        </w:tc>
        <w:tc>
          <w:tcPr>
            <w:tcW w:w="2672" w:type="dxa"/>
            <w:tcBorders>
              <w:tl2br w:val="nil"/>
              <w:tr2bl w:val="nil"/>
            </w:tcBorders>
            <w:shd w:val="clear" w:color="auto" w:fill="auto"/>
            <w:vAlign w:val="center"/>
          </w:tcPr>
          <w:p w14:paraId="41F943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发生率</w:t>
            </w:r>
          </w:p>
        </w:tc>
        <w:tc>
          <w:tcPr>
            <w:tcW w:w="1110" w:type="dxa"/>
            <w:tcBorders>
              <w:tl2br w:val="nil"/>
              <w:tr2bl w:val="nil"/>
            </w:tcBorders>
            <w:shd w:val="clear" w:color="auto" w:fill="auto"/>
            <w:vAlign w:val="center"/>
          </w:tcPr>
          <w:p w14:paraId="277B93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lang w:val="en-US"/>
              </w:rPr>
            </w:pPr>
            <w:r>
              <w:rPr>
                <w:rFonts w:hint="eastAsia" w:ascii="仿宋" w:hAnsi="仿宋" w:eastAsia="仿宋" w:cs="仿宋"/>
                <w:i w:val="0"/>
                <w:iCs w:val="0"/>
                <w:color w:val="000000"/>
                <w:kern w:val="0"/>
                <w:sz w:val="20"/>
                <w:szCs w:val="20"/>
                <w:highlight w:val="none"/>
                <w:u w:val="none"/>
                <w:lang w:val="en-US" w:eastAsia="zh-CN" w:bidi="ar"/>
              </w:rPr>
              <w:t>100</w:t>
            </w:r>
          </w:p>
        </w:tc>
      </w:tr>
      <w:tr w14:paraId="58977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088A98BC">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756A52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完成国有土地上房屋征收面积（平方米）</w:t>
            </w:r>
          </w:p>
        </w:tc>
        <w:tc>
          <w:tcPr>
            <w:tcW w:w="945" w:type="dxa"/>
            <w:tcBorders>
              <w:tl2br w:val="nil"/>
              <w:tr2bl w:val="nil"/>
            </w:tcBorders>
            <w:shd w:val="clear" w:color="auto" w:fill="auto"/>
            <w:vAlign w:val="center"/>
          </w:tcPr>
          <w:p w14:paraId="41263C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≥4212</w:t>
            </w:r>
          </w:p>
        </w:tc>
        <w:tc>
          <w:tcPr>
            <w:tcW w:w="4035" w:type="dxa"/>
            <w:tcBorders>
              <w:tl2br w:val="nil"/>
              <w:tr2bl w:val="nil"/>
            </w:tcBorders>
            <w:shd w:val="clear" w:color="auto" w:fill="auto"/>
            <w:vAlign w:val="center"/>
          </w:tcPr>
          <w:p w14:paraId="32C1F5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实际完成征收面积（平方米）</w:t>
            </w:r>
          </w:p>
        </w:tc>
        <w:tc>
          <w:tcPr>
            <w:tcW w:w="1185" w:type="dxa"/>
            <w:tcBorders>
              <w:tl2br w:val="nil"/>
              <w:tr2bl w:val="nil"/>
            </w:tcBorders>
            <w:shd w:val="clear" w:color="auto" w:fill="auto"/>
            <w:vAlign w:val="center"/>
          </w:tcPr>
          <w:p w14:paraId="05CC9E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19281</w:t>
            </w:r>
          </w:p>
        </w:tc>
        <w:tc>
          <w:tcPr>
            <w:tcW w:w="2672" w:type="dxa"/>
            <w:tcBorders>
              <w:tl2br w:val="nil"/>
              <w:tr2bl w:val="nil"/>
            </w:tcBorders>
            <w:shd w:val="clear" w:color="auto" w:fill="auto"/>
            <w:vAlign w:val="center"/>
          </w:tcPr>
          <w:p w14:paraId="4ABB1C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0BBDA6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lang w:val="en-US"/>
              </w:rPr>
            </w:pPr>
            <w:r>
              <w:rPr>
                <w:rFonts w:hint="eastAsia" w:ascii="仿宋" w:hAnsi="仿宋" w:eastAsia="仿宋" w:cs="仿宋"/>
                <w:i w:val="0"/>
                <w:iCs w:val="0"/>
                <w:color w:val="000000"/>
                <w:kern w:val="0"/>
                <w:sz w:val="20"/>
                <w:szCs w:val="20"/>
                <w:highlight w:val="none"/>
                <w:u w:val="none"/>
                <w:lang w:val="en-US" w:eastAsia="zh-CN" w:bidi="ar"/>
              </w:rPr>
              <w:t>100</w:t>
            </w:r>
          </w:p>
        </w:tc>
      </w:tr>
      <w:tr w14:paraId="23F21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672CEDBC">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4AB17D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物业维修资金使用覆盖率（%）</w:t>
            </w:r>
          </w:p>
        </w:tc>
        <w:tc>
          <w:tcPr>
            <w:tcW w:w="945" w:type="dxa"/>
            <w:tcBorders>
              <w:tl2br w:val="nil"/>
              <w:tr2bl w:val="nil"/>
            </w:tcBorders>
            <w:shd w:val="clear" w:color="auto" w:fill="auto"/>
            <w:vAlign w:val="center"/>
          </w:tcPr>
          <w:p w14:paraId="4AD01E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c>
          <w:tcPr>
            <w:tcW w:w="4035" w:type="dxa"/>
            <w:tcBorders>
              <w:tl2br w:val="nil"/>
              <w:tr2bl w:val="nil"/>
            </w:tcBorders>
            <w:shd w:val="clear" w:color="auto" w:fill="auto"/>
            <w:vAlign w:val="center"/>
          </w:tcPr>
          <w:p w14:paraId="30F0D3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实际完成覆盖率（%）</w:t>
            </w:r>
          </w:p>
        </w:tc>
        <w:tc>
          <w:tcPr>
            <w:tcW w:w="1185" w:type="dxa"/>
            <w:tcBorders>
              <w:tl2br w:val="nil"/>
              <w:tr2bl w:val="nil"/>
            </w:tcBorders>
            <w:shd w:val="clear" w:color="auto" w:fill="auto"/>
            <w:vAlign w:val="center"/>
          </w:tcPr>
          <w:p w14:paraId="034886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c>
          <w:tcPr>
            <w:tcW w:w="2672" w:type="dxa"/>
            <w:tcBorders>
              <w:tl2br w:val="nil"/>
              <w:tr2bl w:val="nil"/>
            </w:tcBorders>
            <w:shd w:val="clear" w:color="auto" w:fill="auto"/>
            <w:vAlign w:val="center"/>
          </w:tcPr>
          <w:p w14:paraId="61CED8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完成率</w:t>
            </w:r>
          </w:p>
        </w:tc>
        <w:tc>
          <w:tcPr>
            <w:tcW w:w="1110" w:type="dxa"/>
            <w:tcBorders>
              <w:tl2br w:val="nil"/>
              <w:tr2bl w:val="nil"/>
            </w:tcBorders>
            <w:shd w:val="clear" w:color="auto" w:fill="auto"/>
            <w:vAlign w:val="center"/>
          </w:tcPr>
          <w:p w14:paraId="7E6455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w:t>
            </w:r>
          </w:p>
        </w:tc>
      </w:tr>
      <w:tr w14:paraId="0A026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restart"/>
            <w:tcBorders>
              <w:tl2br w:val="nil"/>
              <w:tr2bl w:val="nil"/>
            </w:tcBorders>
            <w:shd w:val="clear" w:color="auto" w:fill="auto"/>
            <w:vAlign w:val="center"/>
          </w:tcPr>
          <w:p w14:paraId="0D8084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生态效益指标</w:t>
            </w:r>
          </w:p>
        </w:tc>
        <w:tc>
          <w:tcPr>
            <w:tcW w:w="3780" w:type="dxa"/>
            <w:tcBorders>
              <w:tl2br w:val="nil"/>
              <w:tr2bl w:val="nil"/>
            </w:tcBorders>
            <w:shd w:val="clear" w:color="auto" w:fill="auto"/>
            <w:vAlign w:val="center"/>
          </w:tcPr>
          <w:p w14:paraId="6FBFBC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污水处理数（万吨）</w:t>
            </w:r>
          </w:p>
        </w:tc>
        <w:tc>
          <w:tcPr>
            <w:tcW w:w="945" w:type="dxa"/>
            <w:tcBorders>
              <w:tl2br w:val="nil"/>
              <w:tr2bl w:val="nil"/>
            </w:tcBorders>
            <w:shd w:val="clear" w:color="auto" w:fill="auto"/>
            <w:vAlign w:val="center"/>
          </w:tcPr>
          <w:p w14:paraId="4ED845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7000</w:t>
            </w:r>
          </w:p>
        </w:tc>
        <w:tc>
          <w:tcPr>
            <w:tcW w:w="4035" w:type="dxa"/>
            <w:tcBorders>
              <w:tl2br w:val="nil"/>
              <w:tr2bl w:val="nil"/>
            </w:tcBorders>
            <w:shd w:val="clear" w:color="auto" w:fill="auto"/>
            <w:vAlign w:val="center"/>
          </w:tcPr>
          <w:p w14:paraId="13CD73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排水达标数（万吨）</w:t>
            </w:r>
          </w:p>
        </w:tc>
        <w:tc>
          <w:tcPr>
            <w:tcW w:w="1185" w:type="dxa"/>
            <w:tcBorders>
              <w:tl2br w:val="nil"/>
              <w:tr2bl w:val="nil"/>
            </w:tcBorders>
            <w:shd w:val="clear" w:color="auto" w:fill="auto"/>
            <w:vAlign w:val="center"/>
          </w:tcPr>
          <w:p w14:paraId="3FE2D3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7389</w:t>
            </w:r>
          </w:p>
        </w:tc>
        <w:tc>
          <w:tcPr>
            <w:tcW w:w="2672" w:type="dxa"/>
            <w:tcBorders>
              <w:tl2br w:val="nil"/>
              <w:tr2bl w:val="nil"/>
            </w:tcBorders>
            <w:shd w:val="clear" w:color="auto" w:fill="auto"/>
            <w:vAlign w:val="center"/>
          </w:tcPr>
          <w:p w14:paraId="6898B9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79D061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 xml:space="preserve">100 </w:t>
            </w:r>
          </w:p>
        </w:tc>
      </w:tr>
      <w:tr w14:paraId="697B2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666" w:type="dxa"/>
            <w:vMerge w:val="continue"/>
            <w:tcBorders>
              <w:tl2br w:val="nil"/>
              <w:tr2bl w:val="nil"/>
            </w:tcBorders>
            <w:shd w:val="clear" w:color="auto" w:fill="auto"/>
            <w:vAlign w:val="center"/>
          </w:tcPr>
          <w:p w14:paraId="1D4B233F">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69B4E4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中心城区受监项目扬尘治理数（项、个）</w:t>
            </w:r>
          </w:p>
        </w:tc>
        <w:tc>
          <w:tcPr>
            <w:tcW w:w="945" w:type="dxa"/>
            <w:tcBorders>
              <w:tl2br w:val="nil"/>
              <w:tr2bl w:val="nil"/>
            </w:tcBorders>
            <w:shd w:val="clear" w:color="auto" w:fill="auto"/>
            <w:vAlign w:val="center"/>
          </w:tcPr>
          <w:p w14:paraId="620DC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124</w:t>
            </w:r>
          </w:p>
        </w:tc>
        <w:tc>
          <w:tcPr>
            <w:tcW w:w="4035" w:type="dxa"/>
            <w:tcBorders>
              <w:tl2br w:val="nil"/>
              <w:tr2bl w:val="nil"/>
            </w:tcBorders>
            <w:shd w:val="clear" w:color="auto" w:fill="auto"/>
            <w:vAlign w:val="center"/>
          </w:tcPr>
          <w:p w14:paraId="073B46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达到六个100%标准数</w:t>
            </w:r>
          </w:p>
        </w:tc>
        <w:tc>
          <w:tcPr>
            <w:tcW w:w="1185" w:type="dxa"/>
            <w:tcBorders>
              <w:tl2br w:val="nil"/>
              <w:tr2bl w:val="nil"/>
            </w:tcBorders>
            <w:shd w:val="clear" w:color="auto" w:fill="auto"/>
            <w:vAlign w:val="center"/>
          </w:tcPr>
          <w:p w14:paraId="5FEB9E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lang w:val="en-US"/>
              </w:rPr>
            </w:pPr>
            <w:r>
              <w:rPr>
                <w:rFonts w:hint="eastAsia" w:ascii="仿宋" w:hAnsi="仿宋" w:eastAsia="仿宋" w:cs="仿宋"/>
                <w:i w:val="0"/>
                <w:iCs w:val="0"/>
                <w:color w:val="000000"/>
                <w:kern w:val="0"/>
                <w:sz w:val="20"/>
                <w:szCs w:val="20"/>
                <w:highlight w:val="none"/>
                <w:u w:val="none"/>
                <w:lang w:val="en-US" w:eastAsia="zh-CN" w:bidi="ar"/>
              </w:rPr>
              <w:t>118</w:t>
            </w:r>
          </w:p>
        </w:tc>
        <w:tc>
          <w:tcPr>
            <w:tcW w:w="2672" w:type="dxa"/>
            <w:tcBorders>
              <w:tl2br w:val="nil"/>
              <w:tr2bl w:val="nil"/>
            </w:tcBorders>
            <w:shd w:val="clear" w:color="auto" w:fill="auto"/>
            <w:vAlign w:val="center"/>
          </w:tcPr>
          <w:p w14:paraId="27C19A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达标率</w:t>
            </w:r>
          </w:p>
        </w:tc>
        <w:tc>
          <w:tcPr>
            <w:tcW w:w="1110" w:type="dxa"/>
            <w:tcBorders>
              <w:tl2br w:val="nil"/>
              <w:tr2bl w:val="nil"/>
            </w:tcBorders>
            <w:shd w:val="clear" w:color="auto" w:fill="auto"/>
            <w:vAlign w:val="center"/>
          </w:tcPr>
          <w:p w14:paraId="42F415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lang w:val="en-US"/>
              </w:rPr>
            </w:pPr>
            <w:r>
              <w:rPr>
                <w:rFonts w:hint="eastAsia" w:ascii="仿宋" w:hAnsi="仿宋" w:eastAsia="仿宋" w:cs="仿宋"/>
                <w:i w:val="0"/>
                <w:iCs w:val="0"/>
                <w:color w:val="000000"/>
                <w:kern w:val="0"/>
                <w:sz w:val="20"/>
                <w:szCs w:val="20"/>
                <w:highlight w:val="none"/>
                <w:u w:val="none"/>
                <w:lang w:val="en-US" w:eastAsia="zh-CN" w:bidi="ar"/>
              </w:rPr>
              <w:t>95.16</w:t>
            </w:r>
          </w:p>
        </w:tc>
      </w:tr>
      <w:tr w14:paraId="113B0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666" w:type="dxa"/>
            <w:vMerge w:val="continue"/>
            <w:tcBorders>
              <w:tl2br w:val="nil"/>
              <w:tr2bl w:val="nil"/>
            </w:tcBorders>
            <w:shd w:val="clear" w:color="auto" w:fill="auto"/>
            <w:vAlign w:val="center"/>
          </w:tcPr>
          <w:p w14:paraId="7207E0BF">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 w:hAnsi="仿宋" w:eastAsia="仿宋" w:cs="仿宋"/>
                <w:i w:val="0"/>
                <w:iCs w:val="0"/>
                <w:color w:val="000000"/>
                <w:sz w:val="20"/>
                <w:szCs w:val="20"/>
                <w:highlight w:val="none"/>
                <w:u w:val="none"/>
              </w:rPr>
            </w:pPr>
          </w:p>
        </w:tc>
        <w:tc>
          <w:tcPr>
            <w:tcW w:w="3780" w:type="dxa"/>
            <w:tcBorders>
              <w:tl2br w:val="nil"/>
              <w:tr2bl w:val="nil"/>
            </w:tcBorders>
            <w:shd w:val="clear" w:color="auto" w:fill="auto"/>
            <w:vAlign w:val="center"/>
          </w:tcPr>
          <w:p w14:paraId="30520F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中心城区居民户数</w:t>
            </w:r>
          </w:p>
        </w:tc>
        <w:tc>
          <w:tcPr>
            <w:tcW w:w="945" w:type="dxa"/>
            <w:tcBorders>
              <w:tl2br w:val="nil"/>
              <w:tr2bl w:val="nil"/>
            </w:tcBorders>
            <w:shd w:val="clear" w:color="auto" w:fill="auto"/>
            <w:vAlign w:val="center"/>
          </w:tcPr>
          <w:p w14:paraId="4A36E6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未统计</w:t>
            </w:r>
          </w:p>
        </w:tc>
        <w:tc>
          <w:tcPr>
            <w:tcW w:w="4035" w:type="dxa"/>
            <w:tcBorders>
              <w:tl2br w:val="nil"/>
              <w:tr2bl w:val="nil"/>
            </w:tcBorders>
            <w:shd w:val="clear" w:color="auto" w:fill="auto"/>
            <w:vAlign w:val="center"/>
          </w:tcPr>
          <w:p w14:paraId="06C264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使用天然气用户数</w:t>
            </w:r>
          </w:p>
        </w:tc>
        <w:tc>
          <w:tcPr>
            <w:tcW w:w="1185" w:type="dxa"/>
            <w:tcBorders>
              <w:tl2br w:val="nil"/>
              <w:tr2bl w:val="nil"/>
            </w:tcBorders>
            <w:shd w:val="clear" w:color="auto" w:fill="auto"/>
            <w:vAlign w:val="center"/>
          </w:tcPr>
          <w:p w14:paraId="69686B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25.38万</w:t>
            </w:r>
          </w:p>
        </w:tc>
        <w:tc>
          <w:tcPr>
            <w:tcW w:w="2672" w:type="dxa"/>
            <w:tcBorders>
              <w:tl2br w:val="nil"/>
              <w:tr2bl w:val="nil"/>
            </w:tcBorders>
            <w:shd w:val="clear" w:color="auto" w:fill="auto"/>
            <w:vAlign w:val="center"/>
          </w:tcPr>
          <w:p w14:paraId="159B3C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天然气用户使用比率</w:t>
            </w:r>
          </w:p>
        </w:tc>
        <w:tc>
          <w:tcPr>
            <w:tcW w:w="1110" w:type="dxa"/>
            <w:tcBorders>
              <w:tl2br w:val="nil"/>
              <w:tr2bl w:val="nil"/>
            </w:tcBorders>
            <w:shd w:val="clear" w:color="auto" w:fill="auto"/>
            <w:vAlign w:val="center"/>
          </w:tcPr>
          <w:p w14:paraId="4C1383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逐年递增</w:t>
            </w:r>
          </w:p>
        </w:tc>
      </w:tr>
    </w:tbl>
    <w:p w14:paraId="0B87C5DE">
      <w:pPr>
        <w:rPr>
          <w:rFonts w:hint="eastAsia"/>
          <w:sz w:val="20"/>
          <w:szCs w:val="20"/>
          <w:highlight w:val="none"/>
          <w:lang w:val="en-US" w:eastAsia="zh-CN"/>
        </w:rPr>
      </w:pPr>
    </w:p>
    <w:sectPr>
      <w:footerReference r:id="rId4" w:type="default"/>
      <w:pgSz w:w="16838" w:h="11906" w:orient="landscape"/>
      <w:pgMar w:top="1134" w:right="1134" w:bottom="1134" w:left="1134" w:header="851" w:footer="992" w:gutter="0"/>
      <w:pgBorders>
        <w:top w:val="none" w:sz="0" w:space="0"/>
        <w:left w:val="none" w:sz="0" w:space="0"/>
        <w:bottom w:val="none" w:sz="0" w:space="0"/>
        <w:right w:val="none" w:sz="0" w:space="0"/>
      </w:pgBorders>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F633B47-CC46-488E-AAF8-E6C430F9620B}"/>
  </w:font>
  <w:font w:name="黑体">
    <w:panose1 w:val="02010609060101010101"/>
    <w:charset w:val="86"/>
    <w:family w:val="auto"/>
    <w:pitch w:val="default"/>
    <w:sig w:usb0="800002BF" w:usb1="38CF7CFA" w:usb2="00000016" w:usb3="00000000" w:csb0="00040001" w:csb1="00000000"/>
    <w:embedRegular r:id="rId2" w:fontKey="{16627C57-0214-4D90-9E78-6D60F7FC737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3" w:fontKey="{917C100D-E01A-437C-8EE9-391D489AA76E}"/>
  </w:font>
  <w:font w:name="仿宋">
    <w:panose1 w:val="02010609060101010101"/>
    <w:charset w:val="86"/>
    <w:family w:val="modern"/>
    <w:pitch w:val="default"/>
    <w:sig w:usb0="800002BF" w:usb1="38CF7CFA" w:usb2="00000016" w:usb3="00000000" w:csb0="00040001" w:csb1="00000000"/>
    <w:embedRegular r:id="rId4" w:fontKey="{305FAF6C-800F-44A1-9974-0F91C08DDCDA}"/>
  </w:font>
  <w:font w:name="方正黑体简体">
    <w:altName w:val="微软雅黑"/>
    <w:panose1 w:val="02010601030101010101"/>
    <w:charset w:val="86"/>
    <w:family w:val="auto"/>
    <w:pitch w:val="default"/>
    <w:sig w:usb0="00000000" w:usb1="00000000" w:usb2="00000000" w:usb3="00000000" w:csb0="00040000" w:csb1="00000000"/>
    <w:embedRegular r:id="rId5" w:fontKey="{2777AD6A-D90E-44D9-BBED-F7DDD9DE8323}"/>
  </w:font>
  <w:font w:name="微软雅黑">
    <w:panose1 w:val="020B0503020204020204"/>
    <w:charset w:val="86"/>
    <w:family w:val="auto"/>
    <w:pitch w:val="default"/>
    <w:sig w:usb0="80000287" w:usb1="280F3C52" w:usb2="00000016" w:usb3="00000000" w:csb0="0004001F" w:csb1="00000000"/>
    <w:embedRegular r:id="rId6" w:fontKey="{C3FF2880-4C01-4D31-9F8D-804513D94835}"/>
  </w:font>
  <w:font w:name="楷体">
    <w:panose1 w:val="02010609060101010101"/>
    <w:charset w:val="86"/>
    <w:family w:val="modern"/>
    <w:pitch w:val="default"/>
    <w:sig w:usb0="800002BF" w:usb1="38CF7CFA" w:usb2="00000016" w:usb3="00000000" w:csb0="00040001" w:csb1="00000000"/>
    <w:embedRegular r:id="rId7" w:fontKey="{611AD94A-7CEE-4BA2-9C98-3EAE1001EA68}"/>
  </w:font>
  <w:font w:name="仿宋_GB2312">
    <w:altName w:val="仿宋"/>
    <w:panose1 w:val="02010609030101010101"/>
    <w:charset w:val="86"/>
    <w:family w:val="modern"/>
    <w:pitch w:val="default"/>
    <w:sig w:usb0="00000000" w:usb1="00000000" w:usb2="00000000" w:usb3="00000000" w:csb0="00040000" w:csb1="00000000"/>
    <w:embedRegular r:id="rId8" w:fontKey="{FE8B2AE0-26A7-4039-B3AA-785CDEDE5245}"/>
  </w:font>
  <w:font w:name="方正黑体_GBK">
    <w:altName w:val="微软雅黑"/>
    <w:panose1 w:val="03000509000000000000"/>
    <w:charset w:val="86"/>
    <w:family w:val="auto"/>
    <w:pitch w:val="default"/>
    <w:sig w:usb0="00000000" w:usb1="00000000" w:usb2="00000000" w:usb3="00000000" w:csb0="00040000" w:csb1="00000000"/>
    <w:embedRegular r:id="rId9" w:fontKey="{C1AC6E8B-0ADB-4FAA-885D-1103453847B0}"/>
  </w:font>
  <w:font w:name="方正仿宋简体">
    <w:panose1 w:val="02000000000000000000"/>
    <w:charset w:val="86"/>
    <w:family w:val="auto"/>
    <w:pitch w:val="default"/>
    <w:sig w:usb0="A00002BF" w:usb1="184F6CFA" w:usb2="00000012" w:usb3="00000000" w:csb0="00040001" w:csb1="00000000"/>
    <w:embedRegular r:id="rId10" w:fontKey="{1E8467E3-7C04-4C67-B601-C1142875A1EE}"/>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6002F">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DF736C">
                          <w:pPr>
                            <w:pStyle w:val="5"/>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rPr>
                            <w:t>- 14 -</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34DF736C">
                    <w:pPr>
                      <w:pStyle w:val="5"/>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rPr>
                      <w:t>- 14 -</w:t>
                    </w:r>
                    <w:r>
                      <w:rPr>
                        <w:rFonts w:hint="eastAsia" w:ascii="仿宋" w:hAnsi="仿宋" w:eastAsia="仿宋" w:cs="仿宋"/>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7EBA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E68B2"/>
    <w:multiLevelType w:val="singleLevel"/>
    <w:tmpl w:val="12AE68B2"/>
    <w:lvl w:ilvl="0" w:tentative="0">
      <w:start w:val="1"/>
      <w:numFmt w:val="chineseCounting"/>
      <w:suff w:val="nothing"/>
      <w:lvlText w:val="（%1）"/>
      <w:lvlJc w:val="left"/>
      <w:rPr>
        <w:rFonts w:hint="eastAsia"/>
      </w:rPr>
    </w:lvl>
  </w:abstractNum>
  <w:abstractNum w:abstractNumId="1">
    <w:nsid w:val="3FD64368"/>
    <w:multiLevelType w:val="singleLevel"/>
    <w:tmpl w:val="3FD64368"/>
    <w:lvl w:ilvl="0" w:tentative="0">
      <w:start w:val="1"/>
      <w:numFmt w:val="decimal"/>
      <w:suff w:val="nothing"/>
      <w:lvlText w:val="（%1）"/>
      <w:lvlJc w:val="left"/>
      <w:pPr>
        <w:ind w:left="480" w:leftChars="0" w:firstLine="0" w:firstLineChars="0"/>
      </w:pPr>
    </w:lvl>
  </w:abstractNum>
  <w:abstractNum w:abstractNumId="2">
    <w:nsid w:val="6251027D"/>
    <w:multiLevelType w:val="singleLevel"/>
    <w:tmpl w:val="6251027D"/>
    <w:lvl w:ilvl="0" w:tentative="0">
      <w:start w:val="4"/>
      <w:numFmt w:val="decimal"/>
      <w:lvlText w:val="%1."/>
      <w:lvlJc w:val="left"/>
      <w:pPr>
        <w:tabs>
          <w:tab w:val="left" w:pos="312"/>
        </w:tabs>
      </w:pPr>
    </w:lvl>
  </w:abstractNum>
  <w:abstractNum w:abstractNumId="3">
    <w:nsid w:val="674A4BF8"/>
    <w:multiLevelType w:val="singleLevel"/>
    <w:tmpl w:val="674A4BF8"/>
    <w:lvl w:ilvl="0" w:tentative="0">
      <w:start w:val="4"/>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wZjZjNDg1N2RkMWY3Y2JkNGRjYTZmZWRmNDJiNGYifQ=="/>
  </w:docVars>
  <w:rsids>
    <w:rsidRoot w:val="0F71464D"/>
    <w:rsid w:val="001A5FD3"/>
    <w:rsid w:val="005F6FDB"/>
    <w:rsid w:val="008464BE"/>
    <w:rsid w:val="00971B8B"/>
    <w:rsid w:val="00995657"/>
    <w:rsid w:val="00DA0933"/>
    <w:rsid w:val="00DD391D"/>
    <w:rsid w:val="00F1191B"/>
    <w:rsid w:val="00F901BD"/>
    <w:rsid w:val="01151EBF"/>
    <w:rsid w:val="014C10EF"/>
    <w:rsid w:val="01636218"/>
    <w:rsid w:val="01B73ACA"/>
    <w:rsid w:val="01F1594A"/>
    <w:rsid w:val="02121F6D"/>
    <w:rsid w:val="02216E85"/>
    <w:rsid w:val="029F7154"/>
    <w:rsid w:val="02BA1505"/>
    <w:rsid w:val="02E44813"/>
    <w:rsid w:val="03123DCA"/>
    <w:rsid w:val="03BF55B8"/>
    <w:rsid w:val="03C863BE"/>
    <w:rsid w:val="03FD4168"/>
    <w:rsid w:val="04B018D3"/>
    <w:rsid w:val="04B20798"/>
    <w:rsid w:val="04CA2066"/>
    <w:rsid w:val="04D33F6A"/>
    <w:rsid w:val="04E67881"/>
    <w:rsid w:val="04FD0C1C"/>
    <w:rsid w:val="05206265"/>
    <w:rsid w:val="052342C9"/>
    <w:rsid w:val="05383DDA"/>
    <w:rsid w:val="054E7435"/>
    <w:rsid w:val="057B5DFF"/>
    <w:rsid w:val="06222576"/>
    <w:rsid w:val="06D3237A"/>
    <w:rsid w:val="06DA6638"/>
    <w:rsid w:val="06E92177"/>
    <w:rsid w:val="06FB577A"/>
    <w:rsid w:val="07200129"/>
    <w:rsid w:val="072D11D3"/>
    <w:rsid w:val="074F739B"/>
    <w:rsid w:val="07870C23"/>
    <w:rsid w:val="07AE39F0"/>
    <w:rsid w:val="081A52F8"/>
    <w:rsid w:val="08874912"/>
    <w:rsid w:val="09131AE7"/>
    <w:rsid w:val="091950E1"/>
    <w:rsid w:val="095C45E0"/>
    <w:rsid w:val="096E67C7"/>
    <w:rsid w:val="09FE3411"/>
    <w:rsid w:val="0A104662"/>
    <w:rsid w:val="0A3960E0"/>
    <w:rsid w:val="0A5B608A"/>
    <w:rsid w:val="0A8074DF"/>
    <w:rsid w:val="0AA3624C"/>
    <w:rsid w:val="0AC9605E"/>
    <w:rsid w:val="0AFE4876"/>
    <w:rsid w:val="0B786794"/>
    <w:rsid w:val="0BA45614"/>
    <w:rsid w:val="0BDE39EB"/>
    <w:rsid w:val="0C6F5DE9"/>
    <w:rsid w:val="0C730E50"/>
    <w:rsid w:val="0C7B478E"/>
    <w:rsid w:val="0C962F74"/>
    <w:rsid w:val="0D862573"/>
    <w:rsid w:val="0D9E61E7"/>
    <w:rsid w:val="0DBB4545"/>
    <w:rsid w:val="0E027BF6"/>
    <w:rsid w:val="0E4C25C2"/>
    <w:rsid w:val="0E7A715F"/>
    <w:rsid w:val="0E903DF5"/>
    <w:rsid w:val="0EDB7766"/>
    <w:rsid w:val="0F220B5F"/>
    <w:rsid w:val="0F71464D"/>
    <w:rsid w:val="0F8B55A1"/>
    <w:rsid w:val="0FD4094C"/>
    <w:rsid w:val="0FFB311B"/>
    <w:rsid w:val="10057507"/>
    <w:rsid w:val="100806D8"/>
    <w:rsid w:val="103743BE"/>
    <w:rsid w:val="10593C44"/>
    <w:rsid w:val="10B92530"/>
    <w:rsid w:val="10C101FC"/>
    <w:rsid w:val="10C44FCD"/>
    <w:rsid w:val="10E570C0"/>
    <w:rsid w:val="11927E4F"/>
    <w:rsid w:val="119360D6"/>
    <w:rsid w:val="11A201D7"/>
    <w:rsid w:val="12080872"/>
    <w:rsid w:val="124D097B"/>
    <w:rsid w:val="1251672E"/>
    <w:rsid w:val="129B51E3"/>
    <w:rsid w:val="12BF0F9F"/>
    <w:rsid w:val="12C66037"/>
    <w:rsid w:val="131C0555"/>
    <w:rsid w:val="13583D28"/>
    <w:rsid w:val="137F2DB6"/>
    <w:rsid w:val="138E66CF"/>
    <w:rsid w:val="138F0ED1"/>
    <w:rsid w:val="13BA3198"/>
    <w:rsid w:val="13BC71BF"/>
    <w:rsid w:val="13C7475D"/>
    <w:rsid w:val="13EB21F9"/>
    <w:rsid w:val="14071DE3"/>
    <w:rsid w:val="142F202D"/>
    <w:rsid w:val="14612B95"/>
    <w:rsid w:val="147B0D0F"/>
    <w:rsid w:val="148A7C64"/>
    <w:rsid w:val="14D15C75"/>
    <w:rsid w:val="14EF207A"/>
    <w:rsid w:val="152C0D1B"/>
    <w:rsid w:val="15507B50"/>
    <w:rsid w:val="155D0ED5"/>
    <w:rsid w:val="156A4DDD"/>
    <w:rsid w:val="15DB0538"/>
    <w:rsid w:val="16673E56"/>
    <w:rsid w:val="16AC22AD"/>
    <w:rsid w:val="172F5377"/>
    <w:rsid w:val="17320CFA"/>
    <w:rsid w:val="173A130E"/>
    <w:rsid w:val="17F13EDC"/>
    <w:rsid w:val="1860083D"/>
    <w:rsid w:val="18961DEF"/>
    <w:rsid w:val="18BA4D45"/>
    <w:rsid w:val="18C212C9"/>
    <w:rsid w:val="190B21B6"/>
    <w:rsid w:val="19992DEB"/>
    <w:rsid w:val="199E57CD"/>
    <w:rsid w:val="19C063B7"/>
    <w:rsid w:val="19E26104"/>
    <w:rsid w:val="19EA2F53"/>
    <w:rsid w:val="1A1A1FF6"/>
    <w:rsid w:val="1A404921"/>
    <w:rsid w:val="1A5F124B"/>
    <w:rsid w:val="1A9865E9"/>
    <w:rsid w:val="1AB47A7A"/>
    <w:rsid w:val="1AD83186"/>
    <w:rsid w:val="1B131743"/>
    <w:rsid w:val="1B8D060A"/>
    <w:rsid w:val="1B8E66A5"/>
    <w:rsid w:val="1BA051F9"/>
    <w:rsid w:val="1BB41356"/>
    <w:rsid w:val="1BE43F7A"/>
    <w:rsid w:val="1BE72147"/>
    <w:rsid w:val="1BF1249D"/>
    <w:rsid w:val="1C3B7E44"/>
    <w:rsid w:val="1C5460D7"/>
    <w:rsid w:val="1C8171F3"/>
    <w:rsid w:val="1C8E6B09"/>
    <w:rsid w:val="1C940F54"/>
    <w:rsid w:val="1CA97497"/>
    <w:rsid w:val="1CDD6D9F"/>
    <w:rsid w:val="1D255E66"/>
    <w:rsid w:val="1D6D28A9"/>
    <w:rsid w:val="1DEF672A"/>
    <w:rsid w:val="1EA61B6D"/>
    <w:rsid w:val="1F647304"/>
    <w:rsid w:val="1FC674F4"/>
    <w:rsid w:val="204F718E"/>
    <w:rsid w:val="209D6AB0"/>
    <w:rsid w:val="20BD316F"/>
    <w:rsid w:val="20F1162B"/>
    <w:rsid w:val="21137FB3"/>
    <w:rsid w:val="211E332F"/>
    <w:rsid w:val="212A72D6"/>
    <w:rsid w:val="21823A71"/>
    <w:rsid w:val="21E83EB5"/>
    <w:rsid w:val="22105521"/>
    <w:rsid w:val="222001F7"/>
    <w:rsid w:val="22657068"/>
    <w:rsid w:val="226A7D59"/>
    <w:rsid w:val="228026A7"/>
    <w:rsid w:val="231A531B"/>
    <w:rsid w:val="23354920"/>
    <w:rsid w:val="23955235"/>
    <w:rsid w:val="23FA0BDF"/>
    <w:rsid w:val="23FB44DF"/>
    <w:rsid w:val="242E5E01"/>
    <w:rsid w:val="24525BA6"/>
    <w:rsid w:val="24787EAF"/>
    <w:rsid w:val="24883A94"/>
    <w:rsid w:val="249937D3"/>
    <w:rsid w:val="24C53FCB"/>
    <w:rsid w:val="24CB4F4F"/>
    <w:rsid w:val="254E083A"/>
    <w:rsid w:val="25C74149"/>
    <w:rsid w:val="25F767DC"/>
    <w:rsid w:val="260F5FFC"/>
    <w:rsid w:val="26121868"/>
    <w:rsid w:val="26393298"/>
    <w:rsid w:val="26555BF8"/>
    <w:rsid w:val="26886760"/>
    <w:rsid w:val="26A10E3D"/>
    <w:rsid w:val="26AF5262"/>
    <w:rsid w:val="26C13E63"/>
    <w:rsid w:val="27027B2E"/>
    <w:rsid w:val="274D2A11"/>
    <w:rsid w:val="277327DA"/>
    <w:rsid w:val="27A47EAD"/>
    <w:rsid w:val="27BE51BF"/>
    <w:rsid w:val="280A79A6"/>
    <w:rsid w:val="2812408B"/>
    <w:rsid w:val="281573ED"/>
    <w:rsid w:val="2828720A"/>
    <w:rsid w:val="285E0D94"/>
    <w:rsid w:val="289B245F"/>
    <w:rsid w:val="28A15125"/>
    <w:rsid w:val="28AA222B"/>
    <w:rsid w:val="28D21782"/>
    <w:rsid w:val="28D84ACE"/>
    <w:rsid w:val="29265A54"/>
    <w:rsid w:val="292D4403"/>
    <w:rsid w:val="29325D7D"/>
    <w:rsid w:val="294D4EF6"/>
    <w:rsid w:val="298750E7"/>
    <w:rsid w:val="29904207"/>
    <w:rsid w:val="29992846"/>
    <w:rsid w:val="29A172BE"/>
    <w:rsid w:val="29CD4D18"/>
    <w:rsid w:val="2A16326A"/>
    <w:rsid w:val="2A597892"/>
    <w:rsid w:val="2AB77237"/>
    <w:rsid w:val="2AE9441A"/>
    <w:rsid w:val="2AF27355"/>
    <w:rsid w:val="2B6C1A1A"/>
    <w:rsid w:val="2BBA7C48"/>
    <w:rsid w:val="2C583D4C"/>
    <w:rsid w:val="2C80758F"/>
    <w:rsid w:val="2C961278"/>
    <w:rsid w:val="2D462A46"/>
    <w:rsid w:val="2D5E14AA"/>
    <w:rsid w:val="2D73032B"/>
    <w:rsid w:val="2D896579"/>
    <w:rsid w:val="2DB97690"/>
    <w:rsid w:val="2DCA6CC1"/>
    <w:rsid w:val="2EA26E18"/>
    <w:rsid w:val="2EC60DB5"/>
    <w:rsid w:val="2ECA1815"/>
    <w:rsid w:val="2EFF3AB5"/>
    <w:rsid w:val="2F631386"/>
    <w:rsid w:val="2FE31911"/>
    <w:rsid w:val="302F5946"/>
    <w:rsid w:val="305A4A77"/>
    <w:rsid w:val="305C419A"/>
    <w:rsid w:val="30881DDD"/>
    <w:rsid w:val="30910A71"/>
    <w:rsid w:val="30932A26"/>
    <w:rsid w:val="30F0012C"/>
    <w:rsid w:val="31125A07"/>
    <w:rsid w:val="31347BAA"/>
    <w:rsid w:val="313C71A7"/>
    <w:rsid w:val="315F59BF"/>
    <w:rsid w:val="31B1526C"/>
    <w:rsid w:val="322F570A"/>
    <w:rsid w:val="32316122"/>
    <w:rsid w:val="327D275F"/>
    <w:rsid w:val="32A958CC"/>
    <w:rsid w:val="32B1211D"/>
    <w:rsid w:val="32CF3BF5"/>
    <w:rsid w:val="335E7760"/>
    <w:rsid w:val="336F3F12"/>
    <w:rsid w:val="33A31DCB"/>
    <w:rsid w:val="33B2468A"/>
    <w:rsid w:val="33B522A7"/>
    <w:rsid w:val="33EC194A"/>
    <w:rsid w:val="344E52FD"/>
    <w:rsid w:val="34807F89"/>
    <w:rsid w:val="348558FB"/>
    <w:rsid w:val="3492592C"/>
    <w:rsid w:val="34FC6E5F"/>
    <w:rsid w:val="3538492B"/>
    <w:rsid w:val="353C54CE"/>
    <w:rsid w:val="35817942"/>
    <w:rsid w:val="35B112B8"/>
    <w:rsid w:val="36FE0301"/>
    <w:rsid w:val="370B4C6F"/>
    <w:rsid w:val="374D6BA3"/>
    <w:rsid w:val="378B331F"/>
    <w:rsid w:val="3799456F"/>
    <w:rsid w:val="37AD170C"/>
    <w:rsid w:val="37B20106"/>
    <w:rsid w:val="37D16C5D"/>
    <w:rsid w:val="37EA01FB"/>
    <w:rsid w:val="381E174D"/>
    <w:rsid w:val="38297732"/>
    <w:rsid w:val="38377D82"/>
    <w:rsid w:val="38886A67"/>
    <w:rsid w:val="392751D2"/>
    <w:rsid w:val="393408BF"/>
    <w:rsid w:val="398268AC"/>
    <w:rsid w:val="398F1D0F"/>
    <w:rsid w:val="399776BD"/>
    <w:rsid w:val="39AC0F6D"/>
    <w:rsid w:val="39FA0679"/>
    <w:rsid w:val="3A5215D7"/>
    <w:rsid w:val="3A6072DC"/>
    <w:rsid w:val="3A777A93"/>
    <w:rsid w:val="3A7D59DD"/>
    <w:rsid w:val="3B07233C"/>
    <w:rsid w:val="3B194FEF"/>
    <w:rsid w:val="3B1E5097"/>
    <w:rsid w:val="3B4412F1"/>
    <w:rsid w:val="3B79031B"/>
    <w:rsid w:val="3B9C1EA7"/>
    <w:rsid w:val="3BBA0273"/>
    <w:rsid w:val="3BBF6A95"/>
    <w:rsid w:val="3BC367ED"/>
    <w:rsid w:val="3BCA02E8"/>
    <w:rsid w:val="3BDD1B6F"/>
    <w:rsid w:val="3BFF1A0C"/>
    <w:rsid w:val="3C406CD7"/>
    <w:rsid w:val="3C46700B"/>
    <w:rsid w:val="3C613464"/>
    <w:rsid w:val="3C65673D"/>
    <w:rsid w:val="3C9368AF"/>
    <w:rsid w:val="3D271C45"/>
    <w:rsid w:val="3D3176CE"/>
    <w:rsid w:val="3D733D03"/>
    <w:rsid w:val="3DC75AA3"/>
    <w:rsid w:val="3E120F95"/>
    <w:rsid w:val="3E1F6D6B"/>
    <w:rsid w:val="3E725024"/>
    <w:rsid w:val="3E9B5475"/>
    <w:rsid w:val="3EF1250A"/>
    <w:rsid w:val="3F385ADF"/>
    <w:rsid w:val="3F577C15"/>
    <w:rsid w:val="3F7A2500"/>
    <w:rsid w:val="3FF34060"/>
    <w:rsid w:val="3FFA0F4B"/>
    <w:rsid w:val="403F621F"/>
    <w:rsid w:val="40AD2461"/>
    <w:rsid w:val="40B841DB"/>
    <w:rsid w:val="40F32C9F"/>
    <w:rsid w:val="41224BA2"/>
    <w:rsid w:val="412E4D9C"/>
    <w:rsid w:val="41566144"/>
    <w:rsid w:val="4164161A"/>
    <w:rsid w:val="41825BE2"/>
    <w:rsid w:val="41C20D1A"/>
    <w:rsid w:val="42004812"/>
    <w:rsid w:val="422A07F3"/>
    <w:rsid w:val="425E35CE"/>
    <w:rsid w:val="425F05E6"/>
    <w:rsid w:val="427174BE"/>
    <w:rsid w:val="42777CCE"/>
    <w:rsid w:val="42AB6E74"/>
    <w:rsid w:val="433A4025"/>
    <w:rsid w:val="437A0B91"/>
    <w:rsid w:val="438A6A89"/>
    <w:rsid w:val="43AB27D4"/>
    <w:rsid w:val="44113104"/>
    <w:rsid w:val="44A616A1"/>
    <w:rsid w:val="44BB31E1"/>
    <w:rsid w:val="44CA7669"/>
    <w:rsid w:val="45002030"/>
    <w:rsid w:val="45050ABD"/>
    <w:rsid w:val="4526016D"/>
    <w:rsid w:val="45592A06"/>
    <w:rsid w:val="4587465D"/>
    <w:rsid w:val="46016687"/>
    <w:rsid w:val="467D0C51"/>
    <w:rsid w:val="46CE1383"/>
    <w:rsid w:val="47435FF4"/>
    <w:rsid w:val="474C5BC5"/>
    <w:rsid w:val="47975C19"/>
    <w:rsid w:val="47BB36B5"/>
    <w:rsid w:val="47C23803"/>
    <w:rsid w:val="482F5E51"/>
    <w:rsid w:val="48605961"/>
    <w:rsid w:val="48762A45"/>
    <w:rsid w:val="487B7332"/>
    <w:rsid w:val="490C41A5"/>
    <w:rsid w:val="49B10C6E"/>
    <w:rsid w:val="4A227A1C"/>
    <w:rsid w:val="4A49144C"/>
    <w:rsid w:val="4BD82453"/>
    <w:rsid w:val="4C216A62"/>
    <w:rsid w:val="4C3C5EC4"/>
    <w:rsid w:val="4C4D69F7"/>
    <w:rsid w:val="4C93412D"/>
    <w:rsid w:val="4D01701D"/>
    <w:rsid w:val="4D0A052E"/>
    <w:rsid w:val="4D275349"/>
    <w:rsid w:val="4D302450"/>
    <w:rsid w:val="4D715B6E"/>
    <w:rsid w:val="4D9B0A28"/>
    <w:rsid w:val="4E0407D2"/>
    <w:rsid w:val="4E345504"/>
    <w:rsid w:val="4E7D6677"/>
    <w:rsid w:val="4E896190"/>
    <w:rsid w:val="4E9877D3"/>
    <w:rsid w:val="4E9C3B15"/>
    <w:rsid w:val="4EA64CD9"/>
    <w:rsid w:val="4F132029"/>
    <w:rsid w:val="4F443563"/>
    <w:rsid w:val="4FDB6E13"/>
    <w:rsid w:val="4FE1590F"/>
    <w:rsid w:val="5030524F"/>
    <w:rsid w:val="5107796B"/>
    <w:rsid w:val="51CA26B8"/>
    <w:rsid w:val="51EB5D90"/>
    <w:rsid w:val="521F0E3A"/>
    <w:rsid w:val="524013FF"/>
    <w:rsid w:val="527B482F"/>
    <w:rsid w:val="527E000B"/>
    <w:rsid w:val="52835444"/>
    <w:rsid w:val="529F081F"/>
    <w:rsid w:val="52E75AB2"/>
    <w:rsid w:val="53426A39"/>
    <w:rsid w:val="53E647F3"/>
    <w:rsid w:val="541C62BA"/>
    <w:rsid w:val="54224BC3"/>
    <w:rsid w:val="54311B58"/>
    <w:rsid w:val="544002AF"/>
    <w:rsid w:val="54717E86"/>
    <w:rsid w:val="547A7A3F"/>
    <w:rsid w:val="54880DC3"/>
    <w:rsid w:val="54EB3100"/>
    <w:rsid w:val="552D1E30"/>
    <w:rsid w:val="55E4027B"/>
    <w:rsid w:val="55F85AD5"/>
    <w:rsid w:val="56236C7E"/>
    <w:rsid w:val="566378B3"/>
    <w:rsid w:val="56672D73"/>
    <w:rsid w:val="56CB4105"/>
    <w:rsid w:val="56E5654F"/>
    <w:rsid w:val="56E77AD7"/>
    <w:rsid w:val="56F93943"/>
    <w:rsid w:val="5705619A"/>
    <w:rsid w:val="57137C33"/>
    <w:rsid w:val="57613B4A"/>
    <w:rsid w:val="57877490"/>
    <w:rsid w:val="57A557E8"/>
    <w:rsid w:val="57E0551D"/>
    <w:rsid w:val="5813309A"/>
    <w:rsid w:val="584B394C"/>
    <w:rsid w:val="5887779B"/>
    <w:rsid w:val="58977E98"/>
    <w:rsid w:val="589E1D6D"/>
    <w:rsid w:val="589F492D"/>
    <w:rsid w:val="591A72DE"/>
    <w:rsid w:val="597B7026"/>
    <w:rsid w:val="59D44BCF"/>
    <w:rsid w:val="5A71018A"/>
    <w:rsid w:val="5AA1673B"/>
    <w:rsid w:val="5AD36B10"/>
    <w:rsid w:val="5B563A7E"/>
    <w:rsid w:val="5B577232"/>
    <w:rsid w:val="5B6F788C"/>
    <w:rsid w:val="5B7B5AF5"/>
    <w:rsid w:val="5B843A0B"/>
    <w:rsid w:val="5B8A31D6"/>
    <w:rsid w:val="5B941139"/>
    <w:rsid w:val="5C287F01"/>
    <w:rsid w:val="5C8762F6"/>
    <w:rsid w:val="5CB37C8F"/>
    <w:rsid w:val="5CB4132B"/>
    <w:rsid w:val="5CF71529"/>
    <w:rsid w:val="5D232DE9"/>
    <w:rsid w:val="5D347FEE"/>
    <w:rsid w:val="5DA36C6E"/>
    <w:rsid w:val="5E342877"/>
    <w:rsid w:val="5E483371"/>
    <w:rsid w:val="5E4904A1"/>
    <w:rsid w:val="5EB14C3F"/>
    <w:rsid w:val="5EDD7F5D"/>
    <w:rsid w:val="5F6969FC"/>
    <w:rsid w:val="5F8F6B10"/>
    <w:rsid w:val="5FBE5526"/>
    <w:rsid w:val="608F2ABA"/>
    <w:rsid w:val="60A63147"/>
    <w:rsid w:val="60BC3EE3"/>
    <w:rsid w:val="60C35D0E"/>
    <w:rsid w:val="622A2983"/>
    <w:rsid w:val="62507BB0"/>
    <w:rsid w:val="628C5EA7"/>
    <w:rsid w:val="62971FB6"/>
    <w:rsid w:val="630F0BC6"/>
    <w:rsid w:val="63301F64"/>
    <w:rsid w:val="6331344C"/>
    <w:rsid w:val="633D6043"/>
    <w:rsid w:val="636A1647"/>
    <w:rsid w:val="63D3192F"/>
    <w:rsid w:val="63DB296E"/>
    <w:rsid w:val="63EF66AC"/>
    <w:rsid w:val="63F20007"/>
    <w:rsid w:val="64246747"/>
    <w:rsid w:val="64247480"/>
    <w:rsid w:val="64332B7C"/>
    <w:rsid w:val="654A2B21"/>
    <w:rsid w:val="655B398A"/>
    <w:rsid w:val="658E1FB1"/>
    <w:rsid w:val="6592644E"/>
    <w:rsid w:val="65A15A8C"/>
    <w:rsid w:val="65E17EB8"/>
    <w:rsid w:val="66586D54"/>
    <w:rsid w:val="666130F4"/>
    <w:rsid w:val="66622302"/>
    <w:rsid w:val="66CC0FCC"/>
    <w:rsid w:val="67291C70"/>
    <w:rsid w:val="673B1CC5"/>
    <w:rsid w:val="67AA1A68"/>
    <w:rsid w:val="67DA6050"/>
    <w:rsid w:val="6802535A"/>
    <w:rsid w:val="682550FB"/>
    <w:rsid w:val="686B65DA"/>
    <w:rsid w:val="68A315EF"/>
    <w:rsid w:val="68C47499"/>
    <w:rsid w:val="68F60BD7"/>
    <w:rsid w:val="68FA0CC9"/>
    <w:rsid w:val="6913256E"/>
    <w:rsid w:val="69476A6B"/>
    <w:rsid w:val="69780854"/>
    <w:rsid w:val="69E93C5A"/>
    <w:rsid w:val="6A2F7D14"/>
    <w:rsid w:val="6A761DC8"/>
    <w:rsid w:val="6A953F29"/>
    <w:rsid w:val="6B144D07"/>
    <w:rsid w:val="6B79204B"/>
    <w:rsid w:val="6B944422"/>
    <w:rsid w:val="6B9B40EA"/>
    <w:rsid w:val="6C5A2BED"/>
    <w:rsid w:val="6C7517D5"/>
    <w:rsid w:val="6CB71030"/>
    <w:rsid w:val="6CC462B9"/>
    <w:rsid w:val="6CE23A19"/>
    <w:rsid w:val="6D3F2A6D"/>
    <w:rsid w:val="6D604233"/>
    <w:rsid w:val="6D706429"/>
    <w:rsid w:val="6E6C6563"/>
    <w:rsid w:val="6E954335"/>
    <w:rsid w:val="6EBC36EB"/>
    <w:rsid w:val="6EF56BFD"/>
    <w:rsid w:val="6EF9030F"/>
    <w:rsid w:val="6F823C84"/>
    <w:rsid w:val="6F9D7E1F"/>
    <w:rsid w:val="6FD251EB"/>
    <w:rsid w:val="70291255"/>
    <w:rsid w:val="70324593"/>
    <w:rsid w:val="704C7447"/>
    <w:rsid w:val="705160B5"/>
    <w:rsid w:val="7065312E"/>
    <w:rsid w:val="706A2649"/>
    <w:rsid w:val="70991D5C"/>
    <w:rsid w:val="70B4765C"/>
    <w:rsid w:val="70C5527F"/>
    <w:rsid w:val="70CD7E32"/>
    <w:rsid w:val="71AA3AE9"/>
    <w:rsid w:val="71B20507"/>
    <w:rsid w:val="71D96BFC"/>
    <w:rsid w:val="720E5D5D"/>
    <w:rsid w:val="722A2B82"/>
    <w:rsid w:val="722C031E"/>
    <w:rsid w:val="7238577F"/>
    <w:rsid w:val="7272554B"/>
    <w:rsid w:val="72CA3BE3"/>
    <w:rsid w:val="72EE2FE0"/>
    <w:rsid w:val="73341643"/>
    <w:rsid w:val="733753B3"/>
    <w:rsid w:val="738A6FD6"/>
    <w:rsid w:val="73AA26AC"/>
    <w:rsid w:val="73B3150C"/>
    <w:rsid w:val="73D36E1C"/>
    <w:rsid w:val="73E73B13"/>
    <w:rsid w:val="73EB05CF"/>
    <w:rsid w:val="745E0F4B"/>
    <w:rsid w:val="746D3E71"/>
    <w:rsid w:val="747C140B"/>
    <w:rsid w:val="747F58E7"/>
    <w:rsid w:val="74B03CF2"/>
    <w:rsid w:val="75067E82"/>
    <w:rsid w:val="75073003"/>
    <w:rsid w:val="75683CCA"/>
    <w:rsid w:val="75CB24B4"/>
    <w:rsid w:val="75E075B6"/>
    <w:rsid w:val="75E52D44"/>
    <w:rsid w:val="75F80ED2"/>
    <w:rsid w:val="76402E54"/>
    <w:rsid w:val="769A67AC"/>
    <w:rsid w:val="76AC3CDE"/>
    <w:rsid w:val="77096B6E"/>
    <w:rsid w:val="774249AA"/>
    <w:rsid w:val="7763329E"/>
    <w:rsid w:val="7782124A"/>
    <w:rsid w:val="77AE203F"/>
    <w:rsid w:val="77DC7200"/>
    <w:rsid w:val="78126A72"/>
    <w:rsid w:val="782A5B6A"/>
    <w:rsid w:val="784471DD"/>
    <w:rsid w:val="78B16751"/>
    <w:rsid w:val="78CB1BF5"/>
    <w:rsid w:val="79090D43"/>
    <w:rsid w:val="791F7C53"/>
    <w:rsid w:val="796D2722"/>
    <w:rsid w:val="79BA59DF"/>
    <w:rsid w:val="79D02741"/>
    <w:rsid w:val="7AA5597C"/>
    <w:rsid w:val="7AA61F3A"/>
    <w:rsid w:val="7AC46E76"/>
    <w:rsid w:val="7B0501C8"/>
    <w:rsid w:val="7B5D5FE4"/>
    <w:rsid w:val="7B883702"/>
    <w:rsid w:val="7BA83F3D"/>
    <w:rsid w:val="7BB91D4D"/>
    <w:rsid w:val="7C027E71"/>
    <w:rsid w:val="7C0B5CB2"/>
    <w:rsid w:val="7C0B7A60"/>
    <w:rsid w:val="7C6733D7"/>
    <w:rsid w:val="7C9641A1"/>
    <w:rsid w:val="7CBE2D25"/>
    <w:rsid w:val="7D0D6708"/>
    <w:rsid w:val="7D322473"/>
    <w:rsid w:val="7D667F1E"/>
    <w:rsid w:val="7D731D61"/>
    <w:rsid w:val="7DA04831"/>
    <w:rsid w:val="7DE32840"/>
    <w:rsid w:val="7E220F66"/>
    <w:rsid w:val="7E7F64E4"/>
    <w:rsid w:val="7F3B433E"/>
    <w:rsid w:val="7F3C200B"/>
    <w:rsid w:val="7F833DB1"/>
    <w:rsid w:val="7F880815"/>
    <w:rsid w:val="7FBB742D"/>
    <w:rsid w:val="7FC618A1"/>
    <w:rsid w:val="7FDB6605"/>
    <w:rsid w:val="7FFA2C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pPr>
  </w:style>
  <w:style w:type="paragraph" w:styleId="3">
    <w:name w:val="Body Text Indent"/>
    <w:basedOn w:val="1"/>
    <w:autoRedefine/>
    <w:qFormat/>
    <w:uiPriority w:val="0"/>
    <w:pPr>
      <w:ind w:firstLine="315"/>
    </w:pPr>
    <w:rPr>
      <w:sz w:val="24"/>
      <w:szCs w:val="20"/>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autoRedefine/>
    <w:unhideWhenUsed/>
    <w:qFormat/>
    <w:uiPriority w:val="39"/>
  </w:style>
  <w:style w:type="paragraph" w:styleId="8">
    <w:name w:val="Subtitle"/>
    <w:basedOn w:val="1"/>
    <w:next w:val="1"/>
    <w:autoRedefine/>
    <w:qFormat/>
    <w:uiPriority w:val="99"/>
    <w:pPr>
      <w:spacing w:before="240" w:after="60" w:line="312" w:lineRule="auto"/>
      <w:jc w:val="center"/>
      <w:outlineLvl w:val="1"/>
    </w:pPr>
    <w:rPr>
      <w:rFonts w:ascii="Cambria" w:hAnsi="Cambria"/>
      <w:b/>
      <w:bCs/>
      <w:kern w:val="28"/>
      <w:sz w:val="32"/>
      <w:szCs w:val="32"/>
    </w:rPr>
  </w:style>
  <w:style w:type="paragraph" w:styleId="9">
    <w:name w:val="toc 2"/>
    <w:basedOn w:val="1"/>
    <w:next w:val="1"/>
    <w:autoRedefine/>
    <w:semiHidden/>
    <w:qFormat/>
    <w:uiPriority w:val="0"/>
    <w:pPr>
      <w:ind w:left="210"/>
      <w:jc w:val="left"/>
    </w:pPr>
    <w:rPr>
      <w:smallCaps/>
      <w:sz w:val="20"/>
      <w:szCs w:val="20"/>
    </w:rPr>
  </w:style>
  <w:style w:type="paragraph" w:styleId="10">
    <w:name w:val="Normal (Web)"/>
    <w:basedOn w:val="1"/>
    <w:autoRedefine/>
    <w:qFormat/>
    <w:uiPriority w:val="0"/>
    <w:pPr>
      <w:spacing w:beforeAutospacing="1" w:afterAutospacing="1"/>
      <w:jc w:val="left"/>
    </w:pPr>
    <w:rPr>
      <w:kern w:val="0"/>
      <w:sz w:val="24"/>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0"/>
    <w:rPr>
      <w:b/>
    </w:rPr>
  </w:style>
  <w:style w:type="character" w:styleId="15">
    <w:name w:val="FollowedHyperlink"/>
    <w:basedOn w:val="13"/>
    <w:autoRedefine/>
    <w:qFormat/>
    <w:uiPriority w:val="0"/>
    <w:rPr>
      <w:color w:val="771CAA"/>
      <w:u w:val="none"/>
    </w:rPr>
  </w:style>
  <w:style w:type="character" w:styleId="16">
    <w:name w:val="Emphasis"/>
    <w:basedOn w:val="13"/>
    <w:autoRedefine/>
    <w:qFormat/>
    <w:uiPriority w:val="0"/>
    <w:rPr>
      <w:color w:val="F73131"/>
    </w:rPr>
  </w:style>
  <w:style w:type="character" w:styleId="17">
    <w:name w:val="Hyperlink"/>
    <w:basedOn w:val="13"/>
    <w:autoRedefine/>
    <w:qFormat/>
    <w:uiPriority w:val="0"/>
    <w:rPr>
      <w:color w:val="2440B3"/>
      <w:u w:val="none"/>
    </w:rPr>
  </w:style>
  <w:style w:type="character" w:styleId="18">
    <w:name w:val="HTML Cite"/>
    <w:basedOn w:val="13"/>
    <w:autoRedefine/>
    <w:qFormat/>
    <w:uiPriority w:val="0"/>
    <w:rPr>
      <w:color w:val="008000"/>
    </w:rPr>
  </w:style>
  <w:style w:type="character" w:customStyle="1" w:styleId="19">
    <w:name w:val="c-icon28"/>
    <w:basedOn w:val="13"/>
    <w:autoRedefine/>
    <w:qFormat/>
    <w:uiPriority w:val="0"/>
  </w:style>
  <w:style w:type="character" w:customStyle="1" w:styleId="20">
    <w:name w:val="hover25"/>
    <w:basedOn w:val="13"/>
    <w:autoRedefine/>
    <w:qFormat/>
    <w:uiPriority w:val="0"/>
    <w:rPr>
      <w:color w:val="315EFB"/>
    </w:rPr>
  </w:style>
  <w:style w:type="character" w:customStyle="1" w:styleId="21">
    <w:name w:val="hover26"/>
    <w:basedOn w:val="13"/>
    <w:autoRedefine/>
    <w:qFormat/>
    <w:uiPriority w:val="0"/>
  </w:style>
  <w:style w:type="character" w:customStyle="1" w:styleId="22">
    <w:name w:val="text_he1"/>
    <w:basedOn w:val="13"/>
    <w:autoRedefine/>
    <w:qFormat/>
    <w:uiPriority w:val="99"/>
    <w:rPr>
      <w:rFonts w:cs="Times New Roman"/>
      <w:sz w:val="24"/>
      <w:szCs w:val="24"/>
    </w:rPr>
  </w:style>
  <w:style w:type="paragraph" w:styleId="23">
    <w:name w:val="List Paragraph"/>
    <w:basedOn w:val="1"/>
    <w:autoRedefine/>
    <w:qFormat/>
    <w:uiPriority w:val="99"/>
    <w:pPr>
      <w:ind w:firstLine="420" w:firstLineChars="200"/>
    </w:pPr>
  </w:style>
  <w:style w:type="character" w:customStyle="1" w:styleId="24">
    <w:name w:val="hover93"/>
    <w:basedOn w:val="13"/>
    <w:autoRedefine/>
    <w:qFormat/>
    <w:uiPriority w:val="0"/>
    <w:rPr>
      <w:shd w:val="clear" w:color="auto" w:fill="C0DBF2"/>
    </w:rPr>
  </w:style>
  <w:style w:type="character" w:customStyle="1" w:styleId="25">
    <w:name w:val="hover94"/>
    <w:basedOn w:val="13"/>
    <w:autoRedefine/>
    <w:qFormat/>
    <w:uiPriority w:val="0"/>
    <w:rPr>
      <w:color w:val="000000"/>
      <w:shd w:val="clear" w:color="auto" w:fill="FFFFFF"/>
    </w:rPr>
  </w:style>
  <w:style w:type="character" w:customStyle="1" w:styleId="26">
    <w:name w:val="bsharetext"/>
    <w:basedOn w:val="13"/>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37</Pages>
  <Words>3689</Words>
  <Characters>4391</Characters>
  <Lines>71</Lines>
  <Paragraphs>20</Paragraphs>
  <TotalTime>128</TotalTime>
  <ScaleCrop>false</ScaleCrop>
  <LinksUpToDate>false</LinksUpToDate>
  <CharactersWithSpaces>4477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2021-09-10T10:01:00Z</dcterms:created>
  <dc:creator>13873782808</dc:creator>
  <cp:lastModifiedBy>何何</cp:lastModifiedBy>
  <cp:lastPrinted>2023-12-15T03:12:00Z</cp:lastPrinted>
  <dcterms:modified xsi:type="dcterms:W3CDTF">2025-10-13T00:54:38Z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B6C45625EE3D4C2BA27A9BCA9CFF5D1B_13</vt:lpwstr>
  </property>
  <property fmtid="{D5CDD505-2E9C-101B-9397-08002B2CF9AE}" pid="4" name="KSOSaveFontToCloudKey">
    <vt:lpwstr>460980224_btnclosed</vt:lpwstr>
  </property>
  <property fmtid="{D5CDD505-2E9C-101B-9397-08002B2CF9AE}" pid="5" name="KSOTemplateDocerSaveRecord">
    <vt:lpwstr>eyJoZGlkIjoiOWVjNGU5MTc2MDFkZDBkOTY0MjhiOTA3ZDFiY2Q0NWUiLCJ1c2VySWQiOiIyODYzMzg2MzgifQ==</vt:lpwstr>
  </property>
</Properties>
</file>