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9DE8B">
      <w:pPr>
        <w:spacing w:line="360" w:lineRule="auto"/>
        <w:jc w:val="center"/>
        <w:rPr>
          <w:rFonts w:hint="eastAsia" w:ascii="楷体_GB2312" w:eastAsia="楷体_GB2312"/>
          <w:b/>
          <w:sz w:val="52"/>
          <w:szCs w:val="52"/>
        </w:rPr>
      </w:pPr>
    </w:p>
    <w:p w14:paraId="44660718">
      <w:pPr>
        <w:spacing w:line="360" w:lineRule="auto"/>
        <w:jc w:val="center"/>
        <w:rPr>
          <w:rFonts w:hint="eastAsia" w:ascii="宋体" w:hAnsi="宋体" w:eastAsia="宋体" w:cs="宋体"/>
          <w:b/>
          <w:sz w:val="52"/>
          <w:szCs w:val="52"/>
        </w:rPr>
      </w:pPr>
      <w:r>
        <w:rPr>
          <w:rFonts w:hint="eastAsia" w:ascii="宋体" w:hAnsi="宋体" w:eastAsia="宋体" w:cs="宋体"/>
          <w:b/>
          <w:sz w:val="52"/>
          <w:szCs w:val="52"/>
        </w:rPr>
        <w:t>绩 效 评 价 报 告 书</w:t>
      </w:r>
    </w:p>
    <w:p w14:paraId="6AAF419C">
      <w:pPr>
        <w:spacing w:line="360" w:lineRule="auto"/>
        <w:jc w:val="center"/>
        <w:rPr>
          <w:rFonts w:hint="eastAsia" w:ascii="宋体" w:hAnsi="宋体" w:eastAsia="宋体" w:cs="宋体"/>
          <w:sz w:val="52"/>
          <w:szCs w:val="52"/>
        </w:rPr>
      </w:pPr>
    </w:p>
    <w:p w14:paraId="78819D1C">
      <w:pPr>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益中会师绩评字[202</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第</w:t>
      </w:r>
      <w:r>
        <w:rPr>
          <w:rFonts w:hint="eastAsia" w:ascii="宋体" w:hAnsi="宋体" w:eastAsia="宋体" w:cs="宋体"/>
          <w:sz w:val="28"/>
          <w:szCs w:val="28"/>
          <w:highlight w:val="none"/>
          <w:lang w:val="en-US" w:eastAsia="zh-CN"/>
        </w:rPr>
        <w:t>01</w:t>
      </w:r>
      <w:r>
        <w:rPr>
          <w:rFonts w:hint="eastAsia" w:ascii="宋体" w:hAnsi="宋体" w:eastAsia="宋体" w:cs="宋体"/>
          <w:sz w:val="28"/>
          <w:szCs w:val="28"/>
          <w:highlight w:val="none"/>
        </w:rPr>
        <w:t>号</w:t>
      </w:r>
    </w:p>
    <w:p w14:paraId="1E334E3F">
      <w:pPr>
        <w:spacing w:line="360" w:lineRule="auto"/>
        <w:rPr>
          <w:rFonts w:hint="eastAsia" w:ascii="宋体" w:hAnsi="宋体" w:eastAsia="宋体" w:cs="宋体"/>
          <w:sz w:val="32"/>
          <w:highlight w:val="none"/>
        </w:rPr>
      </w:pPr>
    </w:p>
    <w:p w14:paraId="5C8563C6">
      <w:pPr>
        <w:spacing w:line="360" w:lineRule="auto"/>
        <w:rPr>
          <w:rFonts w:hint="eastAsia" w:ascii="宋体" w:hAnsi="宋体" w:eastAsia="宋体" w:cs="宋体"/>
          <w:sz w:val="32"/>
          <w:highlight w:val="none"/>
        </w:rPr>
      </w:pPr>
    </w:p>
    <w:p w14:paraId="32F327D2">
      <w:pPr>
        <w:spacing w:line="360" w:lineRule="auto"/>
        <w:rPr>
          <w:rFonts w:hint="eastAsia" w:ascii="宋体" w:hAnsi="宋体" w:eastAsia="宋体" w:cs="宋体"/>
          <w:sz w:val="32"/>
          <w:highlight w:val="none"/>
        </w:rPr>
      </w:pPr>
    </w:p>
    <w:p w14:paraId="4DE510B4">
      <w:pPr>
        <w:spacing w:line="360" w:lineRule="auto"/>
        <w:rPr>
          <w:rFonts w:hint="eastAsia" w:ascii="宋体" w:hAnsi="宋体" w:eastAsia="宋体" w:cs="宋体"/>
          <w:sz w:val="32"/>
          <w:highlight w:val="none"/>
        </w:rPr>
      </w:pPr>
    </w:p>
    <w:p w14:paraId="57571CFD">
      <w:pPr>
        <w:spacing w:line="360" w:lineRule="auto"/>
        <w:ind w:left="-1" w:leftChars="-95" w:hanging="198" w:hangingChars="62"/>
        <w:rPr>
          <w:rFonts w:hint="eastAsia" w:ascii="宋体" w:hAnsi="宋体" w:eastAsia="宋体" w:cs="宋体"/>
          <w:sz w:val="32"/>
          <w:highlight w:val="none"/>
        </w:rPr>
      </w:pPr>
    </w:p>
    <w:p w14:paraId="45ED6921">
      <w:pPr>
        <w:spacing w:line="360" w:lineRule="auto"/>
        <w:rPr>
          <w:rFonts w:hint="eastAsia" w:ascii="宋体" w:hAnsi="宋体" w:eastAsia="宋体" w:cs="宋体"/>
          <w:sz w:val="32"/>
          <w:highlight w:val="none"/>
        </w:rPr>
      </w:pPr>
      <w:r>
        <w:rPr>
          <w:rFonts w:hint="eastAsia" w:ascii="宋体" w:hAnsi="宋体" w:eastAsia="宋体" w:cs="宋体"/>
          <w:sz w:val="32"/>
          <w:highlight w:val="none"/>
        </w:rPr>
        <w:t xml:space="preserve">  </w:t>
      </w:r>
    </w:p>
    <w:p w14:paraId="58CCF127">
      <w:pPr>
        <w:spacing w:line="360" w:lineRule="auto"/>
        <w:rPr>
          <w:rFonts w:hint="eastAsia" w:ascii="宋体" w:hAnsi="宋体" w:eastAsia="宋体" w:cs="宋体"/>
          <w:sz w:val="32"/>
          <w:highlight w:val="none"/>
        </w:rPr>
      </w:pPr>
    </w:p>
    <w:p w14:paraId="36834CD0">
      <w:pPr>
        <w:spacing w:line="360" w:lineRule="auto"/>
        <w:rPr>
          <w:rFonts w:hint="eastAsia" w:ascii="宋体" w:hAnsi="宋体" w:eastAsia="宋体" w:cs="宋体"/>
          <w:sz w:val="32"/>
          <w:highlight w:val="none"/>
        </w:rPr>
      </w:pPr>
    </w:p>
    <w:p w14:paraId="309BBCCA">
      <w:pPr>
        <w:spacing w:line="360" w:lineRule="auto"/>
        <w:rPr>
          <w:rFonts w:hint="eastAsia" w:ascii="宋体" w:hAnsi="宋体" w:eastAsia="宋体" w:cs="宋体"/>
          <w:sz w:val="32"/>
          <w:highlight w:val="none"/>
        </w:rPr>
      </w:pPr>
    </w:p>
    <w:p w14:paraId="09D47E24">
      <w:pPr>
        <w:spacing w:line="360" w:lineRule="auto"/>
        <w:rPr>
          <w:rFonts w:hint="eastAsia" w:ascii="宋体" w:hAnsi="宋体" w:eastAsia="宋体" w:cs="宋体"/>
          <w:sz w:val="32"/>
          <w:highlight w:val="none"/>
        </w:rPr>
      </w:pPr>
    </w:p>
    <w:p w14:paraId="32B5B535">
      <w:pPr>
        <w:spacing w:line="360" w:lineRule="auto"/>
        <w:rPr>
          <w:rFonts w:hint="eastAsia" w:ascii="宋体" w:hAnsi="宋体" w:eastAsia="宋体" w:cs="宋体"/>
          <w:sz w:val="32"/>
          <w:highlight w:val="none"/>
        </w:rPr>
      </w:pPr>
      <w:r>
        <w:rPr>
          <w:rFonts w:hint="eastAsia" w:ascii="宋体" w:hAnsi="宋体" w:eastAsia="宋体" w:cs="宋体"/>
          <w:sz w:val="32"/>
          <w:highlight w:val="none"/>
        </w:rPr>
        <w:t xml:space="preserve">    </w:t>
      </w:r>
    </w:p>
    <w:p w14:paraId="6FC63A88">
      <w:pPr>
        <w:spacing w:line="360" w:lineRule="auto"/>
        <w:ind w:firstLine="320" w:firstLineChars="100"/>
        <w:rPr>
          <w:rFonts w:hint="eastAsia" w:ascii="宋体" w:hAnsi="宋体" w:eastAsia="宋体" w:cs="宋体"/>
          <w:sz w:val="32"/>
          <w:highlight w:val="none"/>
        </w:rPr>
      </w:pPr>
      <w:r>
        <w:rPr>
          <w:rFonts w:hint="eastAsia" w:ascii="宋体" w:hAnsi="宋体" w:eastAsia="宋体" w:cs="宋体"/>
          <w:sz w:val="32"/>
          <w:highlight w:val="none"/>
        </w:rPr>
        <w:t xml:space="preserve">委 托 单 位：益阳市财政局 </w:t>
      </w:r>
    </w:p>
    <w:p w14:paraId="433EE05E">
      <w:pPr>
        <w:spacing w:line="360" w:lineRule="auto"/>
        <w:ind w:firstLine="320" w:firstLineChars="100"/>
        <w:rPr>
          <w:rFonts w:hint="eastAsia" w:ascii="宋体" w:hAnsi="宋体" w:eastAsia="宋体" w:cs="宋体"/>
          <w:sz w:val="32"/>
          <w:highlight w:val="none"/>
        </w:rPr>
      </w:pPr>
    </w:p>
    <w:p w14:paraId="5152E895">
      <w:pPr>
        <w:spacing w:line="360" w:lineRule="auto"/>
        <w:ind w:firstLine="320" w:firstLineChars="100"/>
        <w:rPr>
          <w:rFonts w:hint="eastAsia" w:ascii="宋体" w:hAnsi="宋体" w:eastAsia="宋体" w:cs="宋体"/>
          <w:sz w:val="32"/>
          <w:szCs w:val="32"/>
          <w:highlight w:val="none"/>
        </w:rPr>
      </w:pPr>
      <w:r>
        <w:rPr>
          <w:rFonts w:hint="eastAsia" w:ascii="宋体" w:hAnsi="宋体" w:eastAsia="宋体" w:cs="宋体"/>
          <w:sz w:val="32"/>
          <w:szCs w:val="32"/>
          <w:highlight w:val="none"/>
        </w:rPr>
        <w:t>绩效评价机构：益阳中天会计师事务所有限责任公司</w:t>
      </w:r>
    </w:p>
    <w:p w14:paraId="2E55B80A">
      <w:pPr>
        <w:rPr>
          <w:rFonts w:hint="eastAsia" w:ascii="宋体" w:hAnsi="宋体" w:eastAsia="宋体" w:cs="宋体"/>
          <w:highlight w:val="none"/>
        </w:rPr>
        <w:sectPr>
          <w:pgSz w:w="11906" w:h="16838"/>
          <w:pgMar w:top="1984" w:right="1474" w:bottom="2098" w:left="1587" w:header="851" w:footer="992" w:gutter="0"/>
          <w:pgNumType w:fmt="decimal"/>
          <w:cols w:space="425" w:num="1"/>
          <w:docGrid w:type="lines" w:linePitch="312" w:charSpace="0"/>
        </w:sectPr>
      </w:pPr>
    </w:p>
    <w:p w14:paraId="7B1BAEFA">
      <w:pPr>
        <w:rPr>
          <w:rFonts w:ascii="黑体" w:hAnsi="黑体" w:eastAsia="黑体" w:cs="黑体"/>
          <w:b/>
          <w:bCs/>
          <w:sz w:val="44"/>
          <w:szCs w:val="44"/>
          <w:highlight w:val="none"/>
        </w:rPr>
      </w:pPr>
      <w:r>
        <w:rPr>
          <w:rFonts w:hint="eastAsia" w:ascii="宋体" w:hAnsi="宋体" w:eastAsia="宋体" w:cs="宋体"/>
          <w:highlight w:val="none"/>
        </w:rPr>
        <w:drawing>
          <wp:inline distT="0" distB="0" distL="114300" distR="114300">
            <wp:extent cx="5542280" cy="1477010"/>
            <wp:effectExtent l="0" t="0" r="1270" b="8890"/>
            <wp:docPr id="1" name="图片 1" descr="中天红头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天红头文件"/>
                    <pic:cNvPicPr>
                      <a:picLocks noChangeAspect="1"/>
                    </pic:cNvPicPr>
                  </pic:nvPicPr>
                  <pic:blipFill>
                    <a:blip r:embed="rId5" cstate="print"/>
                    <a:stretch>
                      <a:fillRect/>
                    </a:stretch>
                  </pic:blipFill>
                  <pic:spPr>
                    <a:xfrm>
                      <a:off x="0" y="0"/>
                      <a:ext cx="5542280" cy="1477010"/>
                    </a:xfrm>
                    <a:prstGeom prst="rect">
                      <a:avLst/>
                    </a:prstGeom>
                    <a:noFill/>
                    <a:ln>
                      <a:noFill/>
                    </a:ln>
                  </pic:spPr>
                </pic:pic>
              </a:graphicData>
            </a:graphic>
          </wp:inline>
        </w:drawing>
      </w:r>
    </w:p>
    <w:p w14:paraId="5F1FEA5F">
      <w:pPr>
        <w:pBdr>
          <w:bottom w:val="single" w:color="auto" w:sz="6" w:space="1"/>
        </w:pBdr>
        <w:jc w:val="center"/>
        <w:rPr>
          <w:rFonts w:hint="eastAsia" w:ascii="宋体" w:hAnsi="宋体" w:eastAsia="宋体" w:cs="宋体"/>
          <w:b w:val="0"/>
          <w:sz w:val="44"/>
          <w:szCs w:val="44"/>
          <w:highlight w:val="none"/>
        </w:rPr>
      </w:pPr>
      <w:r>
        <w:rPr>
          <w:rFonts w:hint="eastAsia" w:ascii="宋体" w:hAnsi="宋体" w:eastAsia="宋体" w:cs="宋体"/>
          <w:sz w:val="30"/>
          <w:szCs w:val="30"/>
          <w:highlight w:val="none"/>
        </w:rPr>
        <w:t>益中会师绩评字[20</w:t>
      </w:r>
      <w:r>
        <w:rPr>
          <w:rFonts w:hint="eastAsia" w:ascii="宋体" w:hAnsi="宋体" w:eastAsia="宋体" w:cs="宋体"/>
          <w:sz w:val="30"/>
          <w:szCs w:val="30"/>
          <w:highlight w:val="none"/>
          <w:lang w:val="en-US" w:eastAsia="zh-CN"/>
        </w:rPr>
        <w:t>25</w:t>
      </w:r>
      <w:r>
        <w:rPr>
          <w:rFonts w:hint="eastAsia" w:ascii="宋体" w:hAnsi="宋体" w:eastAsia="宋体" w:cs="宋体"/>
          <w:sz w:val="30"/>
          <w:szCs w:val="30"/>
          <w:highlight w:val="none"/>
        </w:rPr>
        <w:t>]第</w:t>
      </w:r>
      <w:r>
        <w:rPr>
          <w:rFonts w:hint="eastAsia" w:ascii="宋体" w:hAnsi="宋体" w:eastAsia="宋体" w:cs="宋体"/>
          <w:sz w:val="30"/>
          <w:szCs w:val="30"/>
          <w:highlight w:val="none"/>
          <w:lang w:val="en-US" w:eastAsia="zh-CN"/>
        </w:rPr>
        <w:t>01</w:t>
      </w:r>
      <w:r>
        <w:rPr>
          <w:rFonts w:hint="eastAsia" w:ascii="宋体" w:hAnsi="宋体" w:eastAsia="宋体" w:cs="宋体"/>
          <w:sz w:val="30"/>
          <w:szCs w:val="30"/>
          <w:highlight w:val="none"/>
        </w:rPr>
        <w:t>号</w:t>
      </w:r>
    </w:p>
    <w:p w14:paraId="441A64C1">
      <w:pPr>
        <w:pStyle w:val="3"/>
        <w:shd w:val="clear" w:color="auto" w:fill="FFFFFF"/>
        <w:spacing w:beforeAutospacing="0" w:afterAutospacing="0" w:line="700" w:lineRule="exact"/>
        <w:jc w:val="center"/>
        <w:rPr>
          <w:rFonts w:hint="eastAsia" w:ascii="宋体" w:hAnsi="宋体" w:eastAsia="宋体" w:cs="宋体"/>
          <w:b w:val="0"/>
          <w:sz w:val="44"/>
          <w:szCs w:val="44"/>
          <w:highlight w:val="none"/>
          <w:lang w:eastAsia="zh-CN"/>
        </w:rPr>
      </w:pPr>
      <w:r>
        <w:rPr>
          <w:rFonts w:hint="eastAsia" w:ascii="宋体" w:hAnsi="宋体" w:eastAsia="宋体" w:cs="宋体"/>
          <w:b w:val="0"/>
          <w:sz w:val="44"/>
          <w:szCs w:val="44"/>
          <w:highlight w:val="none"/>
          <w:lang w:eastAsia="zh-CN"/>
        </w:rPr>
        <w:t>2024年公办普通高中生均公用经费项目</w:t>
      </w:r>
    </w:p>
    <w:p w14:paraId="20FCE5EA">
      <w:pPr>
        <w:pStyle w:val="3"/>
        <w:shd w:val="clear" w:color="auto" w:fill="FFFFFF"/>
        <w:spacing w:beforeAutospacing="0" w:afterAutospacing="0" w:line="700" w:lineRule="exact"/>
        <w:jc w:val="center"/>
        <w:rPr>
          <w:rFonts w:hint="eastAsia" w:ascii="宋体" w:hAnsi="宋体" w:eastAsia="宋体" w:cs="宋体"/>
          <w:b w:val="0"/>
          <w:sz w:val="44"/>
          <w:szCs w:val="44"/>
          <w:highlight w:val="none"/>
          <w:lang w:eastAsia="zh-CN"/>
        </w:rPr>
      </w:pPr>
      <w:r>
        <w:rPr>
          <w:rFonts w:hint="eastAsia" w:ascii="宋体" w:hAnsi="宋体" w:eastAsia="宋体" w:cs="宋体"/>
          <w:b w:val="0"/>
          <w:sz w:val="44"/>
          <w:szCs w:val="44"/>
          <w:highlight w:val="none"/>
        </w:rPr>
        <w:t>绩效评价报告</w:t>
      </w:r>
    </w:p>
    <w:p w14:paraId="5967687C">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p>
    <w:p w14:paraId="0B937223">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为进一步规范和加强专项资金使用管理，切实提高财政资金使用效益，根据《中共中央国务院</w:t>
      </w:r>
      <w:r>
        <w:rPr>
          <w:rFonts w:hint="eastAsia" w:ascii="宋体" w:hAnsi="宋体" w:eastAsia="宋体" w:cs="宋体"/>
          <w:spacing w:val="-6"/>
          <w:sz w:val="32"/>
          <w:szCs w:val="32"/>
          <w:highlight w:val="none"/>
          <w:shd w:val="clear" w:color="auto" w:fill="FFFFFF"/>
          <w:lang w:val="en-US" w:eastAsia="zh-CN"/>
        </w:rPr>
        <w:t xml:space="preserve"> </w:t>
      </w:r>
      <w:r>
        <w:rPr>
          <w:rFonts w:hint="eastAsia" w:ascii="宋体" w:hAnsi="宋体" w:eastAsia="宋体" w:cs="宋体"/>
          <w:spacing w:val="-6"/>
          <w:sz w:val="32"/>
          <w:szCs w:val="32"/>
          <w:highlight w:val="none"/>
          <w:shd w:val="clear" w:color="auto" w:fill="FFFFFF"/>
        </w:rPr>
        <w:t>关于全面实施预算绩效管理的意见》（中发〔2018〕34号）、《中共湖南省委办公厅</w:t>
      </w:r>
      <w:r>
        <w:rPr>
          <w:rFonts w:hint="eastAsia" w:ascii="宋体" w:hAnsi="宋体" w:eastAsia="宋体" w:cs="宋体"/>
          <w:spacing w:val="-6"/>
          <w:sz w:val="32"/>
          <w:szCs w:val="32"/>
          <w:highlight w:val="none"/>
          <w:shd w:val="clear" w:color="auto" w:fill="FFFFFF"/>
          <w:lang w:val="en-US" w:eastAsia="zh-CN"/>
        </w:rPr>
        <w:t xml:space="preserve"> </w:t>
      </w:r>
      <w:r>
        <w:rPr>
          <w:rFonts w:hint="eastAsia" w:ascii="宋体" w:hAnsi="宋体" w:eastAsia="宋体" w:cs="宋体"/>
          <w:spacing w:val="-6"/>
          <w:sz w:val="32"/>
          <w:szCs w:val="32"/>
          <w:highlight w:val="none"/>
          <w:shd w:val="clear" w:color="auto" w:fill="FFFFFF"/>
        </w:rPr>
        <w:t>湖南省人民政府办公厅关于全面实施预算绩效管理的实施意见》（湘办发〔2019〕10号）、《湖南省财政厅</w:t>
      </w:r>
      <w:r>
        <w:rPr>
          <w:rFonts w:hint="eastAsia" w:ascii="宋体" w:hAnsi="宋体" w:eastAsia="宋体" w:cs="宋体"/>
          <w:spacing w:val="-6"/>
          <w:sz w:val="32"/>
          <w:szCs w:val="32"/>
          <w:highlight w:val="none"/>
          <w:shd w:val="clear" w:color="auto" w:fill="FFFFFF"/>
          <w:lang w:val="en-US" w:eastAsia="zh-CN"/>
        </w:rPr>
        <w:t xml:space="preserve"> </w:t>
      </w:r>
      <w:r>
        <w:rPr>
          <w:rFonts w:hint="eastAsia" w:ascii="宋体" w:hAnsi="宋体" w:eastAsia="宋体" w:cs="宋体"/>
          <w:spacing w:val="-6"/>
          <w:sz w:val="32"/>
          <w:szCs w:val="32"/>
          <w:highlight w:val="none"/>
          <w:shd w:val="clear" w:color="auto" w:fill="FFFFFF"/>
        </w:rPr>
        <w:t>关于印发〈湖南省预算支出绩效评价管理办法〉的通知》（湘财绩〔2020〕7号）和《益阳市财政局</w:t>
      </w:r>
      <w:r>
        <w:rPr>
          <w:rFonts w:hint="eastAsia" w:ascii="宋体" w:hAnsi="宋体" w:eastAsia="宋体" w:cs="宋体"/>
          <w:spacing w:val="-6"/>
          <w:sz w:val="32"/>
          <w:szCs w:val="32"/>
          <w:highlight w:val="none"/>
          <w:shd w:val="clear" w:color="auto" w:fill="FFFFFF"/>
          <w:lang w:val="en-US" w:eastAsia="zh-CN"/>
        </w:rPr>
        <w:t xml:space="preserve"> </w:t>
      </w:r>
      <w:r>
        <w:rPr>
          <w:rFonts w:hint="eastAsia" w:ascii="宋体" w:hAnsi="宋体" w:eastAsia="宋体" w:cs="宋体"/>
          <w:spacing w:val="-6"/>
          <w:sz w:val="32"/>
          <w:szCs w:val="32"/>
          <w:highlight w:val="none"/>
          <w:shd w:val="clear" w:color="auto" w:fill="FFFFFF"/>
        </w:rPr>
        <w:t>关于开展202</w:t>
      </w:r>
      <w:r>
        <w:rPr>
          <w:rFonts w:hint="eastAsia" w:ascii="宋体" w:hAnsi="宋体" w:eastAsia="宋体" w:cs="宋体"/>
          <w:spacing w:val="-6"/>
          <w:sz w:val="32"/>
          <w:szCs w:val="32"/>
          <w:highlight w:val="none"/>
          <w:shd w:val="clear" w:color="auto" w:fill="FFFFFF"/>
          <w:lang w:val="en-US" w:eastAsia="zh-CN"/>
        </w:rPr>
        <w:t>5</w:t>
      </w:r>
      <w:r>
        <w:rPr>
          <w:rFonts w:hint="eastAsia" w:ascii="宋体" w:hAnsi="宋体" w:eastAsia="宋体" w:cs="宋体"/>
          <w:spacing w:val="-6"/>
          <w:sz w:val="32"/>
          <w:szCs w:val="32"/>
          <w:highlight w:val="none"/>
          <w:shd w:val="clear" w:color="auto" w:fill="FFFFFF"/>
        </w:rPr>
        <w:t>年财政绩效评价工作的通知》（益财绩〔202</w:t>
      </w:r>
      <w:r>
        <w:rPr>
          <w:rFonts w:hint="eastAsia" w:ascii="宋体" w:hAnsi="宋体" w:eastAsia="宋体" w:cs="宋体"/>
          <w:spacing w:val="-6"/>
          <w:sz w:val="32"/>
          <w:szCs w:val="32"/>
          <w:highlight w:val="none"/>
          <w:shd w:val="clear" w:color="auto" w:fill="FFFFFF"/>
          <w:lang w:val="en-US" w:eastAsia="zh-CN"/>
        </w:rPr>
        <w:t>5</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163</w:t>
      </w:r>
      <w:r>
        <w:rPr>
          <w:rFonts w:hint="eastAsia" w:ascii="宋体" w:hAnsi="宋体" w:eastAsia="宋体" w:cs="宋体"/>
          <w:spacing w:val="-6"/>
          <w:sz w:val="32"/>
          <w:szCs w:val="32"/>
          <w:highlight w:val="none"/>
          <w:shd w:val="clear" w:color="auto" w:fill="FFFFFF"/>
        </w:rPr>
        <w:t>号）等文件精神及相关工作要求，受益阳市财政局委托，</w:t>
      </w:r>
      <w:r>
        <w:rPr>
          <w:rFonts w:hint="eastAsia" w:ascii="宋体" w:hAnsi="宋体" w:eastAsia="宋体" w:cs="宋体"/>
          <w:sz w:val="32"/>
          <w:szCs w:val="32"/>
          <w:highlight w:val="none"/>
          <w:shd w:val="clear" w:color="auto" w:fill="FFFFFF"/>
        </w:rPr>
        <w:t>益阳中天会计师事务所</w:t>
      </w:r>
      <w:r>
        <w:rPr>
          <w:rFonts w:hint="eastAsia" w:ascii="宋体" w:hAnsi="宋体" w:eastAsia="宋体" w:cs="宋体"/>
          <w:spacing w:val="-6"/>
          <w:sz w:val="32"/>
          <w:szCs w:val="32"/>
          <w:highlight w:val="none"/>
          <w:shd w:val="clear" w:color="auto" w:fill="FFFFFF"/>
        </w:rPr>
        <w:t>（以下简称“我所”）对“</w:t>
      </w:r>
      <w:r>
        <w:rPr>
          <w:rFonts w:hint="eastAsia" w:ascii="宋体" w:hAnsi="宋体" w:eastAsia="宋体" w:cs="宋体"/>
          <w:spacing w:val="-6"/>
          <w:sz w:val="32"/>
          <w:szCs w:val="32"/>
          <w:highlight w:val="none"/>
          <w:shd w:val="clear" w:color="auto" w:fill="FFFFFF"/>
          <w:lang w:eastAsia="zh-CN"/>
        </w:rPr>
        <w:t>2024年市县公办普通高中生均公用经费项目</w:t>
      </w:r>
      <w:r>
        <w:rPr>
          <w:rFonts w:hint="eastAsia" w:ascii="宋体" w:hAnsi="宋体" w:eastAsia="宋体" w:cs="宋体"/>
          <w:spacing w:val="-6"/>
          <w:sz w:val="32"/>
          <w:szCs w:val="32"/>
          <w:highlight w:val="none"/>
          <w:shd w:val="clear" w:color="auto" w:fill="FFFFFF"/>
        </w:rPr>
        <w:t>”（以下简称“该项目”）开展了绩效评价，现将有关情况报告如下：</w:t>
      </w:r>
    </w:p>
    <w:p w14:paraId="701C2070">
      <w:pPr>
        <w:pStyle w:val="15"/>
        <w:spacing w:beforeAutospacing="0" w:afterAutospacing="0" w:line="600" w:lineRule="exact"/>
        <w:ind w:firstLine="616"/>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一、项目概况</w:t>
      </w:r>
    </w:p>
    <w:p w14:paraId="14C632E8">
      <w:pPr>
        <w:pStyle w:val="15"/>
        <w:spacing w:beforeAutospacing="0" w:afterAutospacing="0" w:line="600" w:lineRule="exact"/>
        <w:ind w:firstLine="616" w:firstLineChars="200"/>
        <w:jc w:val="both"/>
        <w:rPr>
          <w:rFonts w:hint="eastAsia" w:ascii="宋体" w:hAnsi="宋体" w:eastAsia="宋体" w:cs="宋体"/>
          <w:bCs/>
          <w:spacing w:val="-6"/>
          <w:sz w:val="32"/>
          <w:szCs w:val="32"/>
          <w:highlight w:val="none"/>
          <w:shd w:val="clear" w:color="auto" w:fill="FFFFFF"/>
        </w:rPr>
      </w:pPr>
      <w:r>
        <w:rPr>
          <w:rFonts w:hint="eastAsia" w:ascii="宋体" w:hAnsi="宋体" w:eastAsia="宋体" w:cs="宋体"/>
          <w:bCs/>
          <w:spacing w:val="-6"/>
          <w:sz w:val="32"/>
          <w:szCs w:val="32"/>
          <w:highlight w:val="none"/>
          <w:shd w:val="clear" w:color="auto" w:fill="FFFFFF"/>
        </w:rPr>
        <w:t>（一）项目背景</w:t>
      </w:r>
    </w:p>
    <w:p w14:paraId="29A47B60">
      <w:pPr>
        <w:pStyle w:val="15"/>
        <w:spacing w:beforeAutospacing="0" w:afterAutospacing="0" w:line="600" w:lineRule="exact"/>
        <w:ind w:firstLine="616" w:firstLineChars="200"/>
        <w:jc w:val="both"/>
        <w:rPr>
          <w:rFonts w:hint="eastAsia" w:ascii="宋体" w:hAnsi="宋体" w:eastAsia="宋体" w:cs="宋体"/>
          <w:color w:val="FF0000"/>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为深入贯彻落实</w:t>
      </w:r>
      <w:r>
        <w:rPr>
          <w:rFonts w:hint="eastAsia" w:ascii="宋体" w:hAnsi="宋体" w:eastAsia="宋体" w:cs="宋体"/>
          <w:spacing w:val="-6"/>
          <w:sz w:val="32"/>
          <w:szCs w:val="32"/>
          <w:highlight w:val="none"/>
          <w:shd w:val="clear" w:color="auto" w:fill="FFFFFF"/>
          <w:lang w:eastAsia="zh-CN"/>
        </w:rPr>
        <w:t>党的十八届五中全会关于“普及高中阶段教育”的部署和要求，根据</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eastAsia="zh-CN"/>
        </w:rPr>
        <w:t>湖南省建设教育强省规划纲要</w:t>
      </w:r>
      <w:r>
        <w:rPr>
          <w:rFonts w:hint="eastAsia" w:ascii="宋体" w:hAnsi="宋体" w:eastAsia="宋体" w:cs="宋体"/>
          <w:spacing w:val="-6"/>
          <w:sz w:val="32"/>
          <w:szCs w:val="32"/>
          <w:highlight w:val="none"/>
          <w:shd w:val="clear" w:color="auto" w:fill="FFFFFF"/>
        </w:rPr>
        <w:t>（20</w:t>
      </w:r>
      <w:r>
        <w:rPr>
          <w:rFonts w:hint="eastAsia" w:ascii="宋体" w:hAnsi="宋体" w:eastAsia="宋体" w:cs="宋体"/>
          <w:spacing w:val="-6"/>
          <w:sz w:val="32"/>
          <w:szCs w:val="32"/>
          <w:highlight w:val="none"/>
          <w:shd w:val="clear" w:color="auto" w:fill="FFFFFF"/>
          <w:lang w:val="en-US" w:eastAsia="zh-CN"/>
        </w:rPr>
        <w:t>10</w:t>
      </w:r>
      <w:r>
        <w:rPr>
          <w:rFonts w:hint="eastAsia" w:ascii="宋体" w:hAnsi="宋体" w:eastAsia="宋体" w:cs="宋体"/>
          <w:spacing w:val="-6"/>
          <w:sz w:val="32"/>
          <w:szCs w:val="32"/>
          <w:highlight w:val="none"/>
          <w:shd w:val="clear" w:color="auto" w:fill="FFFFFF"/>
        </w:rPr>
        <w:t>-20</w:t>
      </w:r>
      <w:r>
        <w:rPr>
          <w:rFonts w:hint="eastAsia" w:ascii="宋体" w:hAnsi="宋体" w:eastAsia="宋体" w:cs="宋体"/>
          <w:spacing w:val="-6"/>
          <w:sz w:val="32"/>
          <w:szCs w:val="32"/>
          <w:highlight w:val="none"/>
          <w:shd w:val="clear" w:color="auto" w:fill="FFFFFF"/>
          <w:lang w:val="en-US" w:eastAsia="zh-CN"/>
        </w:rPr>
        <w:t>20</w:t>
      </w:r>
      <w:r>
        <w:rPr>
          <w:rFonts w:hint="eastAsia" w:ascii="宋体" w:hAnsi="宋体" w:eastAsia="宋体" w:cs="宋体"/>
          <w:spacing w:val="-6"/>
          <w:sz w:val="32"/>
          <w:szCs w:val="32"/>
          <w:highlight w:val="none"/>
          <w:shd w:val="clear" w:color="auto" w:fill="FFFFFF"/>
        </w:rPr>
        <w:t>年）》</w:t>
      </w:r>
      <w:r>
        <w:rPr>
          <w:rFonts w:hint="eastAsia" w:ascii="宋体" w:hAnsi="宋体" w:eastAsia="宋体" w:cs="宋体"/>
          <w:spacing w:val="-6"/>
          <w:sz w:val="32"/>
          <w:szCs w:val="32"/>
          <w:highlight w:val="none"/>
          <w:shd w:val="clear" w:color="auto" w:fill="FFFFFF"/>
          <w:lang w:eastAsia="zh-CN"/>
        </w:rPr>
        <w:t>等</w:t>
      </w:r>
      <w:r>
        <w:rPr>
          <w:rFonts w:hint="eastAsia" w:ascii="宋体" w:hAnsi="宋体" w:eastAsia="宋体" w:cs="宋体"/>
          <w:spacing w:val="-6"/>
          <w:sz w:val="32"/>
          <w:szCs w:val="32"/>
          <w:highlight w:val="none"/>
          <w:shd w:val="clear" w:color="auto" w:fill="FFFFFF"/>
        </w:rPr>
        <w:t>文件精神，立足我省教育发展实际，以促进教育公平、提升教育质量为核心，以优化资源配置、创新体制机制为动力，加快普及有质量和多样化的高中阶段教育，满足人民群众对优质高中教育的新期待，为全省经济社会持续健康发展提供坚实的人才支撑和智力保障。根据《</w:t>
      </w:r>
      <w:r>
        <w:rPr>
          <w:rFonts w:hint="eastAsia" w:ascii="宋体" w:hAnsi="宋体" w:eastAsia="宋体" w:cs="宋体"/>
          <w:spacing w:val="-6"/>
          <w:sz w:val="32"/>
          <w:szCs w:val="32"/>
          <w:highlight w:val="none"/>
          <w:shd w:val="clear" w:color="auto" w:fill="FFFFFF"/>
          <w:lang w:eastAsia="zh-CN"/>
        </w:rPr>
        <w:t>湖南省财政厅</w:t>
      </w:r>
      <w:r>
        <w:rPr>
          <w:rFonts w:hint="eastAsia" w:ascii="宋体" w:hAnsi="宋体" w:eastAsia="宋体" w:cs="宋体"/>
          <w:spacing w:val="-6"/>
          <w:sz w:val="32"/>
          <w:szCs w:val="32"/>
          <w:highlight w:val="none"/>
          <w:shd w:val="clear" w:color="auto" w:fill="FFFFFF"/>
          <w:lang w:val="en-US" w:eastAsia="zh-CN"/>
        </w:rPr>
        <w:t xml:space="preserve"> 湖南省教育厅关于下达2024年市县公办普通高中生均公用经费省级补助资金的通知</w:t>
      </w:r>
      <w:r>
        <w:rPr>
          <w:rFonts w:hint="eastAsia" w:ascii="宋体" w:hAnsi="宋体" w:eastAsia="宋体" w:cs="宋体"/>
          <w:spacing w:val="-6"/>
          <w:sz w:val="32"/>
          <w:szCs w:val="32"/>
          <w:highlight w:val="none"/>
          <w:shd w:val="clear" w:color="auto" w:fill="FFFFFF"/>
        </w:rPr>
        <w:t>》精神，益阳市财政局下达</w:t>
      </w:r>
      <w:r>
        <w:rPr>
          <w:rFonts w:hint="eastAsia" w:ascii="宋体" w:hAnsi="宋体" w:eastAsia="宋体" w:cs="宋体"/>
          <w:spacing w:val="-6"/>
          <w:sz w:val="32"/>
          <w:szCs w:val="32"/>
          <w:highlight w:val="none"/>
          <w:shd w:val="clear" w:color="auto" w:fill="FFFFFF"/>
          <w:lang w:eastAsia="zh-CN"/>
        </w:rPr>
        <w:t>2024年生均公用</w:t>
      </w:r>
      <w:r>
        <w:rPr>
          <w:rFonts w:hint="eastAsia" w:ascii="宋体" w:hAnsi="宋体" w:eastAsia="宋体" w:cs="宋体"/>
          <w:spacing w:val="-6"/>
          <w:sz w:val="32"/>
          <w:szCs w:val="32"/>
          <w:highlight w:val="none"/>
          <w:shd w:val="clear" w:color="auto" w:fill="FFFFFF"/>
        </w:rPr>
        <w:t>经费（以下简称“</w:t>
      </w:r>
      <w:r>
        <w:rPr>
          <w:rFonts w:hint="eastAsia" w:ascii="宋体" w:hAnsi="宋体" w:eastAsia="宋体" w:cs="宋体"/>
          <w:spacing w:val="-6"/>
          <w:sz w:val="32"/>
          <w:szCs w:val="32"/>
          <w:highlight w:val="none"/>
          <w:shd w:val="clear" w:color="auto" w:fill="FFFFFF"/>
          <w:lang w:eastAsia="zh-CN"/>
        </w:rPr>
        <w:t>生均</w:t>
      </w:r>
      <w:r>
        <w:rPr>
          <w:rFonts w:hint="eastAsia" w:ascii="宋体" w:hAnsi="宋体" w:eastAsia="宋体" w:cs="宋体"/>
          <w:spacing w:val="-6"/>
          <w:sz w:val="32"/>
          <w:szCs w:val="32"/>
          <w:highlight w:val="none"/>
          <w:shd w:val="clear" w:color="auto" w:fill="FFFFFF"/>
        </w:rPr>
        <w:t>经费”）</w:t>
      </w:r>
      <w:r>
        <w:rPr>
          <w:rFonts w:hint="eastAsia" w:ascii="宋体" w:hAnsi="宋体" w:eastAsia="宋体" w:cs="宋体"/>
          <w:spacing w:val="-6"/>
          <w:sz w:val="32"/>
          <w:szCs w:val="32"/>
          <w:highlight w:val="none"/>
          <w:shd w:val="clear" w:color="auto" w:fill="FFFFFF"/>
          <w:lang w:val="en-US" w:eastAsia="zh-CN"/>
        </w:rPr>
        <w:t>1914.60</w:t>
      </w:r>
      <w:r>
        <w:rPr>
          <w:rFonts w:hint="eastAsia" w:ascii="宋体" w:hAnsi="宋体" w:eastAsia="宋体" w:cs="宋体"/>
          <w:spacing w:val="-6"/>
          <w:sz w:val="32"/>
          <w:szCs w:val="32"/>
          <w:highlight w:val="none"/>
          <w:shd w:val="clear" w:color="auto" w:fill="FFFFFF"/>
        </w:rPr>
        <w:t>万元，用于推进益阳市</w:t>
      </w:r>
      <w:r>
        <w:rPr>
          <w:rFonts w:hint="eastAsia" w:ascii="宋体" w:hAnsi="宋体" w:eastAsia="宋体" w:cs="宋体"/>
          <w:spacing w:val="-6"/>
          <w:sz w:val="32"/>
          <w:szCs w:val="32"/>
          <w:highlight w:val="none"/>
          <w:shd w:val="clear" w:color="auto" w:fill="FFFFFF"/>
          <w:lang w:eastAsia="zh-CN"/>
        </w:rPr>
        <w:t>学校教育教学</w:t>
      </w:r>
      <w:r>
        <w:rPr>
          <w:rFonts w:hint="eastAsia" w:ascii="宋体" w:hAnsi="宋体" w:eastAsia="宋体" w:cs="宋体"/>
          <w:spacing w:val="-6"/>
          <w:sz w:val="32"/>
          <w:szCs w:val="32"/>
          <w:highlight w:val="none"/>
          <w:shd w:val="clear" w:color="auto" w:fill="FFFFFF"/>
        </w:rPr>
        <w:t>事业发展。</w:t>
      </w:r>
    </w:p>
    <w:p w14:paraId="34A60C3E">
      <w:pPr>
        <w:pStyle w:val="15"/>
        <w:numPr>
          <w:ilvl w:val="0"/>
          <w:numId w:val="1"/>
        </w:numPr>
        <w:spacing w:beforeAutospacing="0" w:afterAutospacing="0" w:line="600" w:lineRule="exact"/>
        <w:ind w:firstLine="592"/>
        <w:jc w:val="both"/>
        <w:rPr>
          <w:rFonts w:hint="eastAsia" w:ascii="宋体" w:hAnsi="宋体" w:eastAsia="宋体" w:cs="宋体"/>
          <w:spacing w:val="-6"/>
          <w:sz w:val="32"/>
          <w:szCs w:val="32"/>
          <w:highlight w:val="none"/>
          <w:shd w:val="clear" w:color="auto" w:fill="FFFFFF"/>
          <w:lang w:val="en-US" w:eastAsia="zh-CN"/>
        </w:rPr>
      </w:pPr>
      <w:r>
        <w:rPr>
          <w:rFonts w:hint="eastAsia" w:ascii="宋体" w:hAnsi="宋体" w:eastAsia="宋体" w:cs="宋体"/>
          <w:bCs/>
          <w:color w:val="auto"/>
          <w:spacing w:val="-6"/>
          <w:sz w:val="32"/>
          <w:szCs w:val="32"/>
          <w:highlight w:val="none"/>
          <w:shd w:val="clear" w:color="auto" w:fill="FFFFFF"/>
          <w:lang w:eastAsia="zh-CN"/>
        </w:rPr>
        <w:t>生均公用经费</w:t>
      </w:r>
      <w:r>
        <w:rPr>
          <w:rFonts w:hint="eastAsia" w:ascii="宋体" w:hAnsi="宋体" w:eastAsia="宋体" w:cs="宋体"/>
          <w:bCs/>
          <w:color w:val="auto"/>
          <w:spacing w:val="-6"/>
          <w:sz w:val="32"/>
          <w:szCs w:val="32"/>
          <w:highlight w:val="none"/>
          <w:shd w:val="clear" w:color="auto" w:fill="FFFFFF"/>
        </w:rPr>
        <w:t>管理办法。</w:t>
      </w:r>
      <w:r>
        <w:rPr>
          <w:rFonts w:hint="eastAsia" w:ascii="宋体" w:hAnsi="宋体" w:eastAsia="宋体" w:cs="宋体"/>
          <w:spacing w:val="-6"/>
          <w:sz w:val="32"/>
          <w:szCs w:val="32"/>
          <w:highlight w:val="none"/>
          <w:shd w:val="clear" w:color="auto" w:fill="FFFFFF"/>
        </w:rPr>
        <w:t>为</w:t>
      </w:r>
      <w:r>
        <w:rPr>
          <w:rFonts w:hint="eastAsia" w:ascii="宋体" w:hAnsi="宋体" w:eastAsia="宋体" w:cs="宋体"/>
          <w:spacing w:val="-6"/>
          <w:sz w:val="32"/>
          <w:szCs w:val="32"/>
          <w:highlight w:val="none"/>
          <w:shd w:val="clear" w:color="auto" w:fill="FFFFFF"/>
          <w:lang w:eastAsia="zh-CN"/>
        </w:rPr>
        <w:t>确保普通高中学校的良好运行</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eastAsia="zh-CN"/>
        </w:rPr>
        <w:t>湖南省财政厅</w:t>
      </w:r>
      <w:r>
        <w:rPr>
          <w:rFonts w:hint="eastAsia" w:ascii="宋体" w:hAnsi="宋体" w:eastAsia="宋体" w:cs="宋体"/>
          <w:spacing w:val="-6"/>
          <w:sz w:val="32"/>
          <w:szCs w:val="32"/>
          <w:highlight w:val="none"/>
          <w:shd w:val="clear" w:color="auto" w:fill="FFFFFF"/>
        </w:rPr>
        <w:t>同</w:t>
      </w:r>
      <w:r>
        <w:rPr>
          <w:rFonts w:hint="eastAsia" w:ascii="宋体" w:hAnsi="宋体" w:eastAsia="宋体" w:cs="宋体"/>
          <w:spacing w:val="-6"/>
          <w:sz w:val="32"/>
          <w:szCs w:val="32"/>
          <w:highlight w:val="none"/>
          <w:shd w:val="clear" w:color="auto" w:fill="FFFFFF"/>
          <w:lang w:eastAsia="zh-CN"/>
        </w:rPr>
        <w:t>湖南省教育厅</w:t>
      </w:r>
      <w:r>
        <w:rPr>
          <w:rFonts w:hint="eastAsia" w:ascii="宋体" w:hAnsi="宋体" w:eastAsia="宋体" w:cs="宋体"/>
          <w:spacing w:val="-6"/>
          <w:sz w:val="32"/>
          <w:szCs w:val="32"/>
          <w:highlight w:val="none"/>
          <w:shd w:val="clear" w:color="auto" w:fill="FFFFFF"/>
        </w:rPr>
        <w:t>制定了《</w:t>
      </w:r>
      <w:r>
        <w:rPr>
          <w:rFonts w:hint="eastAsia" w:ascii="宋体" w:hAnsi="宋体" w:eastAsia="宋体" w:cs="宋体"/>
          <w:spacing w:val="-6"/>
          <w:sz w:val="32"/>
          <w:szCs w:val="32"/>
          <w:highlight w:val="none"/>
          <w:shd w:val="clear" w:color="auto" w:fill="FFFFFF"/>
          <w:lang w:eastAsia="zh-CN"/>
        </w:rPr>
        <w:t>湖南省财政厅</w:t>
      </w:r>
      <w:r>
        <w:rPr>
          <w:rFonts w:hint="eastAsia" w:ascii="宋体" w:hAnsi="宋体" w:eastAsia="宋体" w:cs="宋体"/>
          <w:spacing w:val="-6"/>
          <w:sz w:val="32"/>
          <w:szCs w:val="32"/>
          <w:highlight w:val="none"/>
          <w:shd w:val="clear" w:color="auto" w:fill="FFFFFF"/>
          <w:lang w:val="en-US" w:eastAsia="zh-CN"/>
        </w:rPr>
        <w:t xml:space="preserve"> 湖南省教育厅关于建立健全普通高中生均公用经费保障机制的通知</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eastAsia="zh-CN"/>
        </w:rPr>
        <w:t>湘财教</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2016</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65号）。普通高中生均公用经费补助资金主要用于教育教学、实验实习、后勤服务和零星维修等方面,不得用于人员经费、基本建设、偿还债务等其他支岀。各地财政、教育部门要结合实际,科学制定公用经费使用管理细则,进一步明确开支范围、标准和程序要求,切实加强资金使用监管,提高资金使用绩效。对于截留、挤占、挪用公用经费等行为,按照《财政违法行为处罚处分条例》(国务院令第427号)有关规定严肃处理。</w:t>
      </w:r>
    </w:p>
    <w:p w14:paraId="3086C1D5">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bCs/>
          <w:spacing w:val="-6"/>
          <w:sz w:val="32"/>
          <w:szCs w:val="32"/>
          <w:highlight w:val="none"/>
          <w:shd w:val="clear" w:color="auto" w:fill="FFFFFF"/>
        </w:rPr>
        <w:t>（</w:t>
      </w:r>
      <w:r>
        <w:rPr>
          <w:rFonts w:hint="eastAsia" w:ascii="宋体" w:hAnsi="宋体" w:eastAsia="宋体" w:cs="宋体"/>
          <w:bCs/>
          <w:spacing w:val="-6"/>
          <w:sz w:val="32"/>
          <w:szCs w:val="32"/>
          <w:highlight w:val="none"/>
          <w:shd w:val="clear" w:color="auto" w:fill="FFFFFF"/>
          <w:lang w:eastAsia="zh-CN"/>
        </w:rPr>
        <w:t>三</w:t>
      </w:r>
      <w:r>
        <w:rPr>
          <w:rFonts w:hint="eastAsia" w:ascii="宋体" w:hAnsi="宋体" w:eastAsia="宋体" w:cs="宋体"/>
          <w:bCs/>
          <w:spacing w:val="-6"/>
          <w:sz w:val="32"/>
          <w:szCs w:val="32"/>
          <w:highlight w:val="none"/>
          <w:shd w:val="clear" w:color="auto" w:fill="FFFFFF"/>
        </w:rPr>
        <w:t>）202</w:t>
      </w:r>
      <w:r>
        <w:rPr>
          <w:rFonts w:hint="eastAsia" w:ascii="宋体" w:hAnsi="宋体" w:eastAsia="宋体" w:cs="宋体"/>
          <w:bCs/>
          <w:spacing w:val="-6"/>
          <w:sz w:val="32"/>
          <w:szCs w:val="32"/>
          <w:highlight w:val="none"/>
          <w:shd w:val="clear" w:color="auto" w:fill="FFFFFF"/>
          <w:lang w:val="en-US" w:eastAsia="zh-CN"/>
        </w:rPr>
        <w:t>4</w:t>
      </w:r>
      <w:r>
        <w:rPr>
          <w:rFonts w:hint="eastAsia" w:ascii="宋体" w:hAnsi="宋体" w:eastAsia="宋体" w:cs="宋体"/>
          <w:bCs/>
          <w:spacing w:val="-6"/>
          <w:sz w:val="32"/>
          <w:szCs w:val="32"/>
          <w:highlight w:val="none"/>
          <w:shd w:val="clear" w:color="auto" w:fill="FFFFFF"/>
        </w:rPr>
        <w:t>年</w:t>
      </w:r>
      <w:r>
        <w:rPr>
          <w:rFonts w:hint="eastAsia" w:ascii="宋体" w:hAnsi="宋体" w:eastAsia="宋体" w:cs="宋体"/>
          <w:bCs/>
          <w:spacing w:val="-6"/>
          <w:sz w:val="32"/>
          <w:szCs w:val="32"/>
          <w:highlight w:val="none"/>
          <w:shd w:val="clear" w:color="auto" w:fill="FFFFFF"/>
          <w:lang w:eastAsia="zh-CN"/>
        </w:rPr>
        <w:t>生均公用</w:t>
      </w:r>
      <w:r>
        <w:rPr>
          <w:rFonts w:hint="eastAsia" w:ascii="宋体" w:hAnsi="宋体" w:eastAsia="宋体" w:cs="宋体"/>
          <w:bCs/>
          <w:spacing w:val="-6"/>
          <w:sz w:val="32"/>
          <w:szCs w:val="32"/>
          <w:highlight w:val="none"/>
          <w:shd w:val="clear" w:color="auto" w:fill="FFFFFF"/>
        </w:rPr>
        <w:t>经费使用情况</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eastAsia="zh-CN"/>
        </w:rPr>
        <w:t>收入</w:t>
      </w:r>
      <w:r>
        <w:rPr>
          <w:rFonts w:hint="eastAsia" w:ascii="宋体" w:hAnsi="宋体" w:eastAsia="宋体" w:cs="宋体"/>
          <w:spacing w:val="-6"/>
          <w:sz w:val="32"/>
          <w:szCs w:val="32"/>
          <w:highlight w:val="none"/>
          <w:shd w:val="clear" w:color="auto" w:fill="FFFFFF"/>
        </w:rPr>
        <w:t>支出明细如下表：</w:t>
      </w:r>
    </w:p>
    <w:p w14:paraId="64247F40">
      <w:pPr>
        <w:pStyle w:val="15"/>
        <w:spacing w:beforeAutospacing="0" w:afterAutospacing="0" w:line="600" w:lineRule="exact"/>
        <w:jc w:val="center"/>
        <w:rPr>
          <w:rFonts w:hint="eastAsia" w:ascii="宋体" w:hAnsi="宋体" w:eastAsia="宋体" w:cs="宋体"/>
          <w:bCs/>
          <w:spacing w:val="-6"/>
          <w:sz w:val="32"/>
          <w:szCs w:val="32"/>
          <w:highlight w:val="none"/>
          <w:shd w:val="clear" w:color="auto" w:fill="FFFFFF"/>
        </w:rPr>
      </w:pPr>
      <w:r>
        <w:rPr>
          <w:rFonts w:hint="eastAsia" w:ascii="宋体" w:hAnsi="宋体" w:eastAsia="宋体" w:cs="宋体"/>
          <w:bCs/>
          <w:spacing w:val="-6"/>
          <w:sz w:val="32"/>
          <w:szCs w:val="32"/>
          <w:highlight w:val="none"/>
          <w:shd w:val="clear" w:color="auto" w:fill="FFFFFF"/>
        </w:rPr>
        <w:t>202</w:t>
      </w:r>
      <w:r>
        <w:rPr>
          <w:rFonts w:hint="eastAsia" w:ascii="宋体" w:hAnsi="宋体" w:eastAsia="宋体" w:cs="宋体"/>
          <w:bCs/>
          <w:spacing w:val="-6"/>
          <w:sz w:val="32"/>
          <w:szCs w:val="32"/>
          <w:highlight w:val="none"/>
          <w:shd w:val="clear" w:color="auto" w:fill="FFFFFF"/>
          <w:lang w:val="en-US" w:eastAsia="zh-CN"/>
        </w:rPr>
        <w:t>4</w:t>
      </w:r>
      <w:r>
        <w:rPr>
          <w:rFonts w:hint="eastAsia" w:ascii="宋体" w:hAnsi="宋体" w:eastAsia="宋体" w:cs="宋体"/>
          <w:bCs/>
          <w:spacing w:val="-6"/>
          <w:sz w:val="32"/>
          <w:szCs w:val="32"/>
          <w:highlight w:val="none"/>
          <w:shd w:val="clear" w:color="auto" w:fill="FFFFFF"/>
        </w:rPr>
        <w:t>年</w:t>
      </w:r>
      <w:r>
        <w:rPr>
          <w:rFonts w:hint="eastAsia" w:ascii="宋体" w:hAnsi="宋体" w:eastAsia="宋体" w:cs="宋体"/>
          <w:bCs/>
          <w:spacing w:val="-6"/>
          <w:sz w:val="32"/>
          <w:szCs w:val="32"/>
          <w:highlight w:val="none"/>
          <w:shd w:val="clear" w:color="auto" w:fill="FFFFFF"/>
          <w:lang w:eastAsia="zh-CN"/>
        </w:rPr>
        <w:t>生均公用</w:t>
      </w:r>
      <w:r>
        <w:rPr>
          <w:rFonts w:hint="eastAsia" w:ascii="宋体" w:hAnsi="宋体" w:eastAsia="宋体" w:cs="宋体"/>
          <w:bCs/>
          <w:spacing w:val="-6"/>
          <w:sz w:val="32"/>
          <w:szCs w:val="32"/>
          <w:highlight w:val="none"/>
          <w:shd w:val="clear" w:color="auto" w:fill="FFFFFF"/>
        </w:rPr>
        <w:t>经费</w:t>
      </w:r>
      <w:r>
        <w:rPr>
          <w:rFonts w:hint="eastAsia" w:ascii="宋体" w:hAnsi="宋体" w:eastAsia="宋体" w:cs="宋体"/>
          <w:bCs/>
          <w:spacing w:val="-6"/>
          <w:sz w:val="32"/>
          <w:szCs w:val="32"/>
          <w:highlight w:val="none"/>
          <w:shd w:val="clear" w:color="auto" w:fill="FFFFFF"/>
          <w:lang w:eastAsia="zh-CN"/>
        </w:rPr>
        <w:t>收入</w:t>
      </w:r>
      <w:r>
        <w:rPr>
          <w:rFonts w:hint="eastAsia" w:ascii="宋体" w:hAnsi="宋体" w:eastAsia="宋体" w:cs="宋体"/>
          <w:bCs/>
          <w:spacing w:val="-6"/>
          <w:sz w:val="32"/>
          <w:szCs w:val="32"/>
          <w:highlight w:val="none"/>
          <w:shd w:val="clear" w:color="auto" w:fill="FFFFFF"/>
        </w:rPr>
        <w:t>支出明细表</w:t>
      </w:r>
    </w:p>
    <w:p w14:paraId="49BA3CA9">
      <w:pPr>
        <w:pStyle w:val="15"/>
        <w:spacing w:beforeAutospacing="0" w:afterAutospacing="0" w:line="400" w:lineRule="exact"/>
        <w:jc w:val="right"/>
        <w:rPr>
          <w:rFonts w:hint="eastAsia" w:ascii="宋体" w:hAnsi="宋体" w:eastAsia="宋体" w:cs="宋体"/>
          <w:spacing w:val="-6"/>
          <w:sz w:val="22"/>
          <w:szCs w:val="22"/>
          <w:highlight w:val="none"/>
          <w:shd w:val="clear" w:color="auto" w:fill="FFFFFF"/>
        </w:rPr>
      </w:pPr>
      <w:r>
        <w:rPr>
          <w:rFonts w:hint="eastAsia" w:ascii="宋体" w:hAnsi="宋体" w:eastAsia="宋体" w:cs="宋体"/>
          <w:spacing w:val="-6"/>
          <w:sz w:val="21"/>
          <w:szCs w:val="21"/>
          <w:highlight w:val="none"/>
          <w:shd w:val="clear" w:color="auto" w:fill="FFFFFF"/>
        </w:rPr>
        <w:t xml:space="preserve">                                                             </w:t>
      </w:r>
      <w:r>
        <w:rPr>
          <w:rFonts w:hint="eastAsia" w:ascii="宋体" w:hAnsi="宋体" w:eastAsia="宋体" w:cs="宋体"/>
          <w:spacing w:val="-6"/>
          <w:sz w:val="22"/>
          <w:szCs w:val="22"/>
          <w:highlight w:val="none"/>
          <w:shd w:val="clear" w:color="auto" w:fill="FFFFFF"/>
        </w:rPr>
        <w:t xml:space="preserve">   单位：元</w:t>
      </w:r>
    </w:p>
    <w:tbl>
      <w:tblPr>
        <w:tblStyle w:val="17"/>
        <w:tblW w:w="9967"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736"/>
        <w:gridCol w:w="2025"/>
        <w:gridCol w:w="1720"/>
        <w:gridCol w:w="2006"/>
        <w:gridCol w:w="1669"/>
        <w:gridCol w:w="1811"/>
      </w:tblGrid>
      <w:tr w14:paraId="4FA2F69D">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56C84A8D">
            <w:pPr>
              <w:widowControl/>
              <w:spacing w:line="200" w:lineRule="exact"/>
              <w:jc w:val="center"/>
              <w:textAlignment w:val="center"/>
              <w:rPr>
                <w:rFonts w:hint="eastAsia" w:ascii="宋体" w:hAnsi="宋体" w:eastAsia="宋体" w:cs="宋体"/>
                <w:b/>
                <w:bCs/>
                <w:color w:val="000000"/>
                <w:sz w:val="24"/>
                <w:highlight w:val="none"/>
              </w:rPr>
            </w:pPr>
            <w:r>
              <w:rPr>
                <w:rFonts w:hint="eastAsia" w:ascii="宋体" w:hAnsi="宋体" w:eastAsia="宋体" w:cs="宋体"/>
                <w:b/>
                <w:bCs/>
                <w:color w:val="000000"/>
                <w:kern w:val="0"/>
                <w:sz w:val="24"/>
                <w:highlight w:val="none"/>
              </w:rPr>
              <w:t>序号</w:t>
            </w:r>
          </w:p>
        </w:tc>
        <w:tc>
          <w:tcPr>
            <w:tcW w:w="2025" w:type="dxa"/>
            <w:tcBorders>
              <w:tl2br w:val="nil"/>
              <w:tr2bl w:val="nil"/>
            </w:tcBorders>
            <w:shd w:val="clear" w:color="auto" w:fill="auto"/>
            <w:vAlign w:val="center"/>
          </w:tcPr>
          <w:p w14:paraId="392785CB">
            <w:pPr>
              <w:widowControl/>
              <w:jc w:val="center"/>
              <w:textAlignment w:val="center"/>
              <w:rPr>
                <w:rFonts w:hint="eastAsia" w:ascii="宋体" w:hAnsi="宋体" w:eastAsia="宋体" w:cs="宋体"/>
                <w:b/>
                <w:bCs/>
                <w:color w:val="000000" w:themeColor="text1"/>
                <w:sz w:val="24"/>
                <w:highlight w:val="none"/>
                <w:lang w:eastAsia="zh-CN"/>
                <w14:textFill>
                  <w14:solidFill>
                    <w14:schemeClr w14:val="tx1"/>
                  </w14:solidFill>
                </w14:textFill>
              </w:rPr>
            </w:pPr>
            <w:r>
              <w:rPr>
                <w:rFonts w:hint="eastAsia" w:ascii="宋体" w:hAnsi="宋体" w:eastAsia="宋体" w:cs="宋体"/>
                <w:b/>
                <w:bCs/>
                <w:color w:val="000000" w:themeColor="text1"/>
                <w:kern w:val="0"/>
                <w:sz w:val="24"/>
                <w:highlight w:val="none"/>
                <w:lang w:eastAsia="zh-CN"/>
                <w14:textFill>
                  <w14:solidFill>
                    <w14:schemeClr w14:val="tx1"/>
                  </w14:solidFill>
                </w14:textFill>
              </w:rPr>
              <w:t>学校名称</w:t>
            </w:r>
          </w:p>
        </w:tc>
        <w:tc>
          <w:tcPr>
            <w:tcW w:w="1720" w:type="dxa"/>
            <w:tcBorders>
              <w:tl2br w:val="nil"/>
              <w:tr2bl w:val="nil"/>
            </w:tcBorders>
            <w:shd w:val="clear" w:color="auto" w:fill="auto"/>
            <w:vAlign w:val="center"/>
          </w:tcPr>
          <w:p w14:paraId="345CB08C">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指标数</w:t>
            </w:r>
          </w:p>
        </w:tc>
        <w:tc>
          <w:tcPr>
            <w:tcW w:w="2006" w:type="dxa"/>
            <w:tcBorders>
              <w:tl2br w:val="nil"/>
              <w:tr2bl w:val="nil"/>
            </w:tcBorders>
            <w:shd w:val="clear" w:color="auto" w:fill="auto"/>
            <w:vAlign w:val="center"/>
          </w:tcPr>
          <w:p w14:paraId="1D881B30">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实际到账指标数</w:t>
            </w:r>
          </w:p>
        </w:tc>
        <w:tc>
          <w:tcPr>
            <w:tcW w:w="1669" w:type="dxa"/>
            <w:tcBorders>
              <w:tl2br w:val="nil"/>
              <w:tr2bl w:val="nil"/>
            </w:tcBorders>
            <w:shd w:val="clear" w:color="auto" w:fill="auto"/>
            <w:vAlign w:val="center"/>
          </w:tcPr>
          <w:p w14:paraId="3033CECA">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未到账指标数</w:t>
            </w:r>
          </w:p>
        </w:tc>
        <w:tc>
          <w:tcPr>
            <w:tcW w:w="1811" w:type="dxa"/>
            <w:tcBorders>
              <w:tl2br w:val="nil"/>
              <w:tr2bl w:val="nil"/>
            </w:tcBorders>
            <w:shd w:val="clear" w:color="auto" w:fill="auto"/>
            <w:vAlign w:val="center"/>
          </w:tcPr>
          <w:p w14:paraId="643EBB0F">
            <w:pPr>
              <w:widowControl/>
              <w:jc w:val="center"/>
              <w:textAlignment w:val="center"/>
              <w:rPr>
                <w:rFonts w:hint="eastAsia" w:ascii="宋体" w:hAnsi="宋体" w:eastAsia="宋体" w:cs="宋体"/>
                <w:b/>
                <w:bCs/>
                <w:color w:val="000000"/>
                <w:sz w:val="24"/>
                <w:highlight w:val="none"/>
                <w:lang w:eastAsia="zh-CN"/>
              </w:rPr>
            </w:pPr>
            <w:r>
              <w:rPr>
                <w:rFonts w:hint="eastAsia" w:ascii="宋体" w:hAnsi="宋体" w:eastAsia="宋体" w:cs="宋体"/>
                <w:b/>
                <w:bCs/>
                <w:color w:val="000000"/>
                <w:kern w:val="0"/>
                <w:sz w:val="24"/>
                <w:highlight w:val="none"/>
                <w:lang w:eastAsia="zh-CN"/>
              </w:rPr>
              <w:t>指标使用数</w:t>
            </w:r>
          </w:p>
        </w:tc>
      </w:tr>
      <w:tr w14:paraId="3BC6CE39">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476EA58F">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p>
        </w:tc>
        <w:tc>
          <w:tcPr>
            <w:tcW w:w="2025" w:type="dxa"/>
            <w:tcBorders>
              <w:tl2br w:val="nil"/>
              <w:tr2bl w:val="nil"/>
            </w:tcBorders>
            <w:shd w:val="clear" w:color="auto" w:fill="auto"/>
            <w:vAlign w:val="center"/>
          </w:tcPr>
          <w:p w14:paraId="2ABB9A0B">
            <w:pPr>
              <w:keepNext w:val="0"/>
              <w:keepLines w:val="0"/>
              <w:widowControl/>
              <w:suppressLineNumbers w:val="0"/>
              <w:jc w:val="center"/>
              <w:textAlignment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益阳市第一中学</w:t>
            </w:r>
          </w:p>
        </w:tc>
        <w:tc>
          <w:tcPr>
            <w:tcW w:w="1720" w:type="dxa"/>
            <w:tcBorders>
              <w:tl2br w:val="nil"/>
              <w:tr2bl w:val="nil"/>
            </w:tcBorders>
            <w:shd w:val="clear" w:color="auto" w:fill="auto"/>
            <w:vAlign w:val="center"/>
          </w:tcPr>
          <w:p w14:paraId="760AB920">
            <w:pPr>
              <w:widowControl/>
              <w:jc w:val="right"/>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3,300,000.00</w:t>
            </w:r>
          </w:p>
        </w:tc>
        <w:tc>
          <w:tcPr>
            <w:tcW w:w="2006" w:type="dxa"/>
            <w:tcBorders>
              <w:tl2br w:val="nil"/>
              <w:tr2bl w:val="nil"/>
            </w:tcBorders>
            <w:shd w:val="clear" w:color="auto" w:fill="auto"/>
            <w:vAlign w:val="center"/>
          </w:tcPr>
          <w:p w14:paraId="015BF657">
            <w:pPr>
              <w:widowControl/>
              <w:jc w:val="right"/>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3,300,000.00</w:t>
            </w:r>
          </w:p>
        </w:tc>
        <w:tc>
          <w:tcPr>
            <w:tcW w:w="1669" w:type="dxa"/>
            <w:tcBorders>
              <w:tl2br w:val="nil"/>
              <w:tr2bl w:val="nil"/>
            </w:tcBorders>
            <w:shd w:val="clear" w:color="auto" w:fill="auto"/>
            <w:vAlign w:val="center"/>
          </w:tcPr>
          <w:p w14:paraId="61E401AA">
            <w:pPr>
              <w:widowControl/>
              <w:jc w:val="right"/>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0</w:t>
            </w:r>
          </w:p>
        </w:tc>
        <w:tc>
          <w:tcPr>
            <w:tcW w:w="1811" w:type="dxa"/>
            <w:tcBorders>
              <w:tl2br w:val="nil"/>
              <w:tr2bl w:val="nil"/>
            </w:tcBorders>
            <w:shd w:val="clear" w:color="auto" w:fill="auto"/>
            <w:vAlign w:val="center"/>
          </w:tcPr>
          <w:p w14:paraId="3970D70C">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3,231,500.00 </w:t>
            </w:r>
          </w:p>
        </w:tc>
      </w:tr>
      <w:tr w14:paraId="091467DC">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46E6C6E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2</w:t>
            </w:r>
          </w:p>
        </w:tc>
        <w:tc>
          <w:tcPr>
            <w:tcW w:w="2025" w:type="dxa"/>
            <w:tcBorders>
              <w:tl2br w:val="nil"/>
              <w:tr2bl w:val="nil"/>
            </w:tcBorders>
            <w:shd w:val="clear" w:color="auto" w:fill="auto"/>
            <w:vAlign w:val="center"/>
          </w:tcPr>
          <w:p w14:paraId="7BF6DAFB">
            <w:pPr>
              <w:keepNext w:val="0"/>
              <w:keepLines w:val="0"/>
              <w:widowControl/>
              <w:suppressLineNumbers w:val="0"/>
              <w:jc w:val="center"/>
              <w:textAlignment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益阳市箴言中学</w:t>
            </w:r>
          </w:p>
        </w:tc>
        <w:tc>
          <w:tcPr>
            <w:tcW w:w="1720" w:type="dxa"/>
            <w:tcBorders>
              <w:tl2br w:val="nil"/>
              <w:tr2bl w:val="nil"/>
            </w:tcBorders>
            <w:shd w:val="clear" w:color="auto" w:fill="auto"/>
            <w:vAlign w:val="center"/>
          </w:tcPr>
          <w:p w14:paraId="4FE11DDD">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4,259,000.00 </w:t>
            </w:r>
          </w:p>
        </w:tc>
        <w:tc>
          <w:tcPr>
            <w:tcW w:w="2006" w:type="dxa"/>
            <w:tcBorders>
              <w:tl2br w:val="nil"/>
              <w:tr2bl w:val="nil"/>
            </w:tcBorders>
            <w:shd w:val="clear" w:color="auto" w:fill="auto"/>
            <w:vAlign w:val="center"/>
          </w:tcPr>
          <w:p w14:paraId="071C74BF">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4,259,000.00 </w:t>
            </w:r>
          </w:p>
        </w:tc>
        <w:tc>
          <w:tcPr>
            <w:tcW w:w="1669" w:type="dxa"/>
            <w:tcBorders>
              <w:tl2br w:val="nil"/>
              <w:tr2bl w:val="nil"/>
            </w:tcBorders>
            <w:shd w:val="clear" w:color="auto" w:fill="auto"/>
            <w:vAlign w:val="center"/>
          </w:tcPr>
          <w:p w14:paraId="66133418">
            <w:pPr>
              <w:widowControl/>
              <w:jc w:val="right"/>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0</w:t>
            </w:r>
          </w:p>
        </w:tc>
        <w:tc>
          <w:tcPr>
            <w:tcW w:w="1811" w:type="dxa"/>
            <w:tcBorders>
              <w:tl2br w:val="nil"/>
              <w:tr2bl w:val="nil"/>
            </w:tcBorders>
            <w:shd w:val="clear" w:color="auto" w:fill="auto"/>
            <w:vAlign w:val="center"/>
          </w:tcPr>
          <w:p w14:paraId="078DC442">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4,259,000.00 </w:t>
            </w:r>
          </w:p>
        </w:tc>
      </w:tr>
      <w:tr w14:paraId="633D3902">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71A96D22">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w:t>
            </w:r>
          </w:p>
        </w:tc>
        <w:tc>
          <w:tcPr>
            <w:tcW w:w="2025" w:type="dxa"/>
            <w:tcBorders>
              <w:tl2br w:val="nil"/>
              <w:tr2bl w:val="nil"/>
            </w:tcBorders>
            <w:shd w:val="clear" w:color="auto" w:fill="auto"/>
            <w:vAlign w:val="center"/>
          </w:tcPr>
          <w:p w14:paraId="434A2907">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益阳市第六中学</w:t>
            </w:r>
          </w:p>
        </w:tc>
        <w:tc>
          <w:tcPr>
            <w:tcW w:w="1720" w:type="dxa"/>
            <w:tcBorders>
              <w:tl2br w:val="nil"/>
              <w:tr2bl w:val="nil"/>
            </w:tcBorders>
            <w:shd w:val="clear" w:color="auto" w:fill="auto"/>
            <w:vAlign w:val="center"/>
          </w:tcPr>
          <w:p w14:paraId="176C184E">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2,367,500.00 </w:t>
            </w:r>
          </w:p>
        </w:tc>
        <w:tc>
          <w:tcPr>
            <w:tcW w:w="2006" w:type="dxa"/>
            <w:tcBorders>
              <w:tl2br w:val="nil"/>
              <w:tr2bl w:val="nil"/>
            </w:tcBorders>
            <w:shd w:val="clear" w:color="auto" w:fill="auto"/>
            <w:vAlign w:val="center"/>
          </w:tcPr>
          <w:p w14:paraId="24199C75">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2,367,500.00 </w:t>
            </w:r>
          </w:p>
        </w:tc>
        <w:tc>
          <w:tcPr>
            <w:tcW w:w="1669" w:type="dxa"/>
            <w:tcBorders>
              <w:tl2br w:val="nil"/>
              <w:tr2bl w:val="nil"/>
            </w:tcBorders>
            <w:shd w:val="clear" w:color="auto" w:fill="auto"/>
            <w:vAlign w:val="center"/>
          </w:tcPr>
          <w:p w14:paraId="7798BFB4">
            <w:pPr>
              <w:widowControl/>
              <w:jc w:val="right"/>
              <w:textAlignment w:val="center"/>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val="en-US" w:eastAsia="zh-CN"/>
              </w:rPr>
              <w:t>0</w:t>
            </w:r>
          </w:p>
        </w:tc>
        <w:tc>
          <w:tcPr>
            <w:tcW w:w="1811" w:type="dxa"/>
            <w:tcBorders>
              <w:tl2br w:val="nil"/>
              <w:tr2bl w:val="nil"/>
            </w:tcBorders>
            <w:shd w:val="clear" w:color="auto" w:fill="auto"/>
            <w:vAlign w:val="center"/>
          </w:tcPr>
          <w:p w14:paraId="3E682674">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2,386,260.55 </w:t>
            </w:r>
          </w:p>
        </w:tc>
      </w:tr>
      <w:tr w14:paraId="0FE9118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0FB1470F">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rPr>
              <w:t>4</w:t>
            </w:r>
          </w:p>
        </w:tc>
        <w:tc>
          <w:tcPr>
            <w:tcW w:w="2025" w:type="dxa"/>
            <w:tcBorders>
              <w:tl2br w:val="nil"/>
              <w:tr2bl w:val="nil"/>
            </w:tcBorders>
            <w:shd w:val="clear" w:color="auto" w:fill="auto"/>
            <w:vAlign w:val="center"/>
          </w:tcPr>
          <w:p w14:paraId="437BB32B">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益阳市第十三中学</w:t>
            </w:r>
          </w:p>
        </w:tc>
        <w:tc>
          <w:tcPr>
            <w:tcW w:w="1720" w:type="dxa"/>
            <w:tcBorders>
              <w:tl2br w:val="nil"/>
              <w:tr2bl w:val="nil"/>
            </w:tcBorders>
            <w:shd w:val="clear" w:color="auto" w:fill="auto"/>
            <w:vAlign w:val="center"/>
          </w:tcPr>
          <w:p w14:paraId="1DEF476A">
            <w:pPr>
              <w:keepNext w:val="0"/>
              <w:keepLines w:val="0"/>
              <w:widowControl/>
              <w:suppressLineNumbers w:val="0"/>
              <w:jc w:val="righ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1,543,500.00 </w:t>
            </w:r>
          </w:p>
        </w:tc>
        <w:tc>
          <w:tcPr>
            <w:tcW w:w="2006" w:type="dxa"/>
            <w:tcBorders>
              <w:tl2br w:val="nil"/>
              <w:tr2bl w:val="nil"/>
            </w:tcBorders>
            <w:shd w:val="clear" w:color="auto" w:fill="auto"/>
            <w:vAlign w:val="center"/>
          </w:tcPr>
          <w:p w14:paraId="44EF4625">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1,543,500.00 </w:t>
            </w:r>
          </w:p>
        </w:tc>
        <w:tc>
          <w:tcPr>
            <w:tcW w:w="1669" w:type="dxa"/>
            <w:tcBorders>
              <w:tl2br w:val="nil"/>
              <w:tr2bl w:val="nil"/>
            </w:tcBorders>
            <w:shd w:val="clear" w:color="auto" w:fill="auto"/>
            <w:vAlign w:val="center"/>
          </w:tcPr>
          <w:p w14:paraId="2C1DE79E">
            <w:pPr>
              <w:widowControl/>
              <w:jc w:val="right"/>
              <w:textAlignment w:val="center"/>
              <w:rPr>
                <w:rFonts w:hint="default"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val="en-US" w:eastAsia="zh-CN"/>
              </w:rPr>
              <w:t>0</w:t>
            </w:r>
          </w:p>
        </w:tc>
        <w:tc>
          <w:tcPr>
            <w:tcW w:w="1811" w:type="dxa"/>
            <w:tcBorders>
              <w:tl2br w:val="nil"/>
              <w:tr2bl w:val="nil"/>
            </w:tcBorders>
            <w:shd w:val="clear" w:color="auto" w:fill="auto"/>
            <w:vAlign w:val="center"/>
          </w:tcPr>
          <w:p w14:paraId="05D88A82">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1,543,500.00 </w:t>
            </w:r>
          </w:p>
        </w:tc>
      </w:tr>
      <w:tr w14:paraId="0229FEEF">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6C9D266">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rPr>
              <w:t>5</w:t>
            </w:r>
          </w:p>
        </w:tc>
        <w:tc>
          <w:tcPr>
            <w:tcW w:w="2025" w:type="dxa"/>
            <w:tcBorders>
              <w:tl2br w:val="nil"/>
              <w:tr2bl w:val="nil"/>
            </w:tcBorders>
            <w:shd w:val="clear" w:color="auto" w:fill="auto"/>
            <w:vAlign w:val="center"/>
          </w:tcPr>
          <w:p w14:paraId="19E53803">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益阳市第十四中学</w:t>
            </w:r>
          </w:p>
        </w:tc>
        <w:tc>
          <w:tcPr>
            <w:tcW w:w="1720" w:type="dxa"/>
            <w:tcBorders>
              <w:tl2br w:val="nil"/>
              <w:tr2bl w:val="nil"/>
            </w:tcBorders>
            <w:shd w:val="clear" w:color="auto" w:fill="auto"/>
            <w:vAlign w:val="center"/>
          </w:tcPr>
          <w:p w14:paraId="3F4CCA20">
            <w:pPr>
              <w:widowControl/>
              <w:jc w:val="right"/>
              <w:textAlignment w:val="center"/>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val="en-US" w:eastAsia="zh-CN"/>
              </w:rPr>
              <w:t>1,417,500.00</w:t>
            </w:r>
          </w:p>
        </w:tc>
        <w:tc>
          <w:tcPr>
            <w:tcW w:w="2006" w:type="dxa"/>
            <w:tcBorders>
              <w:tl2br w:val="nil"/>
              <w:tr2bl w:val="nil"/>
            </w:tcBorders>
            <w:shd w:val="clear" w:color="auto" w:fill="auto"/>
            <w:vAlign w:val="center"/>
          </w:tcPr>
          <w:p w14:paraId="100F4D2E">
            <w:pPr>
              <w:widowControl/>
              <w:jc w:val="right"/>
              <w:textAlignment w:val="center"/>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val="en-US" w:eastAsia="zh-CN"/>
              </w:rPr>
              <w:t>1,417,500.00</w:t>
            </w:r>
          </w:p>
        </w:tc>
        <w:tc>
          <w:tcPr>
            <w:tcW w:w="1669" w:type="dxa"/>
            <w:tcBorders>
              <w:tl2br w:val="nil"/>
              <w:tr2bl w:val="nil"/>
            </w:tcBorders>
            <w:shd w:val="clear" w:color="auto" w:fill="auto"/>
            <w:vAlign w:val="center"/>
          </w:tcPr>
          <w:p w14:paraId="585F4A1C">
            <w:pPr>
              <w:widowControl/>
              <w:jc w:val="right"/>
              <w:textAlignment w:val="center"/>
              <w:rPr>
                <w:rFonts w:hint="default"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val="en-US" w:eastAsia="zh-CN"/>
              </w:rPr>
              <w:t>0</w:t>
            </w:r>
          </w:p>
        </w:tc>
        <w:tc>
          <w:tcPr>
            <w:tcW w:w="1811" w:type="dxa"/>
            <w:tcBorders>
              <w:tl2br w:val="nil"/>
              <w:tr2bl w:val="nil"/>
            </w:tcBorders>
            <w:shd w:val="clear" w:color="auto" w:fill="auto"/>
            <w:vAlign w:val="center"/>
          </w:tcPr>
          <w:p w14:paraId="559CEEAF">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1,117,727.44 </w:t>
            </w:r>
          </w:p>
        </w:tc>
      </w:tr>
      <w:tr w14:paraId="046B0B28">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5F7DCC5E">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rPr>
              <w:t>6</w:t>
            </w:r>
          </w:p>
        </w:tc>
        <w:tc>
          <w:tcPr>
            <w:tcW w:w="2025" w:type="dxa"/>
            <w:tcBorders>
              <w:tl2br w:val="nil"/>
              <w:tr2bl w:val="nil"/>
            </w:tcBorders>
            <w:shd w:val="clear" w:color="auto" w:fill="auto"/>
            <w:vAlign w:val="center"/>
          </w:tcPr>
          <w:p w14:paraId="1BF9EB2F">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益阳市第十五中学</w:t>
            </w:r>
          </w:p>
        </w:tc>
        <w:tc>
          <w:tcPr>
            <w:tcW w:w="1720" w:type="dxa"/>
            <w:tcBorders>
              <w:tl2br w:val="nil"/>
              <w:tr2bl w:val="nil"/>
            </w:tcBorders>
            <w:shd w:val="clear" w:color="auto" w:fill="auto"/>
            <w:vAlign w:val="center"/>
          </w:tcPr>
          <w:p w14:paraId="29435AB4">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1,616,000.00 </w:t>
            </w:r>
          </w:p>
        </w:tc>
        <w:tc>
          <w:tcPr>
            <w:tcW w:w="2006" w:type="dxa"/>
            <w:tcBorders>
              <w:tl2br w:val="nil"/>
              <w:tr2bl w:val="nil"/>
            </w:tcBorders>
            <w:shd w:val="clear" w:color="auto" w:fill="auto"/>
            <w:vAlign w:val="center"/>
          </w:tcPr>
          <w:p w14:paraId="24F90D8A">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1,616,000.00 </w:t>
            </w:r>
          </w:p>
        </w:tc>
        <w:tc>
          <w:tcPr>
            <w:tcW w:w="1669" w:type="dxa"/>
            <w:tcBorders>
              <w:tl2br w:val="nil"/>
              <w:tr2bl w:val="nil"/>
            </w:tcBorders>
            <w:shd w:val="clear" w:color="auto" w:fill="auto"/>
            <w:vAlign w:val="center"/>
          </w:tcPr>
          <w:p w14:paraId="6EFB1AC1">
            <w:pPr>
              <w:widowControl/>
              <w:jc w:val="right"/>
              <w:textAlignment w:val="center"/>
              <w:rPr>
                <w:rFonts w:hint="default"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val="en-US" w:eastAsia="zh-CN"/>
              </w:rPr>
              <w:t>0</w:t>
            </w:r>
          </w:p>
        </w:tc>
        <w:tc>
          <w:tcPr>
            <w:tcW w:w="1811" w:type="dxa"/>
            <w:tcBorders>
              <w:tl2br w:val="nil"/>
              <w:tr2bl w:val="nil"/>
            </w:tcBorders>
            <w:shd w:val="clear" w:color="auto" w:fill="auto"/>
            <w:vAlign w:val="center"/>
          </w:tcPr>
          <w:p w14:paraId="28D4128C">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1,790,769.05 </w:t>
            </w:r>
          </w:p>
        </w:tc>
      </w:tr>
      <w:tr w14:paraId="19928856">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16BD1488">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rPr>
              <w:t>7</w:t>
            </w:r>
          </w:p>
        </w:tc>
        <w:tc>
          <w:tcPr>
            <w:tcW w:w="2025" w:type="dxa"/>
            <w:tcBorders>
              <w:tl2br w:val="nil"/>
              <w:tr2bl w:val="nil"/>
            </w:tcBorders>
            <w:shd w:val="clear" w:color="auto" w:fill="auto"/>
            <w:vAlign w:val="center"/>
          </w:tcPr>
          <w:p w14:paraId="5E5C89A3">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益阳市第十六中学</w:t>
            </w:r>
          </w:p>
        </w:tc>
        <w:tc>
          <w:tcPr>
            <w:tcW w:w="1720" w:type="dxa"/>
            <w:tcBorders>
              <w:tl2br w:val="nil"/>
              <w:tr2bl w:val="nil"/>
            </w:tcBorders>
            <w:shd w:val="clear" w:color="auto" w:fill="auto"/>
            <w:vAlign w:val="center"/>
          </w:tcPr>
          <w:p w14:paraId="10CB4253">
            <w:pPr>
              <w:widowControl/>
              <w:jc w:val="right"/>
              <w:textAlignment w:val="center"/>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val="en-US" w:eastAsia="zh-CN"/>
              </w:rPr>
              <w:t>2,626,500.00</w:t>
            </w:r>
          </w:p>
        </w:tc>
        <w:tc>
          <w:tcPr>
            <w:tcW w:w="2006" w:type="dxa"/>
            <w:tcBorders>
              <w:tl2br w:val="nil"/>
              <w:tr2bl w:val="nil"/>
            </w:tcBorders>
            <w:shd w:val="clear" w:color="auto" w:fill="auto"/>
            <w:vAlign w:val="center"/>
          </w:tcPr>
          <w:p w14:paraId="7A044DF8">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宋体" w:hAnsi="宋体" w:eastAsia="宋体" w:cs="宋体"/>
                <w:color w:val="000000"/>
                <w:kern w:val="0"/>
                <w:sz w:val="22"/>
                <w:szCs w:val="22"/>
                <w:highlight w:val="none"/>
                <w:lang w:val="en-US" w:eastAsia="zh-CN"/>
              </w:rPr>
              <w:t>2,626,500.00</w:t>
            </w:r>
            <w:r>
              <w:rPr>
                <w:rFonts w:hint="eastAsia" w:ascii="宋体" w:hAnsi="宋体" w:eastAsia="宋体" w:cs="宋体"/>
                <w:i w:val="0"/>
                <w:iCs w:val="0"/>
                <w:color w:val="000000"/>
                <w:kern w:val="0"/>
                <w:sz w:val="22"/>
                <w:szCs w:val="22"/>
                <w:highlight w:val="none"/>
                <w:u w:val="none"/>
                <w:lang w:val="en-US" w:eastAsia="zh-CN" w:bidi="ar"/>
              </w:rPr>
              <w:t xml:space="preserve"> </w:t>
            </w:r>
          </w:p>
        </w:tc>
        <w:tc>
          <w:tcPr>
            <w:tcW w:w="1669" w:type="dxa"/>
            <w:tcBorders>
              <w:tl2br w:val="nil"/>
              <w:tr2bl w:val="nil"/>
            </w:tcBorders>
            <w:shd w:val="clear" w:color="auto" w:fill="auto"/>
            <w:vAlign w:val="center"/>
          </w:tcPr>
          <w:p w14:paraId="5827F575">
            <w:pPr>
              <w:widowControl/>
              <w:jc w:val="right"/>
              <w:textAlignment w:val="center"/>
              <w:rPr>
                <w:rFonts w:hint="default"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val="en-US" w:eastAsia="zh-CN"/>
              </w:rPr>
              <w:t>0</w:t>
            </w:r>
          </w:p>
        </w:tc>
        <w:tc>
          <w:tcPr>
            <w:tcW w:w="1811" w:type="dxa"/>
            <w:tcBorders>
              <w:tl2br w:val="nil"/>
              <w:tr2bl w:val="nil"/>
            </w:tcBorders>
            <w:shd w:val="clear" w:color="auto" w:fill="auto"/>
            <w:vAlign w:val="center"/>
          </w:tcPr>
          <w:p w14:paraId="1FD259CE">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2,475,222.31 </w:t>
            </w:r>
          </w:p>
        </w:tc>
      </w:tr>
      <w:tr w14:paraId="788E3260">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2902006F">
            <w:pPr>
              <w:widowControl/>
              <w:jc w:val="center"/>
              <w:textAlignment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8</w:t>
            </w:r>
          </w:p>
        </w:tc>
        <w:tc>
          <w:tcPr>
            <w:tcW w:w="2025" w:type="dxa"/>
            <w:tcBorders>
              <w:tl2br w:val="nil"/>
              <w:tr2bl w:val="nil"/>
            </w:tcBorders>
            <w:shd w:val="clear" w:color="auto" w:fill="auto"/>
            <w:vAlign w:val="center"/>
          </w:tcPr>
          <w:p w14:paraId="15F9912F">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益阳市第十七中学</w:t>
            </w:r>
          </w:p>
        </w:tc>
        <w:tc>
          <w:tcPr>
            <w:tcW w:w="1720" w:type="dxa"/>
            <w:tcBorders>
              <w:tl2br w:val="nil"/>
              <w:tr2bl w:val="nil"/>
            </w:tcBorders>
            <w:shd w:val="clear" w:color="auto" w:fill="auto"/>
            <w:vAlign w:val="center"/>
          </w:tcPr>
          <w:p w14:paraId="4201890B">
            <w:pPr>
              <w:keepNext w:val="0"/>
              <w:keepLines w:val="0"/>
              <w:widowControl/>
              <w:suppressLineNumbers w:val="0"/>
              <w:jc w:val="righ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2,016,000.00 </w:t>
            </w:r>
          </w:p>
        </w:tc>
        <w:tc>
          <w:tcPr>
            <w:tcW w:w="2006" w:type="dxa"/>
            <w:tcBorders>
              <w:tl2br w:val="nil"/>
              <w:tr2bl w:val="nil"/>
            </w:tcBorders>
            <w:shd w:val="clear" w:color="auto" w:fill="auto"/>
            <w:vAlign w:val="center"/>
          </w:tcPr>
          <w:p w14:paraId="74065E59">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2,016,000.00 </w:t>
            </w:r>
          </w:p>
        </w:tc>
        <w:tc>
          <w:tcPr>
            <w:tcW w:w="1669" w:type="dxa"/>
            <w:tcBorders>
              <w:tl2br w:val="nil"/>
              <w:tr2bl w:val="nil"/>
            </w:tcBorders>
            <w:shd w:val="clear" w:color="auto" w:fill="auto"/>
            <w:vAlign w:val="center"/>
          </w:tcPr>
          <w:p w14:paraId="47B52771">
            <w:pPr>
              <w:widowControl/>
              <w:jc w:val="right"/>
              <w:textAlignment w:val="center"/>
              <w:rPr>
                <w:rFonts w:hint="default"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val="en-US" w:eastAsia="zh-CN"/>
              </w:rPr>
              <w:t>0</w:t>
            </w:r>
          </w:p>
        </w:tc>
        <w:tc>
          <w:tcPr>
            <w:tcW w:w="1811" w:type="dxa"/>
            <w:tcBorders>
              <w:tl2br w:val="nil"/>
              <w:tr2bl w:val="nil"/>
            </w:tcBorders>
            <w:shd w:val="clear" w:color="auto" w:fill="auto"/>
            <w:vAlign w:val="center"/>
          </w:tcPr>
          <w:p w14:paraId="71083431">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2,016,612.78 </w:t>
            </w:r>
          </w:p>
        </w:tc>
      </w:tr>
      <w:tr w14:paraId="1BFFFB8E">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2761" w:type="dxa"/>
            <w:gridSpan w:val="2"/>
            <w:tcBorders>
              <w:tl2br w:val="nil"/>
              <w:tr2bl w:val="nil"/>
            </w:tcBorders>
            <w:shd w:val="clear" w:color="auto" w:fill="auto"/>
            <w:vAlign w:val="center"/>
          </w:tcPr>
          <w:p w14:paraId="4B15C75E">
            <w:pPr>
              <w:widowControl/>
              <w:jc w:val="center"/>
              <w:textAlignment w:val="center"/>
              <w:rPr>
                <w:rFonts w:hint="eastAsia" w:ascii="宋体" w:hAnsi="宋体" w:eastAsia="宋体" w:cs="宋体"/>
                <w:b/>
                <w:bCs/>
                <w:color w:val="FF0000"/>
                <w:sz w:val="24"/>
                <w:highlight w:val="none"/>
              </w:rPr>
            </w:pPr>
            <w:r>
              <w:rPr>
                <w:rFonts w:hint="eastAsia" w:ascii="宋体" w:hAnsi="宋体" w:eastAsia="宋体" w:cs="宋体"/>
                <w:b/>
                <w:bCs/>
                <w:color w:val="auto"/>
                <w:sz w:val="24"/>
                <w:highlight w:val="none"/>
              </w:rPr>
              <w:t>合  计</w:t>
            </w:r>
          </w:p>
        </w:tc>
        <w:tc>
          <w:tcPr>
            <w:tcW w:w="1720" w:type="dxa"/>
            <w:tcBorders>
              <w:tl2br w:val="nil"/>
              <w:tr2bl w:val="nil"/>
            </w:tcBorders>
            <w:shd w:val="clear" w:color="auto" w:fill="auto"/>
            <w:vAlign w:val="center"/>
          </w:tcPr>
          <w:p w14:paraId="54749798">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 xml:space="preserve">19,146,000.00 </w:t>
            </w:r>
          </w:p>
        </w:tc>
        <w:tc>
          <w:tcPr>
            <w:tcW w:w="2006" w:type="dxa"/>
            <w:tcBorders>
              <w:tl2br w:val="nil"/>
              <w:tr2bl w:val="nil"/>
            </w:tcBorders>
            <w:shd w:val="clear" w:color="auto" w:fill="auto"/>
            <w:vAlign w:val="center"/>
          </w:tcPr>
          <w:p w14:paraId="6821F444">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 xml:space="preserve">19,146,000.00 </w:t>
            </w:r>
          </w:p>
        </w:tc>
        <w:tc>
          <w:tcPr>
            <w:tcW w:w="1669" w:type="dxa"/>
            <w:tcBorders>
              <w:tl2br w:val="nil"/>
              <w:tr2bl w:val="nil"/>
            </w:tcBorders>
            <w:shd w:val="clear" w:color="auto" w:fill="auto"/>
            <w:vAlign w:val="center"/>
          </w:tcPr>
          <w:p w14:paraId="49DFC5CA">
            <w:pPr>
              <w:widowControl/>
              <w:jc w:val="right"/>
              <w:textAlignment w:val="center"/>
              <w:rPr>
                <w:rFonts w:hint="eastAsia" w:ascii="宋体" w:hAnsi="宋体" w:eastAsia="宋体" w:cs="宋体"/>
                <w:b/>
                <w:bCs/>
                <w:color w:val="000000"/>
                <w:kern w:val="0"/>
                <w:sz w:val="24"/>
                <w:highlight w:val="none"/>
                <w:lang w:val="en-US" w:eastAsia="zh-CN"/>
              </w:rPr>
            </w:pPr>
            <w:r>
              <w:rPr>
                <w:rFonts w:hint="eastAsia" w:ascii="宋体" w:hAnsi="宋体" w:eastAsia="宋体" w:cs="宋体"/>
                <w:b/>
                <w:bCs/>
                <w:color w:val="000000"/>
                <w:kern w:val="0"/>
                <w:sz w:val="22"/>
                <w:szCs w:val="22"/>
                <w:highlight w:val="none"/>
                <w:lang w:val="en-US" w:eastAsia="zh-CN"/>
              </w:rPr>
              <w:t>0</w:t>
            </w:r>
          </w:p>
        </w:tc>
        <w:tc>
          <w:tcPr>
            <w:tcW w:w="1811" w:type="dxa"/>
            <w:tcBorders>
              <w:tl2br w:val="nil"/>
              <w:tr2bl w:val="nil"/>
            </w:tcBorders>
            <w:shd w:val="clear" w:color="auto" w:fill="auto"/>
            <w:vAlign w:val="center"/>
          </w:tcPr>
          <w:p w14:paraId="705F4600">
            <w:pPr>
              <w:widowControl/>
              <w:jc w:val="right"/>
              <w:textAlignment w:val="center"/>
              <w:rPr>
                <w:rFonts w:hint="default" w:ascii="宋体" w:hAnsi="宋体" w:eastAsia="宋体" w:cs="宋体"/>
                <w:b/>
                <w:bCs/>
                <w:color w:val="000000"/>
                <w:kern w:val="0"/>
                <w:sz w:val="24"/>
                <w:highlight w:val="none"/>
                <w:lang w:val="en-US" w:eastAsia="zh-CN"/>
              </w:rPr>
            </w:pPr>
            <w:r>
              <w:rPr>
                <w:rFonts w:hint="eastAsia" w:ascii="宋体" w:hAnsi="宋体" w:eastAsia="宋体" w:cs="宋体"/>
                <w:b/>
                <w:bCs/>
                <w:color w:val="000000"/>
                <w:kern w:val="0"/>
                <w:sz w:val="24"/>
                <w:highlight w:val="none"/>
              </w:rPr>
              <w:t>18</w:t>
            </w:r>
            <w:r>
              <w:rPr>
                <w:rFonts w:hint="eastAsia" w:ascii="宋体" w:hAnsi="宋体" w:eastAsia="宋体" w:cs="宋体"/>
                <w:b/>
                <w:bCs/>
                <w:color w:val="000000"/>
                <w:kern w:val="0"/>
                <w:sz w:val="22"/>
                <w:szCs w:val="22"/>
                <w:highlight w:val="none"/>
                <w:lang w:val="en-US" w:eastAsia="zh-CN"/>
              </w:rPr>
              <w:t>,</w:t>
            </w:r>
            <w:r>
              <w:rPr>
                <w:rFonts w:hint="eastAsia" w:ascii="宋体" w:hAnsi="宋体" w:eastAsia="宋体" w:cs="宋体"/>
                <w:b/>
                <w:bCs/>
                <w:color w:val="000000"/>
                <w:kern w:val="0"/>
                <w:sz w:val="24"/>
                <w:highlight w:val="none"/>
              </w:rPr>
              <w:t>820</w:t>
            </w:r>
            <w:r>
              <w:rPr>
                <w:rFonts w:hint="eastAsia" w:ascii="宋体" w:hAnsi="宋体" w:eastAsia="宋体" w:cs="宋体"/>
                <w:b/>
                <w:bCs/>
                <w:color w:val="000000"/>
                <w:kern w:val="0"/>
                <w:sz w:val="22"/>
                <w:szCs w:val="22"/>
                <w:highlight w:val="none"/>
                <w:lang w:val="en-US" w:eastAsia="zh-CN"/>
              </w:rPr>
              <w:t>,</w:t>
            </w:r>
            <w:r>
              <w:rPr>
                <w:rFonts w:hint="eastAsia" w:ascii="宋体" w:hAnsi="宋体" w:eastAsia="宋体" w:cs="宋体"/>
                <w:b/>
                <w:bCs/>
                <w:color w:val="000000"/>
                <w:kern w:val="0"/>
                <w:sz w:val="24"/>
                <w:highlight w:val="none"/>
              </w:rPr>
              <w:t>592.13</w:t>
            </w:r>
          </w:p>
        </w:tc>
      </w:tr>
    </w:tbl>
    <w:p w14:paraId="3F50D1D1">
      <w:pPr>
        <w:pStyle w:val="15"/>
        <w:spacing w:beforeAutospacing="0" w:afterAutospacing="0" w:line="600" w:lineRule="exact"/>
        <w:ind w:firstLine="616" w:firstLineChars="200"/>
        <w:jc w:val="both"/>
        <w:rPr>
          <w:rFonts w:hint="default" w:ascii="宋体" w:hAnsi="宋体" w:eastAsia="宋体" w:cs="宋体"/>
          <w:spacing w:val="-6"/>
          <w:sz w:val="32"/>
          <w:szCs w:val="32"/>
          <w:highlight w:val="none"/>
          <w:shd w:val="clear" w:color="auto" w:fill="FFFFFF"/>
          <w:lang w:val="en-US" w:eastAsia="zh-CN"/>
        </w:rPr>
      </w:pPr>
      <w:r>
        <w:rPr>
          <w:rFonts w:hint="eastAsia" w:ascii="宋体" w:hAnsi="宋体" w:eastAsia="宋体" w:cs="宋体"/>
          <w:spacing w:val="-6"/>
          <w:sz w:val="32"/>
          <w:szCs w:val="32"/>
          <w:highlight w:val="none"/>
          <w:shd w:val="clear" w:color="auto" w:fill="FFFFFF"/>
          <w:lang w:eastAsia="zh-CN"/>
        </w:rPr>
        <w:t>注：具体支出明细详见附件</w:t>
      </w:r>
      <w:r>
        <w:rPr>
          <w:rFonts w:hint="eastAsia" w:ascii="宋体" w:hAnsi="宋体" w:eastAsia="宋体" w:cs="宋体"/>
          <w:spacing w:val="-6"/>
          <w:sz w:val="32"/>
          <w:szCs w:val="32"/>
          <w:highlight w:val="none"/>
          <w:shd w:val="clear" w:color="auto" w:fill="FFFFFF"/>
          <w:lang w:val="en-US" w:eastAsia="zh-CN"/>
        </w:rPr>
        <w:t>3</w:t>
      </w:r>
    </w:p>
    <w:p w14:paraId="3BA96397">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二、绩效评价工作开展情况</w:t>
      </w:r>
    </w:p>
    <w:p w14:paraId="63DE06FE">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00"/>
        <w:jc w:val="both"/>
        <w:textAlignment w:val="auto"/>
        <w:rPr>
          <w:rFonts w:hint="eastAsia" w:ascii="宋体" w:hAnsi="宋体" w:eastAsia="宋体" w:cs="宋体"/>
          <w:spacing w:val="-6"/>
          <w:sz w:val="32"/>
          <w:szCs w:val="32"/>
          <w:highlight w:val="none"/>
          <w:shd w:val="clear" w:color="auto" w:fill="FFFFFF"/>
          <w:lang w:val="en-US" w:eastAsia="zh-CN"/>
        </w:rPr>
      </w:pPr>
      <w:r>
        <w:rPr>
          <w:rFonts w:hint="eastAsia" w:ascii="宋体" w:hAnsi="宋体" w:eastAsia="宋体" w:cs="宋体"/>
          <w:spacing w:val="-6"/>
          <w:sz w:val="32"/>
          <w:szCs w:val="32"/>
          <w:highlight w:val="none"/>
          <w:shd w:val="clear" w:color="auto" w:fill="FFFFFF"/>
        </w:rPr>
        <w:t>为全面掌握</w:t>
      </w:r>
      <w:r>
        <w:rPr>
          <w:rFonts w:hint="eastAsia" w:ascii="宋体" w:hAnsi="宋体" w:eastAsia="宋体" w:cs="宋体"/>
          <w:spacing w:val="-6"/>
          <w:sz w:val="32"/>
          <w:szCs w:val="32"/>
          <w:highlight w:val="none"/>
          <w:shd w:val="clear" w:color="auto" w:fill="FFFFFF"/>
          <w:lang w:eastAsia="zh-CN"/>
        </w:rPr>
        <w:t>2024年生均公用</w:t>
      </w:r>
      <w:r>
        <w:rPr>
          <w:rFonts w:hint="eastAsia" w:ascii="宋体" w:hAnsi="宋体" w:eastAsia="宋体" w:cs="宋体"/>
          <w:spacing w:val="-6"/>
          <w:sz w:val="32"/>
          <w:szCs w:val="32"/>
          <w:highlight w:val="none"/>
          <w:shd w:val="clear" w:color="auto" w:fill="FFFFFF"/>
        </w:rPr>
        <w:t>经费使用情况及取得效果，进一步规范和加强推进</w:t>
      </w:r>
      <w:r>
        <w:rPr>
          <w:rFonts w:hint="eastAsia" w:ascii="宋体" w:hAnsi="宋体" w:eastAsia="宋体" w:cs="宋体"/>
          <w:spacing w:val="-6"/>
          <w:sz w:val="32"/>
          <w:szCs w:val="32"/>
          <w:highlight w:val="none"/>
          <w:shd w:val="clear" w:color="auto" w:fill="FFFFFF"/>
          <w:lang w:eastAsia="zh-CN"/>
        </w:rPr>
        <w:t>生均公用</w:t>
      </w:r>
      <w:r>
        <w:rPr>
          <w:rFonts w:hint="eastAsia" w:ascii="宋体" w:hAnsi="宋体" w:eastAsia="宋体" w:cs="宋体"/>
          <w:spacing w:val="-6"/>
          <w:sz w:val="32"/>
          <w:szCs w:val="32"/>
          <w:highlight w:val="none"/>
          <w:shd w:val="clear" w:color="auto" w:fill="FFFFFF"/>
        </w:rPr>
        <w:t>经费管理，切实提高财政资金使用效益。根据《益阳市财政局关于开展202</w:t>
      </w:r>
      <w:r>
        <w:rPr>
          <w:rFonts w:hint="eastAsia" w:ascii="宋体" w:hAnsi="宋体" w:eastAsia="宋体" w:cs="宋体"/>
          <w:spacing w:val="-6"/>
          <w:sz w:val="32"/>
          <w:szCs w:val="32"/>
          <w:highlight w:val="none"/>
          <w:shd w:val="clear" w:color="auto" w:fill="FFFFFF"/>
          <w:lang w:val="en-US" w:eastAsia="zh-CN"/>
        </w:rPr>
        <w:t>5</w:t>
      </w:r>
      <w:r>
        <w:rPr>
          <w:rFonts w:hint="eastAsia" w:ascii="宋体" w:hAnsi="宋体" w:eastAsia="宋体" w:cs="宋体"/>
          <w:spacing w:val="-6"/>
          <w:sz w:val="32"/>
          <w:szCs w:val="32"/>
          <w:highlight w:val="none"/>
          <w:shd w:val="clear" w:color="auto" w:fill="FFFFFF"/>
        </w:rPr>
        <w:t>年财政绩效评价工作的通知》（益财绩〔202</w:t>
      </w:r>
      <w:r>
        <w:rPr>
          <w:rFonts w:hint="eastAsia" w:ascii="宋体" w:hAnsi="宋体" w:eastAsia="宋体" w:cs="宋体"/>
          <w:spacing w:val="-6"/>
          <w:sz w:val="32"/>
          <w:szCs w:val="32"/>
          <w:highlight w:val="none"/>
          <w:shd w:val="clear" w:color="auto" w:fill="FFFFFF"/>
          <w:lang w:val="en-US" w:eastAsia="zh-CN"/>
        </w:rPr>
        <w:t>5</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163</w:t>
      </w:r>
      <w:r>
        <w:rPr>
          <w:rFonts w:hint="eastAsia" w:ascii="宋体" w:hAnsi="宋体" w:eastAsia="宋体" w:cs="宋体"/>
          <w:spacing w:val="-6"/>
          <w:sz w:val="32"/>
          <w:szCs w:val="32"/>
          <w:highlight w:val="none"/>
          <w:shd w:val="clear" w:color="auto" w:fill="FFFFFF"/>
        </w:rPr>
        <w:t>号）等文件要求，202</w:t>
      </w:r>
      <w:r>
        <w:rPr>
          <w:rFonts w:hint="eastAsia" w:ascii="宋体" w:hAnsi="宋体" w:eastAsia="宋体" w:cs="宋体"/>
          <w:spacing w:val="-6"/>
          <w:sz w:val="32"/>
          <w:szCs w:val="32"/>
          <w:highlight w:val="none"/>
          <w:shd w:val="clear" w:color="auto" w:fill="FFFFFF"/>
          <w:lang w:val="en-US" w:eastAsia="zh-CN"/>
        </w:rPr>
        <w:t>5</w:t>
      </w:r>
      <w:r>
        <w:rPr>
          <w:rFonts w:hint="eastAsia" w:ascii="宋体" w:hAnsi="宋体" w:eastAsia="宋体" w:cs="宋体"/>
          <w:spacing w:val="-6"/>
          <w:sz w:val="32"/>
          <w:szCs w:val="32"/>
          <w:highlight w:val="none"/>
          <w:shd w:val="clear" w:color="auto" w:fill="FFFFFF"/>
        </w:rPr>
        <w:t>年</w:t>
      </w:r>
      <w:r>
        <w:rPr>
          <w:rFonts w:hint="eastAsia" w:ascii="宋体" w:hAnsi="宋体" w:eastAsia="宋体" w:cs="宋体"/>
          <w:spacing w:val="-6"/>
          <w:sz w:val="32"/>
          <w:szCs w:val="32"/>
          <w:highlight w:val="none"/>
          <w:shd w:val="clear" w:color="auto" w:fill="FFFFFF"/>
          <w:lang w:val="en-US" w:eastAsia="zh-CN"/>
        </w:rPr>
        <w:t>6</w:t>
      </w:r>
      <w:r>
        <w:rPr>
          <w:rFonts w:hint="eastAsia" w:ascii="宋体" w:hAnsi="宋体" w:eastAsia="宋体" w:cs="宋体"/>
          <w:spacing w:val="-6"/>
          <w:sz w:val="32"/>
          <w:szCs w:val="32"/>
          <w:highlight w:val="none"/>
          <w:shd w:val="clear" w:color="auto" w:fill="FFFFFF"/>
        </w:rPr>
        <w:t>月</w:t>
      </w:r>
      <w:r>
        <w:rPr>
          <w:rFonts w:hint="eastAsia" w:ascii="宋体" w:hAnsi="宋体" w:eastAsia="宋体" w:cs="宋体"/>
          <w:spacing w:val="-6"/>
          <w:sz w:val="32"/>
          <w:szCs w:val="32"/>
          <w:highlight w:val="none"/>
          <w:shd w:val="clear" w:color="auto" w:fill="FFFFFF"/>
          <w:lang w:val="en-US" w:eastAsia="zh-CN"/>
        </w:rPr>
        <w:t>25</w:t>
      </w:r>
      <w:r>
        <w:rPr>
          <w:rFonts w:hint="eastAsia" w:ascii="宋体" w:hAnsi="宋体" w:eastAsia="宋体" w:cs="宋体"/>
          <w:spacing w:val="-6"/>
          <w:sz w:val="32"/>
          <w:szCs w:val="32"/>
          <w:highlight w:val="none"/>
          <w:shd w:val="clear" w:color="auto" w:fill="FFFFFF"/>
          <w:lang w:eastAsia="zh-CN"/>
        </w:rPr>
        <w:t>日</w:t>
      </w:r>
      <w:r>
        <w:rPr>
          <w:rFonts w:hint="eastAsia" w:ascii="宋体" w:hAnsi="宋体" w:eastAsia="宋体" w:cs="宋体"/>
          <w:spacing w:val="-6"/>
          <w:sz w:val="32"/>
          <w:szCs w:val="32"/>
          <w:highlight w:val="none"/>
          <w:shd w:val="clear" w:color="auto" w:fill="FFFFFF"/>
        </w:rPr>
        <w:t>，我所成立绩效评价小组按如下步骤开展了评价工作</w:t>
      </w:r>
      <w:r>
        <w:rPr>
          <w:rFonts w:hint="eastAsia" w:ascii="宋体" w:hAnsi="宋体" w:eastAsia="宋体" w:cs="宋体"/>
          <w:spacing w:val="-6"/>
          <w:sz w:val="32"/>
          <w:szCs w:val="32"/>
          <w:highlight w:val="none"/>
          <w:shd w:val="clear" w:color="auto" w:fill="FFFFFF"/>
          <w:lang w:eastAsia="zh-CN"/>
        </w:rPr>
        <w:t>。</w:t>
      </w:r>
      <w:r>
        <w:rPr>
          <w:rFonts w:hint="eastAsia" w:ascii="宋体" w:hAnsi="宋体" w:eastAsia="宋体" w:cs="宋体"/>
          <w:b/>
          <w:bCs/>
          <w:spacing w:val="-6"/>
          <w:sz w:val="32"/>
          <w:szCs w:val="32"/>
          <w:highlight w:val="none"/>
          <w:shd w:val="clear" w:color="auto" w:fill="FFFFFF"/>
          <w:lang w:eastAsia="zh-CN"/>
        </w:rPr>
        <w:t>一</w:t>
      </w:r>
      <w:r>
        <w:rPr>
          <w:rFonts w:hint="eastAsia" w:ascii="宋体" w:hAnsi="宋体" w:eastAsia="宋体" w:cs="宋体"/>
          <w:b w:val="0"/>
          <w:bCs w:val="0"/>
          <w:spacing w:val="-6"/>
          <w:sz w:val="32"/>
          <w:szCs w:val="32"/>
          <w:highlight w:val="none"/>
          <w:shd w:val="clear" w:color="auto" w:fill="FFFFFF"/>
          <w:lang w:eastAsia="zh-CN"/>
        </w:rPr>
        <w:t>是</w:t>
      </w:r>
      <w:r>
        <w:rPr>
          <w:rFonts w:hint="eastAsia" w:ascii="宋体" w:hAnsi="宋体" w:eastAsia="宋体" w:cs="宋体"/>
          <w:spacing w:val="-6"/>
          <w:sz w:val="32"/>
          <w:szCs w:val="32"/>
          <w:highlight w:val="none"/>
          <w:shd w:val="clear" w:color="auto" w:fill="FFFFFF"/>
          <w:lang w:eastAsia="zh-CN"/>
        </w:rPr>
        <w:t>通过现场评价,查阅各</w:t>
      </w:r>
      <w:r>
        <w:rPr>
          <w:rFonts w:hint="eastAsia" w:ascii="宋体" w:hAnsi="宋体" w:eastAsia="宋体" w:cs="宋体"/>
          <w:spacing w:val="-6"/>
          <w:sz w:val="32"/>
          <w:szCs w:val="32"/>
          <w:highlight w:val="none"/>
          <w:shd w:val="clear" w:color="auto" w:fill="FFFFFF"/>
          <w:lang w:val="en-US" w:eastAsia="zh-CN"/>
        </w:rPr>
        <w:t>区县（市）2024年公办普通高中生均公用经费</w:t>
      </w:r>
      <w:r>
        <w:rPr>
          <w:rFonts w:hint="eastAsia" w:ascii="宋体" w:hAnsi="宋体" w:eastAsia="宋体" w:cs="宋体"/>
          <w:spacing w:val="-6"/>
          <w:sz w:val="32"/>
          <w:szCs w:val="32"/>
          <w:highlight w:val="none"/>
          <w:shd w:val="clear" w:color="auto" w:fill="FFFFFF"/>
          <w:lang w:eastAsia="zh-CN"/>
        </w:rPr>
        <w:t>收支的相关文件、了解各校生均公用经费的拨款标准和实际到位情况；</w:t>
      </w:r>
      <w:r>
        <w:rPr>
          <w:rFonts w:hint="eastAsia" w:ascii="宋体" w:hAnsi="宋体" w:eastAsia="宋体" w:cs="宋体"/>
          <w:spacing w:val="-6"/>
          <w:sz w:val="32"/>
          <w:szCs w:val="32"/>
          <w:highlight w:val="none"/>
          <w:shd w:val="clear" w:color="auto" w:fill="FFFFFF"/>
          <w:lang w:val="en-US" w:eastAsia="zh-CN"/>
        </w:rPr>
        <w:t>了解</w:t>
      </w:r>
      <w:r>
        <w:rPr>
          <w:rFonts w:hint="eastAsia" w:ascii="宋体" w:hAnsi="宋体" w:eastAsia="宋体" w:cs="宋体"/>
          <w:spacing w:val="-6"/>
          <w:sz w:val="32"/>
          <w:szCs w:val="32"/>
          <w:highlight w:val="none"/>
          <w:shd w:val="clear" w:color="auto" w:fill="FFFFFF"/>
          <w:lang w:eastAsia="zh-CN"/>
        </w:rPr>
        <w:t>拨付时间,查实其拨入与拨付的及时性,检查其资金管理内部控制建立及执行的有效性</w:t>
      </w:r>
      <w:r>
        <w:rPr>
          <w:rFonts w:hint="eastAsia" w:ascii="宋体" w:hAnsi="宋体" w:eastAsia="宋体" w:cs="宋体"/>
          <w:b w:val="0"/>
          <w:bCs w:val="0"/>
          <w:spacing w:val="-6"/>
          <w:sz w:val="32"/>
          <w:szCs w:val="32"/>
          <w:highlight w:val="none"/>
          <w:shd w:val="clear" w:color="auto" w:fill="FFFFFF"/>
          <w:lang w:eastAsia="zh-CN"/>
        </w:rPr>
        <w:t>。</w:t>
      </w:r>
      <w:r>
        <w:rPr>
          <w:rFonts w:hint="eastAsia" w:ascii="宋体" w:hAnsi="宋体" w:eastAsia="宋体" w:cs="宋体"/>
          <w:b w:val="0"/>
          <w:bCs w:val="0"/>
          <w:spacing w:val="-6"/>
          <w:sz w:val="32"/>
          <w:szCs w:val="32"/>
          <w:highlight w:val="none"/>
          <w:shd w:val="clear" w:color="auto" w:fill="FFFFFF"/>
        </w:rPr>
        <w:t>二是</w:t>
      </w:r>
      <w:r>
        <w:rPr>
          <w:rFonts w:hint="eastAsia" w:ascii="宋体" w:hAnsi="宋体" w:eastAsia="宋体" w:cs="宋体"/>
          <w:spacing w:val="-6"/>
          <w:sz w:val="32"/>
          <w:szCs w:val="32"/>
          <w:highlight w:val="none"/>
          <w:shd w:val="clear" w:color="auto" w:fill="FFFFFF"/>
        </w:rPr>
        <w:t>通过现</w:t>
      </w:r>
      <w:r>
        <w:rPr>
          <w:rFonts w:hint="eastAsia" w:ascii="宋体" w:hAnsi="宋体" w:eastAsia="宋体" w:cs="宋体"/>
          <w:spacing w:val="-6"/>
          <w:sz w:val="32"/>
          <w:szCs w:val="32"/>
          <w:highlight w:val="none"/>
          <w:shd w:val="clear" w:color="auto" w:fill="FFFFFF"/>
          <w:lang w:val="en-US" w:eastAsia="zh-CN"/>
        </w:rPr>
        <w:t>场</w:t>
      </w:r>
      <w:r>
        <w:rPr>
          <w:rFonts w:hint="eastAsia" w:ascii="宋体" w:hAnsi="宋体" w:eastAsia="宋体" w:cs="宋体"/>
          <w:spacing w:val="-6"/>
          <w:sz w:val="32"/>
          <w:szCs w:val="32"/>
          <w:highlight w:val="none"/>
          <w:shd w:val="clear" w:color="auto" w:fill="FFFFFF"/>
        </w:rPr>
        <w:t>评价,检查</w:t>
      </w:r>
      <w:r>
        <w:rPr>
          <w:rFonts w:hint="eastAsia" w:ascii="宋体" w:hAnsi="宋体" w:eastAsia="宋体" w:cs="宋体"/>
          <w:spacing w:val="-6"/>
          <w:sz w:val="32"/>
          <w:szCs w:val="32"/>
          <w:highlight w:val="none"/>
          <w:shd w:val="clear" w:color="auto" w:fill="FFFFFF"/>
          <w:lang w:eastAsia="zh-CN"/>
        </w:rPr>
        <w:t>工作经费</w:t>
      </w:r>
      <w:r>
        <w:rPr>
          <w:rFonts w:hint="eastAsia" w:ascii="宋体" w:hAnsi="宋体" w:eastAsia="宋体" w:cs="宋体"/>
          <w:spacing w:val="-6"/>
          <w:sz w:val="32"/>
          <w:szCs w:val="32"/>
          <w:highlight w:val="none"/>
          <w:shd w:val="clear" w:color="auto" w:fill="FFFFFF"/>
        </w:rPr>
        <w:t>核算方式,并核对记账凭证、原始凭证等；检查</w:t>
      </w:r>
      <w:r>
        <w:rPr>
          <w:rFonts w:hint="eastAsia" w:ascii="宋体" w:hAnsi="宋体" w:eastAsia="宋体" w:cs="宋体"/>
          <w:spacing w:val="-6"/>
          <w:sz w:val="32"/>
          <w:szCs w:val="32"/>
          <w:highlight w:val="none"/>
          <w:shd w:val="clear" w:color="auto" w:fill="FFFFFF"/>
          <w:lang w:eastAsia="zh-CN"/>
        </w:rPr>
        <w:t>工作经费</w:t>
      </w:r>
      <w:r>
        <w:rPr>
          <w:rFonts w:hint="eastAsia" w:ascii="宋体" w:hAnsi="宋体" w:eastAsia="宋体" w:cs="宋体"/>
          <w:spacing w:val="-6"/>
          <w:sz w:val="32"/>
          <w:szCs w:val="32"/>
          <w:highlight w:val="none"/>
          <w:shd w:val="clear" w:color="auto" w:fill="FFFFFF"/>
        </w:rPr>
        <w:t>收支是否真实可靠，账、证、表是否一致；</w:t>
      </w:r>
      <w:r>
        <w:rPr>
          <w:rFonts w:hint="eastAsia" w:ascii="宋体" w:hAnsi="宋体" w:eastAsia="宋体" w:cs="宋体"/>
          <w:spacing w:val="-6"/>
          <w:sz w:val="32"/>
          <w:szCs w:val="32"/>
          <w:highlight w:val="none"/>
          <w:shd w:val="clear" w:color="auto" w:fill="FFFFFF"/>
          <w:lang w:val="en-US" w:eastAsia="zh-CN"/>
        </w:rPr>
        <w:t>将生均经费的投入与预设的、可衡量的教育发展目标进行对比，追踪经费投入后这些目标的实际达成情况，分析目标达成度与经费投入的关系，评估经费使用的有效性</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b w:val="0"/>
          <w:bCs w:val="0"/>
          <w:spacing w:val="-6"/>
          <w:sz w:val="32"/>
          <w:szCs w:val="32"/>
          <w:highlight w:val="none"/>
          <w:shd w:val="clear" w:color="auto" w:fill="FFFFFF"/>
        </w:rPr>
        <w:t>三是</w:t>
      </w:r>
      <w:r>
        <w:rPr>
          <w:rFonts w:hint="eastAsia" w:ascii="宋体" w:hAnsi="宋体" w:eastAsia="宋体" w:cs="宋体"/>
          <w:spacing w:val="-6"/>
          <w:sz w:val="32"/>
          <w:szCs w:val="32"/>
          <w:highlight w:val="none"/>
          <w:shd w:val="clear" w:color="auto" w:fill="FFFFFF"/>
        </w:rPr>
        <w:t>通过抽查、核对、现场查勘等程序，检查各</w:t>
      </w:r>
      <w:r>
        <w:rPr>
          <w:rFonts w:hint="eastAsia" w:ascii="宋体" w:hAnsi="宋体" w:eastAsia="宋体" w:cs="宋体"/>
          <w:spacing w:val="-6"/>
          <w:sz w:val="32"/>
          <w:szCs w:val="32"/>
          <w:highlight w:val="none"/>
          <w:shd w:val="clear" w:color="auto" w:fill="FFFFFF"/>
          <w:lang w:val="en-US" w:eastAsia="zh-CN"/>
        </w:rPr>
        <w:t>区县（市）专项资金和工作经费发放落实</w:t>
      </w:r>
      <w:r>
        <w:rPr>
          <w:rFonts w:hint="eastAsia" w:ascii="宋体" w:hAnsi="宋体" w:eastAsia="宋体" w:cs="宋体"/>
          <w:spacing w:val="-6"/>
          <w:sz w:val="32"/>
          <w:szCs w:val="32"/>
          <w:highlight w:val="none"/>
          <w:shd w:val="clear" w:color="auto" w:fill="FFFFFF"/>
        </w:rPr>
        <w:t>的情况，检查其</w:t>
      </w:r>
      <w:r>
        <w:rPr>
          <w:rFonts w:hint="eastAsia" w:ascii="宋体" w:hAnsi="宋体" w:eastAsia="宋体" w:cs="宋体"/>
          <w:spacing w:val="-6"/>
          <w:sz w:val="32"/>
          <w:szCs w:val="32"/>
          <w:highlight w:val="none"/>
          <w:shd w:val="clear" w:color="auto" w:fill="FFFFFF"/>
          <w:lang w:eastAsia="zh-CN"/>
        </w:rPr>
        <w:t>经费支出结构合理性（人员经费、公用经费、项目经费比例、教学支出占比）、</w:t>
      </w:r>
      <w:r>
        <w:rPr>
          <w:rFonts w:hint="eastAsia" w:ascii="宋体" w:hAnsi="宋体" w:eastAsia="宋体" w:cs="宋体"/>
          <w:spacing w:val="-6"/>
          <w:sz w:val="32"/>
          <w:szCs w:val="32"/>
          <w:highlight w:val="none"/>
          <w:shd w:val="clear" w:color="auto" w:fill="FFFFFF"/>
          <w:lang w:val="en-US" w:eastAsia="zh-CN"/>
        </w:rPr>
        <w:t xml:space="preserve">使用的合规、合法性。四是数据采集与核实：通过财务报表、统计报表、学业测试数据库、调查问卷、实地核查等多种渠道收集数据，并进行清洗、验证。并整理相关资料进行综合分析，按照确定的评价指标和标准，结合现场评价情况，得出评价结论，形成绩效评价报告。 </w:t>
      </w:r>
    </w:p>
    <w:p w14:paraId="2B312412">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三、项目主要绩效情况</w:t>
      </w:r>
    </w:p>
    <w:p w14:paraId="3025C748">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根据项目资金绩效评价指标体系和绩效检查情况，经我所绩效评价工作小组综合评估，该项目整体绩效分值100分，从项目决策、项目管理、项目过程、项目效益等方面总体评价，实得</w:t>
      </w:r>
      <w:r>
        <w:rPr>
          <w:rFonts w:hint="eastAsia" w:ascii="宋体" w:hAnsi="宋体" w:eastAsia="宋体" w:cs="宋体"/>
          <w:spacing w:val="-6"/>
          <w:sz w:val="32"/>
          <w:szCs w:val="32"/>
          <w:highlight w:val="none"/>
          <w:shd w:val="clear" w:color="auto" w:fill="FFFFFF"/>
          <w:lang w:val="en-US" w:eastAsia="zh-CN"/>
        </w:rPr>
        <w:t>66</w:t>
      </w:r>
      <w:r>
        <w:rPr>
          <w:rFonts w:hint="eastAsia" w:ascii="宋体" w:hAnsi="宋体" w:eastAsia="宋体" w:cs="宋体"/>
          <w:spacing w:val="-6"/>
          <w:sz w:val="32"/>
          <w:szCs w:val="32"/>
          <w:highlight w:val="none"/>
          <w:shd w:val="clear" w:color="auto" w:fill="FFFFFF"/>
        </w:rPr>
        <w:t>分（详见附件</w:t>
      </w:r>
      <w:r>
        <w:rPr>
          <w:rFonts w:hint="eastAsia" w:ascii="宋体" w:hAnsi="宋体" w:eastAsia="宋体" w:cs="宋体"/>
          <w:spacing w:val="-6"/>
          <w:sz w:val="32"/>
          <w:szCs w:val="32"/>
          <w:highlight w:val="none"/>
          <w:shd w:val="clear" w:color="auto" w:fill="FFFFFF"/>
          <w:lang w:val="en-US" w:eastAsia="zh-CN"/>
        </w:rPr>
        <w:t>1</w:t>
      </w:r>
      <w:r>
        <w:rPr>
          <w:rFonts w:hint="eastAsia" w:ascii="宋体" w:hAnsi="宋体" w:eastAsia="宋体" w:cs="宋体"/>
          <w:spacing w:val="-6"/>
          <w:sz w:val="32"/>
          <w:szCs w:val="32"/>
          <w:highlight w:val="none"/>
          <w:shd w:val="clear" w:color="auto" w:fill="FFFFFF"/>
        </w:rPr>
        <w:t xml:space="preserve">）。主要绩效有以下几个方面：  </w:t>
      </w:r>
    </w:p>
    <w:p w14:paraId="5A6DE3BE">
      <w:pPr>
        <w:numPr>
          <w:ilvl w:val="0"/>
          <w:numId w:val="0"/>
        </w:numPr>
        <w:spacing w:line="600" w:lineRule="exact"/>
        <w:ind w:firstLine="616" w:firstLineChars="200"/>
        <w:rPr>
          <w:rFonts w:hint="default" w:ascii="宋体" w:hAnsi="宋体" w:eastAsia="宋体" w:cs="宋体"/>
          <w:spacing w:val="-6"/>
          <w:kern w:val="0"/>
          <w:sz w:val="32"/>
          <w:szCs w:val="32"/>
          <w:highlight w:val="none"/>
          <w:shd w:val="clear" w:color="auto" w:fill="FFFFFF"/>
          <w:lang w:val="en-US" w:eastAsia="zh-CN"/>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一</w:t>
      </w:r>
      <w:r>
        <w:rPr>
          <w:rFonts w:hint="eastAsia" w:ascii="宋体" w:hAnsi="宋体" w:eastAsia="宋体" w:cs="宋体"/>
          <w:spacing w:val="-6"/>
          <w:kern w:val="0"/>
          <w:sz w:val="32"/>
          <w:szCs w:val="32"/>
          <w:highlight w:val="none"/>
          <w:shd w:val="clear" w:color="auto" w:fill="FFFFFF"/>
          <w:lang w:eastAsia="zh-CN"/>
        </w:rPr>
        <w:t>） 学生发展</w:t>
      </w:r>
      <w:r>
        <w:rPr>
          <w:rFonts w:hint="eastAsia" w:ascii="宋体" w:hAnsi="宋体" w:eastAsia="宋体" w:cs="宋体"/>
          <w:spacing w:val="-6"/>
          <w:kern w:val="0"/>
          <w:sz w:val="32"/>
          <w:szCs w:val="32"/>
          <w:highlight w:val="none"/>
          <w:shd w:val="clear" w:color="auto" w:fill="FFFFFF"/>
          <w:lang w:val="en-US" w:eastAsia="zh-CN"/>
        </w:rPr>
        <w:t>方面</w:t>
      </w:r>
    </w:p>
    <w:p w14:paraId="5435C2B1">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1</w:t>
      </w: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rPr>
        <w:t>学业成就</w:t>
      </w:r>
    </w:p>
    <w:p w14:paraId="4794A142">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标准化考试成绩提升：如中高考成绩、学科能力测试成绩的进步。</w:t>
      </w:r>
    </w:p>
    <w:p w14:paraId="41A2EC24">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升学率与质量：升入高一级优质学校的比例和数量增加。</w:t>
      </w:r>
    </w:p>
    <w:p w14:paraId="25909496">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学术竞赛获奖：在各类学科竞赛、科技创新大赛中获奖数量和等级的提高。</w:t>
      </w:r>
    </w:p>
    <w:p w14:paraId="11B1A4C5">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毕业率与巩固率：学生按时毕业率提高，辍学率下降。</w:t>
      </w:r>
    </w:p>
    <w:p w14:paraId="06804610">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2</w:t>
      </w: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rPr>
        <w:t>综合素质与能力</w:t>
      </w:r>
    </w:p>
    <w:p w14:paraId="1BEDC0A7">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核心素养发展：批判性思维、创新能力、沟通协作能力、解决问题能力的提升。</w:t>
      </w:r>
    </w:p>
    <w:p w14:paraId="223B3DF7">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艺术与体育素养：学生参与艺术、体育活动的广度和深度增加，体质健康合格率上升。</w:t>
      </w:r>
    </w:p>
    <w:p w14:paraId="75CFFBE7">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心理健康与幸福感：通过配备心理咨询师、开展相关活动，学生心理健康水平提高，校园归属感和幸福感增强。</w:t>
      </w:r>
    </w:p>
    <w:p w14:paraId="5F57003D">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3</w:t>
      </w: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rPr>
        <w:t>个性化与公平发展</w:t>
      </w:r>
    </w:p>
    <w:p w14:paraId="655E7DF4">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对弱势群体的支持：为家庭经济困难学生、残疾学生、学习困难学生提供额外资源和辅导，缩小成绩差距，促进教育公平。</w:t>
      </w:r>
    </w:p>
    <w:p w14:paraId="62AFA54D">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特长发展：支持学生发展兴趣特长，如开设丰富的社团、选修课等。</w:t>
      </w:r>
    </w:p>
    <w:p w14:paraId="11050F6B">
      <w:pPr>
        <w:numPr>
          <w:ilvl w:val="0"/>
          <w:numId w:val="0"/>
        </w:num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（二）教师发展</w:t>
      </w:r>
      <w:r>
        <w:rPr>
          <w:rFonts w:hint="eastAsia" w:ascii="宋体" w:hAnsi="宋体" w:eastAsia="宋体" w:cs="宋体"/>
          <w:spacing w:val="-6"/>
          <w:kern w:val="0"/>
          <w:sz w:val="32"/>
          <w:szCs w:val="32"/>
          <w:highlight w:val="none"/>
          <w:shd w:val="clear" w:color="auto" w:fill="FFFFFF"/>
          <w:lang w:val="en-US" w:eastAsia="zh-CN"/>
        </w:rPr>
        <w:t>方面</w:t>
      </w:r>
    </w:p>
    <w:p w14:paraId="1974AC64">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1</w:t>
      </w: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rPr>
        <w:t>师资水平提升</w:t>
      </w:r>
    </w:p>
    <w:p w14:paraId="257B1B1F">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教师培训与专业发展：组织更多、更高质量的校内外培训、教研活动，支持教师学历提升和学术交流。</w:t>
      </w:r>
    </w:p>
    <w:p w14:paraId="16536C89">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教师薪酬与激励：提供更具竞争力的薪酬和绩效奖励，吸引和留住优秀教师，降低教师流失率。</w:t>
      </w:r>
    </w:p>
    <w:p w14:paraId="6B9C7321">
      <w:pPr>
        <w:spacing w:line="600" w:lineRule="exact"/>
        <w:ind w:firstLine="616" w:firstLineChars="200"/>
        <w:rPr>
          <w:rFonts w:hint="eastAsia" w:ascii="宋体" w:hAnsi="宋体" w:eastAsia="宋体" w:cs="宋体"/>
          <w:spacing w:val="-6"/>
          <w:kern w:val="0"/>
          <w:sz w:val="32"/>
          <w:szCs w:val="32"/>
          <w:highlight w:val="none"/>
          <w:shd w:val="clear" w:color="auto" w:fill="FFFFFF"/>
          <w:lang w:eastAsia="zh-CN"/>
        </w:rPr>
      </w:pPr>
      <w:r>
        <w:rPr>
          <w:rFonts w:hint="eastAsia" w:ascii="宋体" w:hAnsi="宋体" w:eastAsia="宋体" w:cs="宋体"/>
          <w:spacing w:val="-6"/>
          <w:kern w:val="0"/>
          <w:sz w:val="32"/>
          <w:szCs w:val="32"/>
          <w:highlight w:val="none"/>
          <w:shd w:val="clear" w:color="auto" w:fill="FFFFFF"/>
        </w:rPr>
        <w:t>师资结构优化：有能力聘请更多专业教师（如心理、艺术、科技类），使师资配置更合理</w:t>
      </w:r>
      <w:r>
        <w:rPr>
          <w:rFonts w:hint="eastAsia" w:ascii="宋体" w:hAnsi="宋体" w:eastAsia="宋体" w:cs="宋体"/>
          <w:spacing w:val="-6"/>
          <w:kern w:val="0"/>
          <w:sz w:val="32"/>
          <w:szCs w:val="32"/>
          <w:highlight w:val="none"/>
          <w:shd w:val="clear" w:color="auto" w:fill="FFFFFF"/>
          <w:lang w:eastAsia="zh-CN"/>
        </w:rPr>
        <w:t>。</w:t>
      </w:r>
    </w:p>
    <w:p w14:paraId="47CD918E">
      <w:pPr>
        <w:spacing w:line="600" w:lineRule="exact"/>
        <w:ind w:firstLine="616" w:firstLineChars="200"/>
        <w:rPr>
          <w:rFonts w:hint="eastAsia" w:ascii="宋体" w:hAnsi="宋体" w:eastAsia="宋体" w:cs="宋体"/>
          <w:spacing w:val="-6"/>
          <w:kern w:val="0"/>
          <w:sz w:val="32"/>
          <w:szCs w:val="32"/>
          <w:highlight w:val="none"/>
          <w:shd w:val="clear" w:color="auto" w:fill="FFFFFF"/>
          <w:lang w:val="en-US" w:eastAsia="zh-CN"/>
        </w:rPr>
      </w:pPr>
      <w:r>
        <w:rPr>
          <w:rFonts w:hint="eastAsia" w:ascii="宋体" w:hAnsi="宋体" w:eastAsia="宋体" w:cs="宋体"/>
          <w:spacing w:val="-6"/>
          <w:kern w:val="0"/>
          <w:sz w:val="32"/>
          <w:szCs w:val="32"/>
          <w:highlight w:val="none"/>
          <w:shd w:val="clear" w:color="auto" w:fill="FFFFFF"/>
        </w:rPr>
        <w:t>（三）办学条件与资源</w:t>
      </w:r>
      <w:r>
        <w:rPr>
          <w:rFonts w:hint="eastAsia" w:ascii="宋体" w:hAnsi="宋体" w:eastAsia="宋体" w:cs="宋体"/>
          <w:spacing w:val="-6"/>
          <w:kern w:val="0"/>
          <w:sz w:val="32"/>
          <w:szCs w:val="32"/>
          <w:highlight w:val="none"/>
          <w:shd w:val="clear" w:color="auto" w:fill="FFFFFF"/>
          <w:lang w:val="en-US" w:eastAsia="zh-CN"/>
        </w:rPr>
        <w:t>方面</w:t>
      </w:r>
    </w:p>
    <w:p w14:paraId="0C933000">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1</w:t>
      </w: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rPr>
        <w:t>硬件设施改善</w:t>
      </w:r>
    </w:p>
    <w:p w14:paraId="53398842">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教学场地与设备：教室、实验室、图书馆、体育场馆的建设和维护更新。</w:t>
      </w:r>
    </w:p>
    <w:p w14:paraId="1D951E3E">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信息化建设：购买计算机、平板、建设智慧教室、升级网络，提升教育信息化水平。</w:t>
      </w:r>
    </w:p>
    <w:p w14:paraId="6FFE6B7F">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生活设施改善：宿舍、食堂、卫生条件的改善。</w:t>
      </w:r>
    </w:p>
    <w:p w14:paraId="02B5F05F">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2</w:t>
      </w: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rPr>
        <w:t>课程与教学资源丰富</w:t>
      </w:r>
    </w:p>
    <w:p w14:paraId="0FBCA137">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课程开发：支持校本课程、特色课程的研发与实施。</w:t>
      </w:r>
    </w:p>
    <w:p w14:paraId="1395CBB5">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教学材料与资源：购买图书、实验器材、教学软件、在线资源库等。</w:t>
      </w:r>
    </w:p>
    <w:p w14:paraId="324C19F7">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实践活动开展：支持学生参与研学旅行、社会实践、科学实验等活动的经费保障。</w:t>
      </w:r>
    </w:p>
    <w:p w14:paraId="1C2056E1">
      <w:pPr>
        <w:spacing w:line="600" w:lineRule="exact"/>
        <w:ind w:firstLine="616" w:firstLineChars="200"/>
        <w:rPr>
          <w:rFonts w:hint="eastAsia" w:ascii="宋体" w:hAnsi="宋体" w:eastAsia="宋体" w:cs="宋体"/>
          <w:spacing w:val="-6"/>
          <w:kern w:val="0"/>
          <w:sz w:val="32"/>
          <w:szCs w:val="32"/>
          <w:highlight w:val="none"/>
          <w:shd w:val="clear" w:color="auto" w:fill="FFFFFF"/>
          <w:lang w:val="en-US" w:eastAsia="zh-CN"/>
        </w:rPr>
      </w:pPr>
      <w:r>
        <w:rPr>
          <w:rFonts w:hint="eastAsia" w:ascii="宋体" w:hAnsi="宋体" w:eastAsia="宋体" w:cs="宋体"/>
          <w:spacing w:val="-6"/>
          <w:kern w:val="0"/>
          <w:sz w:val="32"/>
          <w:szCs w:val="32"/>
          <w:highlight w:val="none"/>
          <w:shd w:val="clear" w:color="auto" w:fill="FFFFFF"/>
        </w:rPr>
        <w:t>（四）学校管理与文化</w:t>
      </w:r>
      <w:r>
        <w:rPr>
          <w:rFonts w:hint="eastAsia" w:ascii="宋体" w:hAnsi="宋体" w:eastAsia="宋体" w:cs="宋体"/>
          <w:spacing w:val="-6"/>
          <w:kern w:val="0"/>
          <w:sz w:val="32"/>
          <w:szCs w:val="32"/>
          <w:highlight w:val="none"/>
          <w:shd w:val="clear" w:color="auto" w:fill="FFFFFF"/>
          <w:lang w:val="en-US" w:eastAsia="zh-CN"/>
        </w:rPr>
        <w:t>方面</w:t>
      </w:r>
    </w:p>
    <w:p w14:paraId="2CC1FF83">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1</w:t>
      </w: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rPr>
        <w:t>管理效能提升</w:t>
      </w:r>
    </w:p>
    <w:p w14:paraId="4DFA28F6">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管理信息化：引入或升级校园管理系统，提高行政管理效率。</w:t>
      </w:r>
    </w:p>
    <w:p w14:paraId="71522A0A">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校园安全：投入安保人员、安防设备（监控、消防等），创建平安校园。</w:t>
      </w:r>
    </w:p>
    <w:p w14:paraId="39C6961B">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2</w:t>
      </w: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rPr>
        <w:t>校园文化建设</w:t>
      </w:r>
    </w:p>
    <w:p w14:paraId="3C71194F">
      <w:pPr>
        <w:spacing w:line="60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文化氛围营造：支持校园文化节、艺术节、科技节等活动的开展。</w:t>
      </w:r>
    </w:p>
    <w:p w14:paraId="0ECBB542">
      <w:pPr>
        <w:spacing w:line="600" w:lineRule="exact"/>
        <w:ind w:left="638" w:leftChars="304" w:firstLine="0" w:firstLineChars="0"/>
        <w:rPr>
          <w:rFonts w:hint="default" w:ascii="宋体" w:hAnsi="宋体" w:eastAsia="宋体" w:cs="宋体"/>
          <w:spacing w:val="-6"/>
          <w:kern w:val="0"/>
          <w:sz w:val="32"/>
          <w:szCs w:val="32"/>
          <w:highlight w:val="none"/>
          <w:shd w:val="clear" w:color="auto" w:fill="FFFFFF"/>
          <w:lang w:val="en-US" w:eastAsia="zh-CN"/>
        </w:rPr>
      </w:pPr>
      <w:r>
        <w:rPr>
          <w:rFonts w:hint="eastAsia" w:ascii="宋体" w:hAnsi="宋体" w:eastAsia="宋体" w:cs="宋体"/>
          <w:spacing w:val="-6"/>
          <w:kern w:val="0"/>
          <w:sz w:val="32"/>
          <w:szCs w:val="32"/>
          <w:highlight w:val="none"/>
          <w:shd w:val="clear" w:color="auto" w:fill="FFFFFF"/>
        </w:rPr>
        <w:t>校园环境美化：绿化、人文景观建设，营造良好的育人环境。（五） 长期与社会效益</w:t>
      </w:r>
      <w:r>
        <w:rPr>
          <w:rFonts w:hint="eastAsia" w:ascii="宋体" w:hAnsi="宋体" w:eastAsia="宋体" w:cs="宋体"/>
          <w:spacing w:val="-6"/>
          <w:kern w:val="0"/>
          <w:sz w:val="32"/>
          <w:szCs w:val="32"/>
          <w:highlight w:val="none"/>
          <w:shd w:val="clear" w:color="auto" w:fill="FFFFFF"/>
          <w:lang w:val="en-US" w:eastAsia="zh-CN"/>
        </w:rPr>
        <w:t>方面</w:t>
      </w:r>
    </w:p>
    <w:p w14:paraId="6818E1DF">
      <w:pPr>
        <w:pStyle w:val="15"/>
        <w:spacing w:beforeAutospacing="0" w:afterAutospacing="0" w:line="600" w:lineRule="exact"/>
        <w:ind w:firstLine="616" w:firstLineChars="200"/>
        <w:jc w:val="both"/>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1</w:t>
      </w: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rPr>
        <w:t>毕业生质量</w:t>
      </w:r>
    </w:p>
    <w:p w14:paraId="36A1A58A">
      <w:pPr>
        <w:pStyle w:val="15"/>
        <w:spacing w:beforeAutospacing="0" w:afterAutospacing="0" w:line="600" w:lineRule="exact"/>
        <w:ind w:firstLine="616" w:firstLineChars="200"/>
        <w:jc w:val="both"/>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高等教育适应性：毕业生在大学的表现和成就。</w:t>
      </w:r>
    </w:p>
    <w:p w14:paraId="61F80A7E">
      <w:pPr>
        <w:pStyle w:val="15"/>
        <w:spacing w:beforeAutospacing="0" w:afterAutospacing="0" w:line="600" w:lineRule="exact"/>
        <w:ind w:firstLine="616" w:firstLineChars="200"/>
        <w:jc w:val="both"/>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就业竞争力与生涯发展：毕业生的长期就业质量、职业发展和社会贡献。</w:t>
      </w:r>
    </w:p>
    <w:p w14:paraId="3042EE5B">
      <w:pPr>
        <w:pStyle w:val="15"/>
        <w:spacing w:beforeAutospacing="0" w:afterAutospacing="0" w:line="600" w:lineRule="exact"/>
        <w:ind w:firstLine="616" w:firstLineChars="200"/>
        <w:jc w:val="both"/>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2</w:t>
      </w: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rPr>
        <w:t>社会声誉与吸引力</w:t>
      </w:r>
    </w:p>
    <w:p w14:paraId="10A89B0A">
      <w:pPr>
        <w:pStyle w:val="15"/>
        <w:spacing w:beforeAutospacing="0" w:afterAutospacing="0" w:line="600" w:lineRule="exact"/>
        <w:ind w:firstLine="616" w:firstLineChars="200"/>
        <w:jc w:val="both"/>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学校品牌价值：学校在家长、社会和学术界的美誉度提升。</w:t>
      </w:r>
    </w:p>
    <w:p w14:paraId="3E96EEF6">
      <w:pPr>
        <w:pStyle w:val="15"/>
        <w:spacing w:beforeAutospacing="0" w:afterAutospacing="0" w:line="600" w:lineRule="exact"/>
        <w:ind w:firstLine="616" w:firstLineChars="200"/>
        <w:jc w:val="both"/>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生源质量改善：吸引更多优秀学生报考，形成良性循环。</w:t>
      </w:r>
    </w:p>
    <w:p w14:paraId="629BC377">
      <w:pPr>
        <w:pStyle w:val="15"/>
        <w:spacing w:beforeAutospacing="0" w:afterAutospacing="0" w:line="600" w:lineRule="exact"/>
        <w:ind w:firstLine="616" w:firstLineChars="200"/>
        <w:jc w:val="both"/>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lang w:val="en-US" w:eastAsia="zh-CN"/>
        </w:rPr>
        <w:t>3</w:t>
      </w:r>
      <w:r>
        <w:rPr>
          <w:rFonts w:hint="eastAsia" w:ascii="宋体" w:hAnsi="宋体" w:eastAsia="宋体" w:cs="宋体"/>
          <w:spacing w:val="-6"/>
          <w:kern w:val="0"/>
          <w:sz w:val="32"/>
          <w:szCs w:val="32"/>
          <w:highlight w:val="none"/>
          <w:shd w:val="clear" w:color="auto" w:fill="FFFFFF"/>
          <w:lang w:eastAsia="zh-CN"/>
        </w:rPr>
        <w:t>）</w:t>
      </w:r>
      <w:r>
        <w:rPr>
          <w:rFonts w:hint="eastAsia" w:ascii="宋体" w:hAnsi="宋体" w:eastAsia="宋体" w:cs="宋体"/>
          <w:spacing w:val="-6"/>
          <w:kern w:val="0"/>
          <w:sz w:val="32"/>
          <w:szCs w:val="32"/>
          <w:highlight w:val="none"/>
          <w:shd w:val="clear" w:color="auto" w:fill="FFFFFF"/>
        </w:rPr>
        <w:t>对社会经济的贡献</w:t>
      </w:r>
    </w:p>
    <w:p w14:paraId="260B2DE4">
      <w:pPr>
        <w:pStyle w:val="15"/>
        <w:spacing w:beforeAutospacing="0" w:afterAutospacing="0" w:line="600" w:lineRule="exact"/>
        <w:ind w:firstLine="616" w:firstLineChars="200"/>
        <w:jc w:val="both"/>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培养出更多高素质劳动者和创新人才，为地方和国家的经济社会发展提供人力资本支持。</w:t>
      </w:r>
    </w:p>
    <w:p w14:paraId="46D4F959">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四、绩效评价发现的主要问题</w:t>
      </w:r>
    </w:p>
    <w:p w14:paraId="0C1A5121">
      <w:pPr>
        <w:spacing w:line="600" w:lineRule="exact"/>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（一）</w:t>
      </w:r>
      <w:r>
        <w:rPr>
          <w:rFonts w:hint="eastAsia" w:ascii="宋体" w:hAnsi="宋体" w:eastAsia="宋体" w:cs="宋体"/>
          <w:sz w:val="32"/>
          <w:szCs w:val="32"/>
          <w:highlight w:val="none"/>
          <w:lang w:eastAsia="zh-CN"/>
        </w:rPr>
        <w:t>业务管理问题</w:t>
      </w:r>
    </w:p>
    <w:p w14:paraId="00EDEF72">
      <w:pPr>
        <w:spacing w:line="600" w:lineRule="exact"/>
        <w:ind w:firstLine="640" w:firstLineChars="200"/>
        <w:rPr>
          <w:rFonts w:hint="eastAsia" w:ascii="宋体" w:hAnsi="宋体" w:eastAsia="宋体" w:cs="宋体"/>
          <w:spacing w:val="-6"/>
          <w:kern w:val="0"/>
          <w:sz w:val="32"/>
          <w:szCs w:val="32"/>
          <w:highlight w:val="none"/>
          <w:shd w:val="clear" w:color="auto" w:fill="FFFFFF"/>
          <w:lang w:eastAsia="zh-CN"/>
        </w:rPr>
      </w:pPr>
      <w:r>
        <w:rPr>
          <w:rFonts w:hint="eastAsia" w:ascii="宋体" w:hAnsi="宋体" w:eastAsia="宋体" w:cs="宋体"/>
          <w:sz w:val="32"/>
          <w:szCs w:val="32"/>
          <w:highlight w:val="none"/>
          <w:lang w:eastAsia="zh-CN"/>
        </w:rPr>
        <w:t>管理制度不完善</w:t>
      </w:r>
      <w:r>
        <w:rPr>
          <w:rFonts w:hint="eastAsia" w:ascii="宋体" w:hAnsi="宋体" w:eastAsia="宋体" w:cs="宋体"/>
          <w:spacing w:val="-6"/>
          <w:kern w:val="0"/>
          <w:sz w:val="32"/>
          <w:szCs w:val="32"/>
          <w:highlight w:val="none"/>
          <w:shd w:val="clear" w:color="auto" w:fill="FFFFFF"/>
          <w:lang w:eastAsia="zh-CN"/>
        </w:rPr>
        <w:t>。益阳市教育局缺少生均公用经费专项资金管理办法，导致该项经费管理无明确规范可依。一方面，资金分配缺乏统一标准，可能出现少数学校或存在经费使用随意性；另一方面，资金监管无制度支撑，无法明确各部门在经费审批、使用监督中的职责，易出现监管漏洞，难以及时发现和整改经费使用中的不规范行为，影响资金使用的合规性与安全性。​</w:t>
      </w:r>
    </w:p>
    <w:p w14:paraId="4205E5F9">
      <w:pPr>
        <w:spacing w:line="580" w:lineRule="exact"/>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（二）</w:t>
      </w:r>
      <w:r>
        <w:rPr>
          <w:rFonts w:hint="eastAsia" w:ascii="宋体" w:hAnsi="宋体" w:eastAsia="宋体" w:cs="宋体"/>
          <w:sz w:val="32"/>
          <w:szCs w:val="32"/>
          <w:highlight w:val="none"/>
          <w:lang w:eastAsia="zh-CN"/>
        </w:rPr>
        <w:t>绩效管理问题</w:t>
      </w:r>
    </w:p>
    <w:p w14:paraId="2870A67C">
      <w:pPr>
        <w:spacing w:line="580" w:lineRule="exact"/>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绩效理念不强。益阳市教育局未建立预算绩效管理制度，使得生均公用经费管理缺乏绩效导向。在预算编制阶段，未将绩效目标作为经费申请的重要依据，仅关注经费需求，忽视资金使用后能否达成提升教学质量、改善办学条件等目标；预算执行中，未开展绩效跟踪，无法及时掌握经费使用进度与预期效果的差距，难以调整优化使用方案；预算执行结束后，未组织绩效评价，无法准确判断经费投入的效益，既不能为后续经费分配提供参考，也可能造成资金浪费，降低生均公用经费对教育教学的支撑作用。</w:t>
      </w:r>
    </w:p>
    <w:p w14:paraId="17F63861">
      <w:pPr>
        <w:spacing w:line="58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（三）经费管理不规范，未设置专账</w:t>
      </w:r>
    </w:p>
    <w:p w14:paraId="269D6F90">
      <w:pPr>
        <w:spacing w:line="58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现场评价发现，各学校未设立生均公用经费专账，容易导致生均公用经费与学校其他收入（如事业性收入、项目资金等）混淆，无法清晰核算其支出与结余；学校应规范核算，全面设立经费专账，确保专</w:t>
      </w:r>
      <w:r>
        <w:rPr>
          <w:rFonts w:hint="eastAsia" w:ascii="宋体" w:hAnsi="宋体" w:eastAsia="宋体" w:cs="宋体"/>
          <w:sz w:val="32"/>
          <w:szCs w:val="32"/>
          <w:highlight w:val="none"/>
          <w:lang w:val="en-US" w:eastAsia="zh-CN"/>
        </w:rPr>
        <w:t>款专用。</w:t>
      </w:r>
    </w:p>
    <w:p w14:paraId="7B414593">
      <w:pPr>
        <w:spacing w:line="58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t>（</w:t>
      </w:r>
      <w:r>
        <w:rPr>
          <w:rFonts w:hint="eastAsia" w:ascii="宋体" w:hAnsi="宋体" w:eastAsia="宋体" w:cs="宋体"/>
          <w:sz w:val="32"/>
          <w:szCs w:val="32"/>
          <w:highlight w:val="none"/>
          <w:lang w:eastAsia="zh-CN"/>
        </w:rPr>
        <w:t>四</w:t>
      </w:r>
      <w:r>
        <w:rPr>
          <w:rFonts w:hint="eastAsia" w:ascii="宋体" w:hAnsi="宋体" w:eastAsia="宋体" w:cs="宋体"/>
          <w:sz w:val="32"/>
          <w:szCs w:val="32"/>
          <w:highlight w:val="none"/>
        </w:rPr>
        <w:t>）</w:t>
      </w:r>
      <w:r>
        <w:rPr>
          <w:rFonts w:hint="eastAsia" w:ascii="宋体" w:hAnsi="宋体" w:eastAsia="宋体" w:cs="宋体"/>
          <w:sz w:val="32"/>
          <w:szCs w:val="32"/>
          <w:highlight w:val="none"/>
          <w:lang w:eastAsia="zh-CN"/>
        </w:rPr>
        <w:t>部分学校生均公用经费使用比例不合理</w:t>
      </w:r>
    </w:p>
    <w:p w14:paraId="1ECD1D52">
      <w:pPr>
        <w:spacing w:line="580" w:lineRule="exact"/>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1</w:t>
      </w:r>
      <w:r>
        <w:rPr>
          <w:rFonts w:hint="eastAsia" w:ascii="宋体" w:hAnsi="宋体" w:eastAsia="宋体" w:cs="宋体"/>
          <w:sz w:val="32"/>
          <w:szCs w:val="32"/>
          <w:highlight w:val="none"/>
          <w:lang w:eastAsia="zh-CN"/>
        </w:rPr>
        <w:t>）水电费占比过多</w:t>
      </w:r>
    </w:p>
    <w:p w14:paraId="5D6CB7CD">
      <w:pPr>
        <w:spacing w:line="580" w:lineRule="exact"/>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现场评价发现，益阳市箴言中学水电费金额为2</w:t>
      </w:r>
      <w:r>
        <w:rPr>
          <w:rFonts w:hint="eastAsia" w:ascii="宋体" w:hAnsi="宋体" w:eastAsia="宋体" w:cs="宋体"/>
          <w:sz w:val="32"/>
          <w:szCs w:val="32"/>
          <w:highlight w:val="none"/>
          <w:lang w:val="en-US" w:eastAsia="zh-CN"/>
        </w:rPr>
        <w:t>,</w:t>
      </w:r>
      <w:r>
        <w:rPr>
          <w:rFonts w:hint="eastAsia" w:ascii="宋体" w:hAnsi="宋体" w:eastAsia="宋体" w:cs="宋体"/>
          <w:sz w:val="32"/>
          <w:szCs w:val="32"/>
          <w:highlight w:val="none"/>
        </w:rPr>
        <w:t>055</w:t>
      </w:r>
      <w:r>
        <w:rPr>
          <w:rFonts w:hint="eastAsia" w:ascii="宋体" w:hAnsi="宋体" w:eastAsia="宋体" w:cs="宋体"/>
          <w:sz w:val="32"/>
          <w:szCs w:val="32"/>
          <w:highlight w:val="none"/>
          <w:lang w:val="en-US" w:eastAsia="zh-CN"/>
        </w:rPr>
        <w:t>,</w:t>
      </w:r>
      <w:r>
        <w:rPr>
          <w:rFonts w:hint="eastAsia" w:ascii="宋体" w:hAnsi="宋体" w:eastAsia="宋体" w:cs="宋体"/>
          <w:sz w:val="32"/>
          <w:szCs w:val="32"/>
          <w:highlight w:val="none"/>
        </w:rPr>
        <w:t>655.72元，占</w:t>
      </w:r>
      <w:r>
        <w:rPr>
          <w:rFonts w:hint="eastAsia" w:ascii="宋体" w:hAnsi="宋体" w:eastAsia="宋体" w:cs="宋体"/>
          <w:sz w:val="32"/>
          <w:szCs w:val="32"/>
          <w:highlight w:val="none"/>
          <w:lang w:eastAsia="zh-CN"/>
        </w:rPr>
        <w:t>该校</w:t>
      </w:r>
      <w:r>
        <w:rPr>
          <w:rFonts w:hint="eastAsia" w:ascii="宋体" w:hAnsi="宋体" w:eastAsia="宋体" w:cs="宋体"/>
          <w:sz w:val="32"/>
          <w:szCs w:val="32"/>
          <w:highlight w:val="none"/>
        </w:rPr>
        <w:t>2024</w:t>
      </w:r>
      <w:r>
        <w:rPr>
          <w:rFonts w:hint="eastAsia" w:ascii="宋体" w:hAnsi="宋体" w:eastAsia="宋体" w:cs="宋体"/>
          <w:sz w:val="32"/>
          <w:szCs w:val="32"/>
          <w:highlight w:val="none"/>
          <w:lang w:eastAsia="zh-CN"/>
        </w:rPr>
        <w:t>年</w:t>
      </w:r>
      <w:r>
        <w:rPr>
          <w:rFonts w:hint="eastAsia" w:ascii="宋体" w:hAnsi="宋体" w:eastAsia="宋体" w:cs="宋体"/>
          <w:sz w:val="32"/>
          <w:szCs w:val="32"/>
          <w:highlight w:val="none"/>
        </w:rPr>
        <w:t>生均公用经费</w:t>
      </w:r>
      <w:r>
        <w:rPr>
          <w:rFonts w:hint="eastAsia" w:ascii="宋体" w:hAnsi="宋体" w:eastAsia="宋体" w:cs="宋体"/>
          <w:sz w:val="32"/>
          <w:szCs w:val="32"/>
          <w:highlight w:val="none"/>
          <w:lang w:eastAsia="zh-CN"/>
        </w:rPr>
        <w:t>支出</w:t>
      </w:r>
      <w:r>
        <w:rPr>
          <w:rFonts w:hint="eastAsia" w:ascii="宋体" w:hAnsi="宋体" w:eastAsia="宋体" w:cs="宋体"/>
          <w:sz w:val="32"/>
          <w:szCs w:val="32"/>
          <w:highlight w:val="none"/>
        </w:rPr>
        <w:t>总数的48.2</w:t>
      </w:r>
      <w:r>
        <w:rPr>
          <w:rFonts w:hint="eastAsia" w:ascii="宋体" w:hAnsi="宋体" w:eastAsia="宋体" w:cs="宋体"/>
          <w:sz w:val="32"/>
          <w:szCs w:val="32"/>
          <w:highlight w:val="none"/>
          <w:lang w:val="en-US" w:eastAsia="zh-CN"/>
        </w:rPr>
        <w:t>7</w:t>
      </w:r>
      <w:r>
        <w:rPr>
          <w:rFonts w:hint="eastAsia" w:ascii="宋体" w:hAnsi="宋体" w:eastAsia="宋体" w:cs="宋体"/>
          <w:sz w:val="32"/>
          <w:szCs w:val="32"/>
          <w:highlight w:val="none"/>
        </w:rPr>
        <w:t>%</w:t>
      </w:r>
      <w:r>
        <w:rPr>
          <w:rFonts w:hint="eastAsia" w:ascii="宋体" w:hAnsi="宋体" w:eastAsia="宋体" w:cs="宋体"/>
          <w:sz w:val="32"/>
          <w:szCs w:val="32"/>
          <w:highlight w:val="none"/>
          <w:lang w:eastAsia="zh-CN"/>
        </w:rPr>
        <w:t>；益阳市第六中学水电费金额为1</w:t>
      </w:r>
      <w:r>
        <w:rPr>
          <w:rFonts w:hint="eastAsia" w:ascii="宋体" w:hAnsi="宋体" w:eastAsia="宋体" w:cs="宋体"/>
          <w:sz w:val="32"/>
          <w:szCs w:val="32"/>
          <w:highlight w:val="none"/>
          <w:lang w:val="en-US" w:eastAsia="zh-CN"/>
        </w:rPr>
        <w:t>,</w:t>
      </w:r>
      <w:r>
        <w:rPr>
          <w:rFonts w:hint="eastAsia" w:ascii="宋体" w:hAnsi="宋体" w:eastAsia="宋体" w:cs="宋体"/>
          <w:sz w:val="32"/>
          <w:szCs w:val="32"/>
          <w:highlight w:val="none"/>
          <w:lang w:eastAsia="zh-CN"/>
        </w:rPr>
        <w:t>070</w:t>
      </w:r>
      <w:r>
        <w:rPr>
          <w:rFonts w:hint="eastAsia" w:ascii="宋体" w:hAnsi="宋体" w:eastAsia="宋体" w:cs="宋体"/>
          <w:sz w:val="32"/>
          <w:szCs w:val="32"/>
          <w:highlight w:val="none"/>
          <w:lang w:val="en-US" w:eastAsia="zh-CN"/>
        </w:rPr>
        <w:t>,</w:t>
      </w:r>
      <w:r>
        <w:rPr>
          <w:rFonts w:hint="eastAsia" w:ascii="宋体" w:hAnsi="宋体" w:eastAsia="宋体" w:cs="宋体"/>
          <w:sz w:val="32"/>
          <w:szCs w:val="32"/>
          <w:highlight w:val="none"/>
          <w:lang w:eastAsia="zh-CN"/>
        </w:rPr>
        <w:t>707.15元，占该校2024年生均公用经费总数的45%；益阳市第十三中学水电费金额为729</w:t>
      </w:r>
      <w:r>
        <w:rPr>
          <w:rFonts w:hint="eastAsia" w:ascii="宋体" w:hAnsi="宋体" w:eastAsia="宋体" w:cs="宋体"/>
          <w:sz w:val="32"/>
          <w:szCs w:val="32"/>
          <w:highlight w:val="none"/>
          <w:lang w:val="en-US" w:eastAsia="zh-CN"/>
        </w:rPr>
        <w:t>,</w:t>
      </w:r>
      <w:r>
        <w:rPr>
          <w:rFonts w:hint="eastAsia" w:ascii="宋体" w:hAnsi="宋体" w:eastAsia="宋体" w:cs="宋体"/>
          <w:sz w:val="32"/>
          <w:szCs w:val="32"/>
          <w:highlight w:val="none"/>
          <w:lang w:eastAsia="zh-CN"/>
        </w:rPr>
        <w:t>808.96元，占该校2024年生均公用经费总数的45%；</w:t>
      </w:r>
      <w:r>
        <w:rPr>
          <w:rFonts w:hint="eastAsia" w:ascii="宋体" w:hAnsi="宋体" w:eastAsia="宋体" w:cs="宋体"/>
          <w:sz w:val="32"/>
          <w:szCs w:val="32"/>
          <w:highlight w:val="none"/>
        </w:rPr>
        <w:t>上述学校水电费占生均公用经费比例显著偏高，一方面可能反映出学校存在水电资源浪费的情况，资源利用效率有待提升；另一方面，过高的水电费支出挤压了生均公用经费在教育教学活动、教学设施维护、课程资源建设等核心领域的投入空间，导致公用经费整体使用效益不高，对教育教学活动的资金保障能力产生不利影响。</w:t>
      </w:r>
    </w:p>
    <w:p w14:paraId="33DE8F32">
      <w:pPr>
        <w:numPr>
          <w:ilvl w:val="0"/>
          <w:numId w:val="0"/>
        </w:numPr>
        <w:spacing w:line="580" w:lineRule="exact"/>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2</w:t>
      </w:r>
      <w:r>
        <w:rPr>
          <w:rFonts w:hint="eastAsia" w:ascii="宋体" w:hAnsi="宋体" w:eastAsia="宋体" w:cs="宋体"/>
          <w:sz w:val="32"/>
          <w:szCs w:val="32"/>
          <w:highlight w:val="none"/>
          <w:lang w:eastAsia="zh-CN"/>
        </w:rPr>
        <w:t>）维修费用占比过多，财务不规范</w:t>
      </w:r>
    </w:p>
    <w:p w14:paraId="0BF50B97">
      <w:pPr>
        <w:numPr>
          <w:ilvl w:val="0"/>
          <w:numId w:val="0"/>
        </w:numPr>
        <w:spacing w:line="580" w:lineRule="exact"/>
        <w:ind w:firstLine="640" w:firstLineChars="200"/>
        <w:rPr>
          <w:rFonts w:hint="eastAsia" w:ascii="宋体" w:hAnsi="宋体" w:eastAsia="宋体" w:cs="宋体"/>
          <w:sz w:val="32"/>
          <w:szCs w:val="32"/>
          <w:highlight w:val="none"/>
        </w:rPr>
      </w:pPr>
      <w:r>
        <w:rPr>
          <w:rFonts w:hint="eastAsia" w:ascii="宋体" w:hAnsi="宋体" w:eastAsia="宋体" w:cs="宋体"/>
          <w:sz w:val="32"/>
          <w:szCs w:val="32"/>
          <w:highlight w:val="none"/>
        </w:rPr>
        <w:t>现场评价发现，益阳市第十五中学</w:t>
      </w:r>
      <w:r>
        <w:rPr>
          <w:rFonts w:hint="eastAsia" w:ascii="宋体" w:hAnsi="宋体" w:eastAsia="宋体" w:cs="宋体"/>
          <w:sz w:val="32"/>
          <w:szCs w:val="32"/>
          <w:highlight w:val="none"/>
          <w:lang w:val="en-US" w:eastAsia="zh-CN"/>
        </w:rPr>
        <w:t>零星</w:t>
      </w:r>
      <w:r>
        <w:rPr>
          <w:rFonts w:hint="eastAsia" w:ascii="宋体" w:hAnsi="宋体" w:eastAsia="宋体" w:cs="宋体"/>
          <w:sz w:val="32"/>
          <w:szCs w:val="32"/>
          <w:highlight w:val="none"/>
          <w:lang w:eastAsia="zh-CN"/>
        </w:rPr>
        <w:t>维修及维修添置费用</w:t>
      </w:r>
      <w:r>
        <w:rPr>
          <w:rFonts w:hint="eastAsia" w:ascii="宋体" w:hAnsi="宋体" w:eastAsia="宋体" w:cs="宋体"/>
          <w:sz w:val="32"/>
          <w:szCs w:val="32"/>
          <w:highlight w:val="none"/>
        </w:rPr>
        <w:t>为872</w:t>
      </w:r>
      <w:r>
        <w:rPr>
          <w:rFonts w:hint="eastAsia" w:ascii="宋体" w:hAnsi="宋体" w:eastAsia="宋体" w:cs="宋体"/>
          <w:sz w:val="32"/>
          <w:szCs w:val="32"/>
          <w:highlight w:val="none"/>
          <w:lang w:val="en-US" w:eastAsia="zh-CN"/>
        </w:rPr>
        <w:t>,</w:t>
      </w:r>
      <w:r>
        <w:rPr>
          <w:rFonts w:hint="eastAsia" w:ascii="宋体" w:hAnsi="宋体" w:eastAsia="宋体" w:cs="宋体"/>
          <w:sz w:val="32"/>
          <w:szCs w:val="32"/>
          <w:highlight w:val="none"/>
        </w:rPr>
        <w:t>807</w:t>
      </w:r>
      <w:r>
        <w:rPr>
          <w:rFonts w:hint="eastAsia" w:ascii="宋体" w:hAnsi="宋体" w:eastAsia="宋体" w:cs="宋体"/>
          <w:sz w:val="32"/>
          <w:szCs w:val="32"/>
          <w:highlight w:val="none"/>
          <w:lang w:val="en-US" w:eastAsia="zh-CN"/>
        </w:rPr>
        <w:t>.00</w:t>
      </w:r>
      <w:r>
        <w:rPr>
          <w:rFonts w:hint="eastAsia" w:ascii="宋体" w:hAnsi="宋体" w:eastAsia="宋体" w:cs="宋体"/>
          <w:sz w:val="32"/>
          <w:szCs w:val="32"/>
          <w:highlight w:val="none"/>
        </w:rPr>
        <w:t>元</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占</w:t>
      </w:r>
      <w:r>
        <w:rPr>
          <w:rFonts w:hint="eastAsia" w:ascii="宋体" w:hAnsi="宋体" w:eastAsia="宋体" w:cs="宋体"/>
          <w:sz w:val="32"/>
          <w:szCs w:val="32"/>
          <w:highlight w:val="none"/>
          <w:lang w:eastAsia="zh-CN"/>
        </w:rPr>
        <w:t>该校</w:t>
      </w:r>
      <w:r>
        <w:rPr>
          <w:rFonts w:hint="eastAsia" w:ascii="宋体" w:hAnsi="宋体" w:eastAsia="宋体" w:cs="宋体"/>
          <w:sz w:val="32"/>
          <w:szCs w:val="32"/>
          <w:highlight w:val="none"/>
        </w:rPr>
        <w:t>2024生均公用经费</w:t>
      </w:r>
      <w:r>
        <w:rPr>
          <w:rFonts w:hint="eastAsia" w:ascii="宋体" w:hAnsi="宋体" w:eastAsia="宋体" w:cs="宋体"/>
          <w:sz w:val="32"/>
          <w:szCs w:val="32"/>
          <w:highlight w:val="none"/>
          <w:lang w:eastAsia="zh-CN"/>
        </w:rPr>
        <w:t>支出</w:t>
      </w:r>
      <w:r>
        <w:rPr>
          <w:rFonts w:hint="eastAsia" w:ascii="宋体" w:hAnsi="宋体" w:eastAsia="宋体" w:cs="宋体"/>
          <w:sz w:val="32"/>
          <w:szCs w:val="32"/>
          <w:highlight w:val="none"/>
        </w:rPr>
        <w:t>总数的</w:t>
      </w:r>
      <w:r>
        <w:rPr>
          <w:rFonts w:hint="eastAsia" w:ascii="宋体" w:hAnsi="宋体" w:eastAsia="宋体" w:cs="宋体"/>
          <w:sz w:val="32"/>
          <w:szCs w:val="32"/>
          <w:highlight w:val="none"/>
          <w:lang w:val="en-US" w:eastAsia="zh-CN"/>
        </w:rPr>
        <w:t>48.74</w:t>
      </w:r>
      <w:r>
        <w:rPr>
          <w:rFonts w:hint="eastAsia" w:ascii="宋体" w:hAnsi="宋体" w:eastAsia="宋体" w:cs="宋体"/>
          <w:sz w:val="32"/>
          <w:szCs w:val="32"/>
          <w:highlight w:val="none"/>
        </w:rPr>
        <w:t>%，占比</w:t>
      </w:r>
      <w:r>
        <w:rPr>
          <w:rFonts w:hint="eastAsia" w:ascii="宋体" w:hAnsi="宋体" w:eastAsia="宋体" w:cs="宋体"/>
          <w:sz w:val="32"/>
          <w:szCs w:val="32"/>
          <w:highlight w:val="none"/>
          <w:lang w:val="en-US" w:eastAsia="zh-CN"/>
        </w:rPr>
        <w:t>过</w:t>
      </w:r>
      <w:r>
        <w:rPr>
          <w:rFonts w:hint="eastAsia" w:ascii="宋体" w:hAnsi="宋体" w:eastAsia="宋体" w:cs="宋体"/>
          <w:sz w:val="32"/>
          <w:szCs w:val="32"/>
          <w:highlight w:val="none"/>
        </w:rPr>
        <w:t>高，结构不合理</w:t>
      </w:r>
      <w:r>
        <w:rPr>
          <w:rFonts w:hint="eastAsia" w:ascii="宋体" w:hAnsi="宋体" w:eastAsia="宋体" w:cs="宋体"/>
          <w:sz w:val="32"/>
          <w:szCs w:val="32"/>
          <w:highlight w:val="none"/>
          <w:lang w:eastAsia="zh-CN"/>
        </w:rPr>
        <w:t>。经核查，主要原因为该校会计人员在账务处理过程中，将部分教学设备、体育器材以及心理咨询室设施等购置支出一并归集至“维修添置”科目，会计科目使用错误，导致维修类费用虚高；此类处理方式违背了政府收支分类科目及中小学财务制度中对支出经济分类的规定，属于会计确认错误，影响审计结果及经费监管的有效性。此外，部分采购项目在入库及分配管理方面存在疏漏，例如：2024年2月4日第15号凭证所附的政府采购合同协议中，采购金额为11,413.00元，数量仅填写为“1件”，合同内容不够严谨，核心信息模糊，且与一般市场采购常识不符。对应发票亦未按规定列明具体采购内容，仅标注“数量1、单位批”，未进一步明确“批”所包含的具体数量（如“1批=XX把”），影响了支出的准确性与可追溯性</w:t>
      </w:r>
      <w:r>
        <w:rPr>
          <w:rFonts w:hint="eastAsia" w:ascii="宋体" w:hAnsi="宋体" w:eastAsia="宋体" w:cs="宋体"/>
          <w:sz w:val="32"/>
          <w:szCs w:val="32"/>
          <w:highlight w:val="none"/>
          <w:lang w:val="en-US" w:eastAsia="zh-CN"/>
        </w:rPr>
        <w:t>。同时，该采购事项未与校内实际需求有效关联，既未在相关单据中注明扫帚等物资拟分配的部门（如总务处或各年级组），也未明确各单位的分配数量，采购管理与资产分配环节衔接不畅。</w:t>
      </w:r>
      <w:r>
        <w:rPr>
          <w:rFonts w:hint="eastAsia" w:ascii="宋体" w:hAnsi="宋体" w:eastAsia="宋体" w:cs="宋体"/>
          <w:sz w:val="32"/>
          <w:szCs w:val="32"/>
          <w:highlight w:val="none"/>
        </w:rPr>
        <w:t>过高的维修费用挤占了公用经费中用于教育教学活动、师资培训、教学设备更新等核心领域的资金空间，造成公用经费整体使用效益偏低，难以有效保障日常教育教学活动的正常开展，对学校教育教学质量提升与办学保障能力建设形成不利影响。</w:t>
      </w:r>
    </w:p>
    <w:p w14:paraId="691B51A6">
      <w:pPr>
        <w:keepNext w:val="0"/>
        <w:keepLines w:val="0"/>
        <w:pageBreakBefore w:val="0"/>
        <w:widowControl w:val="0"/>
        <w:kinsoku/>
        <w:wordWrap/>
        <w:topLinePunct w:val="0"/>
        <w:autoSpaceDE/>
        <w:autoSpaceDN/>
        <w:bidi w:val="0"/>
        <w:adjustRightInd/>
        <w:snapToGrid/>
        <w:spacing w:line="360" w:lineRule="auto"/>
        <w:ind w:left="0" w:leftChars="0" w:firstLine="640" w:firstLineChars="200"/>
        <w:jc w:val="both"/>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sz w:val="32"/>
          <w:szCs w:val="32"/>
          <w:highlight w:val="none"/>
          <w:lang w:val="en-US" w:eastAsia="zh-CN"/>
        </w:rPr>
        <w:t>注：</w:t>
      </w:r>
      <w:r>
        <w:rPr>
          <w:rFonts w:hint="eastAsia" w:ascii="宋体" w:hAnsi="宋体" w:eastAsia="宋体" w:cs="宋体"/>
          <w:sz w:val="32"/>
          <w:szCs w:val="32"/>
          <w:highlight w:val="none"/>
        </w:rPr>
        <w:t>益阳市第十五中学</w:t>
      </w:r>
      <w:r>
        <w:rPr>
          <w:rFonts w:hint="eastAsia" w:ascii="宋体" w:hAnsi="宋体" w:eastAsia="宋体" w:cs="宋体"/>
          <w:sz w:val="32"/>
          <w:szCs w:val="32"/>
          <w:highlight w:val="none"/>
          <w:lang w:val="en-US" w:eastAsia="zh-CN"/>
        </w:rPr>
        <w:t>零星</w:t>
      </w:r>
      <w:r>
        <w:rPr>
          <w:rFonts w:hint="eastAsia" w:ascii="宋体" w:hAnsi="宋体" w:eastAsia="宋体" w:cs="宋体"/>
          <w:sz w:val="32"/>
          <w:szCs w:val="32"/>
          <w:highlight w:val="none"/>
        </w:rPr>
        <w:t>维修费用为872</w:t>
      </w:r>
      <w:r>
        <w:rPr>
          <w:rFonts w:hint="eastAsia" w:ascii="宋体" w:hAnsi="宋体" w:eastAsia="宋体" w:cs="宋体"/>
          <w:sz w:val="32"/>
          <w:szCs w:val="32"/>
          <w:highlight w:val="none"/>
          <w:lang w:val="en-US" w:eastAsia="zh-CN"/>
        </w:rPr>
        <w:t>,</w:t>
      </w:r>
      <w:r>
        <w:rPr>
          <w:rFonts w:hint="eastAsia" w:ascii="宋体" w:hAnsi="宋体" w:eastAsia="宋体" w:cs="宋体"/>
          <w:sz w:val="32"/>
          <w:szCs w:val="32"/>
          <w:highlight w:val="none"/>
        </w:rPr>
        <w:t>807</w:t>
      </w:r>
      <w:r>
        <w:rPr>
          <w:rFonts w:hint="eastAsia" w:ascii="宋体" w:hAnsi="宋体" w:eastAsia="宋体" w:cs="宋体"/>
          <w:sz w:val="32"/>
          <w:szCs w:val="32"/>
          <w:highlight w:val="none"/>
          <w:lang w:val="en-US" w:eastAsia="zh-CN"/>
        </w:rPr>
        <w:t>.00</w:t>
      </w:r>
      <w:r>
        <w:rPr>
          <w:rFonts w:hint="eastAsia" w:ascii="宋体" w:hAnsi="宋体" w:eastAsia="宋体" w:cs="宋体"/>
          <w:sz w:val="32"/>
          <w:szCs w:val="32"/>
          <w:highlight w:val="none"/>
        </w:rPr>
        <w:t>元</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详见</w:t>
      </w:r>
      <w:r>
        <w:rPr>
          <w:rFonts w:hint="eastAsia" w:ascii="宋体" w:hAnsi="宋体" w:eastAsia="宋体" w:cs="宋体"/>
          <w:color w:val="auto"/>
          <w:sz w:val="32"/>
          <w:szCs w:val="32"/>
          <w:highlight w:val="none"/>
          <w:lang w:val="en-US" w:eastAsia="zh-CN"/>
        </w:rPr>
        <w:t>附件4：益阳市第十五中学2024年生均经费列支零星维修费用明细表</w:t>
      </w:r>
    </w:p>
    <w:p w14:paraId="4A72C849">
      <w:pPr>
        <w:pStyle w:val="2"/>
        <w:numPr>
          <w:ilvl w:val="0"/>
          <w:numId w:val="2"/>
        </w:numPr>
        <w:ind w:left="14" w:leftChars="0" w:firstLine="616" w:firstLineChars="0"/>
        <w:rPr>
          <w:rFonts w:hint="eastAsia" w:hAnsi="宋体" w:eastAsia="宋体" w:cs="宋体"/>
          <w:spacing w:val="-6"/>
          <w:kern w:val="0"/>
          <w:sz w:val="32"/>
          <w:szCs w:val="32"/>
          <w:highlight w:val="none"/>
          <w:shd w:val="clear" w:color="auto" w:fill="FFFFFF"/>
          <w:lang w:eastAsia="zh-CN"/>
        </w:rPr>
      </w:pPr>
      <w:r>
        <w:rPr>
          <w:rFonts w:hint="eastAsia" w:hAnsi="宋体" w:eastAsia="宋体" w:cs="宋体"/>
          <w:spacing w:val="-6"/>
          <w:kern w:val="0"/>
          <w:sz w:val="32"/>
          <w:szCs w:val="32"/>
          <w:highlight w:val="none"/>
          <w:shd w:val="clear" w:color="auto" w:fill="FFFFFF"/>
          <w:lang w:eastAsia="zh-CN"/>
        </w:rPr>
        <w:t>办公费用占比过多，财务不规范</w:t>
      </w:r>
    </w:p>
    <w:p w14:paraId="645F0657">
      <w:pPr>
        <w:pStyle w:val="2"/>
        <w:numPr>
          <w:ilvl w:val="0"/>
          <w:numId w:val="0"/>
        </w:numPr>
        <w:ind w:firstLine="640" w:firstLineChars="200"/>
        <w:rPr>
          <w:rFonts w:hint="eastAsia" w:hAnsi="宋体" w:eastAsia="宋体" w:cs="宋体"/>
          <w:b/>
          <w:bCs/>
          <w:spacing w:val="-6"/>
          <w:kern w:val="0"/>
          <w:sz w:val="32"/>
          <w:szCs w:val="32"/>
          <w:highlight w:val="none"/>
          <w:shd w:val="clear" w:color="auto" w:fill="FFFFFF"/>
          <w:lang w:val="en-US" w:eastAsia="zh-CN"/>
        </w:rPr>
      </w:pPr>
      <w:r>
        <w:rPr>
          <w:rFonts w:hint="eastAsia" w:ascii="宋体" w:hAnsi="宋体" w:eastAsia="宋体" w:cs="宋体"/>
          <w:sz w:val="32"/>
          <w:szCs w:val="32"/>
          <w:highlight w:val="none"/>
        </w:rPr>
        <w:t>现场评价发现，益阳市第十</w:t>
      </w:r>
      <w:r>
        <w:rPr>
          <w:rFonts w:hint="eastAsia" w:hAnsi="宋体" w:eastAsia="宋体" w:cs="宋体"/>
          <w:sz w:val="32"/>
          <w:szCs w:val="32"/>
          <w:highlight w:val="none"/>
          <w:lang w:eastAsia="zh-CN"/>
        </w:rPr>
        <w:t>六</w:t>
      </w:r>
      <w:r>
        <w:rPr>
          <w:rFonts w:hint="eastAsia" w:ascii="宋体" w:hAnsi="宋体" w:eastAsia="宋体" w:cs="宋体"/>
          <w:sz w:val="32"/>
          <w:szCs w:val="32"/>
          <w:highlight w:val="none"/>
        </w:rPr>
        <w:t>中</w:t>
      </w:r>
      <w:r>
        <w:rPr>
          <w:rFonts w:hint="eastAsia" w:hAnsi="宋体" w:eastAsia="宋体" w:cs="宋体"/>
          <w:sz w:val="32"/>
          <w:szCs w:val="32"/>
          <w:highlight w:val="none"/>
          <w:lang w:eastAsia="zh-CN"/>
        </w:rPr>
        <w:t>学办公</w:t>
      </w:r>
      <w:r>
        <w:rPr>
          <w:rFonts w:hint="eastAsia" w:ascii="宋体" w:hAnsi="宋体" w:eastAsia="宋体" w:cs="宋体"/>
          <w:sz w:val="32"/>
          <w:szCs w:val="32"/>
          <w:highlight w:val="none"/>
        </w:rPr>
        <w:t>费用为</w:t>
      </w:r>
      <w:r>
        <w:rPr>
          <w:rFonts w:hint="eastAsia" w:hAnsi="宋体" w:eastAsia="宋体" w:cs="宋体"/>
          <w:sz w:val="32"/>
          <w:szCs w:val="32"/>
          <w:highlight w:val="none"/>
          <w:lang w:val="en-US" w:eastAsia="zh-CN"/>
        </w:rPr>
        <w:t>947,042.20</w:t>
      </w:r>
      <w:r>
        <w:rPr>
          <w:rFonts w:hint="eastAsia" w:ascii="宋体" w:hAnsi="宋体" w:eastAsia="宋体" w:cs="宋体"/>
          <w:sz w:val="32"/>
          <w:szCs w:val="32"/>
          <w:highlight w:val="none"/>
        </w:rPr>
        <w:t>元</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占</w:t>
      </w:r>
      <w:r>
        <w:rPr>
          <w:rFonts w:hint="eastAsia" w:ascii="宋体" w:hAnsi="宋体" w:eastAsia="宋体" w:cs="宋体"/>
          <w:sz w:val="32"/>
          <w:szCs w:val="32"/>
          <w:highlight w:val="none"/>
          <w:lang w:eastAsia="zh-CN"/>
        </w:rPr>
        <w:t>该校</w:t>
      </w:r>
      <w:r>
        <w:rPr>
          <w:rFonts w:hint="eastAsia" w:ascii="宋体" w:hAnsi="宋体" w:eastAsia="宋体" w:cs="宋体"/>
          <w:sz w:val="32"/>
          <w:szCs w:val="32"/>
          <w:highlight w:val="none"/>
        </w:rPr>
        <w:t>2024生均公用经费</w:t>
      </w:r>
      <w:r>
        <w:rPr>
          <w:rFonts w:hint="eastAsia" w:hAnsi="宋体" w:eastAsia="宋体" w:cs="宋体"/>
          <w:sz w:val="32"/>
          <w:szCs w:val="32"/>
          <w:highlight w:val="none"/>
          <w:lang w:eastAsia="zh-CN"/>
        </w:rPr>
        <w:t>支出</w:t>
      </w:r>
      <w:r>
        <w:rPr>
          <w:rFonts w:hint="eastAsia" w:ascii="宋体" w:hAnsi="宋体" w:eastAsia="宋体" w:cs="宋体"/>
          <w:sz w:val="32"/>
          <w:szCs w:val="32"/>
          <w:highlight w:val="none"/>
        </w:rPr>
        <w:t>总数的</w:t>
      </w:r>
      <w:r>
        <w:rPr>
          <w:rFonts w:hint="eastAsia" w:hAnsi="宋体" w:eastAsia="宋体" w:cs="宋体"/>
          <w:sz w:val="32"/>
          <w:szCs w:val="32"/>
          <w:highlight w:val="none"/>
          <w:lang w:val="en-US" w:eastAsia="zh-CN"/>
        </w:rPr>
        <w:t>38.26</w:t>
      </w:r>
      <w:r>
        <w:rPr>
          <w:rFonts w:hint="eastAsia" w:ascii="宋体" w:hAnsi="宋体" w:eastAsia="宋体" w:cs="宋体"/>
          <w:sz w:val="32"/>
          <w:szCs w:val="32"/>
          <w:highlight w:val="none"/>
        </w:rPr>
        <w:t>%，</w:t>
      </w:r>
      <w:r>
        <w:rPr>
          <w:rFonts w:hint="eastAsia" w:hAnsi="宋体" w:eastAsia="宋体" w:cs="宋体"/>
          <w:sz w:val="32"/>
          <w:szCs w:val="32"/>
          <w:highlight w:val="none"/>
          <w:lang w:eastAsia="zh-CN"/>
        </w:rPr>
        <w:t>一是</w:t>
      </w:r>
      <w:r>
        <w:rPr>
          <w:rFonts w:hint="eastAsia" w:ascii="宋体" w:hAnsi="宋体" w:eastAsia="宋体" w:cs="宋体"/>
          <w:sz w:val="32"/>
          <w:szCs w:val="32"/>
          <w:highlight w:val="none"/>
        </w:rPr>
        <w:t>经费支出结构不合理</w:t>
      </w:r>
      <w:r>
        <w:rPr>
          <w:rFonts w:hint="eastAsia" w:hAnsi="宋体" w:eastAsia="宋体" w:cs="宋体"/>
          <w:sz w:val="32"/>
          <w:szCs w:val="32"/>
          <w:highlight w:val="none"/>
          <w:lang w:eastAsia="zh-CN"/>
        </w:rPr>
        <w:t>：</w:t>
      </w:r>
      <w:r>
        <w:rPr>
          <w:rFonts w:hint="eastAsia" w:ascii="宋体" w:hAnsi="宋体" w:eastAsia="宋体" w:cs="宋体"/>
          <w:sz w:val="32"/>
          <w:szCs w:val="32"/>
          <w:highlight w:val="none"/>
        </w:rPr>
        <w:t>过高的办公费用挤占了直接用于教育教学的核心领域资源，影响了生均经费“保障教学、服务学生”根本目的</w:t>
      </w:r>
      <w:r>
        <w:rPr>
          <w:rFonts w:hint="eastAsia" w:hAnsi="宋体" w:eastAsia="宋体" w:cs="宋体"/>
          <w:sz w:val="32"/>
          <w:szCs w:val="32"/>
          <w:highlight w:val="none"/>
          <w:lang w:eastAsia="zh-CN"/>
        </w:rPr>
        <w:t>的</w:t>
      </w:r>
      <w:r>
        <w:rPr>
          <w:rFonts w:hint="eastAsia" w:ascii="宋体" w:hAnsi="宋体" w:eastAsia="宋体" w:cs="宋体"/>
          <w:sz w:val="32"/>
          <w:szCs w:val="32"/>
          <w:highlight w:val="none"/>
        </w:rPr>
        <w:t>实现，降低了财政资金的使用效益。</w:t>
      </w:r>
      <w:r>
        <w:rPr>
          <w:rFonts w:hint="eastAsia" w:hAnsi="宋体" w:eastAsia="宋体" w:cs="宋体"/>
          <w:sz w:val="32"/>
          <w:szCs w:val="32"/>
          <w:highlight w:val="none"/>
          <w:lang w:eastAsia="zh-CN"/>
        </w:rPr>
        <w:t>二是财务管理不精细：该校财务核算中存在明显的科目归集错误，将“体育器材采购费”“校园文化活动费用”等本应单独列支的专项支出，一并纳入“办公费用”科目进行核算。这种做法不仅导致办公费用数据虚高，更掩盖了经费使用的真实流向，反映出学校财务管理不够精细、会计基础工作薄弱，无法准确反映各项教育教学活动的实际资源消耗。三是物资管理流程缺失，内控机制不健全：该校使用生均经费购买的各类用品（办公用品涵盖的体育、文化活动物资）均未按规定填写和保存入库单。物资管理缺乏必要的验收、登记和领用环节，违反了国有资产及公用经费管理的基本内控要求。此举不仅导致资产账实不符、管理混乱，更易造成资产流失和使用浪费。</w:t>
      </w:r>
    </w:p>
    <w:p w14:paraId="4C69B196">
      <w:pPr>
        <w:keepNext w:val="0"/>
        <w:keepLines w:val="0"/>
        <w:pageBreakBefore w:val="0"/>
        <w:widowControl w:val="0"/>
        <w:kinsoku/>
        <w:wordWrap/>
        <w:topLinePunct w:val="0"/>
        <w:autoSpaceDE/>
        <w:autoSpaceDN/>
        <w:bidi w:val="0"/>
        <w:adjustRightInd/>
        <w:snapToGrid/>
        <w:spacing w:line="360" w:lineRule="auto"/>
        <w:ind w:left="0" w:leftChars="0" w:firstLine="616" w:firstLineChars="200"/>
        <w:jc w:val="both"/>
        <w:textAlignment w:val="auto"/>
        <w:rPr>
          <w:rFonts w:hint="eastAsia" w:ascii="宋体" w:hAnsi="宋体" w:eastAsia="宋体" w:cs="宋体"/>
          <w:spacing w:val="-6"/>
          <w:kern w:val="0"/>
          <w:sz w:val="32"/>
          <w:szCs w:val="32"/>
          <w:highlight w:val="none"/>
          <w:shd w:val="clear" w:color="auto" w:fill="FFFFFF"/>
          <w:lang w:eastAsia="zh-CN"/>
        </w:rPr>
      </w:pPr>
      <w:r>
        <w:rPr>
          <w:rFonts w:hint="eastAsia" w:ascii="宋体" w:hAnsi="宋体" w:eastAsia="宋体" w:cs="宋体"/>
          <w:spacing w:val="-6"/>
          <w:kern w:val="0"/>
          <w:sz w:val="32"/>
          <w:szCs w:val="32"/>
          <w:highlight w:val="none"/>
          <w:shd w:val="clear" w:color="auto" w:fill="FFFFFF"/>
          <w:lang w:val="en-US" w:eastAsia="zh-CN"/>
        </w:rPr>
        <w:t>（4</w:t>
      </w:r>
      <w:r>
        <w:rPr>
          <w:rFonts w:hint="eastAsia" w:ascii="宋体" w:hAnsi="宋体" w:eastAsia="宋体" w:cs="宋体"/>
          <w:spacing w:val="-6"/>
          <w:kern w:val="0"/>
          <w:sz w:val="32"/>
          <w:szCs w:val="32"/>
          <w:highlight w:val="none"/>
          <w:shd w:val="clear" w:color="auto" w:fill="FFFFFF"/>
          <w:lang w:eastAsia="zh-CN"/>
        </w:rPr>
        <w:t>）培训费用占比过低，教师资源投入不足</w:t>
      </w:r>
    </w:p>
    <w:p w14:paraId="10D56326">
      <w:pPr>
        <w:numPr>
          <w:ilvl w:val="0"/>
          <w:numId w:val="0"/>
        </w:numPr>
        <w:spacing w:line="580" w:lineRule="exact"/>
        <w:ind w:firstLine="640" w:firstLineChars="200"/>
        <w:rPr>
          <w:rFonts w:hint="eastAsia" w:ascii="宋体" w:hAnsi="宋体" w:eastAsia="宋体" w:cs="宋体"/>
          <w:sz w:val="32"/>
          <w:szCs w:val="32"/>
          <w:highlight w:val="none"/>
        </w:rPr>
      </w:pPr>
      <w:r>
        <w:rPr>
          <w:rFonts w:hint="eastAsia" w:ascii="宋体" w:hAnsi="宋体" w:eastAsia="宋体" w:cs="宋体"/>
          <w:sz w:val="32"/>
          <w:szCs w:val="32"/>
          <w:highlight w:val="none"/>
        </w:rPr>
        <w:t>经调查发现，益阳市第十五中学培训费用的支出为0元，</w:t>
      </w:r>
      <w:r>
        <w:rPr>
          <w:rFonts w:hint="eastAsia" w:ascii="宋体" w:hAnsi="宋体" w:eastAsia="宋体" w:cs="宋体"/>
          <w:sz w:val="32"/>
          <w:szCs w:val="32"/>
          <w:highlight w:val="none"/>
          <w:lang w:eastAsia="zh-CN"/>
        </w:rPr>
        <w:t>占本校2024生均公用经费支出总数的</w:t>
      </w:r>
      <w:r>
        <w:rPr>
          <w:rFonts w:hint="eastAsia" w:ascii="宋体" w:hAnsi="宋体" w:eastAsia="宋体" w:cs="宋体"/>
          <w:sz w:val="32"/>
          <w:szCs w:val="32"/>
          <w:highlight w:val="none"/>
          <w:lang w:val="en-US" w:eastAsia="zh-CN"/>
        </w:rPr>
        <w:t>0</w:t>
      </w:r>
      <w:r>
        <w:rPr>
          <w:rFonts w:hint="eastAsia" w:ascii="宋体" w:hAnsi="宋体" w:eastAsia="宋体" w:cs="宋体"/>
          <w:sz w:val="32"/>
          <w:szCs w:val="32"/>
          <w:highlight w:val="none"/>
          <w:lang w:eastAsia="zh-CN"/>
        </w:rPr>
        <w:t>%；益阳市第六中学用于培训的费用金额为45</w:t>
      </w:r>
      <w:r>
        <w:rPr>
          <w:rFonts w:hint="eastAsia" w:ascii="宋体" w:hAnsi="宋体" w:eastAsia="宋体" w:cs="宋体"/>
          <w:sz w:val="32"/>
          <w:szCs w:val="32"/>
          <w:highlight w:val="none"/>
          <w:lang w:val="en-US" w:eastAsia="zh-CN"/>
        </w:rPr>
        <w:t>,</w:t>
      </w:r>
      <w:r>
        <w:rPr>
          <w:rFonts w:hint="eastAsia" w:ascii="宋体" w:hAnsi="宋体" w:eastAsia="宋体" w:cs="宋体"/>
          <w:sz w:val="32"/>
          <w:szCs w:val="32"/>
          <w:highlight w:val="none"/>
          <w:lang w:eastAsia="zh-CN"/>
        </w:rPr>
        <w:t>986</w:t>
      </w:r>
      <w:r>
        <w:rPr>
          <w:rFonts w:hint="eastAsia" w:ascii="宋体" w:hAnsi="宋体" w:eastAsia="宋体" w:cs="宋体"/>
          <w:sz w:val="32"/>
          <w:szCs w:val="32"/>
          <w:highlight w:val="none"/>
          <w:lang w:val="en-US" w:eastAsia="zh-CN"/>
        </w:rPr>
        <w:t>.00</w:t>
      </w:r>
      <w:r>
        <w:rPr>
          <w:rFonts w:hint="eastAsia" w:ascii="宋体" w:hAnsi="宋体" w:eastAsia="宋体" w:cs="宋体"/>
          <w:sz w:val="32"/>
          <w:szCs w:val="32"/>
          <w:highlight w:val="none"/>
          <w:lang w:eastAsia="zh-CN"/>
        </w:rPr>
        <w:t>元，占本校2024生均公用经费支出总数的1.9</w:t>
      </w:r>
      <w:r>
        <w:rPr>
          <w:rFonts w:hint="eastAsia" w:ascii="宋体" w:hAnsi="宋体" w:eastAsia="宋体" w:cs="宋体"/>
          <w:sz w:val="32"/>
          <w:szCs w:val="32"/>
          <w:highlight w:val="none"/>
          <w:lang w:val="en-US" w:eastAsia="zh-CN"/>
        </w:rPr>
        <w:t>3</w:t>
      </w:r>
      <w:r>
        <w:rPr>
          <w:rFonts w:hint="eastAsia" w:ascii="宋体" w:hAnsi="宋体" w:eastAsia="宋体" w:cs="宋体"/>
          <w:sz w:val="32"/>
          <w:szCs w:val="32"/>
          <w:highlight w:val="none"/>
          <w:lang w:eastAsia="zh-CN"/>
        </w:rPr>
        <w:t>%；益阳市第十四中学培训费用的支出为0元，占本校2024生均公用经费支出总数的</w:t>
      </w:r>
      <w:r>
        <w:rPr>
          <w:rFonts w:hint="eastAsia" w:ascii="宋体" w:hAnsi="宋体" w:eastAsia="宋体" w:cs="宋体"/>
          <w:sz w:val="32"/>
          <w:szCs w:val="32"/>
          <w:highlight w:val="none"/>
          <w:lang w:val="en-US" w:eastAsia="zh-CN"/>
        </w:rPr>
        <w:t>0</w:t>
      </w:r>
      <w:r>
        <w:rPr>
          <w:rFonts w:hint="eastAsia" w:ascii="宋体" w:hAnsi="宋体" w:eastAsia="宋体" w:cs="宋体"/>
          <w:sz w:val="32"/>
          <w:szCs w:val="32"/>
          <w:highlight w:val="none"/>
          <w:lang w:eastAsia="zh-CN"/>
        </w:rPr>
        <w:t>%；益阳市第十六中学培训费金额为42</w:t>
      </w:r>
      <w:r>
        <w:rPr>
          <w:rFonts w:hint="eastAsia" w:ascii="宋体" w:hAnsi="宋体" w:eastAsia="宋体" w:cs="宋体"/>
          <w:sz w:val="32"/>
          <w:szCs w:val="32"/>
          <w:highlight w:val="none"/>
          <w:lang w:val="en-US" w:eastAsia="zh-CN"/>
        </w:rPr>
        <w:t>,</w:t>
      </w:r>
      <w:r>
        <w:rPr>
          <w:rFonts w:hint="eastAsia" w:ascii="宋体" w:hAnsi="宋体" w:eastAsia="宋体" w:cs="宋体"/>
          <w:sz w:val="32"/>
          <w:szCs w:val="32"/>
          <w:highlight w:val="none"/>
          <w:lang w:eastAsia="zh-CN"/>
        </w:rPr>
        <w:t>426.5</w:t>
      </w:r>
      <w:r>
        <w:rPr>
          <w:rFonts w:hint="eastAsia" w:ascii="宋体" w:hAnsi="宋体" w:eastAsia="宋体" w:cs="宋体"/>
          <w:sz w:val="32"/>
          <w:szCs w:val="32"/>
          <w:highlight w:val="none"/>
          <w:lang w:val="en-US" w:eastAsia="zh-CN"/>
        </w:rPr>
        <w:t>0</w:t>
      </w:r>
      <w:r>
        <w:rPr>
          <w:rFonts w:hint="eastAsia" w:ascii="宋体" w:hAnsi="宋体" w:eastAsia="宋体" w:cs="宋体"/>
          <w:sz w:val="32"/>
          <w:szCs w:val="32"/>
          <w:highlight w:val="none"/>
          <w:lang w:eastAsia="zh-CN"/>
        </w:rPr>
        <w:t>元，占本校2024生均公用经费支出总数的1.</w:t>
      </w:r>
      <w:r>
        <w:rPr>
          <w:rFonts w:hint="eastAsia" w:ascii="宋体" w:hAnsi="宋体" w:eastAsia="宋体" w:cs="宋体"/>
          <w:sz w:val="32"/>
          <w:szCs w:val="32"/>
          <w:highlight w:val="none"/>
          <w:lang w:val="en-US" w:eastAsia="zh-CN"/>
        </w:rPr>
        <w:t>71</w:t>
      </w:r>
      <w:r>
        <w:rPr>
          <w:rFonts w:hint="eastAsia" w:ascii="宋体" w:hAnsi="宋体" w:eastAsia="宋体" w:cs="宋体"/>
          <w:sz w:val="32"/>
          <w:szCs w:val="32"/>
          <w:highlight w:val="none"/>
          <w:lang w:eastAsia="zh-CN"/>
        </w:rPr>
        <w:t>%；益阳市第一中学培训费用的支出为0元，占本校2024生均公用经费支出总数的</w:t>
      </w:r>
      <w:r>
        <w:rPr>
          <w:rFonts w:hint="eastAsia" w:ascii="宋体" w:hAnsi="宋体" w:eastAsia="宋体" w:cs="宋体"/>
          <w:sz w:val="32"/>
          <w:szCs w:val="32"/>
          <w:highlight w:val="none"/>
          <w:lang w:val="en-US" w:eastAsia="zh-CN"/>
        </w:rPr>
        <w:t>0</w:t>
      </w:r>
      <w:r>
        <w:rPr>
          <w:rFonts w:hint="eastAsia" w:ascii="宋体" w:hAnsi="宋体" w:eastAsia="宋体" w:cs="宋体"/>
          <w:sz w:val="32"/>
          <w:szCs w:val="32"/>
          <w:highlight w:val="none"/>
          <w:lang w:eastAsia="zh-CN"/>
        </w:rPr>
        <w:t>%；益阳市第十三中学培训费用的支出为8</w:t>
      </w:r>
      <w:r>
        <w:rPr>
          <w:rFonts w:hint="eastAsia" w:ascii="宋体" w:hAnsi="宋体" w:eastAsia="宋体" w:cs="宋体"/>
          <w:sz w:val="32"/>
          <w:szCs w:val="32"/>
          <w:highlight w:val="none"/>
          <w:lang w:val="en-US" w:eastAsia="zh-CN"/>
        </w:rPr>
        <w:t>,</w:t>
      </w:r>
      <w:r>
        <w:rPr>
          <w:rFonts w:hint="eastAsia" w:ascii="宋体" w:hAnsi="宋体" w:eastAsia="宋体" w:cs="宋体"/>
          <w:sz w:val="32"/>
          <w:szCs w:val="32"/>
          <w:highlight w:val="none"/>
          <w:lang w:eastAsia="zh-CN"/>
        </w:rPr>
        <w:t>939.6</w:t>
      </w:r>
      <w:r>
        <w:rPr>
          <w:rFonts w:hint="eastAsia" w:ascii="宋体" w:hAnsi="宋体" w:eastAsia="宋体" w:cs="宋体"/>
          <w:sz w:val="32"/>
          <w:szCs w:val="32"/>
          <w:highlight w:val="none"/>
          <w:lang w:val="en-US" w:eastAsia="zh-CN"/>
        </w:rPr>
        <w:t>0</w:t>
      </w:r>
      <w:r>
        <w:rPr>
          <w:rFonts w:hint="eastAsia" w:ascii="宋体" w:hAnsi="宋体" w:eastAsia="宋体" w:cs="宋体"/>
          <w:sz w:val="32"/>
          <w:szCs w:val="32"/>
          <w:highlight w:val="none"/>
          <w:lang w:eastAsia="zh-CN"/>
        </w:rPr>
        <w:t>元，占本校2024生均公用经费支出总数的0.5</w:t>
      </w:r>
      <w:r>
        <w:rPr>
          <w:rFonts w:hint="eastAsia" w:ascii="宋体" w:hAnsi="宋体" w:eastAsia="宋体" w:cs="宋体"/>
          <w:sz w:val="32"/>
          <w:szCs w:val="32"/>
          <w:highlight w:val="none"/>
          <w:lang w:val="en-US" w:eastAsia="zh-CN"/>
        </w:rPr>
        <w:t>8</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w:t>
      </w:r>
    </w:p>
    <w:p w14:paraId="5438728E">
      <w:pPr>
        <w:numPr>
          <w:ilvl w:val="0"/>
          <w:numId w:val="0"/>
        </w:numPr>
        <w:spacing w:line="580" w:lineRule="exact"/>
        <w:ind w:firstLine="640" w:firstLineChars="20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rPr>
        <w:t>（</w:t>
      </w:r>
      <w:r>
        <w:rPr>
          <w:rFonts w:hint="eastAsia" w:ascii="宋体" w:hAnsi="宋体" w:eastAsia="宋体" w:cs="宋体"/>
          <w:sz w:val="32"/>
          <w:szCs w:val="32"/>
          <w:highlight w:val="none"/>
          <w:lang w:eastAsia="zh-CN"/>
        </w:rPr>
        <w:t>五</w:t>
      </w:r>
      <w:r>
        <w:rPr>
          <w:rFonts w:hint="eastAsia" w:ascii="宋体" w:hAnsi="宋体" w:eastAsia="宋体" w:cs="宋体"/>
          <w:sz w:val="32"/>
          <w:szCs w:val="32"/>
          <w:highlight w:val="none"/>
        </w:rPr>
        <w:t>）</w:t>
      </w:r>
      <w:r>
        <w:rPr>
          <w:rFonts w:hint="eastAsia" w:ascii="宋体" w:hAnsi="宋体" w:eastAsia="宋体" w:cs="宋体"/>
          <w:sz w:val="32"/>
          <w:szCs w:val="32"/>
          <w:highlight w:val="none"/>
          <w:lang w:val="en-US" w:eastAsia="zh-CN"/>
        </w:rPr>
        <w:t>2024年生均公用经费使用率未达100%</w:t>
      </w:r>
    </w:p>
    <w:p w14:paraId="02D00121">
      <w:pPr>
        <w:pStyle w:val="2"/>
        <w:spacing w:line="560" w:lineRule="exact"/>
        <w:ind w:firstLine="640" w:firstLineChars="200"/>
        <w:rPr>
          <w:rFonts w:hint="eastAsia" w:ascii="宋体" w:hAnsi="宋体" w:eastAsia="宋体" w:cs="宋体"/>
          <w:kern w:val="0"/>
          <w:sz w:val="32"/>
          <w:szCs w:val="32"/>
          <w:highlight w:val="none"/>
          <w:shd w:val="clear" w:color="auto" w:fill="FFFFFF"/>
        </w:rPr>
      </w:pPr>
      <w:r>
        <w:rPr>
          <w:rFonts w:hint="eastAsia" w:ascii="宋体" w:hAnsi="宋体" w:eastAsia="宋体" w:cs="宋体"/>
          <w:kern w:val="0"/>
          <w:sz w:val="32"/>
          <w:szCs w:val="32"/>
          <w:highlight w:val="none"/>
          <w:shd w:val="clear" w:color="auto" w:fill="FFFFFF"/>
        </w:rPr>
        <w:t>益阳市第</w:t>
      </w:r>
      <w:r>
        <w:rPr>
          <w:rFonts w:hint="eastAsia" w:hAnsi="宋体" w:eastAsia="宋体" w:cs="宋体"/>
          <w:kern w:val="0"/>
          <w:sz w:val="32"/>
          <w:szCs w:val="32"/>
          <w:highlight w:val="none"/>
          <w:shd w:val="clear" w:color="auto" w:fill="FFFFFF"/>
          <w:lang w:eastAsia="zh-CN"/>
        </w:rPr>
        <w:t>十四</w:t>
      </w:r>
      <w:r>
        <w:rPr>
          <w:rFonts w:hint="eastAsia" w:ascii="宋体" w:hAnsi="宋体" w:eastAsia="宋体" w:cs="宋体"/>
          <w:kern w:val="0"/>
          <w:sz w:val="32"/>
          <w:szCs w:val="32"/>
          <w:highlight w:val="none"/>
          <w:shd w:val="clear" w:color="auto" w:fill="FFFFFF"/>
        </w:rPr>
        <w:t>中学</w:t>
      </w:r>
      <w:r>
        <w:rPr>
          <w:rFonts w:hint="eastAsia" w:ascii="宋体" w:hAnsi="宋体" w:eastAsia="宋体" w:cs="宋体"/>
          <w:sz w:val="32"/>
          <w:szCs w:val="32"/>
          <w:highlight w:val="none"/>
          <w:lang w:val="en-US" w:eastAsia="zh-CN"/>
        </w:rPr>
        <w:t>生均公用经费</w:t>
      </w:r>
      <w:r>
        <w:rPr>
          <w:rFonts w:hint="eastAsia" w:hAnsi="宋体" w:eastAsia="宋体" w:cs="宋体"/>
          <w:sz w:val="32"/>
          <w:szCs w:val="32"/>
          <w:highlight w:val="none"/>
          <w:lang w:val="en-US" w:eastAsia="zh-CN"/>
        </w:rPr>
        <w:t>结余 299,772.56元，使用率为78.85%</w:t>
      </w:r>
      <w:r>
        <w:rPr>
          <w:rFonts w:hint="eastAsia" w:hAnsi="宋体" w:eastAsia="宋体" w:cs="宋体"/>
          <w:kern w:val="0"/>
          <w:sz w:val="32"/>
          <w:szCs w:val="32"/>
          <w:highlight w:val="none"/>
          <w:shd w:val="clear" w:color="auto" w:fill="FFFFFF"/>
          <w:lang w:eastAsia="zh-CN"/>
        </w:rPr>
        <w:t>；</w:t>
      </w:r>
      <w:r>
        <w:rPr>
          <w:rFonts w:hint="eastAsia" w:ascii="宋体" w:hAnsi="宋体" w:eastAsia="宋体" w:cs="宋体"/>
          <w:kern w:val="0"/>
          <w:sz w:val="32"/>
          <w:szCs w:val="32"/>
          <w:highlight w:val="none"/>
          <w:shd w:val="clear" w:color="auto" w:fill="FFFFFF"/>
        </w:rPr>
        <w:t>益阳市第</w:t>
      </w:r>
      <w:r>
        <w:rPr>
          <w:rFonts w:hint="eastAsia" w:hAnsi="宋体" w:eastAsia="宋体" w:cs="宋体"/>
          <w:kern w:val="0"/>
          <w:sz w:val="32"/>
          <w:szCs w:val="32"/>
          <w:highlight w:val="none"/>
          <w:shd w:val="clear" w:color="auto" w:fill="FFFFFF"/>
          <w:lang w:eastAsia="zh-CN"/>
        </w:rPr>
        <w:t>十六</w:t>
      </w:r>
      <w:r>
        <w:rPr>
          <w:rFonts w:hint="eastAsia" w:ascii="宋体" w:hAnsi="宋体" w:eastAsia="宋体" w:cs="宋体"/>
          <w:kern w:val="0"/>
          <w:sz w:val="32"/>
          <w:szCs w:val="32"/>
          <w:highlight w:val="none"/>
          <w:shd w:val="clear" w:color="auto" w:fill="FFFFFF"/>
        </w:rPr>
        <w:t>中学</w:t>
      </w:r>
      <w:r>
        <w:rPr>
          <w:rFonts w:hint="eastAsia" w:ascii="宋体" w:hAnsi="宋体" w:eastAsia="宋体" w:cs="宋体"/>
          <w:sz w:val="32"/>
          <w:szCs w:val="32"/>
          <w:highlight w:val="none"/>
          <w:lang w:val="en-US" w:eastAsia="zh-CN"/>
        </w:rPr>
        <w:t>生均公用经费</w:t>
      </w:r>
      <w:r>
        <w:rPr>
          <w:rFonts w:hint="eastAsia" w:hAnsi="宋体" w:eastAsia="宋体" w:cs="宋体"/>
          <w:sz w:val="32"/>
          <w:szCs w:val="32"/>
          <w:highlight w:val="none"/>
          <w:lang w:val="en-US" w:eastAsia="zh-CN"/>
        </w:rPr>
        <w:t>结余151,277.69元，使用率为94.24%；</w:t>
      </w:r>
      <w:r>
        <w:rPr>
          <w:rFonts w:hint="eastAsia" w:ascii="宋体" w:hAnsi="宋体" w:eastAsia="宋体" w:cs="宋体"/>
          <w:kern w:val="0"/>
          <w:sz w:val="32"/>
          <w:szCs w:val="32"/>
          <w:highlight w:val="none"/>
          <w:shd w:val="clear" w:color="auto" w:fill="FFFFFF"/>
        </w:rPr>
        <w:t>益阳市第一中学</w:t>
      </w:r>
      <w:r>
        <w:rPr>
          <w:rFonts w:hint="eastAsia" w:ascii="宋体" w:hAnsi="宋体" w:eastAsia="宋体" w:cs="宋体"/>
          <w:sz w:val="32"/>
          <w:szCs w:val="32"/>
          <w:highlight w:val="none"/>
          <w:lang w:val="en-US" w:eastAsia="zh-CN"/>
        </w:rPr>
        <w:t>生均公用经费</w:t>
      </w:r>
      <w:r>
        <w:rPr>
          <w:rFonts w:hint="eastAsia" w:hAnsi="宋体" w:eastAsia="宋体" w:cs="宋体"/>
          <w:sz w:val="32"/>
          <w:szCs w:val="32"/>
          <w:highlight w:val="none"/>
          <w:lang w:val="en-US" w:eastAsia="zh-CN"/>
        </w:rPr>
        <w:t>结余68,500.00元，使用率为97.92%。</w:t>
      </w:r>
    </w:p>
    <w:p w14:paraId="629A0F4D">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lang w:eastAsia="zh-CN"/>
        </w:rPr>
      </w:pPr>
      <w:r>
        <w:rPr>
          <w:rFonts w:hint="eastAsia" w:ascii="宋体" w:hAnsi="宋体" w:eastAsia="宋体" w:cs="宋体"/>
          <w:spacing w:val="-6"/>
          <w:kern w:val="0"/>
          <w:sz w:val="32"/>
          <w:szCs w:val="32"/>
          <w:highlight w:val="none"/>
          <w:shd w:val="clear" w:color="auto" w:fill="FFFFFF"/>
        </w:rPr>
        <w:t>（</w:t>
      </w:r>
      <w:r>
        <w:rPr>
          <w:rFonts w:hint="eastAsia" w:hAnsi="宋体" w:eastAsia="宋体" w:cs="宋体"/>
          <w:spacing w:val="-6"/>
          <w:kern w:val="0"/>
          <w:sz w:val="32"/>
          <w:szCs w:val="32"/>
          <w:highlight w:val="none"/>
          <w:shd w:val="clear" w:color="auto" w:fill="FFFFFF"/>
          <w:lang w:eastAsia="zh-CN"/>
        </w:rPr>
        <w:t>六</w:t>
      </w:r>
      <w:r>
        <w:rPr>
          <w:rFonts w:hint="eastAsia" w:ascii="宋体" w:hAnsi="宋体" w:eastAsia="宋体" w:cs="宋体"/>
          <w:spacing w:val="-6"/>
          <w:kern w:val="0"/>
          <w:sz w:val="32"/>
          <w:szCs w:val="32"/>
          <w:highlight w:val="none"/>
          <w:shd w:val="clear" w:color="auto" w:fill="FFFFFF"/>
        </w:rPr>
        <w:t>）</w:t>
      </w:r>
      <w:r>
        <w:rPr>
          <w:rFonts w:hint="eastAsia" w:ascii="宋体" w:hAnsi="宋体" w:eastAsia="宋体" w:cs="宋体"/>
          <w:spacing w:val="-6"/>
          <w:kern w:val="0"/>
          <w:sz w:val="32"/>
          <w:szCs w:val="32"/>
          <w:highlight w:val="none"/>
          <w:shd w:val="clear" w:color="auto" w:fill="FFFFFF"/>
          <w:lang w:eastAsia="zh-CN"/>
        </w:rPr>
        <w:t>生均公用经费不合理支出</w:t>
      </w:r>
    </w:p>
    <w:p w14:paraId="7B25BED2">
      <w:pPr>
        <w:pStyle w:val="2"/>
        <w:spacing w:line="560" w:lineRule="exact"/>
        <w:ind w:firstLine="640" w:firstLineChars="200"/>
        <w:rPr>
          <w:rFonts w:hint="eastAsia" w:hAnsi="宋体" w:eastAsia="宋体" w:cs="宋体"/>
          <w:spacing w:val="-6"/>
          <w:kern w:val="0"/>
          <w:sz w:val="32"/>
          <w:szCs w:val="32"/>
          <w:highlight w:val="none"/>
          <w:shd w:val="clear" w:color="auto" w:fill="FFFFFF"/>
          <w:lang w:eastAsia="zh-CN"/>
        </w:rPr>
      </w:pPr>
      <w:r>
        <w:rPr>
          <w:rFonts w:hint="eastAsia" w:ascii="宋体" w:hAnsi="宋体" w:eastAsia="宋体" w:cs="宋体"/>
          <w:sz w:val="32"/>
          <w:szCs w:val="32"/>
          <w:highlight w:val="none"/>
        </w:rPr>
        <w:t>现场评价发现</w:t>
      </w:r>
      <w:r>
        <w:rPr>
          <w:rFonts w:hint="eastAsia" w:hAnsi="宋体" w:eastAsia="宋体" w:cs="宋体"/>
          <w:sz w:val="32"/>
          <w:szCs w:val="32"/>
          <w:highlight w:val="none"/>
          <w:lang w:eastAsia="zh-CN"/>
        </w:rPr>
        <w:t>，部分学校存在</w:t>
      </w:r>
      <w:r>
        <w:rPr>
          <w:rFonts w:hint="eastAsia" w:ascii="宋体" w:hAnsi="宋体" w:eastAsia="宋体" w:cs="宋体"/>
          <w:spacing w:val="-6"/>
          <w:kern w:val="0"/>
          <w:sz w:val="32"/>
          <w:szCs w:val="32"/>
          <w:highlight w:val="none"/>
          <w:shd w:val="clear" w:color="auto" w:fill="FFFFFF"/>
          <w:lang w:eastAsia="zh-CN"/>
        </w:rPr>
        <w:t>生均公用经费不合理支出</w:t>
      </w:r>
      <w:r>
        <w:rPr>
          <w:rFonts w:hint="eastAsia" w:hAnsi="宋体" w:eastAsia="宋体" w:cs="宋体"/>
          <w:spacing w:val="-6"/>
          <w:kern w:val="0"/>
          <w:sz w:val="32"/>
          <w:szCs w:val="32"/>
          <w:highlight w:val="none"/>
          <w:shd w:val="clear" w:color="auto" w:fill="FFFFFF"/>
          <w:lang w:eastAsia="zh-CN"/>
        </w:rPr>
        <w:t>的情况，具体明细如下：</w:t>
      </w:r>
    </w:p>
    <w:p w14:paraId="7240C1AE">
      <w:pPr>
        <w:pStyle w:val="15"/>
        <w:spacing w:beforeAutospacing="0" w:afterAutospacing="0" w:line="400" w:lineRule="exact"/>
        <w:jc w:val="right"/>
        <w:rPr>
          <w:rFonts w:hint="eastAsia" w:ascii="宋体" w:hAnsi="宋体" w:eastAsia="宋体" w:cs="宋体"/>
          <w:spacing w:val="-6"/>
          <w:sz w:val="22"/>
          <w:szCs w:val="22"/>
          <w:highlight w:val="none"/>
          <w:shd w:val="clear" w:color="auto" w:fill="FFFFFF"/>
        </w:rPr>
      </w:pPr>
      <w:r>
        <w:rPr>
          <w:rFonts w:hint="eastAsia" w:ascii="宋体" w:hAnsi="宋体" w:eastAsia="宋体" w:cs="宋体"/>
          <w:spacing w:val="-6"/>
          <w:sz w:val="21"/>
          <w:szCs w:val="21"/>
          <w:highlight w:val="none"/>
          <w:shd w:val="clear" w:color="auto" w:fill="FFFFFF"/>
        </w:rPr>
        <w:t xml:space="preserve">      </w:t>
      </w:r>
      <w:r>
        <w:rPr>
          <w:rFonts w:hint="eastAsia" w:ascii="宋体" w:hAnsi="宋体" w:eastAsia="宋体" w:cs="宋体"/>
          <w:spacing w:val="-6"/>
          <w:sz w:val="22"/>
          <w:szCs w:val="22"/>
          <w:highlight w:val="none"/>
          <w:shd w:val="clear" w:color="auto" w:fill="FFFFFF"/>
        </w:rPr>
        <w:t xml:space="preserve">   单位：元</w:t>
      </w:r>
    </w:p>
    <w:tbl>
      <w:tblPr>
        <w:tblStyle w:val="17"/>
        <w:tblW w:w="9967"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736"/>
        <w:gridCol w:w="1819"/>
        <w:gridCol w:w="2231"/>
        <w:gridCol w:w="2316"/>
        <w:gridCol w:w="1575"/>
        <w:gridCol w:w="1290"/>
      </w:tblGrid>
      <w:tr w14:paraId="420AE652">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696137B7">
            <w:pPr>
              <w:widowControl/>
              <w:spacing w:line="200" w:lineRule="exact"/>
              <w:jc w:val="center"/>
              <w:textAlignment w:val="center"/>
              <w:rPr>
                <w:rFonts w:hint="eastAsia" w:ascii="宋体" w:hAnsi="宋体" w:eastAsia="宋体" w:cs="宋体"/>
                <w:b/>
                <w:bCs/>
                <w:color w:val="000000"/>
                <w:sz w:val="24"/>
                <w:highlight w:val="none"/>
              </w:rPr>
            </w:pPr>
            <w:r>
              <w:rPr>
                <w:rFonts w:hint="eastAsia" w:ascii="宋体" w:hAnsi="宋体" w:eastAsia="宋体" w:cs="宋体"/>
                <w:b/>
                <w:bCs/>
                <w:color w:val="000000"/>
                <w:kern w:val="0"/>
                <w:sz w:val="24"/>
                <w:highlight w:val="none"/>
              </w:rPr>
              <w:t>序号</w:t>
            </w:r>
          </w:p>
        </w:tc>
        <w:tc>
          <w:tcPr>
            <w:tcW w:w="1819" w:type="dxa"/>
            <w:tcBorders>
              <w:tl2br w:val="nil"/>
              <w:tr2bl w:val="nil"/>
            </w:tcBorders>
            <w:shd w:val="clear" w:color="auto" w:fill="auto"/>
            <w:vAlign w:val="center"/>
          </w:tcPr>
          <w:p w14:paraId="15D52EC8">
            <w:pPr>
              <w:widowControl/>
              <w:jc w:val="center"/>
              <w:textAlignment w:val="center"/>
              <w:rPr>
                <w:rFonts w:hint="eastAsia" w:ascii="宋体" w:hAnsi="宋体" w:eastAsia="宋体" w:cs="宋体"/>
                <w:b/>
                <w:bCs/>
                <w:color w:val="000000"/>
                <w:sz w:val="24"/>
                <w:highlight w:val="none"/>
                <w:lang w:eastAsia="zh-CN"/>
              </w:rPr>
            </w:pPr>
            <w:r>
              <w:rPr>
                <w:rFonts w:hint="eastAsia" w:ascii="宋体" w:hAnsi="宋体" w:eastAsia="宋体" w:cs="宋体"/>
                <w:b/>
                <w:bCs/>
                <w:color w:val="000000"/>
                <w:kern w:val="0"/>
                <w:sz w:val="24"/>
                <w:highlight w:val="none"/>
                <w:lang w:eastAsia="zh-CN"/>
              </w:rPr>
              <w:t>学校名称</w:t>
            </w:r>
          </w:p>
        </w:tc>
        <w:tc>
          <w:tcPr>
            <w:tcW w:w="2231" w:type="dxa"/>
            <w:tcBorders>
              <w:tl2br w:val="nil"/>
              <w:tr2bl w:val="nil"/>
            </w:tcBorders>
            <w:shd w:val="clear" w:color="auto" w:fill="auto"/>
            <w:vAlign w:val="center"/>
          </w:tcPr>
          <w:p w14:paraId="39E5BFE9">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凭证号</w:t>
            </w:r>
          </w:p>
        </w:tc>
        <w:tc>
          <w:tcPr>
            <w:tcW w:w="2316" w:type="dxa"/>
            <w:tcBorders>
              <w:tl2br w:val="nil"/>
              <w:tr2bl w:val="nil"/>
            </w:tcBorders>
            <w:shd w:val="clear" w:color="auto" w:fill="auto"/>
            <w:vAlign w:val="center"/>
          </w:tcPr>
          <w:p w14:paraId="3CB26EA3">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支出内容</w:t>
            </w:r>
          </w:p>
        </w:tc>
        <w:tc>
          <w:tcPr>
            <w:tcW w:w="1575" w:type="dxa"/>
            <w:tcBorders>
              <w:tl2br w:val="nil"/>
              <w:tr2bl w:val="nil"/>
            </w:tcBorders>
            <w:shd w:val="clear" w:color="auto" w:fill="auto"/>
            <w:vAlign w:val="center"/>
          </w:tcPr>
          <w:p w14:paraId="2F74FE63">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支出金额</w:t>
            </w:r>
          </w:p>
        </w:tc>
        <w:tc>
          <w:tcPr>
            <w:tcW w:w="1290" w:type="dxa"/>
            <w:tcBorders>
              <w:tl2br w:val="nil"/>
              <w:tr2bl w:val="nil"/>
            </w:tcBorders>
            <w:shd w:val="clear" w:color="auto" w:fill="auto"/>
            <w:vAlign w:val="center"/>
          </w:tcPr>
          <w:p w14:paraId="68EE2BB7">
            <w:pPr>
              <w:widowControl/>
              <w:jc w:val="center"/>
              <w:textAlignment w:val="center"/>
              <w:rPr>
                <w:rFonts w:hint="eastAsia" w:ascii="宋体" w:hAnsi="宋体" w:eastAsia="宋体" w:cs="宋体"/>
                <w:b/>
                <w:bCs/>
                <w:color w:val="000000"/>
                <w:sz w:val="24"/>
                <w:highlight w:val="none"/>
                <w:lang w:eastAsia="zh-CN"/>
              </w:rPr>
            </w:pPr>
            <w:r>
              <w:rPr>
                <w:rFonts w:hint="eastAsia" w:ascii="宋体" w:hAnsi="宋体" w:eastAsia="宋体" w:cs="宋体"/>
                <w:b/>
                <w:bCs/>
                <w:color w:val="000000"/>
                <w:kern w:val="0"/>
                <w:sz w:val="24"/>
                <w:highlight w:val="none"/>
                <w:lang w:eastAsia="zh-CN"/>
              </w:rPr>
              <w:t>备注</w:t>
            </w:r>
          </w:p>
        </w:tc>
      </w:tr>
      <w:tr w14:paraId="0C789F23">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50427F87">
            <w:pPr>
              <w:widowControl/>
              <w:jc w:val="center"/>
              <w:textAlignment w:val="center"/>
              <w:rPr>
                <w:rFonts w:hint="eastAsia" w:ascii="宋体" w:hAnsi="宋体" w:eastAsia="宋体" w:cs="宋体"/>
                <w:color w:val="000000"/>
                <w:sz w:val="24"/>
                <w:highlight w:val="none"/>
              </w:rPr>
            </w:pPr>
            <w:r>
              <w:rPr>
                <w:rFonts w:hint="eastAsia" w:ascii="宋体" w:hAnsi="宋体" w:eastAsia="宋体" w:cs="宋体"/>
                <w:color w:val="000000"/>
                <w:kern w:val="0"/>
                <w:sz w:val="24"/>
                <w:highlight w:val="none"/>
              </w:rPr>
              <w:t>1</w:t>
            </w:r>
          </w:p>
        </w:tc>
        <w:tc>
          <w:tcPr>
            <w:tcW w:w="1819" w:type="dxa"/>
            <w:tcBorders>
              <w:tl2br w:val="nil"/>
              <w:tr2bl w:val="nil"/>
            </w:tcBorders>
            <w:shd w:val="clear" w:color="auto" w:fill="auto"/>
            <w:vAlign w:val="center"/>
          </w:tcPr>
          <w:p w14:paraId="7E4AAB23">
            <w:pPr>
              <w:keepNext w:val="0"/>
              <w:keepLines w:val="0"/>
              <w:widowControl/>
              <w:suppressLineNumbers w:val="0"/>
              <w:jc w:val="center"/>
              <w:textAlignment w:val="center"/>
              <w:rPr>
                <w:rFonts w:hint="eastAsia" w:ascii="宋体" w:hAnsi="宋体" w:eastAsia="宋体" w:cs="宋体"/>
                <w:color w:val="000000"/>
                <w:sz w:val="24"/>
                <w:highlight w:val="none"/>
              </w:rPr>
            </w:pPr>
            <w:r>
              <w:rPr>
                <w:rFonts w:hint="eastAsia" w:ascii="宋体" w:hAnsi="宋体" w:eastAsia="宋体" w:cs="宋体"/>
                <w:i w:val="0"/>
                <w:iCs w:val="0"/>
                <w:color w:val="000000"/>
                <w:kern w:val="0"/>
                <w:sz w:val="22"/>
                <w:szCs w:val="22"/>
                <w:highlight w:val="none"/>
                <w:u w:val="none"/>
                <w:lang w:val="en-US" w:eastAsia="zh-CN" w:bidi="ar"/>
              </w:rPr>
              <w:t>益阳市箴言中学</w:t>
            </w:r>
          </w:p>
        </w:tc>
        <w:tc>
          <w:tcPr>
            <w:tcW w:w="2231" w:type="dxa"/>
            <w:tcBorders>
              <w:tl2br w:val="nil"/>
              <w:tr2bl w:val="nil"/>
            </w:tcBorders>
            <w:shd w:val="clear" w:color="auto" w:fill="auto"/>
            <w:vAlign w:val="center"/>
          </w:tcPr>
          <w:p w14:paraId="251EFFD6">
            <w:pPr>
              <w:widowControl/>
              <w:jc w:val="right"/>
              <w:textAlignment w:val="center"/>
              <w:rPr>
                <w:rFonts w:hint="eastAsia" w:ascii="宋体" w:hAnsi="宋体" w:eastAsia="宋体" w:cs="宋体"/>
                <w:color w:val="000000"/>
                <w:kern w:val="0"/>
                <w:sz w:val="22"/>
                <w:szCs w:val="22"/>
                <w:highlight w:val="none"/>
                <w:lang w:val="en-US" w:eastAsia="zh-CN"/>
              </w:rPr>
            </w:pPr>
          </w:p>
        </w:tc>
        <w:tc>
          <w:tcPr>
            <w:tcW w:w="2316" w:type="dxa"/>
            <w:tcBorders>
              <w:tl2br w:val="nil"/>
              <w:tr2bl w:val="nil"/>
            </w:tcBorders>
            <w:shd w:val="clear" w:color="auto" w:fill="auto"/>
            <w:vAlign w:val="center"/>
          </w:tcPr>
          <w:p w14:paraId="2ADBD767">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培训费-付政协委员培训</w:t>
            </w:r>
          </w:p>
        </w:tc>
        <w:tc>
          <w:tcPr>
            <w:tcW w:w="1575" w:type="dxa"/>
            <w:tcBorders>
              <w:tl2br w:val="nil"/>
              <w:tr2bl w:val="nil"/>
            </w:tcBorders>
            <w:shd w:val="clear" w:color="auto" w:fill="auto"/>
            <w:vAlign w:val="center"/>
          </w:tcPr>
          <w:p w14:paraId="47255915">
            <w:pPr>
              <w:keepNext w:val="0"/>
              <w:keepLines w:val="0"/>
              <w:widowControl/>
              <w:suppressLineNumbers w:val="0"/>
              <w:jc w:val="righ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5,360.00</w:t>
            </w:r>
          </w:p>
        </w:tc>
        <w:tc>
          <w:tcPr>
            <w:tcW w:w="1290" w:type="dxa"/>
            <w:tcBorders>
              <w:tl2br w:val="nil"/>
              <w:tr2bl w:val="nil"/>
            </w:tcBorders>
            <w:shd w:val="clear" w:color="auto" w:fill="auto"/>
            <w:vAlign w:val="center"/>
          </w:tcPr>
          <w:p w14:paraId="1CA9BD0B">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培训对象为区政协委员，不受益于学生</w:t>
            </w:r>
          </w:p>
        </w:tc>
      </w:tr>
      <w:tr w14:paraId="25A66915">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2555" w:type="dxa"/>
            <w:gridSpan w:val="2"/>
            <w:tcBorders>
              <w:tl2br w:val="nil"/>
              <w:tr2bl w:val="nil"/>
            </w:tcBorders>
            <w:shd w:val="clear" w:color="auto" w:fill="auto"/>
            <w:vAlign w:val="center"/>
          </w:tcPr>
          <w:p w14:paraId="2C2032A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小 计</w:t>
            </w:r>
          </w:p>
        </w:tc>
        <w:tc>
          <w:tcPr>
            <w:tcW w:w="2231" w:type="dxa"/>
            <w:tcBorders>
              <w:tl2br w:val="nil"/>
              <w:tr2bl w:val="nil"/>
            </w:tcBorders>
            <w:shd w:val="clear" w:color="auto" w:fill="auto"/>
            <w:vAlign w:val="center"/>
          </w:tcPr>
          <w:p w14:paraId="7BED6751">
            <w:pPr>
              <w:widowControl/>
              <w:jc w:val="right"/>
              <w:textAlignment w:val="center"/>
              <w:rPr>
                <w:rFonts w:hint="eastAsia" w:ascii="宋体" w:hAnsi="宋体" w:eastAsia="宋体" w:cs="宋体"/>
                <w:b/>
                <w:bCs/>
                <w:color w:val="000000"/>
                <w:kern w:val="0"/>
                <w:sz w:val="22"/>
                <w:szCs w:val="22"/>
                <w:highlight w:val="none"/>
                <w:lang w:val="en-US" w:eastAsia="zh-CN"/>
              </w:rPr>
            </w:pPr>
          </w:p>
        </w:tc>
        <w:tc>
          <w:tcPr>
            <w:tcW w:w="2316" w:type="dxa"/>
            <w:tcBorders>
              <w:tl2br w:val="nil"/>
              <w:tr2bl w:val="nil"/>
            </w:tcBorders>
            <w:shd w:val="clear" w:color="auto" w:fill="auto"/>
            <w:vAlign w:val="center"/>
          </w:tcPr>
          <w:p w14:paraId="7E8BE6F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c>
          <w:tcPr>
            <w:tcW w:w="1575" w:type="dxa"/>
            <w:tcBorders>
              <w:tl2br w:val="nil"/>
              <w:tr2bl w:val="nil"/>
            </w:tcBorders>
            <w:shd w:val="clear" w:color="auto" w:fill="auto"/>
            <w:vAlign w:val="center"/>
          </w:tcPr>
          <w:p w14:paraId="51765978">
            <w:pPr>
              <w:keepNext w:val="0"/>
              <w:keepLines w:val="0"/>
              <w:widowControl/>
              <w:suppressLineNumbers w:val="0"/>
              <w:jc w:val="right"/>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5,360.00</w:t>
            </w:r>
          </w:p>
        </w:tc>
        <w:tc>
          <w:tcPr>
            <w:tcW w:w="1290" w:type="dxa"/>
            <w:tcBorders>
              <w:tl2br w:val="nil"/>
              <w:tr2bl w:val="nil"/>
            </w:tcBorders>
            <w:shd w:val="clear" w:color="auto" w:fill="auto"/>
            <w:vAlign w:val="center"/>
          </w:tcPr>
          <w:p w14:paraId="4A36E3D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r>
      <w:tr w14:paraId="2372B411">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vMerge w:val="restart"/>
            <w:tcBorders>
              <w:tl2br w:val="nil"/>
              <w:tr2bl w:val="nil"/>
            </w:tcBorders>
            <w:shd w:val="clear" w:color="auto" w:fill="auto"/>
            <w:vAlign w:val="center"/>
          </w:tcPr>
          <w:p w14:paraId="6F1F635E">
            <w:pPr>
              <w:widowControl/>
              <w:jc w:val="center"/>
              <w:textAlignment w:val="center"/>
              <w:rPr>
                <w:rFonts w:hint="eastAsia" w:ascii="宋体" w:hAnsi="宋体" w:eastAsia="宋体" w:cs="宋体"/>
                <w:color w:val="000000"/>
                <w:sz w:val="24"/>
                <w:highlight w:val="none"/>
                <w:lang w:eastAsia="zh-CN"/>
              </w:rPr>
            </w:pPr>
            <w:r>
              <w:rPr>
                <w:rFonts w:hint="eastAsia" w:ascii="宋体" w:hAnsi="宋体" w:eastAsia="宋体" w:cs="宋体"/>
                <w:color w:val="000000"/>
                <w:kern w:val="0"/>
                <w:sz w:val="24"/>
                <w:highlight w:val="none"/>
                <w:lang w:val="en-US" w:eastAsia="zh-CN"/>
              </w:rPr>
              <w:t>2</w:t>
            </w:r>
          </w:p>
        </w:tc>
        <w:tc>
          <w:tcPr>
            <w:tcW w:w="1819" w:type="dxa"/>
            <w:vMerge w:val="restart"/>
            <w:tcBorders>
              <w:tl2br w:val="nil"/>
              <w:tr2bl w:val="nil"/>
            </w:tcBorders>
            <w:shd w:val="clear" w:color="auto" w:fill="auto"/>
            <w:vAlign w:val="center"/>
          </w:tcPr>
          <w:p w14:paraId="7F665CDB">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益阳市第六中学</w:t>
            </w:r>
          </w:p>
          <w:p w14:paraId="6BC388CB">
            <w:pPr>
              <w:keepNext w:val="0"/>
              <w:keepLines w:val="0"/>
              <w:widowControl/>
              <w:suppressLineNumbers w:val="0"/>
              <w:jc w:val="center"/>
              <w:textAlignment w:val="center"/>
              <w:rPr>
                <w:rFonts w:hint="eastAsia" w:ascii="宋体" w:hAnsi="宋体" w:eastAsia="宋体" w:cs="宋体"/>
                <w:color w:val="000000"/>
                <w:sz w:val="24"/>
                <w:highlight w:val="none"/>
              </w:rPr>
            </w:pPr>
          </w:p>
        </w:tc>
        <w:tc>
          <w:tcPr>
            <w:tcW w:w="2231" w:type="dxa"/>
            <w:tcBorders>
              <w:tl2br w:val="nil"/>
              <w:tr2bl w:val="nil"/>
            </w:tcBorders>
            <w:shd w:val="clear" w:color="auto" w:fill="auto"/>
            <w:vAlign w:val="center"/>
          </w:tcPr>
          <w:p w14:paraId="555952DC">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2024年12月记15号</w:t>
            </w:r>
          </w:p>
        </w:tc>
        <w:tc>
          <w:tcPr>
            <w:tcW w:w="2316" w:type="dxa"/>
            <w:tcBorders>
              <w:tl2br w:val="nil"/>
              <w:tr2bl w:val="nil"/>
            </w:tcBorders>
            <w:shd w:val="clear" w:color="auto" w:fill="auto"/>
            <w:vAlign w:val="center"/>
          </w:tcPr>
          <w:p w14:paraId="48D25210">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支付学校教职工体检费（退休教师64人，支出12,800.00元，在职教师134人，支出26,800.00元）</w:t>
            </w:r>
          </w:p>
        </w:tc>
        <w:tc>
          <w:tcPr>
            <w:tcW w:w="1575" w:type="dxa"/>
            <w:tcBorders>
              <w:tl2br w:val="nil"/>
              <w:tr2bl w:val="nil"/>
            </w:tcBorders>
            <w:shd w:val="clear" w:color="auto" w:fill="auto"/>
            <w:vAlign w:val="center"/>
          </w:tcPr>
          <w:p w14:paraId="48D72055">
            <w:pPr>
              <w:widowControl/>
              <w:jc w:val="right"/>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39,600.00</w:t>
            </w:r>
          </w:p>
        </w:tc>
        <w:tc>
          <w:tcPr>
            <w:tcW w:w="1290" w:type="dxa"/>
            <w:tcBorders>
              <w:tl2br w:val="nil"/>
              <w:tr2bl w:val="nil"/>
            </w:tcBorders>
            <w:shd w:val="clear" w:color="auto" w:fill="auto"/>
            <w:vAlign w:val="center"/>
          </w:tcPr>
          <w:p w14:paraId="5BB1BB79">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人员经费-教职工福利</w:t>
            </w:r>
          </w:p>
        </w:tc>
      </w:tr>
      <w:tr w14:paraId="12243628">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vMerge w:val="continue"/>
            <w:tcBorders>
              <w:tl2br w:val="nil"/>
              <w:tr2bl w:val="nil"/>
            </w:tcBorders>
            <w:shd w:val="clear" w:color="auto" w:fill="auto"/>
            <w:vAlign w:val="center"/>
          </w:tcPr>
          <w:p w14:paraId="7CAC861A">
            <w:pPr>
              <w:widowControl/>
              <w:jc w:val="center"/>
              <w:textAlignment w:val="center"/>
              <w:rPr>
                <w:rFonts w:hint="eastAsia" w:ascii="宋体" w:hAnsi="宋体" w:eastAsia="宋体" w:cs="宋体"/>
                <w:color w:val="000000"/>
                <w:sz w:val="24"/>
                <w:highlight w:val="none"/>
              </w:rPr>
            </w:pPr>
          </w:p>
        </w:tc>
        <w:tc>
          <w:tcPr>
            <w:tcW w:w="1819" w:type="dxa"/>
            <w:vMerge w:val="continue"/>
            <w:tcBorders>
              <w:tl2br w:val="nil"/>
              <w:tr2bl w:val="nil"/>
            </w:tcBorders>
            <w:shd w:val="clear" w:color="auto" w:fill="auto"/>
            <w:vAlign w:val="center"/>
          </w:tcPr>
          <w:p w14:paraId="63570EB0">
            <w:pPr>
              <w:keepNext w:val="0"/>
              <w:keepLines w:val="0"/>
              <w:widowControl/>
              <w:suppressLineNumbers w:val="0"/>
              <w:jc w:val="center"/>
              <w:textAlignment w:val="center"/>
              <w:rPr>
                <w:rFonts w:hint="eastAsia" w:ascii="宋体" w:hAnsi="宋体" w:eastAsia="宋体" w:cs="宋体"/>
                <w:color w:val="000000"/>
                <w:sz w:val="24"/>
                <w:highlight w:val="none"/>
              </w:rPr>
            </w:pPr>
          </w:p>
        </w:tc>
        <w:tc>
          <w:tcPr>
            <w:tcW w:w="2231" w:type="dxa"/>
            <w:tcBorders>
              <w:tl2br w:val="nil"/>
              <w:tr2bl w:val="nil"/>
            </w:tcBorders>
            <w:shd w:val="clear" w:color="auto" w:fill="auto"/>
            <w:vAlign w:val="center"/>
          </w:tcPr>
          <w:p w14:paraId="507DD46F">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2024年10月记13号 </w:t>
            </w:r>
          </w:p>
        </w:tc>
        <w:tc>
          <w:tcPr>
            <w:tcW w:w="2316" w:type="dxa"/>
            <w:tcBorders>
              <w:tl2br w:val="nil"/>
              <w:tr2bl w:val="nil"/>
            </w:tcBorders>
            <w:shd w:val="clear" w:color="auto" w:fill="auto"/>
            <w:vAlign w:val="center"/>
          </w:tcPr>
          <w:p w14:paraId="71044D1B">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付高一新生军训教官劳务费</w:t>
            </w:r>
          </w:p>
        </w:tc>
        <w:tc>
          <w:tcPr>
            <w:tcW w:w="1575" w:type="dxa"/>
            <w:tcBorders>
              <w:tl2br w:val="nil"/>
              <w:tr2bl w:val="nil"/>
            </w:tcBorders>
            <w:shd w:val="clear" w:color="auto" w:fill="auto"/>
            <w:vAlign w:val="center"/>
          </w:tcPr>
          <w:p w14:paraId="2B2708AF">
            <w:pPr>
              <w:widowControl/>
              <w:jc w:val="right"/>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34,300.00</w:t>
            </w:r>
          </w:p>
        </w:tc>
        <w:tc>
          <w:tcPr>
            <w:tcW w:w="1290" w:type="dxa"/>
            <w:tcBorders>
              <w:tl2br w:val="nil"/>
              <w:tr2bl w:val="nil"/>
            </w:tcBorders>
            <w:shd w:val="clear" w:color="auto" w:fill="auto"/>
            <w:vAlign w:val="center"/>
          </w:tcPr>
          <w:p w14:paraId="04A1E4C1">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人员经费-教官工资</w:t>
            </w:r>
          </w:p>
        </w:tc>
      </w:tr>
      <w:tr w14:paraId="0CDDE39C">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2555" w:type="dxa"/>
            <w:gridSpan w:val="2"/>
            <w:tcBorders>
              <w:tl2br w:val="nil"/>
              <w:tr2bl w:val="nil"/>
            </w:tcBorders>
            <w:shd w:val="clear" w:color="auto" w:fill="auto"/>
            <w:vAlign w:val="center"/>
          </w:tcPr>
          <w:p w14:paraId="3EB5DAC3">
            <w:pPr>
              <w:keepNext w:val="0"/>
              <w:keepLines w:val="0"/>
              <w:widowControl/>
              <w:suppressLineNumbers w:val="0"/>
              <w:jc w:val="center"/>
              <w:textAlignment w:val="center"/>
              <w:rPr>
                <w:rFonts w:hint="eastAsia" w:ascii="宋体" w:hAnsi="宋体" w:eastAsia="宋体" w:cs="宋体"/>
                <w:b/>
                <w:bCs/>
                <w:color w:val="000000"/>
                <w:sz w:val="24"/>
                <w:highlight w:val="none"/>
                <w:lang w:eastAsia="zh-CN"/>
              </w:rPr>
            </w:pPr>
            <w:r>
              <w:rPr>
                <w:rFonts w:hint="eastAsia" w:ascii="宋体" w:hAnsi="宋体" w:eastAsia="宋体" w:cs="宋体"/>
                <w:b/>
                <w:bCs/>
                <w:color w:val="000000"/>
                <w:sz w:val="24"/>
                <w:highlight w:val="none"/>
                <w:lang w:eastAsia="zh-CN"/>
              </w:rPr>
              <w:t>小</w:t>
            </w:r>
            <w:r>
              <w:rPr>
                <w:rFonts w:hint="eastAsia" w:ascii="宋体" w:hAnsi="宋体" w:eastAsia="宋体" w:cs="宋体"/>
                <w:b/>
                <w:bCs/>
                <w:color w:val="000000"/>
                <w:sz w:val="24"/>
                <w:highlight w:val="none"/>
                <w:lang w:val="en-US" w:eastAsia="zh-CN"/>
              </w:rPr>
              <w:t xml:space="preserve"> </w:t>
            </w:r>
            <w:r>
              <w:rPr>
                <w:rFonts w:hint="eastAsia" w:ascii="宋体" w:hAnsi="宋体" w:eastAsia="宋体" w:cs="宋体"/>
                <w:b/>
                <w:bCs/>
                <w:color w:val="000000"/>
                <w:sz w:val="24"/>
                <w:highlight w:val="none"/>
                <w:lang w:eastAsia="zh-CN"/>
              </w:rPr>
              <w:t>计</w:t>
            </w:r>
          </w:p>
        </w:tc>
        <w:tc>
          <w:tcPr>
            <w:tcW w:w="2231" w:type="dxa"/>
            <w:tcBorders>
              <w:tl2br w:val="nil"/>
              <w:tr2bl w:val="nil"/>
            </w:tcBorders>
            <w:shd w:val="clear" w:color="auto" w:fill="auto"/>
            <w:vAlign w:val="center"/>
          </w:tcPr>
          <w:p w14:paraId="52053E87">
            <w:pPr>
              <w:keepNext w:val="0"/>
              <w:keepLines w:val="0"/>
              <w:widowControl/>
              <w:suppressLineNumbers w:val="0"/>
              <w:jc w:val="right"/>
              <w:textAlignment w:val="center"/>
              <w:rPr>
                <w:rFonts w:hint="eastAsia" w:ascii="宋体" w:hAnsi="宋体" w:eastAsia="宋体" w:cs="宋体"/>
                <w:b/>
                <w:bCs/>
                <w:i w:val="0"/>
                <w:iCs w:val="0"/>
                <w:color w:val="000000"/>
                <w:kern w:val="0"/>
                <w:sz w:val="22"/>
                <w:szCs w:val="22"/>
                <w:highlight w:val="none"/>
                <w:u w:val="none"/>
                <w:lang w:val="en-US" w:eastAsia="zh-CN" w:bidi="ar"/>
              </w:rPr>
            </w:pPr>
          </w:p>
        </w:tc>
        <w:tc>
          <w:tcPr>
            <w:tcW w:w="2316" w:type="dxa"/>
            <w:tcBorders>
              <w:tl2br w:val="nil"/>
              <w:tr2bl w:val="nil"/>
            </w:tcBorders>
            <w:shd w:val="clear" w:color="auto" w:fill="auto"/>
            <w:vAlign w:val="center"/>
          </w:tcPr>
          <w:p w14:paraId="78D9D9F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c>
          <w:tcPr>
            <w:tcW w:w="1575" w:type="dxa"/>
            <w:tcBorders>
              <w:tl2br w:val="nil"/>
              <w:tr2bl w:val="nil"/>
            </w:tcBorders>
            <w:shd w:val="clear" w:color="auto" w:fill="auto"/>
            <w:vAlign w:val="center"/>
          </w:tcPr>
          <w:p w14:paraId="463BE4F0">
            <w:pPr>
              <w:widowControl/>
              <w:jc w:val="right"/>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73,900.00</w:t>
            </w:r>
          </w:p>
        </w:tc>
        <w:tc>
          <w:tcPr>
            <w:tcW w:w="1290" w:type="dxa"/>
            <w:tcBorders>
              <w:tl2br w:val="nil"/>
              <w:tr2bl w:val="nil"/>
            </w:tcBorders>
            <w:shd w:val="clear" w:color="auto" w:fill="auto"/>
            <w:vAlign w:val="center"/>
          </w:tcPr>
          <w:p w14:paraId="73DFA8C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r>
      <w:tr w14:paraId="18A10516">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vMerge w:val="restart"/>
            <w:tcBorders>
              <w:tl2br w:val="nil"/>
              <w:tr2bl w:val="nil"/>
            </w:tcBorders>
            <w:shd w:val="clear" w:color="auto" w:fill="auto"/>
            <w:vAlign w:val="center"/>
          </w:tcPr>
          <w:p w14:paraId="19D3BBAC">
            <w:pPr>
              <w:widowControl/>
              <w:jc w:val="center"/>
              <w:textAlignment w:val="center"/>
              <w:rPr>
                <w:rFonts w:hint="eastAsia" w:ascii="宋体" w:hAnsi="宋体" w:eastAsia="宋体" w:cs="宋体"/>
                <w:color w:val="000000"/>
                <w:sz w:val="24"/>
                <w:highlight w:val="none"/>
                <w:lang w:val="en-US" w:eastAsia="zh-CN"/>
              </w:rPr>
            </w:pPr>
            <w:r>
              <w:rPr>
                <w:rFonts w:hint="eastAsia" w:ascii="宋体" w:hAnsi="宋体" w:eastAsia="宋体" w:cs="宋体"/>
                <w:color w:val="000000"/>
                <w:kern w:val="0"/>
                <w:sz w:val="24"/>
                <w:highlight w:val="none"/>
                <w:lang w:val="en-US" w:eastAsia="zh-CN"/>
              </w:rPr>
              <w:t>3</w:t>
            </w:r>
          </w:p>
        </w:tc>
        <w:tc>
          <w:tcPr>
            <w:tcW w:w="1819" w:type="dxa"/>
            <w:vMerge w:val="restart"/>
            <w:tcBorders>
              <w:tl2br w:val="nil"/>
              <w:tr2bl w:val="nil"/>
            </w:tcBorders>
            <w:shd w:val="clear" w:color="auto" w:fill="auto"/>
            <w:vAlign w:val="center"/>
          </w:tcPr>
          <w:p w14:paraId="44F38113">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p w14:paraId="2A10CE32">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益阳市第十六中学</w:t>
            </w:r>
          </w:p>
          <w:p w14:paraId="3B50DD27">
            <w:pPr>
              <w:keepNext w:val="0"/>
              <w:keepLines w:val="0"/>
              <w:widowControl/>
              <w:suppressLineNumbers w:val="0"/>
              <w:jc w:val="center"/>
              <w:textAlignment w:val="center"/>
              <w:rPr>
                <w:rFonts w:hint="eastAsia" w:ascii="宋体" w:hAnsi="宋体" w:eastAsia="宋体" w:cs="宋体"/>
                <w:color w:val="000000"/>
                <w:sz w:val="24"/>
                <w:highlight w:val="none"/>
              </w:rPr>
            </w:pPr>
          </w:p>
        </w:tc>
        <w:tc>
          <w:tcPr>
            <w:tcW w:w="2231" w:type="dxa"/>
            <w:vMerge w:val="restart"/>
            <w:tcBorders>
              <w:tl2br w:val="nil"/>
              <w:tr2bl w:val="nil"/>
            </w:tcBorders>
            <w:shd w:val="clear" w:color="auto" w:fill="auto"/>
            <w:vAlign w:val="center"/>
          </w:tcPr>
          <w:p w14:paraId="307625D1">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w:t>
            </w:r>
          </w:p>
        </w:tc>
        <w:tc>
          <w:tcPr>
            <w:tcW w:w="2316" w:type="dxa"/>
            <w:tcBorders>
              <w:tl2br w:val="nil"/>
              <w:tr2bl w:val="nil"/>
            </w:tcBorders>
            <w:shd w:val="clear" w:color="auto" w:fill="auto"/>
            <w:vAlign w:val="center"/>
          </w:tcPr>
          <w:p w14:paraId="788A4D2F">
            <w:pPr>
              <w:widowControl/>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奖金和补助的名目发放给学生和个人（包括教师）其中学校活动支出给班级、学生、班主任、教师个人金额为207,241.00元;支付员工个人的经济补偿金、医疗期工资48,000.00元</w:t>
            </w:r>
          </w:p>
        </w:tc>
        <w:tc>
          <w:tcPr>
            <w:tcW w:w="1575" w:type="dxa"/>
            <w:tcBorders>
              <w:tl2br w:val="nil"/>
              <w:tr2bl w:val="nil"/>
            </w:tcBorders>
            <w:shd w:val="clear" w:color="auto" w:fill="auto"/>
            <w:vAlign w:val="center"/>
          </w:tcPr>
          <w:p w14:paraId="3E30CA0E">
            <w:pPr>
              <w:widowControl/>
              <w:jc w:val="righ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255,241.00</w:t>
            </w:r>
          </w:p>
        </w:tc>
        <w:tc>
          <w:tcPr>
            <w:tcW w:w="1290" w:type="dxa"/>
            <w:tcBorders>
              <w:tl2br w:val="nil"/>
              <w:tr2bl w:val="nil"/>
            </w:tcBorders>
            <w:shd w:val="clear" w:color="auto" w:fill="auto"/>
            <w:vAlign w:val="center"/>
          </w:tcPr>
          <w:p w14:paraId="16666F91">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对个人奖学金的支出</w:t>
            </w:r>
          </w:p>
        </w:tc>
      </w:tr>
      <w:tr w14:paraId="0C8E58EA">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vMerge w:val="continue"/>
            <w:tcBorders>
              <w:tl2br w:val="nil"/>
              <w:tr2bl w:val="nil"/>
            </w:tcBorders>
            <w:shd w:val="clear" w:color="auto" w:fill="auto"/>
            <w:vAlign w:val="center"/>
          </w:tcPr>
          <w:p w14:paraId="18E3E9BA">
            <w:pPr>
              <w:widowControl/>
              <w:jc w:val="center"/>
              <w:textAlignment w:val="center"/>
              <w:rPr>
                <w:rFonts w:hint="eastAsia" w:ascii="宋体" w:hAnsi="宋体" w:eastAsia="宋体" w:cs="宋体"/>
                <w:color w:val="000000"/>
                <w:sz w:val="24"/>
                <w:highlight w:val="none"/>
              </w:rPr>
            </w:pPr>
          </w:p>
        </w:tc>
        <w:tc>
          <w:tcPr>
            <w:tcW w:w="1819" w:type="dxa"/>
            <w:vMerge w:val="continue"/>
            <w:tcBorders>
              <w:tl2br w:val="nil"/>
              <w:tr2bl w:val="nil"/>
            </w:tcBorders>
            <w:shd w:val="clear" w:color="auto" w:fill="auto"/>
            <w:vAlign w:val="center"/>
          </w:tcPr>
          <w:p w14:paraId="385CB4D2">
            <w:pPr>
              <w:keepNext w:val="0"/>
              <w:keepLines w:val="0"/>
              <w:widowControl/>
              <w:suppressLineNumbers w:val="0"/>
              <w:jc w:val="center"/>
              <w:textAlignment w:val="center"/>
              <w:rPr>
                <w:rFonts w:hint="eastAsia" w:ascii="宋体" w:hAnsi="宋体" w:eastAsia="宋体" w:cs="宋体"/>
                <w:color w:val="000000"/>
                <w:sz w:val="24"/>
                <w:highlight w:val="none"/>
              </w:rPr>
            </w:pPr>
          </w:p>
        </w:tc>
        <w:tc>
          <w:tcPr>
            <w:tcW w:w="2231" w:type="dxa"/>
            <w:vMerge w:val="continue"/>
            <w:tcBorders>
              <w:tl2br w:val="nil"/>
              <w:tr2bl w:val="nil"/>
            </w:tcBorders>
            <w:shd w:val="clear" w:color="auto" w:fill="auto"/>
            <w:vAlign w:val="center"/>
          </w:tcPr>
          <w:p w14:paraId="38DB3727">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p>
        </w:tc>
        <w:tc>
          <w:tcPr>
            <w:tcW w:w="2316" w:type="dxa"/>
            <w:tcBorders>
              <w:tl2br w:val="nil"/>
              <w:tr2bl w:val="nil"/>
            </w:tcBorders>
            <w:shd w:val="clear" w:color="auto" w:fill="auto"/>
            <w:vAlign w:val="center"/>
          </w:tcPr>
          <w:p w14:paraId="71D2888A">
            <w:pPr>
              <w:keepNext w:val="0"/>
              <w:keepLines w:val="0"/>
              <w:widowControl/>
              <w:suppressLineNumbers w:val="0"/>
              <w:jc w:val="center"/>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付劳务派遣2月至10月临时工工资津贴小计186,720.00元、付2023年11月27日至2024年10月27日期间代课教师工资小计155,574.00元；付劳务派遣（无法区分具体类别仅有发票）工资小计86,350.00元；   以上，合计金额为428,644.00元</w:t>
            </w:r>
          </w:p>
        </w:tc>
        <w:tc>
          <w:tcPr>
            <w:tcW w:w="1575" w:type="dxa"/>
            <w:tcBorders>
              <w:tl2br w:val="nil"/>
              <w:tr2bl w:val="nil"/>
            </w:tcBorders>
            <w:shd w:val="clear" w:color="auto" w:fill="auto"/>
            <w:vAlign w:val="center"/>
          </w:tcPr>
          <w:p w14:paraId="10FF50EA">
            <w:pPr>
              <w:widowControl/>
              <w:jc w:val="right"/>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428,644.00</w:t>
            </w:r>
          </w:p>
        </w:tc>
        <w:tc>
          <w:tcPr>
            <w:tcW w:w="1290" w:type="dxa"/>
            <w:tcBorders>
              <w:tl2br w:val="nil"/>
              <w:tr2bl w:val="nil"/>
            </w:tcBorders>
            <w:shd w:val="clear" w:color="auto" w:fill="auto"/>
            <w:vAlign w:val="center"/>
          </w:tcPr>
          <w:p w14:paraId="084CB64E">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人员经费-工资</w:t>
            </w:r>
          </w:p>
        </w:tc>
      </w:tr>
      <w:tr w14:paraId="69C43E73">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vMerge w:val="continue"/>
            <w:tcBorders>
              <w:tl2br w:val="nil"/>
              <w:tr2bl w:val="nil"/>
            </w:tcBorders>
            <w:shd w:val="clear" w:color="auto" w:fill="auto"/>
            <w:vAlign w:val="center"/>
          </w:tcPr>
          <w:p w14:paraId="08156707">
            <w:pPr>
              <w:widowControl/>
              <w:jc w:val="center"/>
              <w:textAlignment w:val="center"/>
              <w:rPr>
                <w:rFonts w:hint="eastAsia" w:ascii="宋体" w:hAnsi="宋体" w:eastAsia="宋体" w:cs="宋体"/>
                <w:color w:val="000000"/>
                <w:kern w:val="0"/>
                <w:sz w:val="24"/>
                <w:highlight w:val="none"/>
              </w:rPr>
            </w:pPr>
          </w:p>
        </w:tc>
        <w:tc>
          <w:tcPr>
            <w:tcW w:w="1819" w:type="dxa"/>
            <w:vMerge w:val="continue"/>
            <w:tcBorders>
              <w:tl2br w:val="nil"/>
              <w:tr2bl w:val="nil"/>
            </w:tcBorders>
            <w:shd w:val="clear" w:color="auto" w:fill="auto"/>
            <w:vAlign w:val="center"/>
          </w:tcPr>
          <w:p w14:paraId="7E219FAC">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231" w:type="dxa"/>
            <w:vMerge w:val="restart"/>
            <w:tcBorders>
              <w:tl2br w:val="nil"/>
              <w:tr2bl w:val="nil"/>
            </w:tcBorders>
            <w:shd w:val="clear" w:color="auto" w:fill="auto"/>
            <w:vAlign w:val="center"/>
          </w:tcPr>
          <w:p w14:paraId="522E2FC6">
            <w:pPr>
              <w:keepNext w:val="0"/>
              <w:keepLines w:val="0"/>
              <w:widowControl/>
              <w:suppressLineNumbers w:val="0"/>
              <w:jc w:val="righ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2024年12月记24号</w:t>
            </w:r>
          </w:p>
        </w:tc>
        <w:tc>
          <w:tcPr>
            <w:tcW w:w="2316" w:type="dxa"/>
            <w:tcBorders>
              <w:tl2br w:val="nil"/>
              <w:tr2bl w:val="nil"/>
            </w:tcBorders>
            <w:shd w:val="clear" w:color="auto" w:fill="auto"/>
            <w:vAlign w:val="center"/>
          </w:tcPr>
          <w:p w14:paraId="0969E6F1">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迎党建观摩团的花卉</w:t>
            </w:r>
          </w:p>
        </w:tc>
        <w:tc>
          <w:tcPr>
            <w:tcW w:w="1575" w:type="dxa"/>
            <w:tcBorders>
              <w:tl2br w:val="nil"/>
              <w:tr2bl w:val="nil"/>
            </w:tcBorders>
            <w:shd w:val="clear" w:color="auto" w:fill="auto"/>
            <w:vAlign w:val="center"/>
          </w:tcPr>
          <w:p w14:paraId="3A7036D5">
            <w:pPr>
              <w:widowControl/>
              <w:jc w:val="righ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19,340.00</w:t>
            </w:r>
          </w:p>
        </w:tc>
        <w:tc>
          <w:tcPr>
            <w:tcW w:w="1290" w:type="dxa"/>
            <w:tcBorders>
              <w:tl2br w:val="nil"/>
              <w:tr2bl w:val="nil"/>
            </w:tcBorders>
            <w:shd w:val="clear" w:color="auto" w:fill="auto"/>
            <w:vAlign w:val="center"/>
          </w:tcPr>
          <w:p w14:paraId="648BFD71">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仪式性活动-非教育教学活动</w:t>
            </w:r>
          </w:p>
        </w:tc>
      </w:tr>
      <w:tr w14:paraId="19A0D402">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vMerge w:val="continue"/>
            <w:tcBorders>
              <w:tl2br w:val="nil"/>
              <w:tr2bl w:val="nil"/>
            </w:tcBorders>
            <w:shd w:val="clear" w:color="auto" w:fill="auto"/>
            <w:vAlign w:val="center"/>
          </w:tcPr>
          <w:p w14:paraId="748AD099">
            <w:pPr>
              <w:widowControl/>
              <w:jc w:val="center"/>
              <w:textAlignment w:val="center"/>
              <w:rPr>
                <w:rFonts w:hint="eastAsia" w:ascii="宋体" w:hAnsi="宋体" w:eastAsia="宋体" w:cs="宋体"/>
                <w:color w:val="000000"/>
                <w:kern w:val="0"/>
                <w:sz w:val="24"/>
                <w:highlight w:val="none"/>
              </w:rPr>
            </w:pPr>
          </w:p>
        </w:tc>
        <w:tc>
          <w:tcPr>
            <w:tcW w:w="1819" w:type="dxa"/>
            <w:vMerge w:val="continue"/>
            <w:tcBorders>
              <w:tl2br w:val="nil"/>
              <w:tr2bl w:val="nil"/>
            </w:tcBorders>
            <w:shd w:val="clear" w:color="auto" w:fill="auto"/>
            <w:vAlign w:val="center"/>
          </w:tcPr>
          <w:p w14:paraId="3B26F121">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231" w:type="dxa"/>
            <w:vMerge w:val="continue"/>
            <w:tcBorders>
              <w:tl2br w:val="nil"/>
              <w:tr2bl w:val="nil"/>
            </w:tcBorders>
            <w:shd w:val="clear" w:color="auto" w:fill="auto"/>
            <w:vAlign w:val="center"/>
          </w:tcPr>
          <w:p w14:paraId="3007AA7E">
            <w:pPr>
              <w:keepNext w:val="0"/>
              <w:keepLines w:val="0"/>
              <w:widowControl/>
              <w:suppressLineNumbers w:val="0"/>
              <w:jc w:val="right"/>
              <w:textAlignment w:val="center"/>
              <w:rPr>
                <w:rFonts w:hint="default" w:ascii="宋体" w:hAnsi="宋体" w:eastAsia="宋体" w:cs="宋体"/>
                <w:i w:val="0"/>
                <w:iCs w:val="0"/>
                <w:color w:val="000000"/>
                <w:kern w:val="0"/>
                <w:sz w:val="22"/>
                <w:szCs w:val="22"/>
                <w:highlight w:val="none"/>
                <w:u w:val="none"/>
                <w:lang w:val="en-US" w:eastAsia="zh-CN" w:bidi="ar"/>
              </w:rPr>
            </w:pPr>
          </w:p>
        </w:tc>
        <w:tc>
          <w:tcPr>
            <w:tcW w:w="2316" w:type="dxa"/>
            <w:tcBorders>
              <w:tl2br w:val="nil"/>
              <w:tr2bl w:val="nil"/>
            </w:tcBorders>
            <w:shd w:val="clear" w:color="auto" w:fill="auto"/>
            <w:vAlign w:val="center"/>
          </w:tcPr>
          <w:p w14:paraId="2A1A5116">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慰问退休老师的水果、饮料、食品</w:t>
            </w:r>
          </w:p>
        </w:tc>
        <w:tc>
          <w:tcPr>
            <w:tcW w:w="1575" w:type="dxa"/>
            <w:tcBorders>
              <w:tl2br w:val="nil"/>
              <w:tr2bl w:val="nil"/>
            </w:tcBorders>
            <w:shd w:val="clear" w:color="auto" w:fill="auto"/>
            <w:vAlign w:val="center"/>
          </w:tcPr>
          <w:p w14:paraId="3F367A98">
            <w:pPr>
              <w:widowControl/>
              <w:jc w:val="righ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3,834.00</w:t>
            </w:r>
          </w:p>
        </w:tc>
        <w:tc>
          <w:tcPr>
            <w:tcW w:w="1290" w:type="dxa"/>
            <w:tcBorders>
              <w:tl2br w:val="nil"/>
              <w:tr2bl w:val="nil"/>
            </w:tcBorders>
            <w:shd w:val="clear" w:color="auto" w:fill="auto"/>
            <w:vAlign w:val="center"/>
          </w:tcPr>
          <w:p w14:paraId="0C2DF1A8">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离退休人员-职工福利</w:t>
            </w:r>
          </w:p>
        </w:tc>
      </w:tr>
      <w:tr w14:paraId="18F637E8">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vMerge w:val="continue"/>
            <w:tcBorders>
              <w:tl2br w:val="nil"/>
              <w:tr2bl w:val="nil"/>
            </w:tcBorders>
            <w:shd w:val="clear" w:color="auto" w:fill="auto"/>
            <w:vAlign w:val="center"/>
          </w:tcPr>
          <w:p w14:paraId="4D08794C">
            <w:pPr>
              <w:widowControl/>
              <w:jc w:val="center"/>
              <w:textAlignment w:val="center"/>
              <w:rPr>
                <w:rFonts w:hint="eastAsia" w:ascii="宋体" w:hAnsi="宋体" w:eastAsia="宋体" w:cs="宋体"/>
                <w:color w:val="000000"/>
                <w:kern w:val="0"/>
                <w:sz w:val="24"/>
                <w:highlight w:val="none"/>
              </w:rPr>
            </w:pPr>
          </w:p>
        </w:tc>
        <w:tc>
          <w:tcPr>
            <w:tcW w:w="1819" w:type="dxa"/>
            <w:vMerge w:val="continue"/>
            <w:tcBorders>
              <w:tl2br w:val="nil"/>
              <w:tr2bl w:val="nil"/>
            </w:tcBorders>
            <w:shd w:val="clear" w:color="auto" w:fill="auto"/>
            <w:vAlign w:val="center"/>
          </w:tcPr>
          <w:p w14:paraId="381312C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231" w:type="dxa"/>
            <w:tcBorders>
              <w:tl2br w:val="nil"/>
              <w:tr2bl w:val="nil"/>
            </w:tcBorders>
            <w:shd w:val="clear" w:color="auto" w:fill="auto"/>
            <w:vAlign w:val="center"/>
          </w:tcPr>
          <w:p w14:paraId="1FB1B8B9">
            <w:pPr>
              <w:keepNext w:val="0"/>
              <w:keepLines w:val="0"/>
              <w:widowControl/>
              <w:suppressLineNumbers w:val="0"/>
              <w:jc w:val="righ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2024年10月记18号</w:t>
            </w:r>
          </w:p>
        </w:tc>
        <w:tc>
          <w:tcPr>
            <w:tcW w:w="2316" w:type="dxa"/>
            <w:tcBorders>
              <w:tl2br w:val="nil"/>
              <w:tr2bl w:val="nil"/>
            </w:tcBorders>
            <w:shd w:val="clear" w:color="auto" w:fill="auto"/>
            <w:vAlign w:val="center"/>
          </w:tcPr>
          <w:p w14:paraId="03CB0C41">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十六中2024年重阳节退休教师活动（购买水果807.61元、餐饮2800元、租车500元）共70人参加</w:t>
            </w:r>
          </w:p>
        </w:tc>
        <w:tc>
          <w:tcPr>
            <w:tcW w:w="1575" w:type="dxa"/>
            <w:tcBorders>
              <w:tl2br w:val="nil"/>
              <w:tr2bl w:val="nil"/>
            </w:tcBorders>
            <w:shd w:val="clear" w:color="auto" w:fill="auto"/>
            <w:vAlign w:val="center"/>
          </w:tcPr>
          <w:p w14:paraId="57BEE08A">
            <w:pPr>
              <w:widowControl/>
              <w:jc w:val="righ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4,107.61</w:t>
            </w:r>
          </w:p>
        </w:tc>
        <w:tc>
          <w:tcPr>
            <w:tcW w:w="1290" w:type="dxa"/>
            <w:tcBorders>
              <w:tl2br w:val="nil"/>
              <w:tr2bl w:val="nil"/>
            </w:tcBorders>
            <w:shd w:val="clear" w:color="auto" w:fill="auto"/>
            <w:vAlign w:val="center"/>
          </w:tcPr>
          <w:p w14:paraId="0CE8414D">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离退休人员-职工福利</w:t>
            </w:r>
          </w:p>
        </w:tc>
      </w:tr>
      <w:tr w14:paraId="47462880">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vMerge w:val="continue"/>
            <w:tcBorders>
              <w:tl2br w:val="nil"/>
              <w:tr2bl w:val="nil"/>
            </w:tcBorders>
            <w:shd w:val="clear" w:color="auto" w:fill="auto"/>
            <w:vAlign w:val="center"/>
          </w:tcPr>
          <w:p w14:paraId="1CBEDB3C">
            <w:pPr>
              <w:widowControl/>
              <w:jc w:val="center"/>
              <w:textAlignment w:val="center"/>
              <w:rPr>
                <w:rFonts w:hint="eastAsia" w:ascii="宋体" w:hAnsi="宋体" w:eastAsia="宋体" w:cs="宋体"/>
                <w:color w:val="000000"/>
                <w:kern w:val="0"/>
                <w:sz w:val="24"/>
                <w:highlight w:val="none"/>
              </w:rPr>
            </w:pPr>
          </w:p>
        </w:tc>
        <w:tc>
          <w:tcPr>
            <w:tcW w:w="1819" w:type="dxa"/>
            <w:vMerge w:val="continue"/>
            <w:tcBorders>
              <w:tl2br w:val="nil"/>
              <w:tr2bl w:val="nil"/>
            </w:tcBorders>
            <w:shd w:val="clear" w:color="auto" w:fill="auto"/>
            <w:vAlign w:val="center"/>
          </w:tcPr>
          <w:p w14:paraId="04A79693">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231" w:type="dxa"/>
            <w:tcBorders>
              <w:tl2br w:val="nil"/>
              <w:tr2bl w:val="nil"/>
            </w:tcBorders>
            <w:shd w:val="clear" w:color="auto" w:fill="auto"/>
            <w:vAlign w:val="center"/>
          </w:tcPr>
          <w:p w14:paraId="56BD9704">
            <w:pPr>
              <w:keepNext w:val="0"/>
              <w:keepLines w:val="0"/>
              <w:widowControl/>
              <w:suppressLineNumbers w:val="0"/>
              <w:jc w:val="righ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2024年7月记23号</w:t>
            </w:r>
          </w:p>
        </w:tc>
        <w:tc>
          <w:tcPr>
            <w:tcW w:w="2316" w:type="dxa"/>
            <w:tcBorders>
              <w:tl2br w:val="nil"/>
              <w:tr2bl w:val="nil"/>
            </w:tcBorders>
            <w:shd w:val="clear" w:color="auto" w:fill="auto"/>
            <w:vAlign w:val="center"/>
          </w:tcPr>
          <w:p w14:paraId="2650678D">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十六中成人礼活动,其中：成人礼鲜花3240元、成人礼蛋糕2688元、礼帽徽章199.80元、舞台设计32330元</w:t>
            </w:r>
          </w:p>
        </w:tc>
        <w:tc>
          <w:tcPr>
            <w:tcW w:w="1575" w:type="dxa"/>
            <w:tcBorders>
              <w:tl2br w:val="nil"/>
              <w:tr2bl w:val="nil"/>
            </w:tcBorders>
            <w:shd w:val="clear" w:color="auto" w:fill="auto"/>
            <w:vAlign w:val="center"/>
          </w:tcPr>
          <w:p w14:paraId="3A2741F8">
            <w:pPr>
              <w:widowControl/>
              <w:jc w:val="righ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38,457.80</w:t>
            </w:r>
          </w:p>
        </w:tc>
        <w:tc>
          <w:tcPr>
            <w:tcW w:w="1290" w:type="dxa"/>
            <w:tcBorders>
              <w:tl2br w:val="nil"/>
              <w:tr2bl w:val="nil"/>
            </w:tcBorders>
            <w:shd w:val="clear" w:color="auto" w:fill="auto"/>
            <w:vAlign w:val="center"/>
          </w:tcPr>
          <w:p w14:paraId="0D11E911">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仪式性活动-非教育教学活动</w:t>
            </w:r>
          </w:p>
        </w:tc>
      </w:tr>
      <w:tr w14:paraId="494C13B7">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2555" w:type="dxa"/>
            <w:gridSpan w:val="2"/>
            <w:tcBorders>
              <w:tl2br w:val="nil"/>
              <w:tr2bl w:val="nil"/>
            </w:tcBorders>
            <w:shd w:val="clear" w:color="auto" w:fill="auto"/>
            <w:vAlign w:val="center"/>
          </w:tcPr>
          <w:p w14:paraId="200144F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小 计</w:t>
            </w:r>
          </w:p>
        </w:tc>
        <w:tc>
          <w:tcPr>
            <w:tcW w:w="2231" w:type="dxa"/>
            <w:tcBorders>
              <w:tl2br w:val="nil"/>
              <w:tr2bl w:val="nil"/>
            </w:tcBorders>
            <w:shd w:val="clear" w:color="auto" w:fill="auto"/>
            <w:vAlign w:val="center"/>
          </w:tcPr>
          <w:p w14:paraId="19515D46">
            <w:pPr>
              <w:keepNext w:val="0"/>
              <w:keepLines w:val="0"/>
              <w:widowControl/>
              <w:suppressLineNumbers w:val="0"/>
              <w:jc w:val="right"/>
              <w:textAlignment w:val="center"/>
              <w:rPr>
                <w:rFonts w:hint="eastAsia" w:ascii="宋体" w:hAnsi="宋体" w:eastAsia="宋体" w:cs="宋体"/>
                <w:b/>
                <w:bCs/>
                <w:i w:val="0"/>
                <w:iCs w:val="0"/>
                <w:color w:val="000000"/>
                <w:kern w:val="0"/>
                <w:sz w:val="22"/>
                <w:szCs w:val="22"/>
                <w:highlight w:val="none"/>
                <w:u w:val="none"/>
                <w:lang w:val="en-US" w:eastAsia="zh-CN" w:bidi="ar"/>
              </w:rPr>
            </w:pPr>
          </w:p>
        </w:tc>
        <w:tc>
          <w:tcPr>
            <w:tcW w:w="2316" w:type="dxa"/>
            <w:tcBorders>
              <w:tl2br w:val="nil"/>
              <w:tr2bl w:val="nil"/>
            </w:tcBorders>
            <w:shd w:val="clear" w:color="auto" w:fill="auto"/>
            <w:vAlign w:val="center"/>
          </w:tcPr>
          <w:p w14:paraId="68613842">
            <w:pPr>
              <w:keepNext w:val="0"/>
              <w:keepLines w:val="0"/>
              <w:widowControl/>
              <w:suppressLineNumbers w:val="0"/>
              <w:jc w:val="right"/>
              <w:textAlignment w:val="center"/>
              <w:rPr>
                <w:rFonts w:hint="eastAsia" w:ascii="宋体" w:hAnsi="宋体" w:eastAsia="宋体" w:cs="宋体"/>
                <w:b/>
                <w:bCs/>
                <w:i w:val="0"/>
                <w:iCs w:val="0"/>
                <w:color w:val="000000"/>
                <w:kern w:val="0"/>
                <w:sz w:val="22"/>
                <w:szCs w:val="22"/>
                <w:highlight w:val="none"/>
                <w:u w:val="none"/>
                <w:lang w:val="en-US" w:eastAsia="zh-CN" w:bidi="ar"/>
              </w:rPr>
            </w:pPr>
          </w:p>
        </w:tc>
        <w:tc>
          <w:tcPr>
            <w:tcW w:w="1575" w:type="dxa"/>
            <w:tcBorders>
              <w:tl2br w:val="nil"/>
              <w:tr2bl w:val="nil"/>
            </w:tcBorders>
            <w:shd w:val="clear" w:color="auto" w:fill="auto"/>
            <w:vAlign w:val="center"/>
          </w:tcPr>
          <w:p w14:paraId="5A686C51">
            <w:pPr>
              <w:keepNext w:val="0"/>
              <w:keepLines w:val="0"/>
              <w:widowControl/>
              <w:suppressLineNumbers w:val="0"/>
              <w:jc w:val="right"/>
              <w:textAlignment w:val="center"/>
              <w:rPr>
                <w:rFonts w:hint="default"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749,624.41</w:t>
            </w:r>
          </w:p>
        </w:tc>
        <w:tc>
          <w:tcPr>
            <w:tcW w:w="1290" w:type="dxa"/>
            <w:tcBorders>
              <w:tl2br w:val="nil"/>
              <w:tr2bl w:val="nil"/>
            </w:tcBorders>
            <w:shd w:val="clear" w:color="auto" w:fill="auto"/>
            <w:vAlign w:val="center"/>
          </w:tcPr>
          <w:p w14:paraId="4096BB38">
            <w:pPr>
              <w:keepNext w:val="0"/>
              <w:keepLines w:val="0"/>
              <w:widowControl/>
              <w:suppressLineNumbers w:val="0"/>
              <w:jc w:val="right"/>
              <w:textAlignment w:val="center"/>
              <w:rPr>
                <w:rFonts w:hint="eastAsia" w:ascii="宋体" w:hAnsi="宋体" w:eastAsia="宋体" w:cs="宋体"/>
                <w:b/>
                <w:bCs/>
                <w:i w:val="0"/>
                <w:iCs w:val="0"/>
                <w:color w:val="000000"/>
                <w:kern w:val="0"/>
                <w:sz w:val="22"/>
                <w:szCs w:val="22"/>
                <w:highlight w:val="none"/>
                <w:u w:val="none"/>
                <w:lang w:val="en-US" w:eastAsia="zh-CN" w:bidi="ar"/>
              </w:rPr>
            </w:pPr>
          </w:p>
        </w:tc>
      </w:tr>
      <w:tr w14:paraId="22653B22">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vMerge w:val="restart"/>
            <w:tcBorders>
              <w:tl2br w:val="nil"/>
              <w:tr2bl w:val="nil"/>
            </w:tcBorders>
            <w:shd w:val="clear" w:color="auto" w:fill="auto"/>
            <w:vAlign w:val="center"/>
          </w:tcPr>
          <w:p w14:paraId="5084AD78">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val="0"/>
                <w:bCs w:val="0"/>
                <w:i w:val="0"/>
                <w:iCs w:val="0"/>
                <w:color w:val="000000"/>
                <w:kern w:val="0"/>
                <w:sz w:val="22"/>
                <w:szCs w:val="22"/>
                <w:highlight w:val="none"/>
                <w:u w:val="none"/>
                <w:lang w:val="en-US" w:eastAsia="zh-CN" w:bidi="ar"/>
              </w:rPr>
              <w:t>4</w:t>
            </w:r>
          </w:p>
        </w:tc>
        <w:tc>
          <w:tcPr>
            <w:tcW w:w="1819" w:type="dxa"/>
            <w:vMerge w:val="restart"/>
            <w:tcBorders>
              <w:tl2br w:val="nil"/>
              <w:tr2bl w:val="nil"/>
            </w:tcBorders>
            <w:shd w:val="clear" w:color="auto" w:fill="auto"/>
            <w:vAlign w:val="center"/>
          </w:tcPr>
          <w:p w14:paraId="7259EAF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益阳市第十七中学</w:t>
            </w:r>
          </w:p>
        </w:tc>
        <w:tc>
          <w:tcPr>
            <w:tcW w:w="2231" w:type="dxa"/>
            <w:tcBorders>
              <w:tl2br w:val="nil"/>
              <w:tr2bl w:val="nil"/>
            </w:tcBorders>
            <w:shd w:val="clear" w:color="auto" w:fill="auto"/>
            <w:vAlign w:val="center"/>
          </w:tcPr>
          <w:p w14:paraId="5B436E46">
            <w:pPr>
              <w:keepNext w:val="0"/>
              <w:keepLines w:val="0"/>
              <w:widowControl/>
              <w:suppressLineNumbers w:val="0"/>
              <w:jc w:val="righ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2024年06月记9号</w:t>
            </w:r>
          </w:p>
        </w:tc>
        <w:tc>
          <w:tcPr>
            <w:tcW w:w="2316" w:type="dxa"/>
            <w:tcBorders>
              <w:tl2br w:val="nil"/>
              <w:tr2bl w:val="nil"/>
            </w:tcBorders>
            <w:shd w:val="clear" w:color="auto" w:fill="auto"/>
            <w:vAlign w:val="center"/>
          </w:tcPr>
          <w:p w14:paraId="32DFEE9C">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2024年5月28日签收湖南省行政事业单位往来收据，益阳市第十七中学同意支付行政拨工会经费</w:t>
            </w:r>
          </w:p>
        </w:tc>
        <w:tc>
          <w:tcPr>
            <w:tcW w:w="1575" w:type="dxa"/>
            <w:tcBorders>
              <w:tl2br w:val="nil"/>
              <w:tr2bl w:val="nil"/>
            </w:tcBorders>
            <w:shd w:val="clear" w:color="auto" w:fill="auto"/>
            <w:vAlign w:val="center"/>
          </w:tcPr>
          <w:p w14:paraId="4623FBE9">
            <w:pPr>
              <w:widowControl/>
              <w:jc w:val="right"/>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200,000.00</w:t>
            </w:r>
          </w:p>
        </w:tc>
        <w:tc>
          <w:tcPr>
            <w:tcW w:w="1290" w:type="dxa"/>
            <w:tcBorders>
              <w:tl2br w:val="nil"/>
              <w:tr2bl w:val="nil"/>
            </w:tcBorders>
            <w:shd w:val="clear" w:color="auto" w:fill="auto"/>
            <w:vAlign w:val="center"/>
          </w:tcPr>
          <w:p w14:paraId="0BC06A7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人员经费-工会经费</w:t>
            </w:r>
          </w:p>
        </w:tc>
      </w:tr>
      <w:tr w14:paraId="2D8F17AE">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vMerge w:val="continue"/>
            <w:tcBorders>
              <w:tl2br w:val="nil"/>
              <w:tr2bl w:val="nil"/>
            </w:tcBorders>
            <w:shd w:val="clear" w:color="auto" w:fill="auto"/>
            <w:vAlign w:val="center"/>
          </w:tcPr>
          <w:p w14:paraId="0A1839A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c>
          <w:tcPr>
            <w:tcW w:w="1819" w:type="dxa"/>
            <w:vMerge w:val="continue"/>
            <w:tcBorders>
              <w:tl2br w:val="nil"/>
              <w:tr2bl w:val="nil"/>
            </w:tcBorders>
            <w:shd w:val="clear" w:color="auto" w:fill="auto"/>
            <w:vAlign w:val="center"/>
          </w:tcPr>
          <w:p w14:paraId="687BA9C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c>
          <w:tcPr>
            <w:tcW w:w="2231" w:type="dxa"/>
            <w:tcBorders>
              <w:tl2br w:val="nil"/>
              <w:tr2bl w:val="nil"/>
            </w:tcBorders>
            <w:shd w:val="clear" w:color="auto" w:fill="auto"/>
            <w:vAlign w:val="center"/>
          </w:tcPr>
          <w:p w14:paraId="4D531C33">
            <w:pPr>
              <w:keepNext w:val="0"/>
              <w:keepLines w:val="0"/>
              <w:widowControl/>
              <w:suppressLineNumbers w:val="0"/>
              <w:jc w:val="righ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2024年12月记17号</w:t>
            </w:r>
          </w:p>
        </w:tc>
        <w:tc>
          <w:tcPr>
            <w:tcW w:w="2316" w:type="dxa"/>
            <w:tcBorders>
              <w:tl2br w:val="nil"/>
              <w:tr2bl w:val="nil"/>
            </w:tcBorders>
            <w:shd w:val="clear" w:color="auto" w:fill="auto"/>
            <w:vAlign w:val="center"/>
          </w:tcPr>
          <w:p w14:paraId="75C8975F">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付韶山行研学费用，韶山行研学活动出席人数为594人，无行程路线规划方案、学习资料</w:t>
            </w:r>
          </w:p>
        </w:tc>
        <w:tc>
          <w:tcPr>
            <w:tcW w:w="1575" w:type="dxa"/>
            <w:tcBorders>
              <w:tl2br w:val="nil"/>
              <w:tr2bl w:val="nil"/>
            </w:tcBorders>
            <w:shd w:val="clear" w:color="auto" w:fill="auto"/>
            <w:vAlign w:val="center"/>
          </w:tcPr>
          <w:p w14:paraId="718AC379">
            <w:pPr>
              <w:widowControl/>
              <w:jc w:val="right"/>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211,260.00</w:t>
            </w:r>
          </w:p>
        </w:tc>
        <w:tc>
          <w:tcPr>
            <w:tcW w:w="1290" w:type="dxa"/>
            <w:tcBorders>
              <w:tl2br w:val="nil"/>
              <w:tr2bl w:val="nil"/>
            </w:tcBorders>
            <w:shd w:val="clear" w:color="auto" w:fill="auto"/>
            <w:vAlign w:val="center"/>
          </w:tcPr>
          <w:p w14:paraId="15E6D36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由省、市、县三级财政承担，不列入生均经费开支</w:t>
            </w:r>
          </w:p>
        </w:tc>
      </w:tr>
      <w:tr w14:paraId="6449D654">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vMerge w:val="continue"/>
            <w:tcBorders>
              <w:tl2br w:val="nil"/>
              <w:tr2bl w:val="nil"/>
            </w:tcBorders>
            <w:shd w:val="clear" w:color="auto" w:fill="auto"/>
            <w:vAlign w:val="center"/>
          </w:tcPr>
          <w:p w14:paraId="4A1265A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c>
          <w:tcPr>
            <w:tcW w:w="1819" w:type="dxa"/>
            <w:vMerge w:val="continue"/>
            <w:tcBorders>
              <w:tl2br w:val="nil"/>
              <w:tr2bl w:val="nil"/>
            </w:tcBorders>
            <w:shd w:val="clear" w:color="auto" w:fill="auto"/>
            <w:vAlign w:val="center"/>
          </w:tcPr>
          <w:p w14:paraId="2181AD0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c>
          <w:tcPr>
            <w:tcW w:w="2231" w:type="dxa"/>
            <w:tcBorders>
              <w:tl2br w:val="nil"/>
              <w:tr2bl w:val="nil"/>
            </w:tcBorders>
            <w:shd w:val="clear" w:color="auto" w:fill="auto"/>
            <w:vAlign w:val="center"/>
          </w:tcPr>
          <w:p w14:paraId="6D4041D3">
            <w:pPr>
              <w:keepNext w:val="0"/>
              <w:keepLines w:val="0"/>
              <w:widowControl/>
              <w:suppressLineNumbers w:val="0"/>
              <w:jc w:val="right"/>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316" w:type="dxa"/>
            <w:tcBorders>
              <w:tl2br w:val="nil"/>
              <w:tr2bl w:val="nil"/>
            </w:tcBorders>
            <w:shd w:val="clear" w:color="auto" w:fill="auto"/>
            <w:vAlign w:val="center"/>
          </w:tcPr>
          <w:p w14:paraId="2150EE50">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付的劳务费包含临聘人员工资（涉及合同工工资发放和加班费用发放）</w:t>
            </w:r>
          </w:p>
        </w:tc>
        <w:tc>
          <w:tcPr>
            <w:tcW w:w="1575" w:type="dxa"/>
            <w:tcBorders>
              <w:tl2br w:val="nil"/>
              <w:tr2bl w:val="nil"/>
            </w:tcBorders>
            <w:shd w:val="clear" w:color="auto" w:fill="auto"/>
            <w:vAlign w:val="center"/>
          </w:tcPr>
          <w:p w14:paraId="303CBEC9">
            <w:pPr>
              <w:widowControl/>
              <w:jc w:val="right"/>
              <w:textAlignment w:val="center"/>
              <w:rPr>
                <w:rFonts w:hint="default" w:ascii="宋体" w:hAnsi="宋体" w:eastAsia="宋体" w:cs="宋体"/>
                <w:b w:val="0"/>
                <w:bCs w:val="0"/>
                <w:i w:val="0"/>
                <w:iCs w:val="0"/>
                <w:color w:val="000000"/>
                <w:kern w:val="0"/>
                <w:sz w:val="22"/>
                <w:szCs w:val="22"/>
                <w:highlight w:val="none"/>
                <w:u w:val="none"/>
                <w:lang w:val="en-US" w:eastAsia="zh-CN" w:bidi="ar"/>
              </w:rPr>
            </w:pPr>
            <w:r>
              <w:rPr>
                <w:rFonts w:hint="eastAsia" w:ascii="宋体" w:hAnsi="宋体" w:eastAsia="宋体" w:cs="宋体"/>
                <w:b w:val="0"/>
                <w:bCs w:val="0"/>
                <w:i w:val="0"/>
                <w:iCs w:val="0"/>
                <w:color w:val="000000"/>
                <w:kern w:val="0"/>
                <w:sz w:val="22"/>
                <w:szCs w:val="22"/>
                <w:highlight w:val="none"/>
                <w:u w:val="none"/>
                <w:lang w:val="en-US" w:eastAsia="zh-CN" w:bidi="ar"/>
              </w:rPr>
              <w:t>297,101.00</w:t>
            </w:r>
          </w:p>
        </w:tc>
        <w:tc>
          <w:tcPr>
            <w:tcW w:w="1290" w:type="dxa"/>
            <w:tcBorders>
              <w:tl2br w:val="nil"/>
              <w:tr2bl w:val="nil"/>
            </w:tcBorders>
            <w:shd w:val="clear" w:color="auto" w:fill="auto"/>
            <w:vAlign w:val="center"/>
          </w:tcPr>
          <w:p w14:paraId="56C14B9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人员经费-工资</w:t>
            </w:r>
          </w:p>
        </w:tc>
      </w:tr>
      <w:tr w14:paraId="73D99055">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2555" w:type="dxa"/>
            <w:gridSpan w:val="2"/>
            <w:tcBorders>
              <w:tl2br w:val="nil"/>
              <w:tr2bl w:val="nil"/>
            </w:tcBorders>
            <w:shd w:val="clear" w:color="auto" w:fill="auto"/>
            <w:vAlign w:val="center"/>
          </w:tcPr>
          <w:p w14:paraId="3594FBC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小 计</w:t>
            </w:r>
          </w:p>
        </w:tc>
        <w:tc>
          <w:tcPr>
            <w:tcW w:w="2231" w:type="dxa"/>
            <w:tcBorders>
              <w:tl2br w:val="nil"/>
              <w:tr2bl w:val="nil"/>
            </w:tcBorders>
            <w:shd w:val="clear" w:color="auto" w:fill="auto"/>
            <w:vAlign w:val="center"/>
          </w:tcPr>
          <w:p w14:paraId="413B1374">
            <w:pPr>
              <w:keepNext w:val="0"/>
              <w:keepLines w:val="0"/>
              <w:widowControl/>
              <w:suppressLineNumbers w:val="0"/>
              <w:jc w:val="right"/>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316" w:type="dxa"/>
            <w:tcBorders>
              <w:tl2br w:val="nil"/>
              <w:tr2bl w:val="nil"/>
            </w:tcBorders>
            <w:shd w:val="clear" w:color="auto" w:fill="auto"/>
            <w:vAlign w:val="center"/>
          </w:tcPr>
          <w:p w14:paraId="1585FA1E">
            <w:pPr>
              <w:keepNext w:val="0"/>
              <w:keepLines w:val="0"/>
              <w:widowControl/>
              <w:suppressLineNumbers w:val="0"/>
              <w:jc w:val="right"/>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575" w:type="dxa"/>
            <w:tcBorders>
              <w:tl2br w:val="nil"/>
              <w:tr2bl w:val="nil"/>
            </w:tcBorders>
            <w:shd w:val="clear" w:color="auto" w:fill="auto"/>
            <w:vAlign w:val="center"/>
          </w:tcPr>
          <w:p w14:paraId="49EAD954">
            <w:pPr>
              <w:widowControl/>
              <w:jc w:val="right"/>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708,361.00</w:t>
            </w:r>
          </w:p>
        </w:tc>
        <w:tc>
          <w:tcPr>
            <w:tcW w:w="1290" w:type="dxa"/>
            <w:tcBorders>
              <w:tl2br w:val="nil"/>
              <w:tr2bl w:val="nil"/>
            </w:tcBorders>
            <w:shd w:val="clear" w:color="auto" w:fill="auto"/>
            <w:vAlign w:val="center"/>
          </w:tcPr>
          <w:p w14:paraId="1121A27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r>
      <w:tr w14:paraId="5DB102A1">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2555" w:type="dxa"/>
            <w:gridSpan w:val="2"/>
            <w:tcBorders>
              <w:tl2br w:val="nil"/>
              <w:tr2bl w:val="nil"/>
            </w:tcBorders>
            <w:shd w:val="clear" w:color="auto" w:fill="auto"/>
            <w:vAlign w:val="center"/>
          </w:tcPr>
          <w:p w14:paraId="619EC3A2">
            <w:pPr>
              <w:widowControl/>
              <w:jc w:val="center"/>
              <w:textAlignment w:val="center"/>
              <w:rPr>
                <w:rFonts w:hint="eastAsia" w:ascii="宋体" w:hAnsi="宋体" w:eastAsia="宋体" w:cs="宋体"/>
                <w:b/>
                <w:bCs/>
                <w:sz w:val="24"/>
                <w:highlight w:val="none"/>
              </w:rPr>
            </w:pPr>
            <w:r>
              <w:rPr>
                <w:rFonts w:hint="eastAsia" w:ascii="宋体" w:hAnsi="宋体" w:eastAsia="宋体" w:cs="宋体"/>
                <w:b/>
                <w:bCs/>
                <w:sz w:val="24"/>
                <w:highlight w:val="none"/>
              </w:rPr>
              <w:t>合  计</w:t>
            </w:r>
          </w:p>
        </w:tc>
        <w:tc>
          <w:tcPr>
            <w:tcW w:w="2231" w:type="dxa"/>
            <w:tcBorders>
              <w:tl2br w:val="nil"/>
              <w:tr2bl w:val="nil"/>
            </w:tcBorders>
            <w:shd w:val="clear" w:color="auto" w:fill="auto"/>
            <w:vAlign w:val="center"/>
          </w:tcPr>
          <w:p w14:paraId="253CCA50">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highlight w:val="none"/>
                <w:u w:val="none"/>
                <w:lang w:val="en-US" w:eastAsia="zh-CN" w:bidi="ar-SA"/>
              </w:rPr>
            </w:pPr>
          </w:p>
        </w:tc>
        <w:tc>
          <w:tcPr>
            <w:tcW w:w="2316" w:type="dxa"/>
            <w:tcBorders>
              <w:tl2br w:val="nil"/>
              <w:tr2bl w:val="nil"/>
            </w:tcBorders>
            <w:shd w:val="clear" w:color="auto" w:fill="auto"/>
            <w:vAlign w:val="center"/>
          </w:tcPr>
          <w:p w14:paraId="545F5CCF">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highlight w:val="none"/>
                <w:u w:val="none"/>
                <w:lang w:val="en-US" w:eastAsia="zh-CN" w:bidi="ar-SA"/>
              </w:rPr>
            </w:pPr>
          </w:p>
        </w:tc>
        <w:tc>
          <w:tcPr>
            <w:tcW w:w="1575" w:type="dxa"/>
            <w:tcBorders>
              <w:tl2br w:val="nil"/>
              <w:tr2bl w:val="nil"/>
            </w:tcBorders>
            <w:shd w:val="clear" w:color="auto" w:fill="auto"/>
            <w:vAlign w:val="center"/>
          </w:tcPr>
          <w:p w14:paraId="3F004B34">
            <w:pPr>
              <w:keepNext w:val="0"/>
              <w:keepLines w:val="0"/>
              <w:widowControl/>
              <w:suppressLineNumbers w:val="0"/>
              <w:jc w:val="right"/>
              <w:textAlignment w:val="center"/>
              <w:rPr>
                <w:rFonts w:hint="default"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1,537,245.41</w:t>
            </w:r>
          </w:p>
        </w:tc>
        <w:tc>
          <w:tcPr>
            <w:tcW w:w="1290" w:type="dxa"/>
            <w:tcBorders>
              <w:tl2br w:val="nil"/>
              <w:tr2bl w:val="nil"/>
            </w:tcBorders>
            <w:shd w:val="clear" w:color="auto" w:fill="auto"/>
            <w:vAlign w:val="center"/>
          </w:tcPr>
          <w:p w14:paraId="1ABAAC55">
            <w:pPr>
              <w:widowControl/>
              <w:jc w:val="right"/>
              <w:textAlignment w:val="center"/>
              <w:rPr>
                <w:rFonts w:hint="default" w:ascii="宋体" w:hAnsi="宋体" w:eastAsia="宋体" w:cs="宋体"/>
                <w:b/>
                <w:bCs/>
                <w:color w:val="000000"/>
                <w:kern w:val="0"/>
                <w:sz w:val="24"/>
                <w:highlight w:val="none"/>
                <w:lang w:val="en-US" w:eastAsia="zh-CN"/>
              </w:rPr>
            </w:pPr>
          </w:p>
        </w:tc>
      </w:tr>
    </w:tbl>
    <w:p w14:paraId="3C631E07">
      <w:pPr>
        <w:pStyle w:val="2"/>
        <w:numPr>
          <w:ilvl w:val="0"/>
          <w:numId w:val="0"/>
        </w:numPr>
        <w:spacing w:line="560" w:lineRule="exact"/>
        <w:ind w:firstLine="640" w:firstLineChars="200"/>
        <w:rPr>
          <w:rFonts w:hint="eastAsia" w:hAnsi="宋体" w:eastAsia="宋体" w:cs="宋体"/>
          <w:sz w:val="32"/>
          <w:szCs w:val="32"/>
          <w:highlight w:val="none"/>
          <w:lang w:val="en-US" w:eastAsia="zh-CN"/>
        </w:rPr>
      </w:pPr>
      <w:r>
        <w:rPr>
          <w:rFonts w:hint="eastAsia" w:hAnsi="宋体" w:eastAsia="宋体" w:cs="宋体"/>
          <w:sz w:val="32"/>
          <w:szCs w:val="32"/>
          <w:highlight w:val="none"/>
          <w:lang w:val="en-US" w:eastAsia="zh-CN"/>
        </w:rPr>
        <w:t>（七）附件缺失和逻辑矛盾</w:t>
      </w:r>
    </w:p>
    <w:p w14:paraId="7B378A4E">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lang w:val="en-US" w:eastAsia="zh-CN"/>
        </w:rPr>
      </w:pPr>
      <w:r>
        <w:rPr>
          <w:rFonts w:hint="eastAsia" w:ascii="宋体" w:hAnsi="宋体" w:eastAsia="宋体" w:cs="宋体"/>
          <w:spacing w:val="-6"/>
          <w:kern w:val="0"/>
          <w:sz w:val="32"/>
          <w:szCs w:val="32"/>
          <w:highlight w:val="none"/>
          <w:shd w:val="clear" w:color="auto" w:fill="FFFFFF"/>
        </w:rPr>
        <w:t>现场评价发现</w:t>
      </w:r>
      <w:r>
        <w:rPr>
          <w:rFonts w:hint="eastAsia" w:ascii="宋体" w:hAnsi="宋体" w:eastAsia="宋体" w:cs="宋体"/>
          <w:spacing w:val="-6"/>
          <w:kern w:val="0"/>
          <w:sz w:val="32"/>
          <w:szCs w:val="32"/>
          <w:highlight w:val="none"/>
          <w:shd w:val="clear" w:color="auto" w:fill="FFFFFF"/>
          <w:lang w:eastAsia="zh-CN"/>
        </w:rPr>
        <w:t>：</w:t>
      </w:r>
    </w:p>
    <w:p w14:paraId="28861753">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lang w:val="en-US" w:eastAsia="zh-CN"/>
        </w:rPr>
      </w:pPr>
      <w:r>
        <w:rPr>
          <w:rFonts w:hint="eastAsia" w:ascii="宋体" w:hAnsi="宋体" w:eastAsia="宋体" w:cs="宋体"/>
          <w:spacing w:val="-6"/>
          <w:kern w:val="0"/>
          <w:sz w:val="32"/>
          <w:szCs w:val="32"/>
          <w:highlight w:val="none"/>
          <w:shd w:val="clear" w:color="auto" w:fill="FFFFFF"/>
          <w:lang w:val="en-US" w:eastAsia="zh-CN"/>
        </w:rPr>
        <w:t>益阳市第十三中学2024年2月记15号凭证中支付多媒体设备维修费9</w:t>
      </w:r>
      <w:r>
        <w:rPr>
          <w:rFonts w:hint="eastAsia" w:hAnsi="宋体" w:eastAsia="宋体" w:cs="宋体"/>
          <w:spacing w:val="-6"/>
          <w:kern w:val="0"/>
          <w:sz w:val="32"/>
          <w:szCs w:val="32"/>
          <w:highlight w:val="none"/>
          <w:shd w:val="clear" w:color="auto" w:fill="FFFFFF"/>
          <w:lang w:val="en-US" w:eastAsia="zh-CN"/>
        </w:rPr>
        <w:t>,</w:t>
      </w:r>
      <w:r>
        <w:rPr>
          <w:rFonts w:hint="eastAsia" w:ascii="宋体" w:hAnsi="宋体" w:eastAsia="宋体" w:cs="宋体"/>
          <w:spacing w:val="-6"/>
          <w:kern w:val="0"/>
          <w:sz w:val="32"/>
          <w:szCs w:val="32"/>
          <w:highlight w:val="none"/>
          <w:shd w:val="clear" w:color="auto" w:fill="FFFFFF"/>
          <w:lang w:val="en-US" w:eastAsia="zh-CN"/>
        </w:rPr>
        <w:t>390</w:t>
      </w:r>
      <w:r>
        <w:rPr>
          <w:rFonts w:hint="eastAsia" w:hAnsi="宋体" w:eastAsia="宋体" w:cs="宋体"/>
          <w:spacing w:val="-6"/>
          <w:kern w:val="0"/>
          <w:sz w:val="32"/>
          <w:szCs w:val="32"/>
          <w:highlight w:val="none"/>
          <w:shd w:val="clear" w:color="auto" w:fill="FFFFFF"/>
          <w:lang w:val="en-US" w:eastAsia="zh-CN"/>
        </w:rPr>
        <w:t>.00</w:t>
      </w:r>
      <w:r>
        <w:rPr>
          <w:rFonts w:hint="eastAsia" w:ascii="宋体" w:hAnsi="宋体" w:eastAsia="宋体" w:cs="宋体"/>
          <w:spacing w:val="-6"/>
          <w:kern w:val="0"/>
          <w:sz w:val="32"/>
          <w:szCs w:val="32"/>
          <w:highlight w:val="none"/>
          <w:shd w:val="clear" w:color="auto" w:fill="FFFFFF"/>
          <w:lang w:val="en-US" w:eastAsia="zh-CN"/>
        </w:rPr>
        <w:t>元中，开发票的时间为2024年1月27日，后附件收据日期为2023年10月日至2024年2月，开票时间早于收据时间，真实性存疑。</w:t>
      </w:r>
    </w:p>
    <w:p w14:paraId="3B5C4EA0">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lang w:val="en-US" w:eastAsia="zh-CN"/>
        </w:rPr>
      </w:pPr>
      <w:r>
        <w:rPr>
          <w:rFonts w:hint="eastAsia" w:ascii="宋体" w:hAnsi="宋体" w:eastAsia="宋体" w:cs="宋体"/>
          <w:spacing w:val="-6"/>
          <w:kern w:val="0"/>
          <w:sz w:val="32"/>
          <w:szCs w:val="32"/>
          <w:highlight w:val="none"/>
          <w:shd w:val="clear" w:color="auto" w:fill="FFFFFF"/>
          <w:lang w:val="en-US" w:eastAsia="zh-CN"/>
        </w:rPr>
        <w:t>益阳市第十五中学在维修费用报销凭证的管理上存在不规范之处，主要问题在于附件不完整、关键信息缺失。</w:t>
      </w:r>
      <w:r>
        <w:rPr>
          <w:rFonts w:hint="eastAsia" w:ascii="宋体" w:hAnsi="宋体" w:eastAsia="宋体" w:cs="宋体"/>
          <w:sz w:val="32"/>
          <w:szCs w:val="32"/>
          <w:highlight w:val="none"/>
        </w:rPr>
        <w:t>益阳市第十五中学</w:t>
      </w:r>
      <w:r>
        <w:rPr>
          <w:rFonts w:hint="eastAsia" w:ascii="宋体" w:hAnsi="宋体" w:eastAsia="宋体" w:cs="宋体"/>
          <w:sz w:val="32"/>
          <w:szCs w:val="32"/>
          <w:highlight w:val="none"/>
          <w:lang w:val="en-US" w:eastAsia="zh-CN"/>
        </w:rPr>
        <w:t>零星</w:t>
      </w:r>
      <w:r>
        <w:rPr>
          <w:rFonts w:hint="eastAsia" w:ascii="宋体" w:hAnsi="宋体" w:eastAsia="宋体" w:cs="宋体"/>
          <w:sz w:val="32"/>
          <w:szCs w:val="32"/>
          <w:highlight w:val="none"/>
          <w:lang w:eastAsia="zh-CN"/>
        </w:rPr>
        <w:t>维修及维修添置费用</w:t>
      </w:r>
      <w:r>
        <w:rPr>
          <w:rFonts w:hint="eastAsia" w:ascii="宋体" w:hAnsi="宋体" w:eastAsia="宋体" w:cs="宋体"/>
          <w:sz w:val="32"/>
          <w:szCs w:val="32"/>
          <w:highlight w:val="none"/>
        </w:rPr>
        <w:t>为872</w:t>
      </w:r>
      <w:r>
        <w:rPr>
          <w:rFonts w:hint="eastAsia" w:ascii="宋体" w:hAnsi="宋体" w:eastAsia="宋体" w:cs="宋体"/>
          <w:sz w:val="32"/>
          <w:szCs w:val="32"/>
          <w:highlight w:val="none"/>
          <w:lang w:val="en-US" w:eastAsia="zh-CN"/>
        </w:rPr>
        <w:t>,</w:t>
      </w:r>
      <w:r>
        <w:rPr>
          <w:rFonts w:hint="eastAsia" w:ascii="宋体" w:hAnsi="宋体" w:eastAsia="宋体" w:cs="宋体"/>
          <w:sz w:val="32"/>
          <w:szCs w:val="32"/>
          <w:highlight w:val="none"/>
        </w:rPr>
        <w:t>807</w:t>
      </w:r>
      <w:r>
        <w:rPr>
          <w:rFonts w:hint="eastAsia" w:ascii="宋体" w:hAnsi="宋体" w:eastAsia="宋体" w:cs="宋体"/>
          <w:sz w:val="32"/>
          <w:szCs w:val="32"/>
          <w:highlight w:val="none"/>
          <w:lang w:val="en-US" w:eastAsia="zh-CN"/>
        </w:rPr>
        <w:t>.00</w:t>
      </w:r>
      <w:r>
        <w:rPr>
          <w:rFonts w:hint="eastAsia" w:ascii="宋体" w:hAnsi="宋体" w:eastAsia="宋体" w:cs="宋体"/>
          <w:sz w:val="32"/>
          <w:szCs w:val="32"/>
          <w:highlight w:val="none"/>
        </w:rPr>
        <w:t>元</w:t>
      </w:r>
      <w:r>
        <w:rPr>
          <w:rFonts w:hint="eastAsia" w:hAnsi="宋体" w:eastAsia="宋体" w:cs="宋体"/>
          <w:sz w:val="32"/>
          <w:szCs w:val="32"/>
          <w:highlight w:val="none"/>
          <w:lang w:eastAsia="zh-CN"/>
        </w:rPr>
        <w:t>，</w:t>
      </w:r>
      <w:r>
        <w:rPr>
          <w:rFonts w:hint="eastAsia" w:ascii="宋体" w:hAnsi="宋体" w:eastAsia="宋体" w:cs="宋体"/>
          <w:spacing w:val="-6"/>
          <w:kern w:val="0"/>
          <w:sz w:val="32"/>
          <w:szCs w:val="32"/>
          <w:highlight w:val="none"/>
          <w:shd w:val="clear" w:color="auto" w:fill="FFFFFF"/>
          <w:lang w:val="en-US" w:eastAsia="zh-CN"/>
        </w:rPr>
        <w:t>现有材料在内容完整性方面存在以下不足：</w:t>
      </w:r>
      <w:r>
        <w:rPr>
          <w:rFonts w:hint="eastAsia" w:hAnsi="宋体" w:eastAsia="宋体" w:cs="宋体"/>
          <w:spacing w:val="-6"/>
          <w:kern w:val="0"/>
          <w:sz w:val="32"/>
          <w:szCs w:val="32"/>
          <w:highlight w:val="none"/>
          <w:shd w:val="clear" w:color="auto" w:fill="FFFFFF"/>
          <w:lang w:val="en-US" w:eastAsia="zh-CN"/>
        </w:rPr>
        <w:t>①</w:t>
      </w:r>
      <w:r>
        <w:rPr>
          <w:rFonts w:hint="eastAsia" w:ascii="宋体" w:hAnsi="宋体" w:eastAsia="宋体" w:cs="宋体"/>
          <w:spacing w:val="-6"/>
          <w:kern w:val="0"/>
          <w:sz w:val="32"/>
          <w:szCs w:val="32"/>
          <w:highlight w:val="none"/>
          <w:shd w:val="clear" w:color="auto" w:fill="FFFFFF"/>
          <w:lang w:val="en-US" w:eastAsia="zh-CN"/>
        </w:rPr>
        <w:t>现有凭证中缺少事前环节的《维修申请/审批单》，《维修申请/审批单》作为关键内控附件，必须经部门负责人及校领导签字批准，以完成事前审批流程。此外，部分维修合同或协议中也未明确载入“维修范围与工作内容”条款，导致履约及验收依据不足。</w:t>
      </w:r>
      <w:r>
        <w:rPr>
          <w:rFonts w:hint="eastAsia" w:hAnsi="宋体" w:eastAsia="宋体" w:cs="宋体"/>
          <w:spacing w:val="-6"/>
          <w:kern w:val="0"/>
          <w:sz w:val="32"/>
          <w:szCs w:val="32"/>
          <w:highlight w:val="none"/>
          <w:shd w:val="clear" w:color="auto" w:fill="FFFFFF"/>
          <w:lang w:val="en-US" w:eastAsia="zh-CN"/>
        </w:rPr>
        <w:t>②</w:t>
      </w:r>
      <w:r>
        <w:rPr>
          <w:rFonts w:hint="eastAsia" w:ascii="宋体" w:hAnsi="宋体" w:eastAsia="宋体" w:cs="宋体"/>
          <w:spacing w:val="-6"/>
          <w:kern w:val="0"/>
          <w:sz w:val="32"/>
          <w:szCs w:val="32"/>
          <w:highlight w:val="none"/>
          <w:shd w:val="clear" w:color="auto" w:fill="FFFFFF"/>
          <w:lang w:val="en-US" w:eastAsia="zh-CN"/>
        </w:rPr>
        <w:t>报销材料仅附有维修物料清单，未详细注明维修地点、说明具体维修位置、损坏</w:t>
      </w:r>
      <w:r>
        <w:rPr>
          <w:rFonts w:hint="eastAsia" w:hAnsi="宋体" w:eastAsia="宋体" w:cs="宋体"/>
          <w:spacing w:val="-6"/>
          <w:kern w:val="0"/>
          <w:sz w:val="32"/>
          <w:szCs w:val="32"/>
          <w:highlight w:val="none"/>
          <w:shd w:val="clear" w:color="auto" w:fill="FFFFFF"/>
          <w:lang w:val="en-US" w:eastAsia="zh-CN"/>
        </w:rPr>
        <w:t>具体</w:t>
      </w:r>
      <w:r>
        <w:rPr>
          <w:rFonts w:hint="eastAsia" w:ascii="宋体" w:hAnsi="宋体" w:eastAsia="宋体" w:cs="宋体"/>
          <w:spacing w:val="-6"/>
          <w:kern w:val="0"/>
          <w:sz w:val="32"/>
          <w:szCs w:val="32"/>
          <w:highlight w:val="none"/>
          <w:shd w:val="clear" w:color="auto" w:fill="FFFFFF"/>
          <w:lang w:val="en-US" w:eastAsia="zh-CN"/>
        </w:rPr>
        <w:t>状况</w:t>
      </w:r>
      <w:r>
        <w:rPr>
          <w:rFonts w:hint="eastAsia" w:hAnsi="宋体" w:eastAsia="宋体" w:cs="宋体"/>
          <w:spacing w:val="-6"/>
          <w:kern w:val="0"/>
          <w:sz w:val="32"/>
          <w:szCs w:val="32"/>
          <w:highlight w:val="none"/>
          <w:shd w:val="clear" w:color="auto" w:fill="FFFFFF"/>
          <w:lang w:val="en-US" w:eastAsia="zh-CN"/>
        </w:rPr>
        <w:t>、</w:t>
      </w:r>
      <w:r>
        <w:rPr>
          <w:rFonts w:hint="eastAsia" w:ascii="宋体" w:hAnsi="宋体" w:eastAsia="宋体" w:cs="宋体"/>
          <w:spacing w:val="-6"/>
          <w:kern w:val="0"/>
          <w:sz w:val="32"/>
          <w:szCs w:val="32"/>
          <w:highlight w:val="none"/>
          <w:shd w:val="clear" w:color="auto" w:fill="FFFFFF"/>
          <w:lang w:val="en-US" w:eastAsia="zh-CN"/>
        </w:rPr>
        <w:t>维修施工要求</w:t>
      </w:r>
      <w:r>
        <w:rPr>
          <w:rFonts w:hint="eastAsia" w:hAnsi="宋体" w:eastAsia="宋体" w:cs="宋体"/>
          <w:spacing w:val="-6"/>
          <w:kern w:val="0"/>
          <w:sz w:val="32"/>
          <w:szCs w:val="32"/>
          <w:highlight w:val="none"/>
          <w:shd w:val="clear" w:color="auto" w:fill="FFFFFF"/>
          <w:lang w:val="en-US" w:eastAsia="zh-CN"/>
        </w:rPr>
        <w:t>、</w:t>
      </w:r>
      <w:r>
        <w:rPr>
          <w:rFonts w:hint="eastAsia" w:ascii="宋体" w:hAnsi="宋体" w:eastAsia="宋体" w:cs="宋体"/>
          <w:spacing w:val="-6"/>
          <w:kern w:val="0"/>
          <w:sz w:val="32"/>
          <w:szCs w:val="32"/>
          <w:highlight w:val="none"/>
          <w:shd w:val="clear" w:color="auto" w:fill="FFFFFF"/>
          <w:lang w:val="en-US" w:eastAsia="zh-CN"/>
        </w:rPr>
        <w:t>维修内容以及审批意见，不符合财务制度对支出真实性、合规性的基本要求</w:t>
      </w:r>
      <w:r>
        <w:rPr>
          <w:rFonts w:hint="eastAsia" w:hAnsi="宋体" w:eastAsia="宋体" w:cs="宋体"/>
          <w:spacing w:val="-6"/>
          <w:kern w:val="0"/>
          <w:sz w:val="32"/>
          <w:szCs w:val="32"/>
          <w:highlight w:val="none"/>
          <w:shd w:val="clear" w:color="auto" w:fill="FFFFFF"/>
          <w:lang w:val="en-US" w:eastAsia="zh-CN"/>
        </w:rPr>
        <w:t>，</w:t>
      </w:r>
      <w:r>
        <w:rPr>
          <w:rFonts w:hint="eastAsia" w:ascii="宋体" w:hAnsi="宋体" w:eastAsia="宋体" w:cs="宋体"/>
          <w:spacing w:val="-6"/>
          <w:kern w:val="0"/>
          <w:sz w:val="32"/>
          <w:szCs w:val="32"/>
          <w:highlight w:val="none"/>
          <w:shd w:val="clear" w:color="auto" w:fill="FFFFFF"/>
          <w:lang w:val="en-US" w:eastAsia="zh-CN"/>
        </w:rPr>
        <w:t>此类凭证无法有效证明维修业务确已发生及其支出的必要性，难以区分该笔支出属于实际维修工程还是单纯物资采购，存在一定的财务风险。</w:t>
      </w:r>
    </w:p>
    <w:p w14:paraId="06B488CC">
      <w:pPr>
        <w:pStyle w:val="2"/>
        <w:spacing w:line="560" w:lineRule="exact"/>
        <w:ind w:firstLine="616" w:firstLineChars="200"/>
        <w:rPr>
          <w:rFonts w:hint="eastAsia" w:hAnsi="宋体" w:eastAsia="宋体" w:cs="宋体"/>
          <w:spacing w:val="-6"/>
          <w:kern w:val="0"/>
          <w:sz w:val="32"/>
          <w:szCs w:val="32"/>
          <w:highlight w:val="none"/>
          <w:shd w:val="clear" w:color="auto" w:fill="FFFFFF"/>
          <w:lang w:val="en-US" w:eastAsia="zh-CN"/>
        </w:rPr>
      </w:pPr>
      <w:r>
        <w:rPr>
          <w:rFonts w:hint="eastAsia" w:hAnsi="宋体" w:eastAsia="宋体" w:cs="宋体"/>
          <w:spacing w:val="-6"/>
          <w:kern w:val="0"/>
          <w:sz w:val="32"/>
          <w:szCs w:val="32"/>
          <w:highlight w:val="none"/>
          <w:shd w:val="clear" w:color="auto" w:fill="FFFFFF"/>
          <w:lang w:val="en-US" w:eastAsia="zh-CN"/>
        </w:rPr>
        <w:t>（八）学校水电费支付账户不合规</w:t>
      </w:r>
    </w:p>
    <w:p w14:paraId="17E17439">
      <w:pPr>
        <w:pStyle w:val="2"/>
        <w:spacing w:line="560" w:lineRule="exact"/>
        <w:ind w:firstLine="616" w:firstLineChars="200"/>
        <w:rPr>
          <w:rFonts w:hint="eastAsia" w:hAnsi="宋体" w:eastAsia="宋体" w:cs="宋体"/>
          <w:spacing w:val="-6"/>
          <w:kern w:val="0"/>
          <w:sz w:val="32"/>
          <w:szCs w:val="32"/>
          <w:highlight w:val="none"/>
          <w:shd w:val="clear" w:color="auto" w:fill="FFFFFF"/>
          <w:lang w:eastAsia="zh-CN"/>
        </w:rPr>
      </w:pPr>
      <w:r>
        <w:rPr>
          <w:rFonts w:hint="eastAsia" w:ascii="宋体" w:hAnsi="宋体" w:eastAsia="宋体" w:cs="宋体"/>
          <w:spacing w:val="-6"/>
          <w:kern w:val="0"/>
          <w:sz w:val="32"/>
          <w:szCs w:val="32"/>
          <w:highlight w:val="none"/>
          <w:shd w:val="clear" w:color="auto" w:fill="FFFFFF"/>
        </w:rPr>
        <w:t>现场评价发现</w:t>
      </w:r>
      <w:r>
        <w:rPr>
          <w:rFonts w:hint="eastAsia" w:hAnsi="宋体" w:eastAsia="宋体" w:cs="宋体"/>
          <w:spacing w:val="-6"/>
          <w:kern w:val="0"/>
          <w:sz w:val="32"/>
          <w:szCs w:val="32"/>
          <w:highlight w:val="none"/>
          <w:shd w:val="clear" w:color="auto" w:fill="FFFFFF"/>
          <w:lang w:eastAsia="zh-CN"/>
        </w:rPr>
        <w:t>：</w:t>
      </w:r>
    </w:p>
    <w:p w14:paraId="0C8F1C32">
      <w:pPr>
        <w:pStyle w:val="2"/>
        <w:spacing w:line="560" w:lineRule="exact"/>
        <w:ind w:firstLine="616" w:firstLineChars="200"/>
        <w:rPr>
          <w:rFonts w:hint="eastAsia" w:hAnsi="宋体" w:eastAsia="宋体" w:cs="宋体"/>
          <w:spacing w:val="-6"/>
          <w:kern w:val="0"/>
          <w:sz w:val="32"/>
          <w:szCs w:val="32"/>
          <w:highlight w:val="none"/>
          <w:shd w:val="clear" w:color="auto" w:fill="FFFFFF"/>
          <w:lang w:eastAsia="zh-CN"/>
        </w:rPr>
      </w:pPr>
      <w:r>
        <w:rPr>
          <w:rFonts w:hint="eastAsia" w:hAnsi="宋体" w:eastAsia="宋体" w:cs="宋体"/>
          <w:spacing w:val="-6"/>
          <w:kern w:val="0"/>
          <w:sz w:val="32"/>
          <w:szCs w:val="32"/>
          <w:highlight w:val="none"/>
          <w:shd w:val="clear" w:color="auto" w:fill="FFFFFF"/>
          <w:lang w:eastAsia="zh-CN"/>
        </w:rPr>
        <w:t>益阳市第十三中学用张欣私人卡支付水电费，涉及金额</w:t>
      </w:r>
      <w:r>
        <w:rPr>
          <w:rFonts w:hint="eastAsia" w:hAnsi="宋体" w:eastAsia="宋体" w:cs="宋体"/>
          <w:spacing w:val="-6"/>
          <w:kern w:val="0"/>
          <w:sz w:val="32"/>
          <w:szCs w:val="32"/>
          <w:highlight w:val="none"/>
          <w:shd w:val="clear" w:color="auto" w:fill="FFFFFF"/>
          <w:lang w:val="en-US" w:eastAsia="zh-CN"/>
        </w:rPr>
        <w:t>729,808.96元，</w:t>
      </w:r>
      <w:r>
        <w:rPr>
          <w:rFonts w:hint="eastAsia" w:hAnsi="宋体" w:eastAsia="宋体" w:cs="宋体"/>
          <w:spacing w:val="-6"/>
          <w:kern w:val="0"/>
          <w:sz w:val="32"/>
          <w:szCs w:val="32"/>
          <w:highlight w:val="none"/>
          <w:shd w:val="clear" w:color="auto" w:fill="FFFFFF"/>
          <w:lang w:eastAsia="zh-CN"/>
        </w:rPr>
        <w:t>学校水电费支付通过私人卡支付不符合报销规定，水电费通过私人账户支出，违背 “公款公付” 的财务基本规范。根据《人民币银行结算账户管理办法》规定，企业必须通过银行结算账户办理资金收付，不得利用个人账户替代对公账户进行经营性收支。学校作为事业单位，其水电费支出属于公务支出范畴，应通过公务卡或转账等方式结算。</w:t>
      </w:r>
      <w:r>
        <w:rPr>
          <w:rFonts w:hint="eastAsia" w:hAnsi="宋体" w:eastAsia="宋体" w:cs="宋体"/>
          <w:spacing w:val="-6"/>
          <w:kern w:val="0"/>
          <w:sz w:val="32"/>
          <w:szCs w:val="32"/>
          <w:highlight w:val="none"/>
          <w:shd w:val="clear" w:color="auto" w:fill="FFFFFF"/>
          <w:lang w:val="en-US" w:eastAsia="zh-CN"/>
        </w:rPr>
        <w:t>且</w:t>
      </w:r>
      <w:r>
        <w:rPr>
          <w:rFonts w:hint="eastAsia" w:hAnsi="宋体" w:eastAsia="宋体" w:cs="宋体"/>
          <w:spacing w:val="-6"/>
          <w:kern w:val="0"/>
          <w:sz w:val="32"/>
          <w:szCs w:val="32"/>
          <w:highlight w:val="none"/>
          <w:shd w:val="clear" w:color="auto" w:fill="FFFFFF"/>
          <w:lang w:eastAsia="zh-CN"/>
        </w:rPr>
        <w:t>电费通过另外一家培训学校支出，属于“代付转嫁” 行为，违背业务归属与财务核算的匹配性原则。此外，用私人卡支付水电费还可能存在资金安全风险、财务监管漏洞。</w:t>
      </w:r>
    </w:p>
    <w:p w14:paraId="7F3F374D">
      <w:pPr>
        <w:pStyle w:val="2"/>
        <w:spacing w:line="560" w:lineRule="exact"/>
        <w:ind w:firstLine="616" w:firstLineChars="200"/>
        <w:rPr>
          <w:rFonts w:hint="eastAsia" w:hAnsi="宋体" w:eastAsia="宋体" w:cs="宋体"/>
          <w:spacing w:val="-6"/>
          <w:kern w:val="0"/>
          <w:sz w:val="32"/>
          <w:szCs w:val="32"/>
          <w:highlight w:val="none"/>
          <w:shd w:val="clear" w:color="auto" w:fill="FFFFFF"/>
          <w:lang w:eastAsia="zh-CN"/>
        </w:rPr>
      </w:pPr>
      <w:r>
        <w:rPr>
          <w:rFonts w:hint="eastAsia" w:hAnsi="宋体" w:eastAsia="宋体" w:cs="宋体"/>
          <w:spacing w:val="-6"/>
          <w:kern w:val="0"/>
          <w:sz w:val="32"/>
          <w:szCs w:val="32"/>
          <w:highlight w:val="none"/>
          <w:shd w:val="clear" w:color="auto" w:fill="FFFFFF"/>
          <w:lang w:eastAsia="zh-CN"/>
        </w:rPr>
        <w:t>益阳市第十六中学用食堂户垫支电费，涉及金额</w:t>
      </w:r>
      <w:r>
        <w:rPr>
          <w:rFonts w:hint="eastAsia" w:hAnsi="宋体" w:eastAsia="宋体" w:cs="宋体"/>
          <w:spacing w:val="-6"/>
          <w:kern w:val="0"/>
          <w:sz w:val="32"/>
          <w:szCs w:val="32"/>
          <w:highlight w:val="none"/>
          <w:shd w:val="clear" w:color="auto" w:fill="FFFFFF"/>
          <w:lang w:val="en-US" w:eastAsia="zh-CN"/>
        </w:rPr>
        <w:t>312,667.07元</w:t>
      </w:r>
      <w:r>
        <w:rPr>
          <w:rFonts w:hint="eastAsia" w:hAnsi="宋体" w:eastAsia="宋体" w:cs="宋体"/>
          <w:spacing w:val="-6"/>
          <w:kern w:val="0"/>
          <w:sz w:val="32"/>
          <w:szCs w:val="32"/>
          <w:highlight w:val="none"/>
          <w:shd w:val="clear" w:color="auto" w:fill="FFFFFF"/>
          <w:lang w:eastAsia="zh-CN"/>
        </w:rPr>
        <w:t>，用食堂户资金垫付电费不符合账户管理规定，属于违规使用资金。学校食堂户资金专款专用、独立核算，仅能用于食堂日常经营相关支出，如食材采购、食堂员工薪酬、食堂设备维修等，确保资金流向与食堂运营直接相关。而学校电费属于学校整体公用经费开支范畴，应从学校基本户或对应公用经费账户列支，不得占用食堂专项账户资金，这混淆了两种性质完全不同的资金，属于典型的“混用账户”。</w:t>
      </w:r>
    </w:p>
    <w:p w14:paraId="7A0C459B">
      <w:pPr>
        <w:pStyle w:val="15"/>
        <w:spacing w:beforeAutospacing="0" w:afterAutospacing="0" w:line="560" w:lineRule="exact"/>
        <w:ind w:firstLine="616" w:firstLineChars="200"/>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五、有关建议</w:t>
      </w:r>
    </w:p>
    <w:p w14:paraId="534877BB">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w:t>
      </w:r>
      <w:r>
        <w:rPr>
          <w:rFonts w:hint="eastAsia" w:ascii="宋体" w:hAnsi="宋体" w:eastAsia="宋体" w:cs="宋体"/>
          <w:spacing w:val="-6"/>
          <w:kern w:val="0"/>
          <w:sz w:val="32"/>
          <w:szCs w:val="32"/>
          <w:highlight w:val="none"/>
          <w:shd w:val="clear" w:color="auto" w:fill="FFFFFF"/>
          <w:lang w:val="en-US" w:eastAsia="zh-CN"/>
        </w:rPr>
        <w:t>一）加强绩效管理，规范绩效管理流程</w:t>
      </w:r>
    </w:p>
    <w:p w14:paraId="1E615D25">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lang w:eastAsia="zh-CN"/>
        </w:rPr>
      </w:pPr>
      <w:r>
        <w:rPr>
          <w:rFonts w:hint="eastAsia" w:ascii="宋体" w:hAnsi="宋体" w:eastAsia="宋体" w:cs="宋体"/>
          <w:spacing w:val="-6"/>
          <w:kern w:val="0"/>
          <w:sz w:val="32"/>
          <w:szCs w:val="32"/>
          <w:highlight w:val="none"/>
          <w:shd w:val="clear" w:color="auto" w:fill="FFFFFF"/>
        </w:rPr>
        <w:t xml:space="preserve">建议预算单位绩效管理人员重视绩效管理工作，不断规范项目预算绩效管理，提高绩效工作质量，加强与项目业务人员沟通， </w:t>
      </w:r>
      <w:r>
        <w:rPr>
          <w:rFonts w:hint="eastAsia" w:hAnsi="宋体" w:eastAsia="宋体" w:cs="宋体"/>
          <w:spacing w:val="-6"/>
          <w:kern w:val="0"/>
          <w:sz w:val="32"/>
          <w:szCs w:val="32"/>
          <w:highlight w:val="none"/>
          <w:shd w:val="clear" w:color="auto" w:fill="FFFFFF"/>
          <w:lang w:val="en-US" w:eastAsia="zh-CN"/>
        </w:rPr>
        <w:t>使</w:t>
      </w:r>
      <w:r>
        <w:rPr>
          <w:rFonts w:hint="eastAsia" w:ascii="宋体" w:hAnsi="宋体" w:eastAsia="宋体" w:cs="宋体"/>
          <w:spacing w:val="-6"/>
          <w:kern w:val="0"/>
          <w:sz w:val="32"/>
          <w:szCs w:val="32"/>
          <w:highlight w:val="none"/>
          <w:shd w:val="clear" w:color="auto" w:fill="FFFFFF"/>
        </w:rPr>
        <w:t>内容设置科学、合理、准确的绩效目标和指标，体现项目实施特点。另外，要针对项目绩效监控和自评开展相关的工作，对绩效执行情况进行跟踪管理和督促检查，发挥绩效对项目管理的纠偏与评价作用，确保绩效目标顺利实现，充分发挥财政资金的使用</w:t>
      </w:r>
      <w:r>
        <w:rPr>
          <w:rFonts w:hint="eastAsia" w:ascii="宋体" w:hAnsi="宋体" w:eastAsia="宋体" w:cs="宋体"/>
          <w:spacing w:val="-6"/>
          <w:kern w:val="0"/>
          <w:sz w:val="32"/>
          <w:szCs w:val="32"/>
          <w:highlight w:val="none"/>
          <w:shd w:val="clear" w:color="auto" w:fill="FFFFFF"/>
          <w:lang w:eastAsia="zh-CN"/>
        </w:rPr>
        <w:t>效率。</w:t>
      </w:r>
    </w:p>
    <w:p w14:paraId="4BB9D480">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（二）加强公用经费支出管理和监管，确保经费支出的合规性</w:t>
      </w:r>
    </w:p>
    <w:p w14:paraId="71A6AFF7">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—是建议学校严格按照公用经费管理办法有关规定，规范使用资金，杜绝超范围列支资金。二是保证教师培训支出的占比，优效保障教育教学质量。三是学校</w:t>
      </w:r>
      <w:r>
        <w:rPr>
          <w:rFonts w:hint="eastAsia" w:ascii="宋体" w:hAnsi="宋体" w:eastAsia="宋体" w:cs="宋体"/>
          <w:spacing w:val="-6"/>
          <w:kern w:val="0"/>
          <w:sz w:val="32"/>
          <w:szCs w:val="32"/>
          <w:highlight w:val="none"/>
          <w:shd w:val="clear" w:color="auto" w:fill="FFFFFF"/>
        </w:rPr>
        <w:t>对生均公用经费设置专账核算，确定支出事项的资金来源，有效管控资金支出的合规性。四是部门要加强对学校公用经费支出管理，定期对公用经费的使用情况进行调度和检查，督促学校严格按照规定使用经费。学校在每—年度公用经费的具体支出情况在学校进行公开公示，提升经费使用的透明度，最大程度的发挥公用经费对教育发展的保障效益。</w:t>
      </w:r>
    </w:p>
    <w:p w14:paraId="42F51F71">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（三）明确灵活使用生均公用经费合规的条件</w:t>
      </w:r>
    </w:p>
    <w:p w14:paraId="2D29EDE2">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生均公用经费支出约束性规定旨在确保教育资源的公平分配和合理使用。在使用生均公用经费时，应当勤俭节约，避免浪费和 普遍存在的灵活运用生均公用经费的情况，同</w:t>
      </w:r>
      <w:r>
        <w:rPr>
          <w:rFonts w:hint="eastAsia" w:ascii="宋体" w:hAnsi="宋体" w:eastAsia="宋体" w:cs="宋体"/>
          <w:spacing w:val="-6"/>
          <w:kern w:val="0"/>
          <w:sz w:val="32"/>
          <w:szCs w:val="32"/>
          <w:highlight w:val="none"/>
          <w:shd w:val="clear" w:color="auto" w:fill="FFFFFF"/>
        </w:rPr>
        <w:t>时相关支出标准的 发展的需求，项目资金“该不该支、该怎样支”相关责任部门应做出明确统</w:t>
      </w:r>
      <w:r>
        <w:rPr>
          <w:rFonts w:hint="eastAsia" w:hAnsi="宋体" w:eastAsia="宋体" w:cs="宋体"/>
          <w:spacing w:val="-6"/>
          <w:kern w:val="0"/>
          <w:sz w:val="32"/>
          <w:szCs w:val="32"/>
          <w:highlight w:val="none"/>
          <w:shd w:val="clear" w:color="auto" w:fill="FFFFFF"/>
          <w:lang w:val="en-US" w:eastAsia="zh-CN"/>
        </w:rPr>
        <w:t>一</w:t>
      </w:r>
      <w:r>
        <w:rPr>
          <w:rFonts w:hint="eastAsia" w:ascii="宋体" w:hAnsi="宋体" w:eastAsia="宋体" w:cs="宋体"/>
          <w:spacing w:val="-6"/>
          <w:kern w:val="0"/>
          <w:sz w:val="32"/>
          <w:szCs w:val="32"/>
          <w:highlight w:val="none"/>
          <w:shd w:val="clear" w:color="auto" w:fill="FFFFFF"/>
        </w:rPr>
        <w:t xml:space="preserve">的规定，使不合规支出得到及时有效遏制，确保资金使 </w:t>
      </w:r>
      <w:r>
        <w:rPr>
          <w:rFonts w:hint="eastAsia" w:hAnsi="宋体" w:eastAsia="宋体" w:cs="宋体"/>
          <w:spacing w:val="-6"/>
          <w:kern w:val="0"/>
          <w:sz w:val="32"/>
          <w:szCs w:val="32"/>
          <w:highlight w:val="none"/>
          <w:shd w:val="clear" w:color="auto" w:fill="FFFFFF"/>
          <w:lang w:val="en-US" w:eastAsia="zh-CN"/>
        </w:rPr>
        <w:t>用</w:t>
      </w:r>
      <w:r>
        <w:rPr>
          <w:rFonts w:hint="eastAsia" w:ascii="宋体" w:hAnsi="宋体" w:eastAsia="宋体" w:cs="宋体"/>
          <w:spacing w:val="-6"/>
          <w:kern w:val="0"/>
          <w:sz w:val="32"/>
          <w:szCs w:val="32"/>
          <w:highlight w:val="none"/>
          <w:shd w:val="clear" w:color="auto" w:fill="FFFFFF"/>
        </w:rPr>
        <w:t>最大化。</w:t>
      </w:r>
    </w:p>
    <w:p w14:paraId="2AF095B4">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（四）强化经费预算管理，提升编制精准性</w:t>
      </w:r>
    </w:p>
    <w:p w14:paraId="5131AB4C">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指导学校开展“需求导向型”预算编制，要求学校结合办学规模、教学计划、设备老化情况等，细化预算项目，建立“预算 - 需求”匹配审核机制，避免盲目申报；建立预算编制培训制度，每年开展 1-2 次学校财务人员预算编制培训，讲解政策要求、编制方法及案例，提升预算编制专业能力。</w:t>
      </w:r>
    </w:p>
    <w:p w14:paraId="1F1E24D5">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（五）健全监督考核机制，压实管理责任</w:t>
      </w:r>
    </w:p>
    <w:p w14:paraId="73F82547">
      <w:pPr>
        <w:pStyle w:val="2"/>
        <w:spacing w:line="560" w:lineRule="exact"/>
        <w:ind w:firstLine="616" w:firstLineChars="200"/>
        <w:rPr>
          <w:rFonts w:hint="eastAsia" w:ascii="宋体" w:hAnsi="宋体" w:eastAsia="宋体" w:cs="宋体"/>
          <w:spacing w:val="-6"/>
          <w:kern w:val="0"/>
          <w:sz w:val="32"/>
          <w:szCs w:val="32"/>
          <w:highlight w:val="none"/>
          <w:shd w:val="clear" w:color="auto" w:fill="FFFFFF"/>
        </w:rPr>
      </w:pPr>
      <w:r>
        <w:rPr>
          <w:rFonts w:hint="eastAsia" w:ascii="宋体" w:hAnsi="宋体" w:eastAsia="宋体" w:cs="宋体"/>
          <w:spacing w:val="-6"/>
          <w:kern w:val="0"/>
          <w:sz w:val="32"/>
          <w:szCs w:val="32"/>
          <w:highlight w:val="none"/>
          <w:shd w:val="clear" w:color="auto" w:fill="FFFFFF"/>
        </w:rPr>
        <w:t>建立生均经费管理“问责制度”，对截留、挤占、挪用经费，或因管理不善导致资金损失的，严肃追究相关人员责任；开展生均经费管理“回头看”，每年选取部分学校开展专项复查，检查问题整改落实情况，确保审计建议落地见效。</w:t>
      </w:r>
    </w:p>
    <w:p w14:paraId="36D9923F">
      <w:pPr>
        <w:pStyle w:val="15"/>
        <w:spacing w:beforeAutospacing="0" w:afterAutospacing="0" w:line="580" w:lineRule="exact"/>
        <w:ind w:left="1693" w:leftChars="293" w:hanging="1078" w:hangingChars="350"/>
        <w:jc w:val="both"/>
        <w:rPr>
          <w:rFonts w:hint="eastAsia" w:ascii="宋体" w:hAnsi="宋体" w:eastAsia="宋体" w:cs="宋体"/>
          <w:spacing w:val="-6"/>
          <w:sz w:val="32"/>
          <w:szCs w:val="32"/>
          <w:highlight w:val="none"/>
          <w:shd w:val="clear" w:color="auto" w:fill="FFFFFF"/>
        </w:rPr>
      </w:pPr>
    </w:p>
    <w:p w14:paraId="3C83F1CB">
      <w:pPr>
        <w:pStyle w:val="15"/>
        <w:spacing w:beforeAutospacing="0" w:afterAutospacing="0" w:line="580" w:lineRule="exact"/>
        <w:ind w:left="1693" w:leftChars="293" w:hanging="1078" w:hangingChars="350"/>
        <w:jc w:val="both"/>
        <w:rPr>
          <w:rFonts w:hint="eastAsia" w:ascii="宋体" w:hAnsi="宋体" w:eastAsia="宋体" w:cs="宋体"/>
          <w:spacing w:val="-6"/>
          <w:sz w:val="32"/>
          <w:szCs w:val="32"/>
          <w:highlight w:val="none"/>
          <w:shd w:val="clear" w:color="auto" w:fill="FFFFFF"/>
        </w:rPr>
      </w:pPr>
    </w:p>
    <w:p w14:paraId="21206BBC">
      <w:pPr>
        <w:pStyle w:val="15"/>
        <w:spacing w:beforeAutospacing="0" w:afterAutospacing="0" w:line="580" w:lineRule="exact"/>
        <w:ind w:left="1693" w:leftChars="293" w:hanging="1078" w:hangingChars="350"/>
        <w:jc w:val="both"/>
        <w:rPr>
          <w:rFonts w:hint="eastAsia" w:ascii="宋体" w:hAnsi="宋体" w:eastAsia="宋体" w:cs="宋体"/>
          <w:spacing w:val="-6"/>
          <w:sz w:val="32"/>
          <w:szCs w:val="32"/>
          <w:highlight w:val="none"/>
          <w:shd w:val="clear" w:color="auto" w:fill="FFFFFF"/>
        </w:rPr>
      </w:pPr>
    </w:p>
    <w:p w14:paraId="17548D1F">
      <w:pPr>
        <w:pStyle w:val="15"/>
        <w:spacing w:beforeAutospacing="0" w:afterAutospacing="0" w:line="580" w:lineRule="exact"/>
        <w:ind w:left="1693" w:leftChars="293" w:hanging="1078" w:hangingChars="350"/>
        <w:jc w:val="both"/>
        <w:rPr>
          <w:rFonts w:hint="eastAsia" w:ascii="宋体" w:hAnsi="宋体" w:eastAsia="宋体" w:cs="宋体"/>
          <w:spacing w:val="-6"/>
          <w:sz w:val="32"/>
          <w:szCs w:val="32"/>
          <w:highlight w:val="none"/>
          <w:shd w:val="clear" w:color="auto" w:fill="FFFFFF"/>
        </w:rPr>
      </w:pPr>
    </w:p>
    <w:p w14:paraId="0E852A5D">
      <w:pPr>
        <w:pStyle w:val="15"/>
        <w:spacing w:beforeAutospacing="0" w:afterAutospacing="0" w:line="580" w:lineRule="exact"/>
        <w:ind w:left="1693" w:leftChars="293" w:hanging="1078" w:hangingChars="350"/>
        <w:jc w:val="both"/>
        <w:rPr>
          <w:rFonts w:hint="eastAsia" w:ascii="宋体" w:hAnsi="宋体" w:eastAsia="宋体" w:cs="宋体"/>
          <w:spacing w:val="-6"/>
          <w:sz w:val="32"/>
          <w:szCs w:val="32"/>
          <w:highlight w:val="none"/>
          <w:shd w:val="clear" w:color="auto" w:fill="FFFFFF"/>
        </w:rPr>
      </w:pPr>
    </w:p>
    <w:p w14:paraId="37EE1DCA">
      <w:pPr>
        <w:pStyle w:val="15"/>
        <w:spacing w:beforeAutospacing="0" w:afterAutospacing="0" w:line="580" w:lineRule="exact"/>
        <w:ind w:left="1693" w:leftChars="293" w:hanging="1078" w:hangingChars="350"/>
        <w:jc w:val="both"/>
        <w:rPr>
          <w:rFonts w:hint="eastAsia" w:ascii="宋体" w:hAnsi="宋体" w:eastAsia="宋体" w:cs="宋体"/>
          <w:spacing w:val="-11"/>
          <w:sz w:val="32"/>
          <w:szCs w:val="32"/>
          <w:highlight w:val="none"/>
          <w:shd w:val="clear" w:color="auto" w:fill="FFFFFF"/>
        </w:rPr>
      </w:pPr>
      <w:r>
        <w:rPr>
          <w:rFonts w:hint="eastAsia" w:ascii="宋体" w:hAnsi="宋体" w:eastAsia="宋体" w:cs="宋体"/>
          <w:spacing w:val="-6"/>
          <w:sz w:val="32"/>
          <w:szCs w:val="32"/>
          <w:highlight w:val="none"/>
          <w:shd w:val="clear" w:color="auto" w:fill="FFFFFF"/>
        </w:rPr>
        <w:t>附件</w:t>
      </w:r>
      <w:r>
        <w:rPr>
          <w:rFonts w:hint="eastAsia" w:ascii="宋体" w:hAnsi="宋体" w:eastAsia="宋体" w:cs="宋体"/>
          <w:spacing w:val="-6"/>
          <w:sz w:val="32"/>
          <w:szCs w:val="32"/>
          <w:highlight w:val="none"/>
          <w:shd w:val="clear" w:color="auto" w:fill="FFFFFF"/>
          <w:lang w:val="en-US" w:eastAsia="zh-CN"/>
        </w:rPr>
        <w:t>1</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11"/>
          <w:sz w:val="32"/>
          <w:szCs w:val="32"/>
          <w:highlight w:val="none"/>
          <w:shd w:val="clear" w:color="auto" w:fill="FFFFFF"/>
          <w:lang w:eastAsia="zh-CN"/>
        </w:rPr>
        <w:t>2024年公办普通高中生均公用经费项目</w:t>
      </w:r>
      <w:r>
        <w:rPr>
          <w:rFonts w:hint="eastAsia" w:ascii="宋体" w:hAnsi="宋体" w:eastAsia="宋体" w:cs="宋体"/>
          <w:spacing w:val="-11"/>
          <w:sz w:val="32"/>
          <w:szCs w:val="32"/>
          <w:highlight w:val="none"/>
          <w:shd w:val="clear" w:color="auto" w:fill="FFFFFF"/>
        </w:rPr>
        <w:t>绩效评价指标表</w:t>
      </w:r>
    </w:p>
    <w:p w14:paraId="103085DD">
      <w:pPr>
        <w:keepNext w:val="0"/>
        <w:keepLines w:val="0"/>
        <w:pageBreakBefore w:val="0"/>
        <w:widowControl w:val="0"/>
        <w:kinsoku/>
        <w:wordWrap/>
        <w:topLinePunct w:val="0"/>
        <w:autoSpaceDE/>
        <w:autoSpaceDN/>
        <w:bidi w:val="0"/>
        <w:adjustRightInd/>
        <w:snapToGrid/>
        <w:spacing w:line="360" w:lineRule="auto"/>
        <w:ind w:left="0" w:leftChars="0" w:firstLine="640" w:firstLineChars="200"/>
        <w:jc w:val="both"/>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eastAsia="zh-CN"/>
        </w:rPr>
        <w:t>附件</w:t>
      </w:r>
      <w:r>
        <w:rPr>
          <w:rFonts w:hint="eastAsia" w:ascii="宋体" w:hAnsi="宋体" w:eastAsia="宋体" w:cs="宋体"/>
          <w:color w:val="auto"/>
          <w:sz w:val="32"/>
          <w:szCs w:val="32"/>
          <w:highlight w:val="none"/>
          <w:lang w:val="en-US" w:eastAsia="zh-CN"/>
        </w:rPr>
        <w:t>2：2024年公办普通高中生均公用经费绩效指标汇总表</w:t>
      </w:r>
    </w:p>
    <w:p w14:paraId="7CB8D3FB">
      <w:pPr>
        <w:pStyle w:val="2"/>
        <w:ind w:firstLine="640" w:firstLineChars="200"/>
        <w:rPr>
          <w:rFonts w:hint="eastAsia" w:ascii="宋体" w:hAnsi="宋体" w:eastAsia="宋体" w:cs="宋体"/>
          <w:highlight w:val="none"/>
          <w:lang w:val="en-US" w:eastAsia="zh-CN"/>
        </w:rPr>
      </w:pPr>
      <w:r>
        <w:rPr>
          <w:rFonts w:hint="eastAsia" w:ascii="宋体" w:hAnsi="宋体" w:eastAsia="宋体" w:cs="宋体"/>
          <w:color w:val="auto"/>
          <w:sz w:val="32"/>
          <w:szCs w:val="32"/>
          <w:highlight w:val="none"/>
          <w:lang w:val="en-US" w:eastAsia="zh-CN"/>
        </w:rPr>
        <w:t>附件3：各学校2024年公办高中普通生均公用经费支出明细汇总表</w:t>
      </w:r>
    </w:p>
    <w:p w14:paraId="4336E835">
      <w:pPr>
        <w:keepNext w:val="0"/>
        <w:keepLines w:val="0"/>
        <w:pageBreakBefore w:val="0"/>
        <w:widowControl w:val="0"/>
        <w:kinsoku/>
        <w:wordWrap/>
        <w:topLinePunct w:val="0"/>
        <w:autoSpaceDE/>
        <w:autoSpaceDN/>
        <w:bidi w:val="0"/>
        <w:adjustRightInd/>
        <w:snapToGrid/>
        <w:spacing w:line="360" w:lineRule="auto"/>
        <w:ind w:left="0" w:leftChars="0" w:firstLine="640" w:firstLineChars="200"/>
        <w:jc w:val="both"/>
        <w:textAlignment w:val="auto"/>
        <w:rPr>
          <w:rFonts w:hint="default"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附件4：益阳市第十五中学2024年生均经费列支零星维修费用明细表</w:t>
      </w:r>
    </w:p>
    <w:p w14:paraId="54C5DD76">
      <w:pPr>
        <w:keepNext w:val="0"/>
        <w:keepLines w:val="0"/>
        <w:pageBreakBefore w:val="0"/>
        <w:widowControl w:val="0"/>
        <w:kinsoku/>
        <w:wordWrap/>
        <w:topLinePunct w:val="0"/>
        <w:autoSpaceDE/>
        <w:autoSpaceDN/>
        <w:bidi w:val="0"/>
        <w:adjustRightInd/>
        <w:snapToGrid/>
        <w:spacing w:line="360" w:lineRule="auto"/>
        <w:ind w:left="0" w:leftChars="0"/>
        <w:jc w:val="both"/>
        <w:textAlignment w:val="auto"/>
        <w:rPr>
          <w:rFonts w:hint="eastAsia" w:ascii="宋体" w:hAnsi="宋体" w:eastAsia="宋体" w:cs="宋体"/>
          <w:color w:val="auto"/>
          <w:sz w:val="32"/>
          <w:szCs w:val="32"/>
          <w:highlight w:val="none"/>
        </w:rPr>
      </w:pPr>
    </w:p>
    <w:p w14:paraId="5D79414B">
      <w:pPr>
        <w:pStyle w:val="2"/>
        <w:rPr>
          <w:rFonts w:hint="eastAsia" w:ascii="宋体" w:hAnsi="宋体" w:eastAsia="宋体" w:cs="宋体"/>
          <w:color w:val="auto"/>
          <w:sz w:val="32"/>
          <w:szCs w:val="32"/>
          <w:highlight w:val="none"/>
          <w:lang w:eastAsia="zh-CN"/>
        </w:rPr>
      </w:pPr>
    </w:p>
    <w:p w14:paraId="48B5E608">
      <w:pPr>
        <w:pStyle w:val="2"/>
        <w:rPr>
          <w:rFonts w:hint="eastAsia" w:ascii="宋体" w:hAnsi="宋体" w:eastAsia="宋体" w:cs="宋体"/>
          <w:color w:val="auto"/>
          <w:sz w:val="32"/>
          <w:szCs w:val="32"/>
          <w:highlight w:val="none"/>
          <w:lang w:eastAsia="zh-CN"/>
        </w:rPr>
      </w:pPr>
    </w:p>
    <w:p w14:paraId="5FEE42BD">
      <w:pPr>
        <w:pStyle w:val="2"/>
        <w:rPr>
          <w:rFonts w:hint="eastAsia" w:ascii="宋体" w:hAnsi="宋体" w:eastAsia="宋体" w:cs="宋体"/>
          <w:color w:val="auto"/>
          <w:sz w:val="32"/>
          <w:szCs w:val="32"/>
          <w:highlight w:val="none"/>
          <w:lang w:eastAsia="zh-CN"/>
        </w:rPr>
      </w:pPr>
    </w:p>
    <w:p w14:paraId="1AEAFB8B">
      <w:pPr>
        <w:keepNext w:val="0"/>
        <w:keepLines w:val="0"/>
        <w:pageBreakBefore w:val="0"/>
        <w:widowControl w:val="0"/>
        <w:kinsoku/>
        <w:wordWrap/>
        <w:topLinePunct w:val="0"/>
        <w:autoSpaceDE/>
        <w:autoSpaceDN/>
        <w:bidi w:val="0"/>
        <w:adjustRightInd/>
        <w:snapToGrid/>
        <w:spacing w:line="360" w:lineRule="auto"/>
        <w:ind w:left="0" w:leftChars="0"/>
        <w:jc w:val="both"/>
        <w:textAlignment w:val="auto"/>
        <w:rPr>
          <w:rFonts w:hint="eastAsia" w:ascii="宋体" w:hAnsi="宋体" w:eastAsia="宋体" w:cs="宋体"/>
          <w:color w:val="auto"/>
          <w:sz w:val="32"/>
          <w:szCs w:val="32"/>
          <w:highlight w:val="none"/>
        </w:rPr>
      </w:pPr>
    </w:p>
    <w:p w14:paraId="03CCB7D8">
      <w:pPr>
        <w:keepNext w:val="0"/>
        <w:keepLines w:val="0"/>
        <w:pageBreakBefore w:val="0"/>
        <w:widowControl w:val="0"/>
        <w:kinsoku/>
        <w:wordWrap/>
        <w:topLinePunct w:val="0"/>
        <w:autoSpaceDE/>
        <w:autoSpaceDN/>
        <w:bidi w:val="0"/>
        <w:adjustRightInd/>
        <w:snapToGrid/>
        <w:spacing w:line="360" w:lineRule="auto"/>
        <w:ind w:left="0" w:leftChars="0"/>
        <w:jc w:val="both"/>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益阳中天会计师事务所           中国注册会计师：</w:t>
      </w:r>
    </w:p>
    <w:p w14:paraId="4261907D">
      <w:pPr>
        <w:keepNext w:val="0"/>
        <w:keepLines w:val="0"/>
        <w:pageBreakBefore w:val="0"/>
        <w:widowControl w:val="0"/>
        <w:kinsoku/>
        <w:wordWrap/>
        <w:topLinePunct w:val="0"/>
        <w:autoSpaceDE/>
        <w:autoSpaceDN/>
        <w:bidi w:val="0"/>
        <w:adjustRightInd/>
        <w:snapToGrid/>
        <w:spacing w:line="360" w:lineRule="auto"/>
        <w:ind w:left="0" w:leftChars="0" w:firstLine="640" w:firstLineChars="200"/>
        <w:jc w:val="both"/>
        <w:textAlignment w:val="auto"/>
        <w:rPr>
          <w:rFonts w:hint="eastAsia" w:ascii="宋体" w:hAnsi="宋体" w:eastAsia="宋体" w:cs="宋体"/>
          <w:color w:val="auto"/>
          <w:sz w:val="32"/>
          <w:szCs w:val="32"/>
          <w:highlight w:val="none"/>
        </w:rPr>
      </w:pPr>
    </w:p>
    <w:p w14:paraId="2C639EE5">
      <w:pPr>
        <w:keepNext w:val="0"/>
        <w:keepLines w:val="0"/>
        <w:pageBreakBefore w:val="0"/>
        <w:widowControl w:val="0"/>
        <w:kinsoku/>
        <w:wordWrap/>
        <w:topLinePunct w:val="0"/>
        <w:autoSpaceDE/>
        <w:autoSpaceDN/>
        <w:bidi w:val="0"/>
        <w:adjustRightInd/>
        <w:snapToGrid/>
        <w:spacing w:line="360" w:lineRule="auto"/>
        <w:ind w:left="0" w:leftChars="0" w:firstLine="640" w:firstLineChars="200"/>
        <w:jc w:val="both"/>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有限责任公司               中国注册会计师：</w:t>
      </w:r>
    </w:p>
    <w:p w14:paraId="24A0EFE2">
      <w:pPr>
        <w:pStyle w:val="15"/>
        <w:spacing w:beforeAutospacing="0" w:afterAutospacing="0" w:line="600" w:lineRule="exact"/>
        <w:jc w:val="both"/>
        <w:rPr>
          <w:rFonts w:hint="eastAsia" w:ascii="宋体" w:hAnsi="宋体" w:eastAsia="宋体" w:cs="宋体"/>
          <w:spacing w:val="-6"/>
          <w:sz w:val="32"/>
          <w:szCs w:val="32"/>
          <w:highlight w:val="none"/>
          <w:shd w:val="clear" w:color="auto" w:fill="FFFFFF"/>
          <w:lang w:val="en-US" w:eastAsia="zh-CN"/>
        </w:rPr>
      </w:pPr>
      <w:r>
        <w:rPr>
          <w:rFonts w:hint="eastAsia" w:ascii="宋体" w:hAnsi="宋体" w:eastAsia="宋体" w:cs="宋体"/>
          <w:color w:val="auto"/>
          <w:sz w:val="32"/>
          <w:szCs w:val="32"/>
          <w:highlight w:val="none"/>
        </w:rPr>
        <w:t xml:space="preserve">地址：湖南  益阳    </w:t>
      </w:r>
      <w:bookmarkStart w:id="0" w:name="_GoBack"/>
      <w:bookmarkEnd w:id="0"/>
      <w:r>
        <w:rPr>
          <w:rFonts w:hint="eastAsia" w:ascii="宋体" w:hAnsi="宋体" w:eastAsia="宋体" w:cs="宋体"/>
          <w:color w:val="auto"/>
          <w:sz w:val="32"/>
          <w:szCs w:val="32"/>
          <w:highlight w:val="none"/>
        </w:rPr>
        <w:t xml:space="preserve">    </w:t>
      </w:r>
      <w:r>
        <w:rPr>
          <w:rFonts w:hint="eastAsia" w:ascii="宋体" w:hAnsi="宋体" w:eastAsia="宋体" w:cs="宋体"/>
          <w:sz w:val="32"/>
          <w:szCs w:val="32"/>
          <w:highlight w:val="none"/>
        </w:rPr>
        <w:t xml:space="preserve">        </w:t>
      </w:r>
      <w:r>
        <w:rPr>
          <w:rFonts w:hint="eastAsia" w:ascii="宋体" w:hAnsi="宋体" w:eastAsia="宋体" w:cs="宋体"/>
          <w:color w:val="000000" w:themeColor="text1"/>
          <w:sz w:val="32"/>
          <w:highlight w:val="none"/>
          <w14:textFill>
            <w14:solidFill>
              <w14:schemeClr w14:val="tx1"/>
            </w14:solidFill>
          </w14:textFill>
        </w:rPr>
        <w:t>202</w:t>
      </w:r>
      <w:r>
        <w:rPr>
          <w:rFonts w:hint="eastAsia" w:ascii="宋体" w:hAnsi="宋体" w:eastAsia="宋体" w:cs="宋体"/>
          <w:color w:val="000000" w:themeColor="text1"/>
          <w:sz w:val="32"/>
          <w:highlight w:val="none"/>
          <w:lang w:val="en-US" w:eastAsia="zh-CN"/>
          <w14:textFill>
            <w14:solidFill>
              <w14:schemeClr w14:val="tx1"/>
            </w14:solidFill>
          </w14:textFill>
        </w:rPr>
        <w:t>5</w:t>
      </w:r>
      <w:r>
        <w:rPr>
          <w:rFonts w:hint="eastAsia" w:ascii="宋体" w:hAnsi="宋体" w:eastAsia="宋体" w:cs="宋体"/>
          <w:color w:val="000000" w:themeColor="text1"/>
          <w:sz w:val="32"/>
          <w:highlight w:val="none"/>
          <w14:textFill>
            <w14:solidFill>
              <w14:schemeClr w14:val="tx1"/>
            </w14:solidFill>
          </w14:textFill>
        </w:rPr>
        <w:t>年</w:t>
      </w:r>
      <w:r>
        <w:rPr>
          <w:rFonts w:hint="eastAsia" w:ascii="宋体" w:hAnsi="宋体" w:eastAsia="宋体" w:cs="宋体"/>
          <w:color w:val="000000" w:themeColor="text1"/>
          <w:sz w:val="32"/>
          <w:highlight w:val="none"/>
          <w:lang w:val="en-US" w:eastAsia="zh-CN"/>
          <w14:textFill>
            <w14:solidFill>
              <w14:schemeClr w14:val="tx1"/>
            </w14:solidFill>
          </w14:textFill>
        </w:rPr>
        <w:t>11</w:t>
      </w:r>
      <w:r>
        <w:rPr>
          <w:rFonts w:hint="eastAsia" w:ascii="宋体" w:hAnsi="宋体" w:eastAsia="宋体" w:cs="宋体"/>
          <w:color w:val="000000" w:themeColor="text1"/>
          <w:sz w:val="32"/>
          <w:highlight w:val="none"/>
          <w14:textFill>
            <w14:solidFill>
              <w14:schemeClr w14:val="tx1"/>
            </w14:solidFill>
          </w14:textFill>
        </w:rPr>
        <w:t>月</w:t>
      </w:r>
      <w:r>
        <w:rPr>
          <w:rFonts w:hint="eastAsia" w:ascii="宋体" w:hAnsi="宋体" w:eastAsia="宋体" w:cs="宋体"/>
          <w:color w:val="000000" w:themeColor="text1"/>
          <w:sz w:val="32"/>
          <w:highlight w:val="none"/>
          <w:lang w:val="en-US" w:eastAsia="zh-CN"/>
          <w14:textFill>
            <w14:solidFill>
              <w14:schemeClr w14:val="tx1"/>
            </w14:solidFill>
          </w14:textFill>
        </w:rPr>
        <w:t>30</w:t>
      </w:r>
      <w:r>
        <w:rPr>
          <w:rFonts w:hint="eastAsia" w:ascii="宋体" w:hAnsi="宋体" w:eastAsia="宋体" w:cs="宋体"/>
          <w:color w:val="000000" w:themeColor="text1"/>
          <w:sz w:val="32"/>
          <w:highlight w:val="none"/>
          <w14:textFill>
            <w14:solidFill>
              <w14:schemeClr w14:val="tx1"/>
            </w14:solidFill>
          </w14:textFill>
        </w:rPr>
        <w:t>日</w:t>
      </w:r>
    </w:p>
    <w:sectPr>
      <w:footerReference r:id="rId3" w:type="default"/>
      <w:pgSz w:w="11906" w:h="16838"/>
      <w:pgMar w:top="1985" w:right="1474" w:bottom="1588" w:left="1588" w:header="851" w:footer="992"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47CE3A-B93B-4574-82E7-203A0F8C1A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embedRegular r:id="rId2" w:fontKey="{DC8A3BFA-337E-4313-B958-E32356DB4DD8}"/>
  </w:font>
  <w:font w:name="仿宋_GB2312">
    <w:panose1 w:val="02010609030101010101"/>
    <w:charset w:val="86"/>
    <w:family w:val="modern"/>
    <w:pitch w:val="default"/>
    <w:sig w:usb0="00000001" w:usb1="080E0000" w:usb2="00000000" w:usb3="00000000" w:csb0="00040000" w:csb1="00000000"/>
    <w:embedRegular r:id="rId3" w:fontKey="{24B7B461-AC65-46EB-ADFB-D6A4FF757FB6}"/>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D5F11">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F64388E">
                          <w:pPr>
                            <w:pStyle w:val="10"/>
                            <w:rPr>
                              <w:rFonts w:hint="eastAsia"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PAGE  \* MERGEFORMAT </w:instrText>
                          </w:r>
                          <w:r>
                            <w:rPr>
                              <w:rFonts w:hint="eastAsia" w:ascii="仿宋_GB2312" w:eastAsia="仿宋_GB2312"/>
                              <w:sz w:val="28"/>
                              <w:szCs w:val="28"/>
                            </w:rPr>
                            <w:fldChar w:fldCharType="separate"/>
                          </w:r>
                          <w:r>
                            <w:rPr>
                              <w:rFonts w:ascii="仿宋_GB2312" w:eastAsia="仿宋_GB2312"/>
                              <w:sz w:val="28"/>
                              <w:szCs w:val="28"/>
                            </w:rPr>
                            <w:t>- 19 -</w:t>
                          </w:r>
                          <w:r>
                            <w:rPr>
                              <w:rFonts w:hint="eastAsia" w:ascii="仿宋_GB2312" w:eastAsia="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4F64388E">
                    <w:pPr>
                      <w:pStyle w:val="10"/>
                      <w:rPr>
                        <w:rFonts w:hint="eastAsia"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PAGE  \* MERGEFORMAT </w:instrText>
                    </w:r>
                    <w:r>
                      <w:rPr>
                        <w:rFonts w:hint="eastAsia" w:ascii="仿宋_GB2312" w:eastAsia="仿宋_GB2312"/>
                        <w:sz w:val="28"/>
                        <w:szCs w:val="28"/>
                      </w:rPr>
                      <w:fldChar w:fldCharType="separate"/>
                    </w:r>
                    <w:r>
                      <w:rPr>
                        <w:rFonts w:ascii="仿宋_GB2312" w:eastAsia="仿宋_GB2312"/>
                        <w:sz w:val="28"/>
                        <w:szCs w:val="28"/>
                      </w:rPr>
                      <w:t>- 19 -</w:t>
                    </w:r>
                    <w:r>
                      <w:rPr>
                        <w:rFonts w:hint="eastAsia" w:ascii="仿宋_GB2312" w:eastAsia="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B4AA28"/>
    <w:multiLevelType w:val="singleLevel"/>
    <w:tmpl w:val="A5B4AA28"/>
    <w:lvl w:ilvl="0" w:tentative="0">
      <w:start w:val="3"/>
      <w:numFmt w:val="decimal"/>
      <w:suff w:val="nothing"/>
      <w:lvlText w:val="（%1）"/>
      <w:lvlJc w:val="left"/>
      <w:pPr>
        <w:ind w:left="14"/>
      </w:pPr>
    </w:lvl>
  </w:abstractNum>
  <w:abstractNum w:abstractNumId="1">
    <w:nsid w:val="3A4BCAB2"/>
    <w:multiLevelType w:val="singleLevel"/>
    <w:tmpl w:val="3A4BCAB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MTlkYzQ2MGMzYWM3Mjg1NjY5MWI2NmJlNmE0NjAifQ=="/>
  </w:docVars>
  <w:rsids>
    <w:rsidRoot w:val="00A20C86"/>
    <w:rsid w:val="000118A6"/>
    <w:rsid w:val="00052A18"/>
    <w:rsid w:val="00186BF0"/>
    <w:rsid w:val="001A6190"/>
    <w:rsid w:val="001C66E0"/>
    <w:rsid w:val="001F3ADA"/>
    <w:rsid w:val="0037286A"/>
    <w:rsid w:val="003A305E"/>
    <w:rsid w:val="003D21B2"/>
    <w:rsid w:val="003F2C82"/>
    <w:rsid w:val="00411CA3"/>
    <w:rsid w:val="0043590E"/>
    <w:rsid w:val="004838ED"/>
    <w:rsid w:val="004D2DDE"/>
    <w:rsid w:val="005071B0"/>
    <w:rsid w:val="00527D4A"/>
    <w:rsid w:val="00587FAD"/>
    <w:rsid w:val="00591C1A"/>
    <w:rsid w:val="005D3A62"/>
    <w:rsid w:val="00612345"/>
    <w:rsid w:val="00643BE3"/>
    <w:rsid w:val="0069011F"/>
    <w:rsid w:val="006A7F43"/>
    <w:rsid w:val="006E2303"/>
    <w:rsid w:val="0070393C"/>
    <w:rsid w:val="007200AE"/>
    <w:rsid w:val="007219BB"/>
    <w:rsid w:val="0077306F"/>
    <w:rsid w:val="007756C4"/>
    <w:rsid w:val="009224FE"/>
    <w:rsid w:val="00942B50"/>
    <w:rsid w:val="0096704C"/>
    <w:rsid w:val="009F46D7"/>
    <w:rsid w:val="00A14618"/>
    <w:rsid w:val="00A20C86"/>
    <w:rsid w:val="00A35EF5"/>
    <w:rsid w:val="00A7654A"/>
    <w:rsid w:val="00AC21A3"/>
    <w:rsid w:val="00AC7A25"/>
    <w:rsid w:val="00B22BA0"/>
    <w:rsid w:val="00C44682"/>
    <w:rsid w:val="00C615CE"/>
    <w:rsid w:val="00CE72AE"/>
    <w:rsid w:val="00D26209"/>
    <w:rsid w:val="00DD5FD4"/>
    <w:rsid w:val="00E23B02"/>
    <w:rsid w:val="00EA20E0"/>
    <w:rsid w:val="00EB7730"/>
    <w:rsid w:val="00EF5BA2"/>
    <w:rsid w:val="00FF3D45"/>
    <w:rsid w:val="01032807"/>
    <w:rsid w:val="01087940"/>
    <w:rsid w:val="0111638E"/>
    <w:rsid w:val="0116100A"/>
    <w:rsid w:val="011A24F4"/>
    <w:rsid w:val="011E0236"/>
    <w:rsid w:val="01231030"/>
    <w:rsid w:val="01242D14"/>
    <w:rsid w:val="012B64AF"/>
    <w:rsid w:val="012E188C"/>
    <w:rsid w:val="012F5F9F"/>
    <w:rsid w:val="01325931"/>
    <w:rsid w:val="01382B0F"/>
    <w:rsid w:val="01435D3B"/>
    <w:rsid w:val="014545C7"/>
    <w:rsid w:val="014632E9"/>
    <w:rsid w:val="014869BD"/>
    <w:rsid w:val="01561AA9"/>
    <w:rsid w:val="015A7A58"/>
    <w:rsid w:val="015B6D94"/>
    <w:rsid w:val="01614C01"/>
    <w:rsid w:val="01642756"/>
    <w:rsid w:val="01675739"/>
    <w:rsid w:val="016858B0"/>
    <w:rsid w:val="0176331B"/>
    <w:rsid w:val="01776298"/>
    <w:rsid w:val="01791910"/>
    <w:rsid w:val="01805583"/>
    <w:rsid w:val="01806300"/>
    <w:rsid w:val="01822573"/>
    <w:rsid w:val="01825879"/>
    <w:rsid w:val="018276FB"/>
    <w:rsid w:val="018502B5"/>
    <w:rsid w:val="019B36B5"/>
    <w:rsid w:val="01AA7D1B"/>
    <w:rsid w:val="01B52BBC"/>
    <w:rsid w:val="01BD5795"/>
    <w:rsid w:val="01C03307"/>
    <w:rsid w:val="01C74429"/>
    <w:rsid w:val="01E025A9"/>
    <w:rsid w:val="01E461D7"/>
    <w:rsid w:val="01EC3E90"/>
    <w:rsid w:val="01F86CD9"/>
    <w:rsid w:val="0204742C"/>
    <w:rsid w:val="02060BA3"/>
    <w:rsid w:val="020F54D4"/>
    <w:rsid w:val="021138F7"/>
    <w:rsid w:val="021463D7"/>
    <w:rsid w:val="02161DDD"/>
    <w:rsid w:val="02247ACE"/>
    <w:rsid w:val="022655F4"/>
    <w:rsid w:val="022D16F0"/>
    <w:rsid w:val="022D7245"/>
    <w:rsid w:val="02355837"/>
    <w:rsid w:val="02385327"/>
    <w:rsid w:val="02405F8A"/>
    <w:rsid w:val="024B6E08"/>
    <w:rsid w:val="02532161"/>
    <w:rsid w:val="02581AD5"/>
    <w:rsid w:val="025B5D93"/>
    <w:rsid w:val="02633DD5"/>
    <w:rsid w:val="0269254B"/>
    <w:rsid w:val="026B3007"/>
    <w:rsid w:val="026F46D2"/>
    <w:rsid w:val="027865B5"/>
    <w:rsid w:val="027A32AE"/>
    <w:rsid w:val="02816CCE"/>
    <w:rsid w:val="028526CE"/>
    <w:rsid w:val="0287204C"/>
    <w:rsid w:val="0295277A"/>
    <w:rsid w:val="02957983"/>
    <w:rsid w:val="029726D2"/>
    <w:rsid w:val="02994018"/>
    <w:rsid w:val="02996051"/>
    <w:rsid w:val="02A26ED6"/>
    <w:rsid w:val="02A957F6"/>
    <w:rsid w:val="02B524D4"/>
    <w:rsid w:val="02C93363"/>
    <w:rsid w:val="02D36D66"/>
    <w:rsid w:val="02D92666"/>
    <w:rsid w:val="02DD1A2B"/>
    <w:rsid w:val="02E35293"/>
    <w:rsid w:val="02E3651E"/>
    <w:rsid w:val="02E96C20"/>
    <w:rsid w:val="02EC6B94"/>
    <w:rsid w:val="02F9079E"/>
    <w:rsid w:val="02FA082F"/>
    <w:rsid w:val="02FB6FC9"/>
    <w:rsid w:val="02FC7AE1"/>
    <w:rsid w:val="02FE3E7B"/>
    <w:rsid w:val="030B1C39"/>
    <w:rsid w:val="030F6E1F"/>
    <w:rsid w:val="031569E6"/>
    <w:rsid w:val="03231B33"/>
    <w:rsid w:val="032D5013"/>
    <w:rsid w:val="032E1DF6"/>
    <w:rsid w:val="033863FB"/>
    <w:rsid w:val="033B3004"/>
    <w:rsid w:val="03450930"/>
    <w:rsid w:val="0348159A"/>
    <w:rsid w:val="034A51E5"/>
    <w:rsid w:val="034B47DE"/>
    <w:rsid w:val="035D1F6C"/>
    <w:rsid w:val="035F0DD1"/>
    <w:rsid w:val="036B5288"/>
    <w:rsid w:val="037405E1"/>
    <w:rsid w:val="03795BF7"/>
    <w:rsid w:val="037E03CB"/>
    <w:rsid w:val="038A1E69"/>
    <w:rsid w:val="038A7BB5"/>
    <w:rsid w:val="03922951"/>
    <w:rsid w:val="039A6AE9"/>
    <w:rsid w:val="039E3E40"/>
    <w:rsid w:val="039E565E"/>
    <w:rsid w:val="03A013D6"/>
    <w:rsid w:val="03A31381"/>
    <w:rsid w:val="03A325E0"/>
    <w:rsid w:val="03A64D66"/>
    <w:rsid w:val="03B02773"/>
    <w:rsid w:val="03B6704E"/>
    <w:rsid w:val="03CA01D1"/>
    <w:rsid w:val="03CA0201"/>
    <w:rsid w:val="03CE2BBF"/>
    <w:rsid w:val="03DC6596"/>
    <w:rsid w:val="03DF59B5"/>
    <w:rsid w:val="03F139E0"/>
    <w:rsid w:val="03F86B1C"/>
    <w:rsid w:val="040F4B62"/>
    <w:rsid w:val="041E03B9"/>
    <w:rsid w:val="042754E3"/>
    <w:rsid w:val="042B135B"/>
    <w:rsid w:val="04300F7B"/>
    <w:rsid w:val="043D4E77"/>
    <w:rsid w:val="044955CA"/>
    <w:rsid w:val="044C2BCF"/>
    <w:rsid w:val="04506958"/>
    <w:rsid w:val="04515C79"/>
    <w:rsid w:val="04536448"/>
    <w:rsid w:val="04537C7A"/>
    <w:rsid w:val="045D2E23"/>
    <w:rsid w:val="045F4DF2"/>
    <w:rsid w:val="04640482"/>
    <w:rsid w:val="046441B2"/>
    <w:rsid w:val="0475257D"/>
    <w:rsid w:val="04844854"/>
    <w:rsid w:val="04932CE9"/>
    <w:rsid w:val="04A10290"/>
    <w:rsid w:val="04A425DC"/>
    <w:rsid w:val="04AB0032"/>
    <w:rsid w:val="04AB17C9"/>
    <w:rsid w:val="04AD0349"/>
    <w:rsid w:val="04AE6368"/>
    <w:rsid w:val="04B06225"/>
    <w:rsid w:val="04B43341"/>
    <w:rsid w:val="04BB312A"/>
    <w:rsid w:val="04BC1856"/>
    <w:rsid w:val="04BD6729"/>
    <w:rsid w:val="04C35816"/>
    <w:rsid w:val="04C609C8"/>
    <w:rsid w:val="04C617E4"/>
    <w:rsid w:val="04C80B00"/>
    <w:rsid w:val="04D74983"/>
    <w:rsid w:val="04E05F34"/>
    <w:rsid w:val="04E7150E"/>
    <w:rsid w:val="04E82694"/>
    <w:rsid w:val="04F05A45"/>
    <w:rsid w:val="04F33787"/>
    <w:rsid w:val="04F55751"/>
    <w:rsid w:val="04FC088E"/>
    <w:rsid w:val="04FC43EA"/>
    <w:rsid w:val="04FD0A58"/>
    <w:rsid w:val="05015EA4"/>
    <w:rsid w:val="0503742A"/>
    <w:rsid w:val="05063E39"/>
    <w:rsid w:val="050660A3"/>
    <w:rsid w:val="050D0D4D"/>
    <w:rsid w:val="0511372D"/>
    <w:rsid w:val="052C3CB3"/>
    <w:rsid w:val="052E47BF"/>
    <w:rsid w:val="053B7608"/>
    <w:rsid w:val="05483C35"/>
    <w:rsid w:val="0549065E"/>
    <w:rsid w:val="05521DA0"/>
    <w:rsid w:val="055611BA"/>
    <w:rsid w:val="05757077"/>
    <w:rsid w:val="059020CC"/>
    <w:rsid w:val="0590627B"/>
    <w:rsid w:val="05917228"/>
    <w:rsid w:val="059C3291"/>
    <w:rsid w:val="059D44A1"/>
    <w:rsid w:val="05A60D08"/>
    <w:rsid w:val="05A83628"/>
    <w:rsid w:val="05AD1B88"/>
    <w:rsid w:val="05B2719F"/>
    <w:rsid w:val="05B4579D"/>
    <w:rsid w:val="05CF3365"/>
    <w:rsid w:val="05D37F4A"/>
    <w:rsid w:val="05D830A9"/>
    <w:rsid w:val="05DE2B69"/>
    <w:rsid w:val="05EC445F"/>
    <w:rsid w:val="05EF03F3"/>
    <w:rsid w:val="05FA2885"/>
    <w:rsid w:val="05FC3AE0"/>
    <w:rsid w:val="060B5ED6"/>
    <w:rsid w:val="061439B5"/>
    <w:rsid w:val="0616717C"/>
    <w:rsid w:val="062337D3"/>
    <w:rsid w:val="062E0FB2"/>
    <w:rsid w:val="062F19B9"/>
    <w:rsid w:val="063351E1"/>
    <w:rsid w:val="063876A4"/>
    <w:rsid w:val="063A533E"/>
    <w:rsid w:val="064222D0"/>
    <w:rsid w:val="064E6EC7"/>
    <w:rsid w:val="064F3545"/>
    <w:rsid w:val="065772B0"/>
    <w:rsid w:val="065A5035"/>
    <w:rsid w:val="06632A9C"/>
    <w:rsid w:val="066875A8"/>
    <w:rsid w:val="066C0BB3"/>
    <w:rsid w:val="066E30C6"/>
    <w:rsid w:val="067032E2"/>
    <w:rsid w:val="06705918"/>
    <w:rsid w:val="06776655"/>
    <w:rsid w:val="067D59FE"/>
    <w:rsid w:val="0682131B"/>
    <w:rsid w:val="06856661"/>
    <w:rsid w:val="069114AA"/>
    <w:rsid w:val="06936CFB"/>
    <w:rsid w:val="06954C3B"/>
    <w:rsid w:val="0696261C"/>
    <w:rsid w:val="069B5E85"/>
    <w:rsid w:val="069E5DB3"/>
    <w:rsid w:val="06A411DD"/>
    <w:rsid w:val="06B5261D"/>
    <w:rsid w:val="06BB2083"/>
    <w:rsid w:val="06C770D9"/>
    <w:rsid w:val="06CF1FA2"/>
    <w:rsid w:val="06EB6E0C"/>
    <w:rsid w:val="06ED78E9"/>
    <w:rsid w:val="06EE06AA"/>
    <w:rsid w:val="06F37A6F"/>
    <w:rsid w:val="070007AB"/>
    <w:rsid w:val="07025A45"/>
    <w:rsid w:val="070457D8"/>
    <w:rsid w:val="070F0EB1"/>
    <w:rsid w:val="07126147"/>
    <w:rsid w:val="07126D15"/>
    <w:rsid w:val="071546AD"/>
    <w:rsid w:val="07156933"/>
    <w:rsid w:val="07181283"/>
    <w:rsid w:val="07215ACA"/>
    <w:rsid w:val="074327A4"/>
    <w:rsid w:val="074B16CD"/>
    <w:rsid w:val="074E1662"/>
    <w:rsid w:val="076C4B4D"/>
    <w:rsid w:val="07837045"/>
    <w:rsid w:val="07883AE9"/>
    <w:rsid w:val="07911761"/>
    <w:rsid w:val="07A56FBB"/>
    <w:rsid w:val="07A8669E"/>
    <w:rsid w:val="07AB7A99"/>
    <w:rsid w:val="07AE01F0"/>
    <w:rsid w:val="07B354B4"/>
    <w:rsid w:val="07BB0128"/>
    <w:rsid w:val="07C31154"/>
    <w:rsid w:val="07C87B13"/>
    <w:rsid w:val="07CC0CBC"/>
    <w:rsid w:val="07D7113E"/>
    <w:rsid w:val="07E211F0"/>
    <w:rsid w:val="07E662AD"/>
    <w:rsid w:val="07EF7C44"/>
    <w:rsid w:val="07F333AE"/>
    <w:rsid w:val="08065580"/>
    <w:rsid w:val="080E103B"/>
    <w:rsid w:val="08246245"/>
    <w:rsid w:val="082B4EF9"/>
    <w:rsid w:val="0831084F"/>
    <w:rsid w:val="08310EA5"/>
    <w:rsid w:val="08316AA1"/>
    <w:rsid w:val="0840304B"/>
    <w:rsid w:val="08406CE4"/>
    <w:rsid w:val="08485684"/>
    <w:rsid w:val="08493DEA"/>
    <w:rsid w:val="084E752E"/>
    <w:rsid w:val="08512C9F"/>
    <w:rsid w:val="08677494"/>
    <w:rsid w:val="086A641E"/>
    <w:rsid w:val="086E3851"/>
    <w:rsid w:val="08730E67"/>
    <w:rsid w:val="08793FA4"/>
    <w:rsid w:val="087A766B"/>
    <w:rsid w:val="087F4D28"/>
    <w:rsid w:val="08835D96"/>
    <w:rsid w:val="08852948"/>
    <w:rsid w:val="088968DD"/>
    <w:rsid w:val="088969F0"/>
    <w:rsid w:val="088A7F5F"/>
    <w:rsid w:val="088C763C"/>
    <w:rsid w:val="08915791"/>
    <w:rsid w:val="08AE6343"/>
    <w:rsid w:val="08B01A1D"/>
    <w:rsid w:val="08B9073E"/>
    <w:rsid w:val="08C07E24"/>
    <w:rsid w:val="08D13DE0"/>
    <w:rsid w:val="08D46E3C"/>
    <w:rsid w:val="08D63974"/>
    <w:rsid w:val="08D810D7"/>
    <w:rsid w:val="08E04023"/>
    <w:rsid w:val="08EC37DA"/>
    <w:rsid w:val="08ED366F"/>
    <w:rsid w:val="08EE4992"/>
    <w:rsid w:val="08EE7934"/>
    <w:rsid w:val="08F05FC5"/>
    <w:rsid w:val="08F55D20"/>
    <w:rsid w:val="0902261E"/>
    <w:rsid w:val="09036A5C"/>
    <w:rsid w:val="09054AF4"/>
    <w:rsid w:val="091904F1"/>
    <w:rsid w:val="091A7535"/>
    <w:rsid w:val="092E1232"/>
    <w:rsid w:val="093A5B57"/>
    <w:rsid w:val="093B7794"/>
    <w:rsid w:val="093F51ED"/>
    <w:rsid w:val="09425FF0"/>
    <w:rsid w:val="09473CE2"/>
    <w:rsid w:val="094A6D62"/>
    <w:rsid w:val="09525450"/>
    <w:rsid w:val="095A3DD5"/>
    <w:rsid w:val="095D5673"/>
    <w:rsid w:val="096F5AD2"/>
    <w:rsid w:val="098A187D"/>
    <w:rsid w:val="098B3F8E"/>
    <w:rsid w:val="098D4F60"/>
    <w:rsid w:val="098E18B6"/>
    <w:rsid w:val="0995305F"/>
    <w:rsid w:val="099A2423"/>
    <w:rsid w:val="09A1725A"/>
    <w:rsid w:val="09A775EB"/>
    <w:rsid w:val="09AC58DB"/>
    <w:rsid w:val="09B35924"/>
    <w:rsid w:val="09BD3422"/>
    <w:rsid w:val="09BF3923"/>
    <w:rsid w:val="09C217D5"/>
    <w:rsid w:val="09C851E3"/>
    <w:rsid w:val="09E162A4"/>
    <w:rsid w:val="09F23E40"/>
    <w:rsid w:val="09F71624"/>
    <w:rsid w:val="09FB1B4C"/>
    <w:rsid w:val="0A020A75"/>
    <w:rsid w:val="0A023FB1"/>
    <w:rsid w:val="0A147C03"/>
    <w:rsid w:val="0A1628C6"/>
    <w:rsid w:val="0A171CC6"/>
    <w:rsid w:val="0A185045"/>
    <w:rsid w:val="0A245C42"/>
    <w:rsid w:val="0A252635"/>
    <w:rsid w:val="0A2763AD"/>
    <w:rsid w:val="0A2E0C9A"/>
    <w:rsid w:val="0A3463D4"/>
    <w:rsid w:val="0A34760E"/>
    <w:rsid w:val="0A3B7001"/>
    <w:rsid w:val="0A422264"/>
    <w:rsid w:val="0A424B7E"/>
    <w:rsid w:val="0A4309DC"/>
    <w:rsid w:val="0A456833"/>
    <w:rsid w:val="0A516F86"/>
    <w:rsid w:val="0A5C2B47"/>
    <w:rsid w:val="0A5D68FB"/>
    <w:rsid w:val="0A631691"/>
    <w:rsid w:val="0A6E5D8A"/>
    <w:rsid w:val="0A780A5C"/>
    <w:rsid w:val="0A8B26CC"/>
    <w:rsid w:val="0A8F3FD6"/>
    <w:rsid w:val="0A92134D"/>
    <w:rsid w:val="0A984A61"/>
    <w:rsid w:val="0A9B3FEA"/>
    <w:rsid w:val="0AA271BB"/>
    <w:rsid w:val="0AA62415"/>
    <w:rsid w:val="0AA736C5"/>
    <w:rsid w:val="0AAF1EFF"/>
    <w:rsid w:val="0ABA0FCF"/>
    <w:rsid w:val="0ABD1C25"/>
    <w:rsid w:val="0AC31E0F"/>
    <w:rsid w:val="0ACD14A9"/>
    <w:rsid w:val="0AE02A4D"/>
    <w:rsid w:val="0AE24082"/>
    <w:rsid w:val="0AEF054D"/>
    <w:rsid w:val="0B0052A5"/>
    <w:rsid w:val="0B0052BB"/>
    <w:rsid w:val="0B017EB3"/>
    <w:rsid w:val="0B1701D0"/>
    <w:rsid w:val="0B187425"/>
    <w:rsid w:val="0B1B7594"/>
    <w:rsid w:val="0B1E5B75"/>
    <w:rsid w:val="0B213420"/>
    <w:rsid w:val="0B2D0072"/>
    <w:rsid w:val="0B334F46"/>
    <w:rsid w:val="0B4018F6"/>
    <w:rsid w:val="0B52745A"/>
    <w:rsid w:val="0B5C3E34"/>
    <w:rsid w:val="0B604E0C"/>
    <w:rsid w:val="0B610D74"/>
    <w:rsid w:val="0B7534E2"/>
    <w:rsid w:val="0B7C097A"/>
    <w:rsid w:val="0B7C106F"/>
    <w:rsid w:val="0B82054A"/>
    <w:rsid w:val="0B8E0331"/>
    <w:rsid w:val="0B941820"/>
    <w:rsid w:val="0B9A44B2"/>
    <w:rsid w:val="0B9C06D5"/>
    <w:rsid w:val="0BA174F6"/>
    <w:rsid w:val="0BA650B0"/>
    <w:rsid w:val="0BB55310"/>
    <w:rsid w:val="0BB5793C"/>
    <w:rsid w:val="0BB62502"/>
    <w:rsid w:val="0BC31671"/>
    <w:rsid w:val="0BF456F8"/>
    <w:rsid w:val="0BFB189F"/>
    <w:rsid w:val="0C0604FD"/>
    <w:rsid w:val="0C112698"/>
    <w:rsid w:val="0C152F1F"/>
    <w:rsid w:val="0C172615"/>
    <w:rsid w:val="0C1B3CF0"/>
    <w:rsid w:val="0C201306"/>
    <w:rsid w:val="0C210BDA"/>
    <w:rsid w:val="0C25691C"/>
    <w:rsid w:val="0C391A04"/>
    <w:rsid w:val="0C3B1C9C"/>
    <w:rsid w:val="0C42280E"/>
    <w:rsid w:val="0C452B1A"/>
    <w:rsid w:val="0C4B1293"/>
    <w:rsid w:val="0C4C20FB"/>
    <w:rsid w:val="0C4C2DE4"/>
    <w:rsid w:val="0C4D5E73"/>
    <w:rsid w:val="0C5603C3"/>
    <w:rsid w:val="0C562514"/>
    <w:rsid w:val="0C593834"/>
    <w:rsid w:val="0C653393"/>
    <w:rsid w:val="0C69051F"/>
    <w:rsid w:val="0C76051F"/>
    <w:rsid w:val="0C762CD4"/>
    <w:rsid w:val="0C801DA5"/>
    <w:rsid w:val="0C811679"/>
    <w:rsid w:val="0C8353F1"/>
    <w:rsid w:val="0C8A677F"/>
    <w:rsid w:val="0C9073B4"/>
    <w:rsid w:val="0CA26B11"/>
    <w:rsid w:val="0CA5180B"/>
    <w:rsid w:val="0CB41A4E"/>
    <w:rsid w:val="0CB54828"/>
    <w:rsid w:val="0CB657C6"/>
    <w:rsid w:val="0CC36B31"/>
    <w:rsid w:val="0CC9374C"/>
    <w:rsid w:val="0CCC7512"/>
    <w:rsid w:val="0CD06C73"/>
    <w:rsid w:val="0CD17846"/>
    <w:rsid w:val="0CD520F0"/>
    <w:rsid w:val="0CD65E68"/>
    <w:rsid w:val="0CE2480D"/>
    <w:rsid w:val="0CE306AD"/>
    <w:rsid w:val="0CF276C0"/>
    <w:rsid w:val="0CF462EF"/>
    <w:rsid w:val="0CF877F2"/>
    <w:rsid w:val="0CF93A48"/>
    <w:rsid w:val="0D074EB0"/>
    <w:rsid w:val="0D13632F"/>
    <w:rsid w:val="0D15073F"/>
    <w:rsid w:val="0D1D3A97"/>
    <w:rsid w:val="0D214C6C"/>
    <w:rsid w:val="0D295267"/>
    <w:rsid w:val="0D3100B5"/>
    <w:rsid w:val="0D3619BE"/>
    <w:rsid w:val="0D3B1C81"/>
    <w:rsid w:val="0D3E301C"/>
    <w:rsid w:val="0D4A5F0F"/>
    <w:rsid w:val="0D4F0275"/>
    <w:rsid w:val="0D5079C9"/>
    <w:rsid w:val="0D58062B"/>
    <w:rsid w:val="0D6C371B"/>
    <w:rsid w:val="0D7F3E0A"/>
    <w:rsid w:val="0D840FA7"/>
    <w:rsid w:val="0D9553DC"/>
    <w:rsid w:val="0D961154"/>
    <w:rsid w:val="0D9C49BC"/>
    <w:rsid w:val="0DA04B3B"/>
    <w:rsid w:val="0DA770AD"/>
    <w:rsid w:val="0DA770F4"/>
    <w:rsid w:val="0DB75190"/>
    <w:rsid w:val="0DC566B4"/>
    <w:rsid w:val="0DC765A6"/>
    <w:rsid w:val="0DC9777B"/>
    <w:rsid w:val="0DD974F1"/>
    <w:rsid w:val="0DE3083D"/>
    <w:rsid w:val="0DFE0A04"/>
    <w:rsid w:val="0DFE5677"/>
    <w:rsid w:val="0E0569F3"/>
    <w:rsid w:val="0E0E4C97"/>
    <w:rsid w:val="0E166B15"/>
    <w:rsid w:val="0E337D13"/>
    <w:rsid w:val="0E48264A"/>
    <w:rsid w:val="0E4D5CB6"/>
    <w:rsid w:val="0E4E0472"/>
    <w:rsid w:val="0E5C3F90"/>
    <w:rsid w:val="0E603C3C"/>
    <w:rsid w:val="0E741495"/>
    <w:rsid w:val="0E780FE3"/>
    <w:rsid w:val="0E7C47EE"/>
    <w:rsid w:val="0E820056"/>
    <w:rsid w:val="0E833DCE"/>
    <w:rsid w:val="0E89581B"/>
    <w:rsid w:val="0E8E2286"/>
    <w:rsid w:val="0E9242DB"/>
    <w:rsid w:val="0E9824E1"/>
    <w:rsid w:val="0E9E6512"/>
    <w:rsid w:val="0EA37FCC"/>
    <w:rsid w:val="0EA77E9B"/>
    <w:rsid w:val="0EA93835"/>
    <w:rsid w:val="0EAD3C7B"/>
    <w:rsid w:val="0ED10695"/>
    <w:rsid w:val="0ED40186"/>
    <w:rsid w:val="0ED61A76"/>
    <w:rsid w:val="0EE40176"/>
    <w:rsid w:val="0EEE0F81"/>
    <w:rsid w:val="0EF645A0"/>
    <w:rsid w:val="0EF971CA"/>
    <w:rsid w:val="0F000F7B"/>
    <w:rsid w:val="0F007CB5"/>
    <w:rsid w:val="0F024CF3"/>
    <w:rsid w:val="0F034EE2"/>
    <w:rsid w:val="0F187CA1"/>
    <w:rsid w:val="0F1C0E18"/>
    <w:rsid w:val="0F300228"/>
    <w:rsid w:val="0F360E40"/>
    <w:rsid w:val="0F384BB8"/>
    <w:rsid w:val="0F3D0BE6"/>
    <w:rsid w:val="0F3E7C84"/>
    <w:rsid w:val="0F431EF4"/>
    <w:rsid w:val="0F450047"/>
    <w:rsid w:val="0F4E754B"/>
    <w:rsid w:val="0F567752"/>
    <w:rsid w:val="0F583529"/>
    <w:rsid w:val="0F5A4B2F"/>
    <w:rsid w:val="0F5C38CF"/>
    <w:rsid w:val="0F625791"/>
    <w:rsid w:val="0F784FB5"/>
    <w:rsid w:val="0F7D081D"/>
    <w:rsid w:val="0F81030D"/>
    <w:rsid w:val="0F865924"/>
    <w:rsid w:val="0F8B2F3A"/>
    <w:rsid w:val="0F942E1C"/>
    <w:rsid w:val="0F956327"/>
    <w:rsid w:val="0F9C193B"/>
    <w:rsid w:val="0FA22032"/>
    <w:rsid w:val="0FA77648"/>
    <w:rsid w:val="0FB0474F"/>
    <w:rsid w:val="0FBC0705"/>
    <w:rsid w:val="0FBE3EDC"/>
    <w:rsid w:val="0FC00F44"/>
    <w:rsid w:val="0FC93A62"/>
    <w:rsid w:val="0FD348E1"/>
    <w:rsid w:val="0FEA05A8"/>
    <w:rsid w:val="0FF02D9D"/>
    <w:rsid w:val="0FF73936"/>
    <w:rsid w:val="0FFA6833"/>
    <w:rsid w:val="0FFF1232"/>
    <w:rsid w:val="10221614"/>
    <w:rsid w:val="10406BA3"/>
    <w:rsid w:val="104906FF"/>
    <w:rsid w:val="10507CE0"/>
    <w:rsid w:val="105507B7"/>
    <w:rsid w:val="10593613"/>
    <w:rsid w:val="105F6519"/>
    <w:rsid w:val="10611EED"/>
    <w:rsid w:val="10650051"/>
    <w:rsid w:val="106B4B1A"/>
    <w:rsid w:val="1075780F"/>
    <w:rsid w:val="108D4A90"/>
    <w:rsid w:val="108F16CC"/>
    <w:rsid w:val="10981973"/>
    <w:rsid w:val="1099282B"/>
    <w:rsid w:val="10A2678D"/>
    <w:rsid w:val="10A90122"/>
    <w:rsid w:val="10CA0222"/>
    <w:rsid w:val="10D91A83"/>
    <w:rsid w:val="10DD670C"/>
    <w:rsid w:val="10E349DC"/>
    <w:rsid w:val="10EB1F7A"/>
    <w:rsid w:val="10FE598E"/>
    <w:rsid w:val="10FE656C"/>
    <w:rsid w:val="11001706"/>
    <w:rsid w:val="11026BDA"/>
    <w:rsid w:val="11037E08"/>
    <w:rsid w:val="110B261D"/>
    <w:rsid w:val="111159A1"/>
    <w:rsid w:val="11162EB7"/>
    <w:rsid w:val="11166833"/>
    <w:rsid w:val="111D5E14"/>
    <w:rsid w:val="112847B9"/>
    <w:rsid w:val="112F6193"/>
    <w:rsid w:val="113373E5"/>
    <w:rsid w:val="113631C7"/>
    <w:rsid w:val="113671C7"/>
    <w:rsid w:val="11405FA6"/>
    <w:rsid w:val="11424006"/>
    <w:rsid w:val="11497DFD"/>
    <w:rsid w:val="115455AE"/>
    <w:rsid w:val="116457F1"/>
    <w:rsid w:val="116C28F7"/>
    <w:rsid w:val="117B6FDE"/>
    <w:rsid w:val="118045F5"/>
    <w:rsid w:val="118F66DA"/>
    <w:rsid w:val="1191235E"/>
    <w:rsid w:val="119A3908"/>
    <w:rsid w:val="119B7623"/>
    <w:rsid w:val="119C0830"/>
    <w:rsid w:val="119F5C2A"/>
    <w:rsid w:val="11A17A56"/>
    <w:rsid w:val="11A20F22"/>
    <w:rsid w:val="11A45C1F"/>
    <w:rsid w:val="11A567A1"/>
    <w:rsid w:val="11A6405B"/>
    <w:rsid w:val="11AE4D38"/>
    <w:rsid w:val="11B76268"/>
    <w:rsid w:val="11B84ADB"/>
    <w:rsid w:val="11D8696F"/>
    <w:rsid w:val="11D933A4"/>
    <w:rsid w:val="11DA032C"/>
    <w:rsid w:val="11E23CBF"/>
    <w:rsid w:val="11F31B8B"/>
    <w:rsid w:val="11F76665"/>
    <w:rsid w:val="11FC1ECD"/>
    <w:rsid w:val="120175F4"/>
    <w:rsid w:val="120E2820"/>
    <w:rsid w:val="120E2A20"/>
    <w:rsid w:val="12105979"/>
    <w:rsid w:val="12174F59"/>
    <w:rsid w:val="121D3D00"/>
    <w:rsid w:val="12212011"/>
    <w:rsid w:val="122C7D0D"/>
    <w:rsid w:val="122E5DFF"/>
    <w:rsid w:val="1232769D"/>
    <w:rsid w:val="12370AFA"/>
    <w:rsid w:val="123C0817"/>
    <w:rsid w:val="12437AFC"/>
    <w:rsid w:val="1246706D"/>
    <w:rsid w:val="125974CC"/>
    <w:rsid w:val="125A6BF4"/>
    <w:rsid w:val="126058A6"/>
    <w:rsid w:val="126D4444"/>
    <w:rsid w:val="12743887"/>
    <w:rsid w:val="12745F08"/>
    <w:rsid w:val="127A5E95"/>
    <w:rsid w:val="127B3870"/>
    <w:rsid w:val="127E4A17"/>
    <w:rsid w:val="127F4025"/>
    <w:rsid w:val="1281065F"/>
    <w:rsid w:val="12863CE6"/>
    <w:rsid w:val="128F2CFF"/>
    <w:rsid w:val="12942106"/>
    <w:rsid w:val="129B6BCE"/>
    <w:rsid w:val="12AB6A4E"/>
    <w:rsid w:val="12AB744F"/>
    <w:rsid w:val="12AF095A"/>
    <w:rsid w:val="12B207DE"/>
    <w:rsid w:val="12B5606F"/>
    <w:rsid w:val="12B744B4"/>
    <w:rsid w:val="12BE7183"/>
    <w:rsid w:val="12C80001"/>
    <w:rsid w:val="12C81183"/>
    <w:rsid w:val="12D357F6"/>
    <w:rsid w:val="12DB4BD5"/>
    <w:rsid w:val="12DD1CFF"/>
    <w:rsid w:val="12DE5460"/>
    <w:rsid w:val="12E3308D"/>
    <w:rsid w:val="12EA6DB9"/>
    <w:rsid w:val="12F449D1"/>
    <w:rsid w:val="12F773AA"/>
    <w:rsid w:val="130628D8"/>
    <w:rsid w:val="130A686C"/>
    <w:rsid w:val="131A4857"/>
    <w:rsid w:val="131C44F1"/>
    <w:rsid w:val="132316DC"/>
    <w:rsid w:val="13267BB2"/>
    <w:rsid w:val="1336140F"/>
    <w:rsid w:val="13410069"/>
    <w:rsid w:val="1347127E"/>
    <w:rsid w:val="13477178"/>
    <w:rsid w:val="135508FC"/>
    <w:rsid w:val="13557860"/>
    <w:rsid w:val="135D4BEE"/>
    <w:rsid w:val="13633A51"/>
    <w:rsid w:val="1364132B"/>
    <w:rsid w:val="13672C4C"/>
    <w:rsid w:val="13685340"/>
    <w:rsid w:val="13714D3B"/>
    <w:rsid w:val="137250F3"/>
    <w:rsid w:val="13763F01"/>
    <w:rsid w:val="137B5074"/>
    <w:rsid w:val="137D0DEC"/>
    <w:rsid w:val="138478C1"/>
    <w:rsid w:val="138F28CD"/>
    <w:rsid w:val="139D444C"/>
    <w:rsid w:val="13B47455"/>
    <w:rsid w:val="13BA5B9C"/>
    <w:rsid w:val="13CF35B9"/>
    <w:rsid w:val="13D21F63"/>
    <w:rsid w:val="13E42C19"/>
    <w:rsid w:val="13E96481"/>
    <w:rsid w:val="13F6294C"/>
    <w:rsid w:val="140337F8"/>
    <w:rsid w:val="14037739"/>
    <w:rsid w:val="14074B59"/>
    <w:rsid w:val="14090752"/>
    <w:rsid w:val="141C0B13"/>
    <w:rsid w:val="142179C9"/>
    <w:rsid w:val="142648B0"/>
    <w:rsid w:val="14327E28"/>
    <w:rsid w:val="143D5AD8"/>
    <w:rsid w:val="14493277"/>
    <w:rsid w:val="144D6A10"/>
    <w:rsid w:val="145204CA"/>
    <w:rsid w:val="14593BF2"/>
    <w:rsid w:val="145A45EF"/>
    <w:rsid w:val="146B333A"/>
    <w:rsid w:val="146C28FF"/>
    <w:rsid w:val="14757C61"/>
    <w:rsid w:val="14804196"/>
    <w:rsid w:val="148461AA"/>
    <w:rsid w:val="148B62DC"/>
    <w:rsid w:val="14941EC2"/>
    <w:rsid w:val="149503B7"/>
    <w:rsid w:val="149607D0"/>
    <w:rsid w:val="14983A03"/>
    <w:rsid w:val="14986161"/>
    <w:rsid w:val="149D29F2"/>
    <w:rsid w:val="14B12DE9"/>
    <w:rsid w:val="14B2202D"/>
    <w:rsid w:val="14B754FA"/>
    <w:rsid w:val="14BE16BC"/>
    <w:rsid w:val="14BE2D94"/>
    <w:rsid w:val="14BE4A97"/>
    <w:rsid w:val="14BF71E2"/>
    <w:rsid w:val="14CC4B3C"/>
    <w:rsid w:val="14CF1965"/>
    <w:rsid w:val="14D25167"/>
    <w:rsid w:val="14D62EA9"/>
    <w:rsid w:val="14D74176"/>
    <w:rsid w:val="14E05AD6"/>
    <w:rsid w:val="14E969EF"/>
    <w:rsid w:val="14F11B56"/>
    <w:rsid w:val="14F12D1C"/>
    <w:rsid w:val="14F6001F"/>
    <w:rsid w:val="14F7176A"/>
    <w:rsid w:val="14FE6AC2"/>
    <w:rsid w:val="15080666"/>
    <w:rsid w:val="150E4D14"/>
    <w:rsid w:val="1514752E"/>
    <w:rsid w:val="15210B5F"/>
    <w:rsid w:val="152455B7"/>
    <w:rsid w:val="153100E0"/>
    <w:rsid w:val="15335AEB"/>
    <w:rsid w:val="154047C7"/>
    <w:rsid w:val="15445C2B"/>
    <w:rsid w:val="155461A5"/>
    <w:rsid w:val="155C2B8D"/>
    <w:rsid w:val="155C59F4"/>
    <w:rsid w:val="157D052D"/>
    <w:rsid w:val="157D1577"/>
    <w:rsid w:val="157E779D"/>
    <w:rsid w:val="15824D7C"/>
    <w:rsid w:val="15916977"/>
    <w:rsid w:val="15971F51"/>
    <w:rsid w:val="15985102"/>
    <w:rsid w:val="15A14B2D"/>
    <w:rsid w:val="15BD7CC1"/>
    <w:rsid w:val="15C118E3"/>
    <w:rsid w:val="15C42D02"/>
    <w:rsid w:val="15CE35AD"/>
    <w:rsid w:val="15D16DBD"/>
    <w:rsid w:val="15D303B8"/>
    <w:rsid w:val="15DA3D07"/>
    <w:rsid w:val="15EF58A5"/>
    <w:rsid w:val="15F5002C"/>
    <w:rsid w:val="15FA4976"/>
    <w:rsid w:val="160550C9"/>
    <w:rsid w:val="16072C66"/>
    <w:rsid w:val="16096967"/>
    <w:rsid w:val="160B035C"/>
    <w:rsid w:val="16250FDE"/>
    <w:rsid w:val="162B4B2F"/>
    <w:rsid w:val="162E556A"/>
    <w:rsid w:val="162F55FC"/>
    <w:rsid w:val="16395100"/>
    <w:rsid w:val="163B3064"/>
    <w:rsid w:val="164F2BEA"/>
    <w:rsid w:val="16693C22"/>
    <w:rsid w:val="166D2E5A"/>
    <w:rsid w:val="1671080F"/>
    <w:rsid w:val="16734728"/>
    <w:rsid w:val="167A528E"/>
    <w:rsid w:val="16922663"/>
    <w:rsid w:val="16924BAE"/>
    <w:rsid w:val="16976668"/>
    <w:rsid w:val="169C77DB"/>
    <w:rsid w:val="169D5FB7"/>
    <w:rsid w:val="16B8213B"/>
    <w:rsid w:val="16BA2357"/>
    <w:rsid w:val="16BA5DAD"/>
    <w:rsid w:val="16C22260"/>
    <w:rsid w:val="16CA6BE3"/>
    <w:rsid w:val="16CD4493"/>
    <w:rsid w:val="16CE4F2C"/>
    <w:rsid w:val="16CF182F"/>
    <w:rsid w:val="16D02BA8"/>
    <w:rsid w:val="16D90876"/>
    <w:rsid w:val="16DE1BA1"/>
    <w:rsid w:val="16E2350D"/>
    <w:rsid w:val="16FE064C"/>
    <w:rsid w:val="16FE1AF4"/>
    <w:rsid w:val="170340F2"/>
    <w:rsid w:val="17041FCF"/>
    <w:rsid w:val="1709379B"/>
    <w:rsid w:val="17153044"/>
    <w:rsid w:val="171C0043"/>
    <w:rsid w:val="17242614"/>
    <w:rsid w:val="17255A22"/>
    <w:rsid w:val="17277DCB"/>
    <w:rsid w:val="173A2E19"/>
    <w:rsid w:val="173E4D36"/>
    <w:rsid w:val="17425088"/>
    <w:rsid w:val="17496296"/>
    <w:rsid w:val="174C51CF"/>
    <w:rsid w:val="175005C5"/>
    <w:rsid w:val="17577BA6"/>
    <w:rsid w:val="17595F8E"/>
    <w:rsid w:val="175A743F"/>
    <w:rsid w:val="176B2DF5"/>
    <w:rsid w:val="17757E00"/>
    <w:rsid w:val="177E7E65"/>
    <w:rsid w:val="17805F82"/>
    <w:rsid w:val="17855314"/>
    <w:rsid w:val="178D7A16"/>
    <w:rsid w:val="17944956"/>
    <w:rsid w:val="179901BE"/>
    <w:rsid w:val="17996410"/>
    <w:rsid w:val="17A07191"/>
    <w:rsid w:val="17A47A46"/>
    <w:rsid w:val="17AE33DC"/>
    <w:rsid w:val="17B0676A"/>
    <w:rsid w:val="17B2595A"/>
    <w:rsid w:val="17BE7C25"/>
    <w:rsid w:val="17C674D7"/>
    <w:rsid w:val="17D616FF"/>
    <w:rsid w:val="17D925E9"/>
    <w:rsid w:val="17EB29F1"/>
    <w:rsid w:val="180A669B"/>
    <w:rsid w:val="180E2C5B"/>
    <w:rsid w:val="180F11F1"/>
    <w:rsid w:val="18141AEE"/>
    <w:rsid w:val="18155A97"/>
    <w:rsid w:val="181810E3"/>
    <w:rsid w:val="181D0DEF"/>
    <w:rsid w:val="181D2B9D"/>
    <w:rsid w:val="181F6915"/>
    <w:rsid w:val="182932F0"/>
    <w:rsid w:val="18335F1D"/>
    <w:rsid w:val="1839079F"/>
    <w:rsid w:val="18481857"/>
    <w:rsid w:val="184D1258"/>
    <w:rsid w:val="1853036D"/>
    <w:rsid w:val="18552337"/>
    <w:rsid w:val="18573D49"/>
    <w:rsid w:val="185A189B"/>
    <w:rsid w:val="186407CC"/>
    <w:rsid w:val="1867477F"/>
    <w:rsid w:val="186A059D"/>
    <w:rsid w:val="186F7922"/>
    <w:rsid w:val="18784278"/>
    <w:rsid w:val="187A1D9E"/>
    <w:rsid w:val="188B478A"/>
    <w:rsid w:val="188F7A9E"/>
    <w:rsid w:val="1890336F"/>
    <w:rsid w:val="18911F42"/>
    <w:rsid w:val="18954281"/>
    <w:rsid w:val="18980476"/>
    <w:rsid w:val="189866C8"/>
    <w:rsid w:val="18A60DE5"/>
    <w:rsid w:val="18B352B0"/>
    <w:rsid w:val="18B95189"/>
    <w:rsid w:val="18BB4977"/>
    <w:rsid w:val="18C777EE"/>
    <w:rsid w:val="18C93048"/>
    <w:rsid w:val="18CD76FD"/>
    <w:rsid w:val="18E11E1D"/>
    <w:rsid w:val="18E54BB3"/>
    <w:rsid w:val="18EA221C"/>
    <w:rsid w:val="18F57676"/>
    <w:rsid w:val="19017DC9"/>
    <w:rsid w:val="19045213"/>
    <w:rsid w:val="190855FC"/>
    <w:rsid w:val="19102702"/>
    <w:rsid w:val="19130E4D"/>
    <w:rsid w:val="19152F3B"/>
    <w:rsid w:val="191A5AE8"/>
    <w:rsid w:val="191B3E75"/>
    <w:rsid w:val="19267830"/>
    <w:rsid w:val="192E2002"/>
    <w:rsid w:val="1931738F"/>
    <w:rsid w:val="19333619"/>
    <w:rsid w:val="19372091"/>
    <w:rsid w:val="193D16FC"/>
    <w:rsid w:val="193F1AF0"/>
    <w:rsid w:val="19483C4A"/>
    <w:rsid w:val="195228FC"/>
    <w:rsid w:val="195645B9"/>
    <w:rsid w:val="195919B3"/>
    <w:rsid w:val="19595E57"/>
    <w:rsid w:val="196371B5"/>
    <w:rsid w:val="196A01A7"/>
    <w:rsid w:val="19744A3F"/>
    <w:rsid w:val="19782558"/>
    <w:rsid w:val="198578F4"/>
    <w:rsid w:val="19910437"/>
    <w:rsid w:val="19915305"/>
    <w:rsid w:val="19923117"/>
    <w:rsid w:val="19962C07"/>
    <w:rsid w:val="19996254"/>
    <w:rsid w:val="19A60AC0"/>
    <w:rsid w:val="19A76BC3"/>
    <w:rsid w:val="19AE65FB"/>
    <w:rsid w:val="19BE3F0C"/>
    <w:rsid w:val="19C960C9"/>
    <w:rsid w:val="19CA28B1"/>
    <w:rsid w:val="19CC78DF"/>
    <w:rsid w:val="19D559F8"/>
    <w:rsid w:val="19D61F5A"/>
    <w:rsid w:val="19E27BFB"/>
    <w:rsid w:val="19E81352"/>
    <w:rsid w:val="19EC2EDA"/>
    <w:rsid w:val="19EE00D5"/>
    <w:rsid w:val="19F10488"/>
    <w:rsid w:val="1A0050C8"/>
    <w:rsid w:val="1A126B24"/>
    <w:rsid w:val="1A130087"/>
    <w:rsid w:val="1A20226D"/>
    <w:rsid w:val="1A2520F5"/>
    <w:rsid w:val="1A27385F"/>
    <w:rsid w:val="1A2A173D"/>
    <w:rsid w:val="1A323848"/>
    <w:rsid w:val="1A4621B2"/>
    <w:rsid w:val="1A563015"/>
    <w:rsid w:val="1A592FC2"/>
    <w:rsid w:val="1A5D1977"/>
    <w:rsid w:val="1A644AB4"/>
    <w:rsid w:val="1A6D4277"/>
    <w:rsid w:val="1A717113"/>
    <w:rsid w:val="1A754F28"/>
    <w:rsid w:val="1A776B57"/>
    <w:rsid w:val="1A8406A5"/>
    <w:rsid w:val="1A872550"/>
    <w:rsid w:val="1A8E38DF"/>
    <w:rsid w:val="1A9058A9"/>
    <w:rsid w:val="1A9A4CD7"/>
    <w:rsid w:val="1AA11563"/>
    <w:rsid w:val="1AB00CD7"/>
    <w:rsid w:val="1ABA463E"/>
    <w:rsid w:val="1ABC48F0"/>
    <w:rsid w:val="1AC217DA"/>
    <w:rsid w:val="1ACA1004"/>
    <w:rsid w:val="1ACA45BC"/>
    <w:rsid w:val="1AD757CC"/>
    <w:rsid w:val="1AE31E7C"/>
    <w:rsid w:val="1AE4009C"/>
    <w:rsid w:val="1AEB0D31"/>
    <w:rsid w:val="1AEC2F60"/>
    <w:rsid w:val="1AF90452"/>
    <w:rsid w:val="1AFC1190"/>
    <w:rsid w:val="1B046371"/>
    <w:rsid w:val="1B0E129D"/>
    <w:rsid w:val="1B117E6F"/>
    <w:rsid w:val="1B1B2506"/>
    <w:rsid w:val="1B211DAD"/>
    <w:rsid w:val="1B222F33"/>
    <w:rsid w:val="1B2508D5"/>
    <w:rsid w:val="1B2F2EBF"/>
    <w:rsid w:val="1B352414"/>
    <w:rsid w:val="1B3536E4"/>
    <w:rsid w:val="1B371D78"/>
    <w:rsid w:val="1B3B1CD0"/>
    <w:rsid w:val="1B415148"/>
    <w:rsid w:val="1B5B4923"/>
    <w:rsid w:val="1B60171F"/>
    <w:rsid w:val="1B661EA8"/>
    <w:rsid w:val="1B751481"/>
    <w:rsid w:val="1B755BC6"/>
    <w:rsid w:val="1B793281"/>
    <w:rsid w:val="1B795E8D"/>
    <w:rsid w:val="1B7B5A92"/>
    <w:rsid w:val="1B7E068C"/>
    <w:rsid w:val="1B7E7CEF"/>
    <w:rsid w:val="1B826AF7"/>
    <w:rsid w:val="1B962474"/>
    <w:rsid w:val="1B9A31E9"/>
    <w:rsid w:val="1B9C027D"/>
    <w:rsid w:val="1BA55384"/>
    <w:rsid w:val="1BAC5F55"/>
    <w:rsid w:val="1BB11C7D"/>
    <w:rsid w:val="1BB32620"/>
    <w:rsid w:val="1BBB7C39"/>
    <w:rsid w:val="1BE21743"/>
    <w:rsid w:val="1BE872A1"/>
    <w:rsid w:val="1BE978A9"/>
    <w:rsid w:val="1BF42E8F"/>
    <w:rsid w:val="1C0E1AC6"/>
    <w:rsid w:val="1C16449D"/>
    <w:rsid w:val="1C180E63"/>
    <w:rsid w:val="1C1B3CDE"/>
    <w:rsid w:val="1C24274C"/>
    <w:rsid w:val="1C252021"/>
    <w:rsid w:val="1C2750B6"/>
    <w:rsid w:val="1C2C33AF"/>
    <w:rsid w:val="1C32126E"/>
    <w:rsid w:val="1C4050AC"/>
    <w:rsid w:val="1C4306F9"/>
    <w:rsid w:val="1C534DE0"/>
    <w:rsid w:val="1C556DAA"/>
    <w:rsid w:val="1C580648"/>
    <w:rsid w:val="1C5A616E"/>
    <w:rsid w:val="1C5D3949"/>
    <w:rsid w:val="1C633A62"/>
    <w:rsid w:val="1C640D9B"/>
    <w:rsid w:val="1C683891"/>
    <w:rsid w:val="1C69015F"/>
    <w:rsid w:val="1C6D02DA"/>
    <w:rsid w:val="1C6F159A"/>
    <w:rsid w:val="1C744D56"/>
    <w:rsid w:val="1C784846"/>
    <w:rsid w:val="1C7B4336"/>
    <w:rsid w:val="1C7F3E27"/>
    <w:rsid w:val="1C821221"/>
    <w:rsid w:val="1C8431EB"/>
    <w:rsid w:val="1C8B27CB"/>
    <w:rsid w:val="1C8E057A"/>
    <w:rsid w:val="1C915908"/>
    <w:rsid w:val="1C9864A4"/>
    <w:rsid w:val="1C9A2A0F"/>
    <w:rsid w:val="1CA27B15"/>
    <w:rsid w:val="1CA7082B"/>
    <w:rsid w:val="1CAB69CA"/>
    <w:rsid w:val="1CAC4C91"/>
    <w:rsid w:val="1CB21386"/>
    <w:rsid w:val="1CBA0517"/>
    <w:rsid w:val="1CC073C3"/>
    <w:rsid w:val="1CC125FA"/>
    <w:rsid w:val="1CC21806"/>
    <w:rsid w:val="1CCC06EE"/>
    <w:rsid w:val="1CD203FA"/>
    <w:rsid w:val="1CDA2E0B"/>
    <w:rsid w:val="1CDD6D9F"/>
    <w:rsid w:val="1CE43C8A"/>
    <w:rsid w:val="1CE65C54"/>
    <w:rsid w:val="1CE974F2"/>
    <w:rsid w:val="1CEA7F49"/>
    <w:rsid w:val="1CF41485"/>
    <w:rsid w:val="1CF759BA"/>
    <w:rsid w:val="1CFA34AD"/>
    <w:rsid w:val="1D0216DB"/>
    <w:rsid w:val="1D0A465F"/>
    <w:rsid w:val="1D177C11"/>
    <w:rsid w:val="1D1964B6"/>
    <w:rsid w:val="1D216597"/>
    <w:rsid w:val="1D271DC8"/>
    <w:rsid w:val="1D3178F4"/>
    <w:rsid w:val="1D322C47"/>
    <w:rsid w:val="1D350989"/>
    <w:rsid w:val="1D382954"/>
    <w:rsid w:val="1D3C3AC6"/>
    <w:rsid w:val="1D4B7A15"/>
    <w:rsid w:val="1D5670A8"/>
    <w:rsid w:val="1D597F73"/>
    <w:rsid w:val="1D5A3F4C"/>
    <w:rsid w:val="1D5E4AA3"/>
    <w:rsid w:val="1D632E00"/>
    <w:rsid w:val="1D662E69"/>
    <w:rsid w:val="1D6A0633"/>
    <w:rsid w:val="1D6F5945"/>
    <w:rsid w:val="1D7713D9"/>
    <w:rsid w:val="1D7C2114"/>
    <w:rsid w:val="1D7F1092"/>
    <w:rsid w:val="1D7F39B2"/>
    <w:rsid w:val="1D8F7691"/>
    <w:rsid w:val="1D9456B0"/>
    <w:rsid w:val="1D94745E"/>
    <w:rsid w:val="1D992CC6"/>
    <w:rsid w:val="1DA11B7B"/>
    <w:rsid w:val="1DA131FA"/>
    <w:rsid w:val="1DA37DD1"/>
    <w:rsid w:val="1DA72239"/>
    <w:rsid w:val="1DBB3795"/>
    <w:rsid w:val="1DCA62A8"/>
    <w:rsid w:val="1DCB7A6E"/>
    <w:rsid w:val="1DD0549B"/>
    <w:rsid w:val="1DD904EB"/>
    <w:rsid w:val="1DDA0C7E"/>
    <w:rsid w:val="1DDF6238"/>
    <w:rsid w:val="1DE65A14"/>
    <w:rsid w:val="1DEA4BBB"/>
    <w:rsid w:val="1DEE348E"/>
    <w:rsid w:val="1DF443A0"/>
    <w:rsid w:val="1DFC71C2"/>
    <w:rsid w:val="1E0706A2"/>
    <w:rsid w:val="1E0A7720"/>
    <w:rsid w:val="1E0C4A88"/>
    <w:rsid w:val="1E1C7453"/>
    <w:rsid w:val="1E1F69F3"/>
    <w:rsid w:val="1E23677A"/>
    <w:rsid w:val="1E2B6117"/>
    <w:rsid w:val="1E2F53D8"/>
    <w:rsid w:val="1E3727B2"/>
    <w:rsid w:val="1E37428D"/>
    <w:rsid w:val="1E3B494A"/>
    <w:rsid w:val="1E3D2D1E"/>
    <w:rsid w:val="1E3E4BB0"/>
    <w:rsid w:val="1E454BFC"/>
    <w:rsid w:val="1E4C1793"/>
    <w:rsid w:val="1E562965"/>
    <w:rsid w:val="1E64677F"/>
    <w:rsid w:val="1E672DC4"/>
    <w:rsid w:val="1E7159F1"/>
    <w:rsid w:val="1E752532"/>
    <w:rsid w:val="1E786D7F"/>
    <w:rsid w:val="1E8963F2"/>
    <w:rsid w:val="1E9128D6"/>
    <w:rsid w:val="1E9447DF"/>
    <w:rsid w:val="1E982F7E"/>
    <w:rsid w:val="1E984858"/>
    <w:rsid w:val="1E9F430C"/>
    <w:rsid w:val="1EA062D6"/>
    <w:rsid w:val="1EA30D2C"/>
    <w:rsid w:val="1EA945BC"/>
    <w:rsid w:val="1EAA2CB1"/>
    <w:rsid w:val="1EAF02C7"/>
    <w:rsid w:val="1EB661F5"/>
    <w:rsid w:val="1EB95B8F"/>
    <w:rsid w:val="1EBB4EBE"/>
    <w:rsid w:val="1EBF49AE"/>
    <w:rsid w:val="1EDE4201"/>
    <w:rsid w:val="1EED3155"/>
    <w:rsid w:val="1EFA3E00"/>
    <w:rsid w:val="1F071756"/>
    <w:rsid w:val="1F0D2666"/>
    <w:rsid w:val="1F121390"/>
    <w:rsid w:val="1F1E2241"/>
    <w:rsid w:val="1F244029"/>
    <w:rsid w:val="1F25374D"/>
    <w:rsid w:val="1F32408E"/>
    <w:rsid w:val="1F4153C3"/>
    <w:rsid w:val="1F446843"/>
    <w:rsid w:val="1F4A262E"/>
    <w:rsid w:val="1F4D7EAC"/>
    <w:rsid w:val="1F52137F"/>
    <w:rsid w:val="1F536863"/>
    <w:rsid w:val="1F631853"/>
    <w:rsid w:val="1F646587"/>
    <w:rsid w:val="1F691D3E"/>
    <w:rsid w:val="1F6D5F2C"/>
    <w:rsid w:val="1F6E3CDF"/>
    <w:rsid w:val="1F6E70F2"/>
    <w:rsid w:val="1F7921D7"/>
    <w:rsid w:val="1F7A4834"/>
    <w:rsid w:val="1F7A63A0"/>
    <w:rsid w:val="1F7F25FA"/>
    <w:rsid w:val="1F852E25"/>
    <w:rsid w:val="1F8F1086"/>
    <w:rsid w:val="1F903C55"/>
    <w:rsid w:val="1F980D5B"/>
    <w:rsid w:val="1FB57B5F"/>
    <w:rsid w:val="1FB95976"/>
    <w:rsid w:val="1FBC53FD"/>
    <w:rsid w:val="1FC3227C"/>
    <w:rsid w:val="1FC55FF4"/>
    <w:rsid w:val="1FC847EE"/>
    <w:rsid w:val="1FCD6C57"/>
    <w:rsid w:val="1FD1342C"/>
    <w:rsid w:val="1FD941DA"/>
    <w:rsid w:val="1FE333C5"/>
    <w:rsid w:val="1FE8583F"/>
    <w:rsid w:val="1FED554B"/>
    <w:rsid w:val="1FF003AF"/>
    <w:rsid w:val="1FF16DE9"/>
    <w:rsid w:val="1FF9163C"/>
    <w:rsid w:val="1FFB37C4"/>
    <w:rsid w:val="1FFE208B"/>
    <w:rsid w:val="200A3A07"/>
    <w:rsid w:val="20104D96"/>
    <w:rsid w:val="20145948"/>
    <w:rsid w:val="2019130D"/>
    <w:rsid w:val="20247B33"/>
    <w:rsid w:val="20250841"/>
    <w:rsid w:val="202F7912"/>
    <w:rsid w:val="20300A4D"/>
    <w:rsid w:val="203E5DA7"/>
    <w:rsid w:val="204607B7"/>
    <w:rsid w:val="204809D3"/>
    <w:rsid w:val="20484116"/>
    <w:rsid w:val="20485C9B"/>
    <w:rsid w:val="2058186A"/>
    <w:rsid w:val="206104AB"/>
    <w:rsid w:val="206155F1"/>
    <w:rsid w:val="206A094A"/>
    <w:rsid w:val="206C46C2"/>
    <w:rsid w:val="207B66B3"/>
    <w:rsid w:val="207F2647"/>
    <w:rsid w:val="20887022"/>
    <w:rsid w:val="208A4C8E"/>
    <w:rsid w:val="208E04AD"/>
    <w:rsid w:val="209E5154"/>
    <w:rsid w:val="20A0436C"/>
    <w:rsid w:val="20B617CC"/>
    <w:rsid w:val="20BB2F53"/>
    <w:rsid w:val="20BD316F"/>
    <w:rsid w:val="20BF198C"/>
    <w:rsid w:val="20C062BA"/>
    <w:rsid w:val="20C73087"/>
    <w:rsid w:val="20CF69FF"/>
    <w:rsid w:val="20D9162C"/>
    <w:rsid w:val="20E5422A"/>
    <w:rsid w:val="20EE157B"/>
    <w:rsid w:val="20F070A1"/>
    <w:rsid w:val="20F70C51"/>
    <w:rsid w:val="20F87D04"/>
    <w:rsid w:val="210F2308"/>
    <w:rsid w:val="21156B08"/>
    <w:rsid w:val="21183C9A"/>
    <w:rsid w:val="212A294C"/>
    <w:rsid w:val="212D20A3"/>
    <w:rsid w:val="212E7BC9"/>
    <w:rsid w:val="214C004F"/>
    <w:rsid w:val="214D2579"/>
    <w:rsid w:val="21501B0F"/>
    <w:rsid w:val="2153128C"/>
    <w:rsid w:val="215533A8"/>
    <w:rsid w:val="215A6C10"/>
    <w:rsid w:val="216D31EF"/>
    <w:rsid w:val="216E7FC6"/>
    <w:rsid w:val="2173382E"/>
    <w:rsid w:val="21751354"/>
    <w:rsid w:val="21791684"/>
    <w:rsid w:val="217C26E3"/>
    <w:rsid w:val="217F21D3"/>
    <w:rsid w:val="21800EE6"/>
    <w:rsid w:val="21955962"/>
    <w:rsid w:val="219859DA"/>
    <w:rsid w:val="2199322B"/>
    <w:rsid w:val="21A27E2E"/>
    <w:rsid w:val="21A33643"/>
    <w:rsid w:val="21A659B2"/>
    <w:rsid w:val="21A9264A"/>
    <w:rsid w:val="21AE2AB8"/>
    <w:rsid w:val="21AF0D0A"/>
    <w:rsid w:val="21BF408B"/>
    <w:rsid w:val="21C35692"/>
    <w:rsid w:val="21C67E02"/>
    <w:rsid w:val="21CE6CB6"/>
    <w:rsid w:val="21D10568"/>
    <w:rsid w:val="21D332D2"/>
    <w:rsid w:val="21D378D8"/>
    <w:rsid w:val="21D97B35"/>
    <w:rsid w:val="21DA38AD"/>
    <w:rsid w:val="21DB455C"/>
    <w:rsid w:val="21E11534"/>
    <w:rsid w:val="21E464DA"/>
    <w:rsid w:val="21E93AF0"/>
    <w:rsid w:val="21F91F85"/>
    <w:rsid w:val="22054C7B"/>
    <w:rsid w:val="22097B8B"/>
    <w:rsid w:val="22110320"/>
    <w:rsid w:val="221E1E10"/>
    <w:rsid w:val="221E379A"/>
    <w:rsid w:val="2221568F"/>
    <w:rsid w:val="22282297"/>
    <w:rsid w:val="22315E5F"/>
    <w:rsid w:val="223B259E"/>
    <w:rsid w:val="223C00C4"/>
    <w:rsid w:val="224105FB"/>
    <w:rsid w:val="22412A0A"/>
    <w:rsid w:val="22450464"/>
    <w:rsid w:val="224A4397"/>
    <w:rsid w:val="225319A1"/>
    <w:rsid w:val="22542FDE"/>
    <w:rsid w:val="22596EC8"/>
    <w:rsid w:val="22600256"/>
    <w:rsid w:val="2265586D"/>
    <w:rsid w:val="226E5B97"/>
    <w:rsid w:val="227651DD"/>
    <w:rsid w:val="22774A14"/>
    <w:rsid w:val="22806203"/>
    <w:rsid w:val="22812CEF"/>
    <w:rsid w:val="22840821"/>
    <w:rsid w:val="228948B4"/>
    <w:rsid w:val="228F28EA"/>
    <w:rsid w:val="22916662"/>
    <w:rsid w:val="229F4ECB"/>
    <w:rsid w:val="22A50A0B"/>
    <w:rsid w:val="22B130A7"/>
    <w:rsid w:val="22B8599C"/>
    <w:rsid w:val="22BB1EA3"/>
    <w:rsid w:val="22BD7457"/>
    <w:rsid w:val="22C205C9"/>
    <w:rsid w:val="22C34341"/>
    <w:rsid w:val="22C55CCE"/>
    <w:rsid w:val="22C813AD"/>
    <w:rsid w:val="22CC62E4"/>
    <w:rsid w:val="22D007B5"/>
    <w:rsid w:val="22D07467"/>
    <w:rsid w:val="22D4654E"/>
    <w:rsid w:val="22E36792"/>
    <w:rsid w:val="23122559"/>
    <w:rsid w:val="231260B8"/>
    <w:rsid w:val="2314212D"/>
    <w:rsid w:val="231921B3"/>
    <w:rsid w:val="231B5F2B"/>
    <w:rsid w:val="232568F0"/>
    <w:rsid w:val="23264FFC"/>
    <w:rsid w:val="232A43C0"/>
    <w:rsid w:val="232C638A"/>
    <w:rsid w:val="233C2A9D"/>
    <w:rsid w:val="23417BBA"/>
    <w:rsid w:val="23476D20"/>
    <w:rsid w:val="234B4A63"/>
    <w:rsid w:val="234C2589"/>
    <w:rsid w:val="23515DF1"/>
    <w:rsid w:val="23521866"/>
    <w:rsid w:val="23580F2E"/>
    <w:rsid w:val="235843BA"/>
    <w:rsid w:val="235A0DE5"/>
    <w:rsid w:val="235E68DA"/>
    <w:rsid w:val="23627016"/>
    <w:rsid w:val="2365677F"/>
    <w:rsid w:val="23751ADF"/>
    <w:rsid w:val="23791659"/>
    <w:rsid w:val="237F0D75"/>
    <w:rsid w:val="238A4E8A"/>
    <w:rsid w:val="239007D2"/>
    <w:rsid w:val="23990204"/>
    <w:rsid w:val="23A23350"/>
    <w:rsid w:val="23B243EB"/>
    <w:rsid w:val="23B3062F"/>
    <w:rsid w:val="23BF0FAD"/>
    <w:rsid w:val="23C07B8C"/>
    <w:rsid w:val="23C14D25"/>
    <w:rsid w:val="23C56EF3"/>
    <w:rsid w:val="23C710C3"/>
    <w:rsid w:val="23C91E2B"/>
    <w:rsid w:val="23CE11F0"/>
    <w:rsid w:val="23D90114"/>
    <w:rsid w:val="23DB57A6"/>
    <w:rsid w:val="23DF0690"/>
    <w:rsid w:val="23E6478B"/>
    <w:rsid w:val="23E943A9"/>
    <w:rsid w:val="23F40BBF"/>
    <w:rsid w:val="23F52C20"/>
    <w:rsid w:val="23FF5582"/>
    <w:rsid w:val="24037F72"/>
    <w:rsid w:val="24113683"/>
    <w:rsid w:val="2412732E"/>
    <w:rsid w:val="24194B61"/>
    <w:rsid w:val="243279D1"/>
    <w:rsid w:val="24360779"/>
    <w:rsid w:val="244A09D9"/>
    <w:rsid w:val="24537E66"/>
    <w:rsid w:val="245402EF"/>
    <w:rsid w:val="245A05F3"/>
    <w:rsid w:val="245B792E"/>
    <w:rsid w:val="245C4A4D"/>
    <w:rsid w:val="24653902"/>
    <w:rsid w:val="246D6C5B"/>
    <w:rsid w:val="248C288C"/>
    <w:rsid w:val="248F1707"/>
    <w:rsid w:val="24A01B0F"/>
    <w:rsid w:val="24A63778"/>
    <w:rsid w:val="24A748CE"/>
    <w:rsid w:val="24A907A3"/>
    <w:rsid w:val="24AF4B7D"/>
    <w:rsid w:val="24B108F5"/>
    <w:rsid w:val="24C77F7A"/>
    <w:rsid w:val="24C85180"/>
    <w:rsid w:val="24D039E2"/>
    <w:rsid w:val="24E15127"/>
    <w:rsid w:val="24ED39A0"/>
    <w:rsid w:val="24EF7670"/>
    <w:rsid w:val="24F008D0"/>
    <w:rsid w:val="24F1725F"/>
    <w:rsid w:val="24FA72AB"/>
    <w:rsid w:val="25006E70"/>
    <w:rsid w:val="25021151"/>
    <w:rsid w:val="250B7FF3"/>
    <w:rsid w:val="250E4D5D"/>
    <w:rsid w:val="25272059"/>
    <w:rsid w:val="25351310"/>
    <w:rsid w:val="25423C43"/>
    <w:rsid w:val="25461985"/>
    <w:rsid w:val="2547125A"/>
    <w:rsid w:val="2549425C"/>
    <w:rsid w:val="25585952"/>
    <w:rsid w:val="255A436A"/>
    <w:rsid w:val="255F7933"/>
    <w:rsid w:val="25622C6E"/>
    <w:rsid w:val="256A4F48"/>
    <w:rsid w:val="257411BF"/>
    <w:rsid w:val="25742047"/>
    <w:rsid w:val="2578016F"/>
    <w:rsid w:val="25787764"/>
    <w:rsid w:val="258130FC"/>
    <w:rsid w:val="2584425C"/>
    <w:rsid w:val="25891872"/>
    <w:rsid w:val="258B2DDD"/>
    <w:rsid w:val="2591178D"/>
    <w:rsid w:val="25946F2D"/>
    <w:rsid w:val="25956469"/>
    <w:rsid w:val="25960252"/>
    <w:rsid w:val="25973F8F"/>
    <w:rsid w:val="25996E2A"/>
    <w:rsid w:val="259A32D4"/>
    <w:rsid w:val="25A466AC"/>
    <w:rsid w:val="25AC44E9"/>
    <w:rsid w:val="25AE6518"/>
    <w:rsid w:val="25B00DF3"/>
    <w:rsid w:val="25B74631"/>
    <w:rsid w:val="25BD23F5"/>
    <w:rsid w:val="25C66622"/>
    <w:rsid w:val="25CD79B1"/>
    <w:rsid w:val="25D55FA5"/>
    <w:rsid w:val="25DC2065"/>
    <w:rsid w:val="25E14E05"/>
    <w:rsid w:val="25E33410"/>
    <w:rsid w:val="25E75C93"/>
    <w:rsid w:val="25EA625C"/>
    <w:rsid w:val="25F413E1"/>
    <w:rsid w:val="25F56F08"/>
    <w:rsid w:val="25FD7AF1"/>
    <w:rsid w:val="26046186"/>
    <w:rsid w:val="260666B6"/>
    <w:rsid w:val="260F22BE"/>
    <w:rsid w:val="261455E0"/>
    <w:rsid w:val="261F0C9C"/>
    <w:rsid w:val="26226DA0"/>
    <w:rsid w:val="262E41C8"/>
    <w:rsid w:val="263E440B"/>
    <w:rsid w:val="264439EB"/>
    <w:rsid w:val="264942D3"/>
    <w:rsid w:val="264B5731"/>
    <w:rsid w:val="264C1327"/>
    <w:rsid w:val="265C2B87"/>
    <w:rsid w:val="265D6277"/>
    <w:rsid w:val="26681488"/>
    <w:rsid w:val="2668592C"/>
    <w:rsid w:val="267472D4"/>
    <w:rsid w:val="26906C30"/>
    <w:rsid w:val="26914E82"/>
    <w:rsid w:val="269175C1"/>
    <w:rsid w:val="269821F5"/>
    <w:rsid w:val="269A4301"/>
    <w:rsid w:val="26A1499A"/>
    <w:rsid w:val="26AB75C6"/>
    <w:rsid w:val="26B25645"/>
    <w:rsid w:val="26BB59F0"/>
    <w:rsid w:val="26C36CD7"/>
    <w:rsid w:val="26CA2142"/>
    <w:rsid w:val="26D055EC"/>
    <w:rsid w:val="26D62278"/>
    <w:rsid w:val="26D80E26"/>
    <w:rsid w:val="26DA4DB0"/>
    <w:rsid w:val="26DB7EAB"/>
    <w:rsid w:val="26E01966"/>
    <w:rsid w:val="26E35165"/>
    <w:rsid w:val="26E7071F"/>
    <w:rsid w:val="26E742C9"/>
    <w:rsid w:val="26EC5F5F"/>
    <w:rsid w:val="26F862BF"/>
    <w:rsid w:val="26F86CAF"/>
    <w:rsid w:val="270F224B"/>
    <w:rsid w:val="2714461B"/>
    <w:rsid w:val="271E140C"/>
    <w:rsid w:val="27283403"/>
    <w:rsid w:val="2732408F"/>
    <w:rsid w:val="2732473F"/>
    <w:rsid w:val="273B094A"/>
    <w:rsid w:val="274E68CF"/>
    <w:rsid w:val="275F5316"/>
    <w:rsid w:val="27673E35"/>
    <w:rsid w:val="27675BE3"/>
    <w:rsid w:val="276E0D20"/>
    <w:rsid w:val="277D0F63"/>
    <w:rsid w:val="27834EE8"/>
    <w:rsid w:val="278A36C1"/>
    <w:rsid w:val="27937746"/>
    <w:rsid w:val="27A441BA"/>
    <w:rsid w:val="27A61EA5"/>
    <w:rsid w:val="27A91D58"/>
    <w:rsid w:val="27AC3209"/>
    <w:rsid w:val="27B16E5E"/>
    <w:rsid w:val="27BC1FD7"/>
    <w:rsid w:val="27C24092"/>
    <w:rsid w:val="27C60B5C"/>
    <w:rsid w:val="27DE37C7"/>
    <w:rsid w:val="27EA37A1"/>
    <w:rsid w:val="27F201DD"/>
    <w:rsid w:val="27F433F3"/>
    <w:rsid w:val="27FA4225"/>
    <w:rsid w:val="27FC457D"/>
    <w:rsid w:val="2817271F"/>
    <w:rsid w:val="281C024F"/>
    <w:rsid w:val="281E53C6"/>
    <w:rsid w:val="28291CBC"/>
    <w:rsid w:val="283436BF"/>
    <w:rsid w:val="283B1FAF"/>
    <w:rsid w:val="283C746E"/>
    <w:rsid w:val="28451CEC"/>
    <w:rsid w:val="284C1AA1"/>
    <w:rsid w:val="285048C9"/>
    <w:rsid w:val="285A608E"/>
    <w:rsid w:val="28631BC1"/>
    <w:rsid w:val="28677614"/>
    <w:rsid w:val="28705713"/>
    <w:rsid w:val="28732366"/>
    <w:rsid w:val="28865047"/>
    <w:rsid w:val="288C5D8F"/>
    <w:rsid w:val="288D3427"/>
    <w:rsid w:val="28921B98"/>
    <w:rsid w:val="289724F8"/>
    <w:rsid w:val="28A10C81"/>
    <w:rsid w:val="28A35F08"/>
    <w:rsid w:val="28A82E06"/>
    <w:rsid w:val="28AA3FD9"/>
    <w:rsid w:val="28BE7A53"/>
    <w:rsid w:val="28C11323"/>
    <w:rsid w:val="28C17AA5"/>
    <w:rsid w:val="28C333F3"/>
    <w:rsid w:val="28C623C8"/>
    <w:rsid w:val="28C870FB"/>
    <w:rsid w:val="28D346CF"/>
    <w:rsid w:val="28D9041B"/>
    <w:rsid w:val="28DA0F68"/>
    <w:rsid w:val="28DC40DE"/>
    <w:rsid w:val="28E02855"/>
    <w:rsid w:val="28E47A07"/>
    <w:rsid w:val="28E87A85"/>
    <w:rsid w:val="28EA6ACC"/>
    <w:rsid w:val="28F039B6"/>
    <w:rsid w:val="28F95E48"/>
    <w:rsid w:val="28FE280A"/>
    <w:rsid w:val="291418A9"/>
    <w:rsid w:val="29210980"/>
    <w:rsid w:val="293A2DA6"/>
    <w:rsid w:val="293E2627"/>
    <w:rsid w:val="29440941"/>
    <w:rsid w:val="2945137C"/>
    <w:rsid w:val="294F5457"/>
    <w:rsid w:val="29600B3C"/>
    <w:rsid w:val="29606D8E"/>
    <w:rsid w:val="29671ECA"/>
    <w:rsid w:val="296746DA"/>
    <w:rsid w:val="29677DF0"/>
    <w:rsid w:val="29695641"/>
    <w:rsid w:val="296B02DC"/>
    <w:rsid w:val="29713B4C"/>
    <w:rsid w:val="2972519F"/>
    <w:rsid w:val="297312C8"/>
    <w:rsid w:val="2975749C"/>
    <w:rsid w:val="297B47EA"/>
    <w:rsid w:val="297B7724"/>
    <w:rsid w:val="29891E41"/>
    <w:rsid w:val="298E10F3"/>
    <w:rsid w:val="299172A8"/>
    <w:rsid w:val="29C11534"/>
    <w:rsid w:val="29C13D9B"/>
    <w:rsid w:val="29C55D89"/>
    <w:rsid w:val="29CD77C6"/>
    <w:rsid w:val="29D169E2"/>
    <w:rsid w:val="29DF4157"/>
    <w:rsid w:val="29E67293"/>
    <w:rsid w:val="29E90B31"/>
    <w:rsid w:val="29EF3630"/>
    <w:rsid w:val="29FD4F25"/>
    <w:rsid w:val="2A012B32"/>
    <w:rsid w:val="2A040314"/>
    <w:rsid w:val="2A07545B"/>
    <w:rsid w:val="2A0B4F4C"/>
    <w:rsid w:val="2A0E67EA"/>
    <w:rsid w:val="2A1037CF"/>
    <w:rsid w:val="2A151926"/>
    <w:rsid w:val="2A155784"/>
    <w:rsid w:val="2A27165A"/>
    <w:rsid w:val="2A2E0C3A"/>
    <w:rsid w:val="2A3D2C2B"/>
    <w:rsid w:val="2A4302B0"/>
    <w:rsid w:val="2A497822"/>
    <w:rsid w:val="2A545616"/>
    <w:rsid w:val="2A585CB7"/>
    <w:rsid w:val="2A5965F1"/>
    <w:rsid w:val="2A736AE3"/>
    <w:rsid w:val="2A7523C5"/>
    <w:rsid w:val="2A7C449F"/>
    <w:rsid w:val="2A9C2E2C"/>
    <w:rsid w:val="2AA36F32"/>
    <w:rsid w:val="2AAD1B5F"/>
    <w:rsid w:val="2ABE3496"/>
    <w:rsid w:val="2ABE5B1A"/>
    <w:rsid w:val="2ACF2CE1"/>
    <w:rsid w:val="2ADB4DC7"/>
    <w:rsid w:val="2ADB5B0A"/>
    <w:rsid w:val="2AE337D3"/>
    <w:rsid w:val="2AE9680B"/>
    <w:rsid w:val="2AF07C9E"/>
    <w:rsid w:val="2B115B01"/>
    <w:rsid w:val="2B130055"/>
    <w:rsid w:val="2B14398C"/>
    <w:rsid w:val="2B186620"/>
    <w:rsid w:val="2B1C6CE5"/>
    <w:rsid w:val="2B2A7653"/>
    <w:rsid w:val="2B2F1CA4"/>
    <w:rsid w:val="2B40299A"/>
    <w:rsid w:val="2B407FEB"/>
    <w:rsid w:val="2B411251"/>
    <w:rsid w:val="2B461C56"/>
    <w:rsid w:val="2B4C18BE"/>
    <w:rsid w:val="2B536BAA"/>
    <w:rsid w:val="2B6363C2"/>
    <w:rsid w:val="2B7408CF"/>
    <w:rsid w:val="2B7729B9"/>
    <w:rsid w:val="2B822FEC"/>
    <w:rsid w:val="2B8A6344"/>
    <w:rsid w:val="2B8C5C18"/>
    <w:rsid w:val="2B920D55"/>
    <w:rsid w:val="2B960845"/>
    <w:rsid w:val="2B9666D9"/>
    <w:rsid w:val="2B9B22FF"/>
    <w:rsid w:val="2BA06F07"/>
    <w:rsid w:val="2BA22C05"/>
    <w:rsid w:val="2BA309D9"/>
    <w:rsid w:val="2BA32F62"/>
    <w:rsid w:val="2BA40686"/>
    <w:rsid w:val="2BAF1907"/>
    <w:rsid w:val="2BB46F39"/>
    <w:rsid w:val="2BB86A0D"/>
    <w:rsid w:val="2BC058C2"/>
    <w:rsid w:val="2BC74EA2"/>
    <w:rsid w:val="2BCC4267"/>
    <w:rsid w:val="2BD02B5C"/>
    <w:rsid w:val="2BD33847"/>
    <w:rsid w:val="2BE772F2"/>
    <w:rsid w:val="2BEA0B91"/>
    <w:rsid w:val="2BEB6DE3"/>
    <w:rsid w:val="2BEF6A6C"/>
    <w:rsid w:val="2BFD6B16"/>
    <w:rsid w:val="2BFF63EA"/>
    <w:rsid w:val="2C02237E"/>
    <w:rsid w:val="2C0564E9"/>
    <w:rsid w:val="2C083572"/>
    <w:rsid w:val="2C150358"/>
    <w:rsid w:val="2C1B1D16"/>
    <w:rsid w:val="2C270A15"/>
    <w:rsid w:val="2C385DA0"/>
    <w:rsid w:val="2C390180"/>
    <w:rsid w:val="2C3B319A"/>
    <w:rsid w:val="2C4A11AC"/>
    <w:rsid w:val="2C4E7372"/>
    <w:rsid w:val="2C4F5601"/>
    <w:rsid w:val="2C5030EA"/>
    <w:rsid w:val="2C59721D"/>
    <w:rsid w:val="2C5B3121"/>
    <w:rsid w:val="2C610F9B"/>
    <w:rsid w:val="2C7963E8"/>
    <w:rsid w:val="2C7A714B"/>
    <w:rsid w:val="2C8121F8"/>
    <w:rsid w:val="2C8132A3"/>
    <w:rsid w:val="2C82701B"/>
    <w:rsid w:val="2C871A1E"/>
    <w:rsid w:val="2C8D7BF5"/>
    <w:rsid w:val="2CA376BD"/>
    <w:rsid w:val="2CAE26F0"/>
    <w:rsid w:val="2CB04FDB"/>
    <w:rsid w:val="2CB35427"/>
    <w:rsid w:val="2CB82A3D"/>
    <w:rsid w:val="2CCC72DA"/>
    <w:rsid w:val="2CD827F5"/>
    <w:rsid w:val="2CE51A84"/>
    <w:rsid w:val="2CE55431"/>
    <w:rsid w:val="2CE90F2B"/>
    <w:rsid w:val="2CE9673D"/>
    <w:rsid w:val="2CF55EFF"/>
    <w:rsid w:val="2CF9108B"/>
    <w:rsid w:val="2CFE2B46"/>
    <w:rsid w:val="2D05655E"/>
    <w:rsid w:val="2D0839C4"/>
    <w:rsid w:val="2D0E3785"/>
    <w:rsid w:val="2D1759B5"/>
    <w:rsid w:val="2D250B5D"/>
    <w:rsid w:val="2D2543D5"/>
    <w:rsid w:val="2D293ED8"/>
    <w:rsid w:val="2D300825"/>
    <w:rsid w:val="2D4300B2"/>
    <w:rsid w:val="2D4D13D7"/>
    <w:rsid w:val="2D5052F3"/>
    <w:rsid w:val="2D595FCE"/>
    <w:rsid w:val="2D5E11CC"/>
    <w:rsid w:val="2D616C31"/>
    <w:rsid w:val="2D65193F"/>
    <w:rsid w:val="2D6D102F"/>
    <w:rsid w:val="2D6F1493"/>
    <w:rsid w:val="2D74105A"/>
    <w:rsid w:val="2D7A7E13"/>
    <w:rsid w:val="2D7C6AE1"/>
    <w:rsid w:val="2D80355B"/>
    <w:rsid w:val="2D811081"/>
    <w:rsid w:val="2D8B5A9B"/>
    <w:rsid w:val="2D9134BB"/>
    <w:rsid w:val="2D960CB0"/>
    <w:rsid w:val="2D9729E8"/>
    <w:rsid w:val="2DA21723"/>
    <w:rsid w:val="2DA57465"/>
    <w:rsid w:val="2DAA0901"/>
    <w:rsid w:val="2DAD00C8"/>
    <w:rsid w:val="2DAF759E"/>
    <w:rsid w:val="2DC25921"/>
    <w:rsid w:val="2DC55411"/>
    <w:rsid w:val="2DE33AEA"/>
    <w:rsid w:val="2DE41CA7"/>
    <w:rsid w:val="2DE637F8"/>
    <w:rsid w:val="2DE71153"/>
    <w:rsid w:val="2DF14D73"/>
    <w:rsid w:val="2DF91E34"/>
    <w:rsid w:val="2DFA0539"/>
    <w:rsid w:val="2E1A39AF"/>
    <w:rsid w:val="2E1E4E64"/>
    <w:rsid w:val="2E1F0271"/>
    <w:rsid w:val="2E1F1D92"/>
    <w:rsid w:val="2E204D3E"/>
    <w:rsid w:val="2E2813B6"/>
    <w:rsid w:val="2E362F8B"/>
    <w:rsid w:val="2E4166E3"/>
    <w:rsid w:val="2E4A5917"/>
    <w:rsid w:val="2E4D203A"/>
    <w:rsid w:val="2E4E18AB"/>
    <w:rsid w:val="2E552C39"/>
    <w:rsid w:val="2E6A3883"/>
    <w:rsid w:val="2E7524CE"/>
    <w:rsid w:val="2E8250B1"/>
    <w:rsid w:val="2E8A2220"/>
    <w:rsid w:val="2E9077CD"/>
    <w:rsid w:val="2E9E59DA"/>
    <w:rsid w:val="2EA41A89"/>
    <w:rsid w:val="2EA84D5E"/>
    <w:rsid w:val="2EAB0AAB"/>
    <w:rsid w:val="2EC1026E"/>
    <w:rsid w:val="2EC27BA3"/>
    <w:rsid w:val="2EC67693"/>
    <w:rsid w:val="2ECD6C74"/>
    <w:rsid w:val="2ED0193F"/>
    <w:rsid w:val="2ED10EE4"/>
    <w:rsid w:val="2ED469F6"/>
    <w:rsid w:val="2EDE0530"/>
    <w:rsid w:val="2EE041DF"/>
    <w:rsid w:val="2EE538D4"/>
    <w:rsid w:val="2EE56589"/>
    <w:rsid w:val="2EE713B8"/>
    <w:rsid w:val="2EEB3529"/>
    <w:rsid w:val="2EF835C5"/>
    <w:rsid w:val="2EFC30B5"/>
    <w:rsid w:val="2F0327C6"/>
    <w:rsid w:val="2F0F103A"/>
    <w:rsid w:val="2F236CBC"/>
    <w:rsid w:val="2F2F348A"/>
    <w:rsid w:val="2F326AD7"/>
    <w:rsid w:val="2F3527BA"/>
    <w:rsid w:val="2F3E15AD"/>
    <w:rsid w:val="2F4131BE"/>
    <w:rsid w:val="2F5647DA"/>
    <w:rsid w:val="2F5A3C00"/>
    <w:rsid w:val="2F5E1D80"/>
    <w:rsid w:val="2F5E48F2"/>
    <w:rsid w:val="2F61560E"/>
    <w:rsid w:val="2F8020E6"/>
    <w:rsid w:val="2F917CA1"/>
    <w:rsid w:val="2F980EA6"/>
    <w:rsid w:val="2F9E5F1A"/>
    <w:rsid w:val="2F9E6293"/>
    <w:rsid w:val="2FA15A0A"/>
    <w:rsid w:val="2FA17993"/>
    <w:rsid w:val="2FA33530"/>
    <w:rsid w:val="2FAD43AF"/>
    <w:rsid w:val="2FB923F7"/>
    <w:rsid w:val="2FBE036A"/>
    <w:rsid w:val="2FBE7AFB"/>
    <w:rsid w:val="2FC811E9"/>
    <w:rsid w:val="2FCE2CA3"/>
    <w:rsid w:val="2FD93CB2"/>
    <w:rsid w:val="2FE778C1"/>
    <w:rsid w:val="2FF95846"/>
    <w:rsid w:val="30050926"/>
    <w:rsid w:val="300E30A0"/>
    <w:rsid w:val="30142AD9"/>
    <w:rsid w:val="301E5C95"/>
    <w:rsid w:val="30322561"/>
    <w:rsid w:val="30340320"/>
    <w:rsid w:val="3038636F"/>
    <w:rsid w:val="303A20E7"/>
    <w:rsid w:val="303C485F"/>
    <w:rsid w:val="305B205D"/>
    <w:rsid w:val="305E2173"/>
    <w:rsid w:val="305E56A9"/>
    <w:rsid w:val="3062603A"/>
    <w:rsid w:val="30692FDF"/>
    <w:rsid w:val="3069477A"/>
    <w:rsid w:val="306B0D3B"/>
    <w:rsid w:val="307A6987"/>
    <w:rsid w:val="308F7EDE"/>
    <w:rsid w:val="309C4B4F"/>
    <w:rsid w:val="309D40A4"/>
    <w:rsid w:val="30A0219A"/>
    <w:rsid w:val="30A7142B"/>
    <w:rsid w:val="30AB4D93"/>
    <w:rsid w:val="30B07147"/>
    <w:rsid w:val="30BB2AFC"/>
    <w:rsid w:val="30BD79C6"/>
    <w:rsid w:val="30C20864"/>
    <w:rsid w:val="30CE0E66"/>
    <w:rsid w:val="30D53BBD"/>
    <w:rsid w:val="30DB11D9"/>
    <w:rsid w:val="30DD2A72"/>
    <w:rsid w:val="30ED2D50"/>
    <w:rsid w:val="30F304E8"/>
    <w:rsid w:val="30F524B2"/>
    <w:rsid w:val="30F54260"/>
    <w:rsid w:val="30FC500D"/>
    <w:rsid w:val="31104BF6"/>
    <w:rsid w:val="312928DF"/>
    <w:rsid w:val="3130037D"/>
    <w:rsid w:val="313370F6"/>
    <w:rsid w:val="313A2167"/>
    <w:rsid w:val="313B58DE"/>
    <w:rsid w:val="313B6230"/>
    <w:rsid w:val="31457A4F"/>
    <w:rsid w:val="31564B09"/>
    <w:rsid w:val="31605B7D"/>
    <w:rsid w:val="316B4522"/>
    <w:rsid w:val="316E4D0F"/>
    <w:rsid w:val="31701B38"/>
    <w:rsid w:val="317D748B"/>
    <w:rsid w:val="317F5E49"/>
    <w:rsid w:val="318B24CE"/>
    <w:rsid w:val="31943A79"/>
    <w:rsid w:val="319F5D6A"/>
    <w:rsid w:val="31A019BD"/>
    <w:rsid w:val="31A75185"/>
    <w:rsid w:val="31AB12A2"/>
    <w:rsid w:val="31B023F1"/>
    <w:rsid w:val="31B06C69"/>
    <w:rsid w:val="31B5579D"/>
    <w:rsid w:val="31BD1C8C"/>
    <w:rsid w:val="31C75BFC"/>
    <w:rsid w:val="31C83C50"/>
    <w:rsid w:val="31C91C1F"/>
    <w:rsid w:val="31D20B9C"/>
    <w:rsid w:val="31D976DD"/>
    <w:rsid w:val="31DA1E99"/>
    <w:rsid w:val="31DA78AA"/>
    <w:rsid w:val="31DB6766"/>
    <w:rsid w:val="31DD5420"/>
    <w:rsid w:val="31E367AE"/>
    <w:rsid w:val="31EB301F"/>
    <w:rsid w:val="31EE10BA"/>
    <w:rsid w:val="31FD6935"/>
    <w:rsid w:val="320159A3"/>
    <w:rsid w:val="32032452"/>
    <w:rsid w:val="320861E5"/>
    <w:rsid w:val="321123F1"/>
    <w:rsid w:val="32171FB4"/>
    <w:rsid w:val="32215274"/>
    <w:rsid w:val="322F37A1"/>
    <w:rsid w:val="32390304"/>
    <w:rsid w:val="323F1C36"/>
    <w:rsid w:val="324635EE"/>
    <w:rsid w:val="32476C0D"/>
    <w:rsid w:val="324C0C07"/>
    <w:rsid w:val="324C4353"/>
    <w:rsid w:val="32523D98"/>
    <w:rsid w:val="32597378"/>
    <w:rsid w:val="32610908"/>
    <w:rsid w:val="326A6587"/>
    <w:rsid w:val="326C0C79"/>
    <w:rsid w:val="326E72C0"/>
    <w:rsid w:val="326E7E26"/>
    <w:rsid w:val="32700042"/>
    <w:rsid w:val="3274548D"/>
    <w:rsid w:val="32792A46"/>
    <w:rsid w:val="327B51AE"/>
    <w:rsid w:val="32933FA7"/>
    <w:rsid w:val="32936626"/>
    <w:rsid w:val="32A001FB"/>
    <w:rsid w:val="32A5723C"/>
    <w:rsid w:val="32A63A63"/>
    <w:rsid w:val="32AC4DF2"/>
    <w:rsid w:val="32B605FD"/>
    <w:rsid w:val="32B90276"/>
    <w:rsid w:val="32BF4C05"/>
    <w:rsid w:val="32C959A4"/>
    <w:rsid w:val="32CF55BD"/>
    <w:rsid w:val="32D7151A"/>
    <w:rsid w:val="32E97DF4"/>
    <w:rsid w:val="32F347CF"/>
    <w:rsid w:val="33026776"/>
    <w:rsid w:val="3302726F"/>
    <w:rsid w:val="331309CD"/>
    <w:rsid w:val="331D184C"/>
    <w:rsid w:val="331F5E09"/>
    <w:rsid w:val="332962A4"/>
    <w:rsid w:val="332B5904"/>
    <w:rsid w:val="332C6155"/>
    <w:rsid w:val="33393CBA"/>
    <w:rsid w:val="333E6C81"/>
    <w:rsid w:val="33522930"/>
    <w:rsid w:val="33550FE6"/>
    <w:rsid w:val="33552D94"/>
    <w:rsid w:val="33576B0C"/>
    <w:rsid w:val="335C4122"/>
    <w:rsid w:val="33686F6B"/>
    <w:rsid w:val="33690B83"/>
    <w:rsid w:val="33707BCD"/>
    <w:rsid w:val="337376BE"/>
    <w:rsid w:val="337C33E4"/>
    <w:rsid w:val="338D56E9"/>
    <w:rsid w:val="338E62A6"/>
    <w:rsid w:val="33947D60"/>
    <w:rsid w:val="33966767"/>
    <w:rsid w:val="33A459BE"/>
    <w:rsid w:val="33A475BE"/>
    <w:rsid w:val="33AD2BD0"/>
    <w:rsid w:val="33B10F4E"/>
    <w:rsid w:val="33B272A3"/>
    <w:rsid w:val="33B679E6"/>
    <w:rsid w:val="33BC1E73"/>
    <w:rsid w:val="33BC2E13"/>
    <w:rsid w:val="33BD5D3F"/>
    <w:rsid w:val="33C06DA7"/>
    <w:rsid w:val="33C33711"/>
    <w:rsid w:val="33C61569"/>
    <w:rsid w:val="33C63344"/>
    <w:rsid w:val="33D0479D"/>
    <w:rsid w:val="33DD33F9"/>
    <w:rsid w:val="33E26BAF"/>
    <w:rsid w:val="33E31994"/>
    <w:rsid w:val="33EF75C4"/>
    <w:rsid w:val="33F151B2"/>
    <w:rsid w:val="33FE6BEC"/>
    <w:rsid w:val="34001F5F"/>
    <w:rsid w:val="340603C7"/>
    <w:rsid w:val="340D2764"/>
    <w:rsid w:val="3422536C"/>
    <w:rsid w:val="342866FA"/>
    <w:rsid w:val="3430306C"/>
    <w:rsid w:val="34321BC6"/>
    <w:rsid w:val="34347003"/>
    <w:rsid w:val="34441786"/>
    <w:rsid w:val="34473024"/>
    <w:rsid w:val="34566AAC"/>
    <w:rsid w:val="34583D23"/>
    <w:rsid w:val="345C7965"/>
    <w:rsid w:val="34637732"/>
    <w:rsid w:val="346672AD"/>
    <w:rsid w:val="346A4C36"/>
    <w:rsid w:val="346F257B"/>
    <w:rsid w:val="347159A6"/>
    <w:rsid w:val="347E1462"/>
    <w:rsid w:val="3498562E"/>
    <w:rsid w:val="349977F4"/>
    <w:rsid w:val="349C5100"/>
    <w:rsid w:val="349F4C0E"/>
    <w:rsid w:val="34A7599D"/>
    <w:rsid w:val="34AA595D"/>
    <w:rsid w:val="34B30A4D"/>
    <w:rsid w:val="34C30007"/>
    <w:rsid w:val="34C7258A"/>
    <w:rsid w:val="34CD05B2"/>
    <w:rsid w:val="34D34605"/>
    <w:rsid w:val="34D348B8"/>
    <w:rsid w:val="34D81040"/>
    <w:rsid w:val="34DA68E5"/>
    <w:rsid w:val="34DD6EA1"/>
    <w:rsid w:val="34E40873"/>
    <w:rsid w:val="34E56399"/>
    <w:rsid w:val="34E840A6"/>
    <w:rsid w:val="34EB1C02"/>
    <w:rsid w:val="34F211E2"/>
    <w:rsid w:val="34F7095C"/>
    <w:rsid w:val="34FF5761"/>
    <w:rsid w:val="34FF771A"/>
    <w:rsid w:val="34FF7792"/>
    <w:rsid w:val="34FF7FF6"/>
    <w:rsid w:val="35103001"/>
    <w:rsid w:val="3512615F"/>
    <w:rsid w:val="35141437"/>
    <w:rsid w:val="351647A5"/>
    <w:rsid w:val="351E45D8"/>
    <w:rsid w:val="35225E7C"/>
    <w:rsid w:val="35244234"/>
    <w:rsid w:val="353149E8"/>
    <w:rsid w:val="3531580A"/>
    <w:rsid w:val="353C1008"/>
    <w:rsid w:val="35417A73"/>
    <w:rsid w:val="35581F06"/>
    <w:rsid w:val="35590CB7"/>
    <w:rsid w:val="355B78AA"/>
    <w:rsid w:val="35646BA9"/>
    <w:rsid w:val="356C2617"/>
    <w:rsid w:val="356D44A7"/>
    <w:rsid w:val="357311CC"/>
    <w:rsid w:val="3574263E"/>
    <w:rsid w:val="35767891"/>
    <w:rsid w:val="357E0CC8"/>
    <w:rsid w:val="357F234A"/>
    <w:rsid w:val="35852A77"/>
    <w:rsid w:val="358F176F"/>
    <w:rsid w:val="35904407"/>
    <w:rsid w:val="3592303A"/>
    <w:rsid w:val="359C114E"/>
    <w:rsid w:val="35AB7BFD"/>
    <w:rsid w:val="35AF0E81"/>
    <w:rsid w:val="35B3327A"/>
    <w:rsid w:val="35B6404E"/>
    <w:rsid w:val="35C0308E"/>
    <w:rsid w:val="35C34FC3"/>
    <w:rsid w:val="35C42453"/>
    <w:rsid w:val="35C54E2A"/>
    <w:rsid w:val="35C66E2C"/>
    <w:rsid w:val="35CD1665"/>
    <w:rsid w:val="35D703D8"/>
    <w:rsid w:val="35DA720A"/>
    <w:rsid w:val="35DE4A30"/>
    <w:rsid w:val="35FA0B23"/>
    <w:rsid w:val="36035F56"/>
    <w:rsid w:val="360546AB"/>
    <w:rsid w:val="36087E58"/>
    <w:rsid w:val="360E01D9"/>
    <w:rsid w:val="36107446"/>
    <w:rsid w:val="3614269B"/>
    <w:rsid w:val="3614429B"/>
    <w:rsid w:val="361F31BB"/>
    <w:rsid w:val="361F79F2"/>
    <w:rsid w:val="362353CB"/>
    <w:rsid w:val="36252EF1"/>
    <w:rsid w:val="3629776F"/>
    <w:rsid w:val="363650FE"/>
    <w:rsid w:val="365437D6"/>
    <w:rsid w:val="365F2302"/>
    <w:rsid w:val="36613B14"/>
    <w:rsid w:val="366A2FFA"/>
    <w:rsid w:val="36750AAE"/>
    <w:rsid w:val="367B6FB5"/>
    <w:rsid w:val="36826596"/>
    <w:rsid w:val="36876608"/>
    <w:rsid w:val="369477E3"/>
    <w:rsid w:val="3696048A"/>
    <w:rsid w:val="36963DEF"/>
    <w:rsid w:val="369860BB"/>
    <w:rsid w:val="369A119C"/>
    <w:rsid w:val="369B7657"/>
    <w:rsid w:val="369E4A52"/>
    <w:rsid w:val="36A007CA"/>
    <w:rsid w:val="36A51418"/>
    <w:rsid w:val="36AC716F"/>
    <w:rsid w:val="36B65E9E"/>
    <w:rsid w:val="36C639E5"/>
    <w:rsid w:val="36C8089B"/>
    <w:rsid w:val="36CC06CC"/>
    <w:rsid w:val="36D668E1"/>
    <w:rsid w:val="36D86AD5"/>
    <w:rsid w:val="36D87F64"/>
    <w:rsid w:val="36DA76B7"/>
    <w:rsid w:val="36E36908"/>
    <w:rsid w:val="36E508D2"/>
    <w:rsid w:val="36EA7AAC"/>
    <w:rsid w:val="36F6663C"/>
    <w:rsid w:val="37070849"/>
    <w:rsid w:val="37081B14"/>
    <w:rsid w:val="37182A56"/>
    <w:rsid w:val="371940C3"/>
    <w:rsid w:val="371B152F"/>
    <w:rsid w:val="37263A56"/>
    <w:rsid w:val="372979D6"/>
    <w:rsid w:val="373158C6"/>
    <w:rsid w:val="373310F9"/>
    <w:rsid w:val="373976B2"/>
    <w:rsid w:val="37397922"/>
    <w:rsid w:val="373A4A35"/>
    <w:rsid w:val="373D0033"/>
    <w:rsid w:val="37411FAD"/>
    <w:rsid w:val="3746659B"/>
    <w:rsid w:val="3749510D"/>
    <w:rsid w:val="37517D16"/>
    <w:rsid w:val="37557806"/>
    <w:rsid w:val="37585548"/>
    <w:rsid w:val="376143FD"/>
    <w:rsid w:val="377838EB"/>
    <w:rsid w:val="37865857"/>
    <w:rsid w:val="378E7B71"/>
    <w:rsid w:val="3795001A"/>
    <w:rsid w:val="379A790F"/>
    <w:rsid w:val="379F6CD3"/>
    <w:rsid w:val="37A20F07"/>
    <w:rsid w:val="37AB38CA"/>
    <w:rsid w:val="37B00EE0"/>
    <w:rsid w:val="37B26A07"/>
    <w:rsid w:val="37B3452D"/>
    <w:rsid w:val="37B756D6"/>
    <w:rsid w:val="37C404E8"/>
    <w:rsid w:val="37C61F0A"/>
    <w:rsid w:val="37CC0C62"/>
    <w:rsid w:val="37CC5597"/>
    <w:rsid w:val="37CD1A92"/>
    <w:rsid w:val="37D62C29"/>
    <w:rsid w:val="37D83F93"/>
    <w:rsid w:val="37DF5322"/>
    <w:rsid w:val="37E20A3E"/>
    <w:rsid w:val="37E56DDC"/>
    <w:rsid w:val="37ED7A3F"/>
    <w:rsid w:val="37F32C19"/>
    <w:rsid w:val="37F54C54"/>
    <w:rsid w:val="380C2D0A"/>
    <w:rsid w:val="38126F39"/>
    <w:rsid w:val="38136BAD"/>
    <w:rsid w:val="38150F81"/>
    <w:rsid w:val="381A45AC"/>
    <w:rsid w:val="38397128"/>
    <w:rsid w:val="38417D8A"/>
    <w:rsid w:val="384E2B2B"/>
    <w:rsid w:val="384F06F9"/>
    <w:rsid w:val="385002E8"/>
    <w:rsid w:val="385751CB"/>
    <w:rsid w:val="385A76FC"/>
    <w:rsid w:val="387C6E89"/>
    <w:rsid w:val="389725E0"/>
    <w:rsid w:val="38997A64"/>
    <w:rsid w:val="38AC78FA"/>
    <w:rsid w:val="38B17E55"/>
    <w:rsid w:val="38C06F01"/>
    <w:rsid w:val="38C52D4E"/>
    <w:rsid w:val="38C84087"/>
    <w:rsid w:val="38CA7F84"/>
    <w:rsid w:val="38D1637B"/>
    <w:rsid w:val="38D26C34"/>
    <w:rsid w:val="38E946AF"/>
    <w:rsid w:val="38F27BDF"/>
    <w:rsid w:val="38F31085"/>
    <w:rsid w:val="38F461CB"/>
    <w:rsid w:val="390207FE"/>
    <w:rsid w:val="3914409E"/>
    <w:rsid w:val="391442FB"/>
    <w:rsid w:val="39195038"/>
    <w:rsid w:val="391E0127"/>
    <w:rsid w:val="39203900"/>
    <w:rsid w:val="39256CC8"/>
    <w:rsid w:val="3931248D"/>
    <w:rsid w:val="39317DFF"/>
    <w:rsid w:val="393A2107"/>
    <w:rsid w:val="393A3157"/>
    <w:rsid w:val="394915ED"/>
    <w:rsid w:val="394A0EC1"/>
    <w:rsid w:val="394A4DFF"/>
    <w:rsid w:val="394A59F5"/>
    <w:rsid w:val="3951224F"/>
    <w:rsid w:val="39537572"/>
    <w:rsid w:val="39691347"/>
    <w:rsid w:val="39700927"/>
    <w:rsid w:val="39706B79"/>
    <w:rsid w:val="39782BCE"/>
    <w:rsid w:val="39785D38"/>
    <w:rsid w:val="397F6DBC"/>
    <w:rsid w:val="39805ED7"/>
    <w:rsid w:val="398254CB"/>
    <w:rsid w:val="39870304"/>
    <w:rsid w:val="39AC6867"/>
    <w:rsid w:val="39AD1B7B"/>
    <w:rsid w:val="39AD3929"/>
    <w:rsid w:val="39AE77D7"/>
    <w:rsid w:val="39B02BFA"/>
    <w:rsid w:val="39B051C8"/>
    <w:rsid w:val="39B21E69"/>
    <w:rsid w:val="39B32F0A"/>
    <w:rsid w:val="39B527DE"/>
    <w:rsid w:val="39BC3B6C"/>
    <w:rsid w:val="39BE1BE5"/>
    <w:rsid w:val="39BF2806"/>
    <w:rsid w:val="39C96289"/>
    <w:rsid w:val="39D013C6"/>
    <w:rsid w:val="39D54C2E"/>
    <w:rsid w:val="39DC7D6B"/>
    <w:rsid w:val="39E22044"/>
    <w:rsid w:val="39E4241F"/>
    <w:rsid w:val="39E97BC1"/>
    <w:rsid w:val="39EE5CF0"/>
    <w:rsid w:val="39EE5DD1"/>
    <w:rsid w:val="39EF343D"/>
    <w:rsid w:val="39F50E2C"/>
    <w:rsid w:val="3A026D2F"/>
    <w:rsid w:val="3A090461"/>
    <w:rsid w:val="3A0B19D9"/>
    <w:rsid w:val="3A10210A"/>
    <w:rsid w:val="3A112479"/>
    <w:rsid w:val="3A15488F"/>
    <w:rsid w:val="3A176FF5"/>
    <w:rsid w:val="3A190FBF"/>
    <w:rsid w:val="3A2343D7"/>
    <w:rsid w:val="3A267238"/>
    <w:rsid w:val="3A280D4B"/>
    <w:rsid w:val="3A2974D3"/>
    <w:rsid w:val="3A35391F"/>
    <w:rsid w:val="3A3A0F35"/>
    <w:rsid w:val="3A464B75"/>
    <w:rsid w:val="3A541FF7"/>
    <w:rsid w:val="3A555D6F"/>
    <w:rsid w:val="3A577D39"/>
    <w:rsid w:val="3A5C4FC6"/>
    <w:rsid w:val="3A5C534F"/>
    <w:rsid w:val="3A600F35"/>
    <w:rsid w:val="3A661D2A"/>
    <w:rsid w:val="3A706D96"/>
    <w:rsid w:val="3A9523AF"/>
    <w:rsid w:val="3A9E4E7D"/>
    <w:rsid w:val="3AA52853"/>
    <w:rsid w:val="3AA5376D"/>
    <w:rsid w:val="3AAA60BB"/>
    <w:rsid w:val="3AB17449"/>
    <w:rsid w:val="3ABD5DEE"/>
    <w:rsid w:val="3AC16F61"/>
    <w:rsid w:val="3ACF78CF"/>
    <w:rsid w:val="3AD233BC"/>
    <w:rsid w:val="3ADC662D"/>
    <w:rsid w:val="3AE03F44"/>
    <w:rsid w:val="3AE74C19"/>
    <w:rsid w:val="3AEF0337"/>
    <w:rsid w:val="3B043A1D"/>
    <w:rsid w:val="3B045F71"/>
    <w:rsid w:val="3B053D34"/>
    <w:rsid w:val="3B0F23C2"/>
    <w:rsid w:val="3B107058"/>
    <w:rsid w:val="3B1A6FB4"/>
    <w:rsid w:val="3B1B3998"/>
    <w:rsid w:val="3B1E7AC5"/>
    <w:rsid w:val="3B20637D"/>
    <w:rsid w:val="3B223EA3"/>
    <w:rsid w:val="3B2F3425"/>
    <w:rsid w:val="3B40257B"/>
    <w:rsid w:val="3B5E2A01"/>
    <w:rsid w:val="3B69515A"/>
    <w:rsid w:val="3B6B7E6B"/>
    <w:rsid w:val="3B710987"/>
    <w:rsid w:val="3B71175D"/>
    <w:rsid w:val="3B742225"/>
    <w:rsid w:val="3B7A3CDF"/>
    <w:rsid w:val="3B8259BC"/>
    <w:rsid w:val="3B862232"/>
    <w:rsid w:val="3B8D080B"/>
    <w:rsid w:val="3B903503"/>
    <w:rsid w:val="3B9308FD"/>
    <w:rsid w:val="3B96663F"/>
    <w:rsid w:val="3B991FD8"/>
    <w:rsid w:val="3BAC415D"/>
    <w:rsid w:val="3BAD3EB5"/>
    <w:rsid w:val="3BAE7121"/>
    <w:rsid w:val="3BB0325D"/>
    <w:rsid w:val="3BB52F81"/>
    <w:rsid w:val="3BB6283D"/>
    <w:rsid w:val="3BC114B3"/>
    <w:rsid w:val="3BC36AA2"/>
    <w:rsid w:val="3BC60CD2"/>
    <w:rsid w:val="3BD50F16"/>
    <w:rsid w:val="3BD7566A"/>
    <w:rsid w:val="3BDB4042"/>
    <w:rsid w:val="3BE63123"/>
    <w:rsid w:val="3BE77980"/>
    <w:rsid w:val="3BEF6D9B"/>
    <w:rsid w:val="3BF22272"/>
    <w:rsid w:val="3BF35840"/>
    <w:rsid w:val="3BF51F2D"/>
    <w:rsid w:val="3BF70E8C"/>
    <w:rsid w:val="3C0440C4"/>
    <w:rsid w:val="3C162605"/>
    <w:rsid w:val="3C196712"/>
    <w:rsid w:val="3C1A101E"/>
    <w:rsid w:val="3C1D7EB0"/>
    <w:rsid w:val="3C1E0B0E"/>
    <w:rsid w:val="3C1F03E3"/>
    <w:rsid w:val="3C2B322B"/>
    <w:rsid w:val="3C2C2090"/>
    <w:rsid w:val="3C2D0D52"/>
    <w:rsid w:val="3C2D2B00"/>
    <w:rsid w:val="3C406798"/>
    <w:rsid w:val="3C460065"/>
    <w:rsid w:val="3C4A4C6B"/>
    <w:rsid w:val="3C4D13F4"/>
    <w:rsid w:val="3C4F6388"/>
    <w:rsid w:val="3C667DC0"/>
    <w:rsid w:val="3C68047C"/>
    <w:rsid w:val="3C6D114E"/>
    <w:rsid w:val="3C6E4EC6"/>
    <w:rsid w:val="3C75250B"/>
    <w:rsid w:val="3C7F2FD5"/>
    <w:rsid w:val="3C824080"/>
    <w:rsid w:val="3C840546"/>
    <w:rsid w:val="3C84443D"/>
    <w:rsid w:val="3C851B30"/>
    <w:rsid w:val="3C894E3C"/>
    <w:rsid w:val="3C8A61A4"/>
    <w:rsid w:val="3C916221"/>
    <w:rsid w:val="3CA134EE"/>
    <w:rsid w:val="3CA47F8C"/>
    <w:rsid w:val="3CC657CB"/>
    <w:rsid w:val="3CCC056A"/>
    <w:rsid w:val="3CD236AA"/>
    <w:rsid w:val="3CD25455"/>
    <w:rsid w:val="3CD823F4"/>
    <w:rsid w:val="3CDC31A1"/>
    <w:rsid w:val="3CDC7FCF"/>
    <w:rsid w:val="3CDE3B55"/>
    <w:rsid w:val="3CDF4D69"/>
    <w:rsid w:val="3CED2111"/>
    <w:rsid w:val="3CF17FD1"/>
    <w:rsid w:val="3CF95D10"/>
    <w:rsid w:val="3CFA56B4"/>
    <w:rsid w:val="3CFC24D2"/>
    <w:rsid w:val="3D0E16F8"/>
    <w:rsid w:val="3D150534"/>
    <w:rsid w:val="3D165614"/>
    <w:rsid w:val="3D1B32A0"/>
    <w:rsid w:val="3D1C4922"/>
    <w:rsid w:val="3D346110"/>
    <w:rsid w:val="3D385C00"/>
    <w:rsid w:val="3D3A7ADB"/>
    <w:rsid w:val="3D422326"/>
    <w:rsid w:val="3D45620E"/>
    <w:rsid w:val="3D4C16AB"/>
    <w:rsid w:val="3D4D5E40"/>
    <w:rsid w:val="3D59117D"/>
    <w:rsid w:val="3D5F318D"/>
    <w:rsid w:val="3D60593D"/>
    <w:rsid w:val="3D626070"/>
    <w:rsid w:val="3D6A0A80"/>
    <w:rsid w:val="3D702909"/>
    <w:rsid w:val="3D7B4FDD"/>
    <w:rsid w:val="3D8A5F82"/>
    <w:rsid w:val="3DA06D78"/>
    <w:rsid w:val="3DA46DF1"/>
    <w:rsid w:val="3DB334D8"/>
    <w:rsid w:val="3DB37232"/>
    <w:rsid w:val="3DB67DA3"/>
    <w:rsid w:val="3DBC7C96"/>
    <w:rsid w:val="3DBF3C2B"/>
    <w:rsid w:val="3DC46CAF"/>
    <w:rsid w:val="3DC54AE3"/>
    <w:rsid w:val="3DCC110C"/>
    <w:rsid w:val="3DCC52ED"/>
    <w:rsid w:val="3DCE36CA"/>
    <w:rsid w:val="3DD2187F"/>
    <w:rsid w:val="3DD61A67"/>
    <w:rsid w:val="3DDA0A65"/>
    <w:rsid w:val="3DDA2813"/>
    <w:rsid w:val="3DDA7C48"/>
    <w:rsid w:val="3DFA22EA"/>
    <w:rsid w:val="3DFC4E7F"/>
    <w:rsid w:val="3DFD74C1"/>
    <w:rsid w:val="3E030979"/>
    <w:rsid w:val="3E0B0C1F"/>
    <w:rsid w:val="3E0E6961"/>
    <w:rsid w:val="3E2B12C1"/>
    <w:rsid w:val="3E2D4427"/>
    <w:rsid w:val="3E347930"/>
    <w:rsid w:val="3E35213F"/>
    <w:rsid w:val="3E353EED"/>
    <w:rsid w:val="3E5D51F2"/>
    <w:rsid w:val="3E6C04A4"/>
    <w:rsid w:val="3E815A50"/>
    <w:rsid w:val="3E8168E4"/>
    <w:rsid w:val="3E853E2E"/>
    <w:rsid w:val="3E8804C1"/>
    <w:rsid w:val="3E944BE9"/>
    <w:rsid w:val="3E9A6446"/>
    <w:rsid w:val="3EB43064"/>
    <w:rsid w:val="3EB839A4"/>
    <w:rsid w:val="3EBB58F7"/>
    <w:rsid w:val="3EC255F8"/>
    <w:rsid w:val="3EC80A37"/>
    <w:rsid w:val="3ECA5C49"/>
    <w:rsid w:val="3ECF7A14"/>
    <w:rsid w:val="3EE37DED"/>
    <w:rsid w:val="3EE648AA"/>
    <w:rsid w:val="3EEA117C"/>
    <w:rsid w:val="3EEF3840"/>
    <w:rsid w:val="3EEF4913"/>
    <w:rsid w:val="3EF450A1"/>
    <w:rsid w:val="3EF8163A"/>
    <w:rsid w:val="3F010A38"/>
    <w:rsid w:val="3F03223E"/>
    <w:rsid w:val="3F073ADC"/>
    <w:rsid w:val="3F086863"/>
    <w:rsid w:val="3F232536"/>
    <w:rsid w:val="3F2F4DE1"/>
    <w:rsid w:val="3F312907"/>
    <w:rsid w:val="3F36616F"/>
    <w:rsid w:val="3F375A43"/>
    <w:rsid w:val="3F3C073F"/>
    <w:rsid w:val="3F3C6D8C"/>
    <w:rsid w:val="3F402AB0"/>
    <w:rsid w:val="3F41497D"/>
    <w:rsid w:val="3F455677"/>
    <w:rsid w:val="3F473ED8"/>
    <w:rsid w:val="3F4A7E6C"/>
    <w:rsid w:val="3F5B0661"/>
    <w:rsid w:val="3F5D5991"/>
    <w:rsid w:val="3F604F9A"/>
    <w:rsid w:val="3F691331"/>
    <w:rsid w:val="3F753D18"/>
    <w:rsid w:val="3F7E5908"/>
    <w:rsid w:val="3F926B1E"/>
    <w:rsid w:val="3F9904AC"/>
    <w:rsid w:val="3F9D61EE"/>
    <w:rsid w:val="3FA92C08"/>
    <w:rsid w:val="3FB5467E"/>
    <w:rsid w:val="3FC0590E"/>
    <w:rsid w:val="3FFF2A05"/>
    <w:rsid w:val="40296A53"/>
    <w:rsid w:val="40362FE4"/>
    <w:rsid w:val="403B218D"/>
    <w:rsid w:val="403D52DB"/>
    <w:rsid w:val="4047615A"/>
    <w:rsid w:val="40501089"/>
    <w:rsid w:val="40514E9A"/>
    <w:rsid w:val="405D65CA"/>
    <w:rsid w:val="406C0273"/>
    <w:rsid w:val="40700F21"/>
    <w:rsid w:val="407056B1"/>
    <w:rsid w:val="40793BF0"/>
    <w:rsid w:val="40793F3F"/>
    <w:rsid w:val="4084115C"/>
    <w:rsid w:val="408416BA"/>
    <w:rsid w:val="408514D1"/>
    <w:rsid w:val="40866C82"/>
    <w:rsid w:val="408E0724"/>
    <w:rsid w:val="408E606F"/>
    <w:rsid w:val="40953369"/>
    <w:rsid w:val="40A06868"/>
    <w:rsid w:val="40A9471F"/>
    <w:rsid w:val="40AE1D9D"/>
    <w:rsid w:val="40AF10F4"/>
    <w:rsid w:val="40BD62C9"/>
    <w:rsid w:val="40BE1549"/>
    <w:rsid w:val="40BE466E"/>
    <w:rsid w:val="40BF2194"/>
    <w:rsid w:val="40C61775"/>
    <w:rsid w:val="40CA60FB"/>
    <w:rsid w:val="40D519B8"/>
    <w:rsid w:val="40E22E81"/>
    <w:rsid w:val="40E55B37"/>
    <w:rsid w:val="40FB2EE6"/>
    <w:rsid w:val="4105038F"/>
    <w:rsid w:val="4105229D"/>
    <w:rsid w:val="41095809"/>
    <w:rsid w:val="41233E23"/>
    <w:rsid w:val="412406AA"/>
    <w:rsid w:val="412D4F64"/>
    <w:rsid w:val="41362456"/>
    <w:rsid w:val="414F4446"/>
    <w:rsid w:val="4151103E"/>
    <w:rsid w:val="41524DB6"/>
    <w:rsid w:val="415414BF"/>
    <w:rsid w:val="4157061F"/>
    <w:rsid w:val="41590FA0"/>
    <w:rsid w:val="415E47D5"/>
    <w:rsid w:val="41666243"/>
    <w:rsid w:val="417B255F"/>
    <w:rsid w:val="41853EEE"/>
    <w:rsid w:val="41870F04"/>
    <w:rsid w:val="418E5ABF"/>
    <w:rsid w:val="41911D83"/>
    <w:rsid w:val="419807B6"/>
    <w:rsid w:val="41A05459"/>
    <w:rsid w:val="41A35612"/>
    <w:rsid w:val="41A53138"/>
    <w:rsid w:val="41AA69A0"/>
    <w:rsid w:val="41B068A3"/>
    <w:rsid w:val="41B34330"/>
    <w:rsid w:val="41B47E0D"/>
    <w:rsid w:val="41B65345"/>
    <w:rsid w:val="41BB2BB0"/>
    <w:rsid w:val="41BB7531"/>
    <w:rsid w:val="41BF0EBD"/>
    <w:rsid w:val="41C17A3A"/>
    <w:rsid w:val="41D1217F"/>
    <w:rsid w:val="41D16B08"/>
    <w:rsid w:val="41D34149"/>
    <w:rsid w:val="41DD6D76"/>
    <w:rsid w:val="41DF2AEE"/>
    <w:rsid w:val="41EE4ADF"/>
    <w:rsid w:val="42013F15"/>
    <w:rsid w:val="42116A20"/>
    <w:rsid w:val="4214206C"/>
    <w:rsid w:val="421436BB"/>
    <w:rsid w:val="42146542"/>
    <w:rsid w:val="42167715"/>
    <w:rsid w:val="42167DEC"/>
    <w:rsid w:val="421E3EC7"/>
    <w:rsid w:val="42334BE8"/>
    <w:rsid w:val="423773F7"/>
    <w:rsid w:val="42436E2A"/>
    <w:rsid w:val="4247579E"/>
    <w:rsid w:val="42482971"/>
    <w:rsid w:val="42500C48"/>
    <w:rsid w:val="4255690C"/>
    <w:rsid w:val="42641245"/>
    <w:rsid w:val="426C3C56"/>
    <w:rsid w:val="426C62D9"/>
    <w:rsid w:val="42733236"/>
    <w:rsid w:val="42784CAB"/>
    <w:rsid w:val="427E3C39"/>
    <w:rsid w:val="42845443"/>
    <w:rsid w:val="429824AC"/>
    <w:rsid w:val="429B7144"/>
    <w:rsid w:val="429F568C"/>
    <w:rsid w:val="42A11B51"/>
    <w:rsid w:val="42A41642"/>
    <w:rsid w:val="42A557C7"/>
    <w:rsid w:val="42A8401C"/>
    <w:rsid w:val="42A930FC"/>
    <w:rsid w:val="42AB6E74"/>
    <w:rsid w:val="42AD6748"/>
    <w:rsid w:val="42AE24C0"/>
    <w:rsid w:val="42B96458"/>
    <w:rsid w:val="42C17011"/>
    <w:rsid w:val="42C703EC"/>
    <w:rsid w:val="42CD0B98"/>
    <w:rsid w:val="42CD5C5F"/>
    <w:rsid w:val="42D57B5B"/>
    <w:rsid w:val="42D8385A"/>
    <w:rsid w:val="42DF267A"/>
    <w:rsid w:val="42E16A8D"/>
    <w:rsid w:val="42F02403"/>
    <w:rsid w:val="42F70F0E"/>
    <w:rsid w:val="42F8373B"/>
    <w:rsid w:val="430622FC"/>
    <w:rsid w:val="43074023"/>
    <w:rsid w:val="43085C34"/>
    <w:rsid w:val="43087E22"/>
    <w:rsid w:val="430B7913"/>
    <w:rsid w:val="430D73BE"/>
    <w:rsid w:val="4313699E"/>
    <w:rsid w:val="431740F0"/>
    <w:rsid w:val="43176722"/>
    <w:rsid w:val="431C131A"/>
    <w:rsid w:val="43212B30"/>
    <w:rsid w:val="4323158A"/>
    <w:rsid w:val="43236A0A"/>
    <w:rsid w:val="432B07E6"/>
    <w:rsid w:val="432F3601"/>
    <w:rsid w:val="433230F1"/>
    <w:rsid w:val="43414752"/>
    <w:rsid w:val="43486471"/>
    <w:rsid w:val="43501E25"/>
    <w:rsid w:val="43543BF5"/>
    <w:rsid w:val="43553439"/>
    <w:rsid w:val="435766B4"/>
    <w:rsid w:val="435E3231"/>
    <w:rsid w:val="43605B0C"/>
    <w:rsid w:val="43644E69"/>
    <w:rsid w:val="43721740"/>
    <w:rsid w:val="43737B67"/>
    <w:rsid w:val="437768DA"/>
    <w:rsid w:val="43790D20"/>
    <w:rsid w:val="437E00E5"/>
    <w:rsid w:val="43805C0B"/>
    <w:rsid w:val="43853221"/>
    <w:rsid w:val="43860D47"/>
    <w:rsid w:val="438F11EC"/>
    <w:rsid w:val="43923B90"/>
    <w:rsid w:val="43B109FF"/>
    <w:rsid w:val="43B34232"/>
    <w:rsid w:val="43BE6733"/>
    <w:rsid w:val="43CF137B"/>
    <w:rsid w:val="43D917BF"/>
    <w:rsid w:val="43E430D4"/>
    <w:rsid w:val="43E50164"/>
    <w:rsid w:val="43EA6644"/>
    <w:rsid w:val="43F115D4"/>
    <w:rsid w:val="43F678FB"/>
    <w:rsid w:val="43F7250A"/>
    <w:rsid w:val="44071E88"/>
    <w:rsid w:val="440B0BF3"/>
    <w:rsid w:val="440E76BA"/>
    <w:rsid w:val="44107959"/>
    <w:rsid w:val="44107F97"/>
    <w:rsid w:val="44141B09"/>
    <w:rsid w:val="441647C1"/>
    <w:rsid w:val="441B4394"/>
    <w:rsid w:val="4427252A"/>
    <w:rsid w:val="44385871"/>
    <w:rsid w:val="444316C1"/>
    <w:rsid w:val="444759B2"/>
    <w:rsid w:val="444875F7"/>
    <w:rsid w:val="44562E10"/>
    <w:rsid w:val="445F7F16"/>
    <w:rsid w:val="44613C8E"/>
    <w:rsid w:val="446A24B7"/>
    <w:rsid w:val="446C43E1"/>
    <w:rsid w:val="446E63AB"/>
    <w:rsid w:val="446F7A2D"/>
    <w:rsid w:val="447E358A"/>
    <w:rsid w:val="44875C92"/>
    <w:rsid w:val="44891866"/>
    <w:rsid w:val="4496320C"/>
    <w:rsid w:val="44965297"/>
    <w:rsid w:val="44AB6657"/>
    <w:rsid w:val="44AC50DD"/>
    <w:rsid w:val="44BA58C3"/>
    <w:rsid w:val="44BA6EFA"/>
    <w:rsid w:val="44C71029"/>
    <w:rsid w:val="44C91833"/>
    <w:rsid w:val="44D46718"/>
    <w:rsid w:val="44E64193"/>
    <w:rsid w:val="44F1060A"/>
    <w:rsid w:val="44F9720D"/>
    <w:rsid w:val="44FE57BB"/>
    <w:rsid w:val="45014B29"/>
    <w:rsid w:val="45060392"/>
    <w:rsid w:val="45107462"/>
    <w:rsid w:val="452627E2"/>
    <w:rsid w:val="452718EA"/>
    <w:rsid w:val="452B604A"/>
    <w:rsid w:val="45372C41"/>
    <w:rsid w:val="45385785"/>
    <w:rsid w:val="455F5E90"/>
    <w:rsid w:val="4577128F"/>
    <w:rsid w:val="457E7F14"/>
    <w:rsid w:val="45804154"/>
    <w:rsid w:val="45891263"/>
    <w:rsid w:val="4589726A"/>
    <w:rsid w:val="458D2861"/>
    <w:rsid w:val="45961716"/>
    <w:rsid w:val="4597723C"/>
    <w:rsid w:val="459D4988"/>
    <w:rsid w:val="45A73923"/>
    <w:rsid w:val="45AF4585"/>
    <w:rsid w:val="45B002FD"/>
    <w:rsid w:val="45B1654F"/>
    <w:rsid w:val="45BF1B3C"/>
    <w:rsid w:val="45C2075D"/>
    <w:rsid w:val="45C37D1C"/>
    <w:rsid w:val="45C85A30"/>
    <w:rsid w:val="45C927E6"/>
    <w:rsid w:val="45CF735D"/>
    <w:rsid w:val="45DF0B85"/>
    <w:rsid w:val="45E56B58"/>
    <w:rsid w:val="45E60CC2"/>
    <w:rsid w:val="45E64231"/>
    <w:rsid w:val="45E71AB7"/>
    <w:rsid w:val="45EF0E26"/>
    <w:rsid w:val="460743C1"/>
    <w:rsid w:val="4607616F"/>
    <w:rsid w:val="46126D2B"/>
    <w:rsid w:val="4614088C"/>
    <w:rsid w:val="46144D30"/>
    <w:rsid w:val="461807D7"/>
    <w:rsid w:val="461B5073"/>
    <w:rsid w:val="462E00B8"/>
    <w:rsid w:val="463522B1"/>
    <w:rsid w:val="463902F3"/>
    <w:rsid w:val="463C1B35"/>
    <w:rsid w:val="463D0C5C"/>
    <w:rsid w:val="46401681"/>
    <w:rsid w:val="464078D3"/>
    <w:rsid w:val="464D6B93"/>
    <w:rsid w:val="465729E1"/>
    <w:rsid w:val="466452EE"/>
    <w:rsid w:val="46665E24"/>
    <w:rsid w:val="467717CA"/>
    <w:rsid w:val="468329E1"/>
    <w:rsid w:val="468477C0"/>
    <w:rsid w:val="4687026D"/>
    <w:rsid w:val="4687351F"/>
    <w:rsid w:val="46893028"/>
    <w:rsid w:val="468C5365"/>
    <w:rsid w:val="46902873"/>
    <w:rsid w:val="46930023"/>
    <w:rsid w:val="469814BD"/>
    <w:rsid w:val="46A01A3C"/>
    <w:rsid w:val="46A46435"/>
    <w:rsid w:val="46A95479"/>
    <w:rsid w:val="46AE2A8F"/>
    <w:rsid w:val="46B01136"/>
    <w:rsid w:val="46B8272C"/>
    <w:rsid w:val="46BF4C9C"/>
    <w:rsid w:val="46CA4A71"/>
    <w:rsid w:val="46CC4DBC"/>
    <w:rsid w:val="46CE7D00"/>
    <w:rsid w:val="46D23042"/>
    <w:rsid w:val="46D30747"/>
    <w:rsid w:val="46DC584E"/>
    <w:rsid w:val="46EC205C"/>
    <w:rsid w:val="470315D8"/>
    <w:rsid w:val="47074ECD"/>
    <w:rsid w:val="4708632D"/>
    <w:rsid w:val="47095F17"/>
    <w:rsid w:val="47152B0E"/>
    <w:rsid w:val="472C207C"/>
    <w:rsid w:val="47300034"/>
    <w:rsid w:val="4732546E"/>
    <w:rsid w:val="473311E6"/>
    <w:rsid w:val="473C62ED"/>
    <w:rsid w:val="47411B55"/>
    <w:rsid w:val="4743479A"/>
    <w:rsid w:val="474A1D1B"/>
    <w:rsid w:val="474B398C"/>
    <w:rsid w:val="475F71FF"/>
    <w:rsid w:val="47694C08"/>
    <w:rsid w:val="476E221E"/>
    <w:rsid w:val="47727F60"/>
    <w:rsid w:val="477C2B8D"/>
    <w:rsid w:val="47881FFA"/>
    <w:rsid w:val="47913F0E"/>
    <w:rsid w:val="479A6968"/>
    <w:rsid w:val="479C68A6"/>
    <w:rsid w:val="479E6FA7"/>
    <w:rsid w:val="47A10846"/>
    <w:rsid w:val="47B15A9B"/>
    <w:rsid w:val="47B42327"/>
    <w:rsid w:val="47B83B92"/>
    <w:rsid w:val="47C63F1B"/>
    <w:rsid w:val="47D324FD"/>
    <w:rsid w:val="47D604EF"/>
    <w:rsid w:val="47D91D8D"/>
    <w:rsid w:val="47E0311C"/>
    <w:rsid w:val="47E35932"/>
    <w:rsid w:val="47E36768"/>
    <w:rsid w:val="47EC402C"/>
    <w:rsid w:val="47F941DE"/>
    <w:rsid w:val="47FA36BF"/>
    <w:rsid w:val="47FE17F4"/>
    <w:rsid w:val="480360D1"/>
    <w:rsid w:val="48130C0B"/>
    <w:rsid w:val="48180B08"/>
    <w:rsid w:val="481C0134"/>
    <w:rsid w:val="481E1E96"/>
    <w:rsid w:val="48233009"/>
    <w:rsid w:val="482D3E87"/>
    <w:rsid w:val="48357205"/>
    <w:rsid w:val="48377244"/>
    <w:rsid w:val="484336AB"/>
    <w:rsid w:val="484B7C84"/>
    <w:rsid w:val="484E4529"/>
    <w:rsid w:val="4857482A"/>
    <w:rsid w:val="485E2293"/>
    <w:rsid w:val="48621D83"/>
    <w:rsid w:val="48623B31"/>
    <w:rsid w:val="48670539"/>
    <w:rsid w:val="486940D4"/>
    <w:rsid w:val="486D028E"/>
    <w:rsid w:val="4873689A"/>
    <w:rsid w:val="48853CC3"/>
    <w:rsid w:val="489026D5"/>
    <w:rsid w:val="48981DFD"/>
    <w:rsid w:val="489B5295"/>
    <w:rsid w:val="489D100D"/>
    <w:rsid w:val="489E65C5"/>
    <w:rsid w:val="48A203D1"/>
    <w:rsid w:val="48AE427C"/>
    <w:rsid w:val="48B819A3"/>
    <w:rsid w:val="48BF0F83"/>
    <w:rsid w:val="48C91E02"/>
    <w:rsid w:val="48D82045"/>
    <w:rsid w:val="48DC4D20"/>
    <w:rsid w:val="48DF1625"/>
    <w:rsid w:val="48E22EC4"/>
    <w:rsid w:val="48E567E9"/>
    <w:rsid w:val="48E7672C"/>
    <w:rsid w:val="48FF75D2"/>
    <w:rsid w:val="490208FF"/>
    <w:rsid w:val="49044323"/>
    <w:rsid w:val="49061C83"/>
    <w:rsid w:val="4907292A"/>
    <w:rsid w:val="49156DF5"/>
    <w:rsid w:val="49157DA1"/>
    <w:rsid w:val="49177011"/>
    <w:rsid w:val="49227764"/>
    <w:rsid w:val="49331971"/>
    <w:rsid w:val="493B7D23"/>
    <w:rsid w:val="493C57C4"/>
    <w:rsid w:val="494075EE"/>
    <w:rsid w:val="494476DB"/>
    <w:rsid w:val="494B1FCC"/>
    <w:rsid w:val="494C020E"/>
    <w:rsid w:val="49564747"/>
    <w:rsid w:val="49587CE4"/>
    <w:rsid w:val="49596CC8"/>
    <w:rsid w:val="495A5150"/>
    <w:rsid w:val="496B110B"/>
    <w:rsid w:val="496C5713"/>
    <w:rsid w:val="496D01E7"/>
    <w:rsid w:val="49773D4F"/>
    <w:rsid w:val="498126DD"/>
    <w:rsid w:val="4989217A"/>
    <w:rsid w:val="49A33F6E"/>
    <w:rsid w:val="49A346C1"/>
    <w:rsid w:val="49A40A36"/>
    <w:rsid w:val="49AE2575"/>
    <w:rsid w:val="49AF2871"/>
    <w:rsid w:val="49B5722B"/>
    <w:rsid w:val="49C600F0"/>
    <w:rsid w:val="49CB5D80"/>
    <w:rsid w:val="49CC678F"/>
    <w:rsid w:val="49D03506"/>
    <w:rsid w:val="49D26C4C"/>
    <w:rsid w:val="49D37AE3"/>
    <w:rsid w:val="49D62A28"/>
    <w:rsid w:val="49D86DAB"/>
    <w:rsid w:val="49DE18DD"/>
    <w:rsid w:val="49E07403"/>
    <w:rsid w:val="49E64262"/>
    <w:rsid w:val="49EA0282"/>
    <w:rsid w:val="49ED7D72"/>
    <w:rsid w:val="49F92273"/>
    <w:rsid w:val="4A04467A"/>
    <w:rsid w:val="4A196B3F"/>
    <w:rsid w:val="4A1A60FD"/>
    <w:rsid w:val="4A1B519B"/>
    <w:rsid w:val="4A2261B7"/>
    <w:rsid w:val="4A2D2911"/>
    <w:rsid w:val="4A317F49"/>
    <w:rsid w:val="4A3239D7"/>
    <w:rsid w:val="4A377170"/>
    <w:rsid w:val="4A4554B8"/>
    <w:rsid w:val="4A491A64"/>
    <w:rsid w:val="4A5572D2"/>
    <w:rsid w:val="4A563B69"/>
    <w:rsid w:val="4A5D4446"/>
    <w:rsid w:val="4A6022F2"/>
    <w:rsid w:val="4A631DE2"/>
    <w:rsid w:val="4A722025"/>
    <w:rsid w:val="4A8561FD"/>
    <w:rsid w:val="4AA03036"/>
    <w:rsid w:val="4AA541A9"/>
    <w:rsid w:val="4AA835A6"/>
    <w:rsid w:val="4AB16FF2"/>
    <w:rsid w:val="4AB227F5"/>
    <w:rsid w:val="4AB23A41"/>
    <w:rsid w:val="4AB50890"/>
    <w:rsid w:val="4AB92058"/>
    <w:rsid w:val="4ABB577A"/>
    <w:rsid w:val="4ABE12F3"/>
    <w:rsid w:val="4AC07235"/>
    <w:rsid w:val="4AC15382"/>
    <w:rsid w:val="4AC22FAD"/>
    <w:rsid w:val="4AC54B69"/>
    <w:rsid w:val="4ACA14B3"/>
    <w:rsid w:val="4ACF1226"/>
    <w:rsid w:val="4AD36F68"/>
    <w:rsid w:val="4AD827D0"/>
    <w:rsid w:val="4AE57BB9"/>
    <w:rsid w:val="4AF1668D"/>
    <w:rsid w:val="4B017C57"/>
    <w:rsid w:val="4B0215FB"/>
    <w:rsid w:val="4B066EEC"/>
    <w:rsid w:val="4B092565"/>
    <w:rsid w:val="4B0F5ABE"/>
    <w:rsid w:val="4B0F6B7B"/>
    <w:rsid w:val="4B1204D0"/>
    <w:rsid w:val="4B1650A7"/>
    <w:rsid w:val="4B2C0426"/>
    <w:rsid w:val="4B2D52E4"/>
    <w:rsid w:val="4B35552D"/>
    <w:rsid w:val="4B3B1CD3"/>
    <w:rsid w:val="4B3C2D5F"/>
    <w:rsid w:val="4B3F217F"/>
    <w:rsid w:val="4B4C5754"/>
    <w:rsid w:val="4B5259DB"/>
    <w:rsid w:val="4B591900"/>
    <w:rsid w:val="4B622B3D"/>
    <w:rsid w:val="4B685902"/>
    <w:rsid w:val="4B6B0F4E"/>
    <w:rsid w:val="4B752EB3"/>
    <w:rsid w:val="4B7C13AE"/>
    <w:rsid w:val="4B863FDA"/>
    <w:rsid w:val="4B8F7333"/>
    <w:rsid w:val="4B906C07"/>
    <w:rsid w:val="4B952E8B"/>
    <w:rsid w:val="4BA15E9C"/>
    <w:rsid w:val="4BA83F51"/>
    <w:rsid w:val="4BB5666E"/>
    <w:rsid w:val="4BBE2935"/>
    <w:rsid w:val="4BC6087B"/>
    <w:rsid w:val="4BCA036B"/>
    <w:rsid w:val="4BD05255"/>
    <w:rsid w:val="4BD72A88"/>
    <w:rsid w:val="4BE764F0"/>
    <w:rsid w:val="4BEF4545"/>
    <w:rsid w:val="4BF03B4A"/>
    <w:rsid w:val="4BF11F43"/>
    <w:rsid w:val="4BF36BD7"/>
    <w:rsid w:val="4BFB49C8"/>
    <w:rsid w:val="4C0762DA"/>
    <w:rsid w:val="4C131A29"/>
    <w:rsid w:val="4C151D2C"/>
    <w:rsid w:val="4C19436A"/>
    <w:rsid w:val="4C1C6762"/>
    <w:rsid w:val="4C1E06B7"/>
    <w:rsid w:val="4C27522D"/>
    <w:rsid w:val="4C2E20BC"/>
    <w:rsid w:val="4C304693"/>
    <w:rsid w:val="4C3169EA"/>
    <w:rsid w:val="4C373527"/>
    <w:rsid w:val="4C39729F"/>
    <w:rsid w:val="4C3F7AB6"/>
    <w:rsid w:val="4C4023DB"/>
    <w:rsid w:val="4C46227A"/>
    <w:rsid w:val="4C54093B"/>
    <w:rsid w:val="4C617760"/>
    <w:rsid w:val="4C66754D"/>
    <w:rsid w:val="4C700C74"/>
    <w:rsid w:val="4C7B78B7"/>
    <w:rsid w:val="4C823586"/>
    <w:rsid w:val="4C8756E3"/>
    <w:rsid w:val="4C9646F1"/>
    <w:rsid w:val="4C976D08"/>
    <w:rsid w:val="4C9A375E"/>
    <w:rsid w:val="4CAA3CF8"/>
    <w:rsid w:val="4CB546D1"/>
    <w:rsid w:val="4CC51444"/>
    <w:rsid w:val="4CDD40CE"/>
    <w:rsid w:val="4CDE39A2"/>
    <w:rsid w:val="4CE23492"/>
    <w:rsid w:val="4CF20306"/>
    <w:rsid w:val="4CF338F1"/>
    <w:rsid w:val="4CF8721A"/>
    <w:rsid w:val="4CFA4C80"/>
    <w:rsid w:val="4D023F06"/>
    <w:rsid w:val="4D0256E0"/>
    <w:rsid w:val="4D032B51"/>
    <w:rsid w:val="4D093DDF"/>
    <w:rsid w:val="4D0F7FFF"/>
    <w:rsid w:val="4D13189E"/>
    <w:rsid w:val="4D170530"/>
    <w:rsid w:val="4D1762EC"/>
    <w:rsid w:val="4D20220D"/>
    <w:rsid w:val="4D215C48"/>
    <w:rsid w:val="4D217FBB"/>
    <w:rsid w:val="4D2A7124"/>
    <w:rsid w:val="4D3006A2"/>
    <w:rsid w:val="4D371A30"/>
    <w:rsid w:val="4D394178"/>
    <w:rsid w:val="4D42341E"/>
    <w:rsid w:val="4D471547"/>
    <w:rsid w:val="4D492EC7"/>
    <w:rsid w:val="4D5521E6"/>
    <w:rsid w:val="4D6176B3"/>
    <w:rsid w:val="4D6552A8"/>
    <w:rsid w:val="4D713E1A"/>
    <w:rsid w:val="4D754306"/>
    <w:rsid w:val="4D791D20"/>
    <w:rsid w:val="4D814A59"/>
    <w:rsid w:val="4D822399"/>
    <w:rsid w:val="4D8A78F7"/>
    <w:rsid w:val="4D901140"/>
    <w:rsid w:val="4D9933AD"/>
    <w:rsid w:val="4D9E38E4"/>
    <w:rsid w:val="4DA8143A"/>
    <w:rsid w:val="4DAD1CF2"/>
    <w:rsid w:val="4DAE0B5D"/>
    <w:rsid w:val="4DC42F12"/>
    <w:rsid w:val="4DC62E58"/>
    <w:rsid w:val="4DCF45C7"/>
    <w:rsid w:val="4DDA2AC1"/>
    <w:rsid w:val="4DE4323A"/>
    <w:rsid w:val="4DE7538B"/>
    <w:rsid w:val="4DEC1E82"/>
    <w:rsid w:val="4DED6593"/>
    <w:rsid w:val="4DF55709"/>
    <w:rsid w:val="4DF844BD"/>
    <w:rsid w:val="4E035DB6"/>
    <w:rsid w:val="4E04568A"/>
    <w:rsid w:val="4E113989"/>
    <w:rsid w:val="4E175F30"/>
    <w:rsid w:val="4E224CE2"/>
    <w:rsid w:val="4E231740"/>
    <w:rsid w:val="4E274249"/>
    <w:rsid w:val="4E2C7123"/>
    <w:rsid w:val="4E3D7A77"/>
    <w:rsid w:val="4E460794"/>
    <w:rsid w:val="4E4B7C6A"/>
    <w:rsid w:val="4E5B174E"/>
    <w:rsid w:val="4E6323B1"/>
    <w:rsid w:val="4E6F0D56"/>
    <w:rsid w:val="4E7520E4"/>
    <w:rsid w:val="4E7523F1"/>
    <w:rsid w:val="4E7E368F"/>
    <w:rsid w:val="4E7F31FC"/>
    <w:rsid w:val="4E811E5A"/>
    <w:rsid w:val="4E8D742E"/>
    <w:rsid w:val="4E9D1D67"/>
    <w:rsid w:val="4EAA3911"/>
    <w:rsid w:val="4EB05C4B"/>
    <w:rsid w:val="4EB31C62"/>
    <w:rsid w:val="4EB5177B"/>
    <w:rsid w:val="4EC15329"/>
    <w:rsid w:val="4EC23215"/>
    <w:rsid w:val="4ED07495"/>
    <w:rsid w:val="4ED60DD5"/>
    <w:rsid w:val="4EDA15A3"/>
    <w:rsid w:val="4EE97266"/>
    <w:rsid w:val="4EEC684A"/>
    <w:rsid w:val="4EF521DA"/>
    <w:rsid w:val="4EFB6A8D"/>
    <w:rsid w:val="4EFE20DA"/>
    <w:rsid w:val="4F135B85"/>
    <w:rsid w:val="4F196F13"/>
    <w:rsid w:val="4F2B3333"/>
    <w:rsid w:val="4F306681"/>
    <w:rsid w:val="4F31425D"/>
    <w:rsid w:val="4F365D17"/>
    <w:rsid w:val="4F374691"/>
    <w:rsid w:val="4F3A75B6"/>
    <w:rsid w:val="4F3D0E54"/>
    <w:rsid w:val="4F465292"/>
    <w:rsid w:val="4F5A7C58"/>
    <w:rsid w:val="4F6208BA"/>
    <w:rsid w:val="4F6A12C4"/>
    <w:rsid w:val="4F781E8C"/>
    <w:rsid w:val="4F7C5E20"/>
    <w:rsid w:val="4F7D3946"/>
    <w:rsid w:val="4F7D48A6"/>
    <w:rsid w:val="4F7D668C"/>
    <w:rsid w:val="4F860A4D"/>
    <w:rsid w:val="4F8C60A9"/>
    <w:rsid w:val="4F991798"/>
    <w:rsid w:val="4FA64C4B"/>
    <w:rsid w:val="4FA9473B"/>
    <w:rsid w:val="4FB37368"/>
    <w:rsid w:val="4FBB18EA"/>
    <w:rsid w:val="4FC2787B"/>
    <w:rsid w:val="4FCC3F86"/>
    <w:rsid w:val="4FD34B01"/>
    <w:rsid w:val="4FD74A79"/>
    <w:rsid w:val="4FDA6E7F"/>
    <w:rsid w:val="4FE90FDC"/>
    <w:rsid w:val="4FEE214E"/>
    <w:rsid w:val="4FEE65F2"/>
    <w:rsid w:val="4FF05EC6"/>
    <w:rsid w:val="4FFD4F1F"/>
    <w:rsid w:val="500765E6"/>
    <w:rsid w:val="500B72E5"/>
    <w:rsid w:val="5019541D"/>
    <w:rsid w:val="501A04FF"/>
    <w:rsid w:val="502A1EA5"/>
    <w:rsid w:val="502D0EC8"/>
    <w:rsid w:val="50330BC6"/>
    <w:rsid w:val="50493828"/>
    <w:rsid w:val="504B4026"/>
    <w:rsid w:val="504F0E3F"/>
    <w:rsid w:val="5051105B"/>
    <w:rsid w:val="505F4DFA"/>
    <w:rsid w:val="50665E86"/>
    <w:rsid w:val="50721D7A"/>
    <w:rsid w:val="5076286F"/>
    <w:rsid w:val="50763999"/>
    <w:rsid w:val="5077417F"/>
    <w:rsid w:val="50830AE8"/>
    <w:rsid w:val="509C7DFC"/>
    <w:rsid w:val="50A56CB1"/>
    <w:rsid w:val="50AD6D7F"/>
    <w:rsid w:val="50B213CE"/>
    <w:rsid w:val="50B43398"/>
    <w:rsid w:val="50B709C4"/>
    <w:rsid w:val="50BE74BB"/>
    <w:rsid w:val="50C5596C"/>
    <w:rsid w:val="50C63EC4"/>
    <w:rsid w:val="50CA2BBB"/>
    <w:rsid w:val="50CF1F80"/>
    <w:rsid w:val="50E33C7D"/>
    <w:rsid w:val="50E81293"/>
    <w:rsid w:val="50E905CA"/>
    <w:rsid w:val="50EC48E0"/>
    <w:rsid w:val="50EC50BC"/>
    <w:rsid w:val="50EE68AA"/>
    <w:rsid w:val="51025EB1"/>
    <w:rsid w:val="510F5D33"/>
    <w:rsid w:val="5110266D"/>
    <w:rsid w:val="511365F6"/>
    <w:rsid w:val="51143E36"/>
    <w:rsid w:val="51183927"/>
    <w:rsid w:val="5119172D"/>
    <w:rsid w:val="51226553"/>
    <w:rsid w:val="51230ABD"/>
    <w:rsid w:val="512C7ED2"/>
    <w:rsid w:val="5133521A"/>
    <w:rsid w:val="513A44B2"/>
    <w:rsid w:val="51494E64"/>
    <w:rsid w:val="51581F75"/>
    <w:rsid w:val="5158366B"/>
    <w:rsid w:val="515A0127"/>
    <w:rsid w:val="516605EC"/>
    <w:rsid w:val="51661A7D"/>
    <w:rsid w:val="51685DBD"/>
    <w:rsid w:val="516A5769"/>
    <w:rsid w:val="517E2B19"/>
    <w:rsid w:val="518D195B"/>
    <w:rsid w:val="519C4F4C"/>
    <w:rsid w:val="51A90ED3"/>
    <w:rsid w:val="51A96C75"/>
    <w:rsid w:val="51AF0621"/>
    <w:rsid w:val="51B11269"/>
    <w:rsid w:val="51BB1B89"/>
    <w:rsid w:val="51BD2161"/>
    <w:rsid w:val="51BF2B8D"/>
    <w:rsid w:val="51C969CF"/>
    <w:rsid w:val="51D52940"/>
    <w:rsid w:val="51DC4954"/>
    <w:rsid w:val="51DC55F8"/>
    <w:rsid w:val="51EE1EA3"/>
    <w:rsid w:val="51FD4CAF"/>
    <w:rsid w:val="520420FD"/>
    <w:rsid w:val="52097207"/>
    <w:rsid w:val="521B687E"/>
    <w:rsid w:val="521E0664"/>
    <w:rsid w:val="52214A5D"/>
    <w:rsid w:val="52223056"/>
    <w:rsid w:val="52285DEB"/>
    <w:rsid w:val="52383B54"/>
    <w:rsid w:val="52403CEA"/>
    <w:rsid w:val="524424F9"/>
    <w:rsid w:val="52554706"/>
    <w:rsid w:val="525621D1"/>
    <w:rsid w:val="52584C7E"/>
    <w:rsid w:val="525A3ACB"/>
    <w:rsid w:val="52607500"/>
    <w:rsid w:val="52750905"/>
    <w:rsid w:val="52754DA9"/>
    <w:rsid w:val="527A5F1B"/>
    <w:rsid w:val="5282432C"/>
    <w:rsid w:val="52880397"/>
    <w:rsid w:val="528F038A"/>
    <w:rsid w:val="528F19C6"/>
    <w:rsid w:val="529F119C"/>
    <w:rsid w:val="52B03B43"/>
    <w:rsid w:val="52B14033"/>
    <w:rsid w:val="52B256B5"/>
    <w:rsid w:val="52B753C1"/>
    <w:rsid w:val="52BA27BB"/>
    <w:rsid w:val="52BC4786"/>
    <w:rsid w:val="52C06024"/>
    <w:rsid w:val="52C6234B"/>
    <w:rsid w:val="52C75B32"/>
    <w:rsid w:val="52D23BFD"/>
    <w:rsid w:val="52F36B1A"/>
    <w:rsid w:val="53075613"/>
    <w:rsid w:val="530F0D59"/>
    <w:rsid w:val="532C06D7"/>
    <w:rsid w:val="53377659"/>
    <w:rsid w:val="533807AD"/>
    <w:rsid w:val="533C11F9"/>
    <w:rsid w:val="533C1C56"/>
    <w:rsid w:val="53474ADD"/>
    <w:rsid w:val="535449BE"/>
    <w:rsid w:val="53573E06"/>
    <w:rsid w:val="535778A7"/>
    <w:rsid w:val="53603363"/>
    <w:rsid w:val="53612232"/>
    <w:rsid w:val="53673FE9"/>
    <w:rsid w:val="537C6F40"/>
    <w:rsid w:val="537D4127"/>
    <w:rsid w:val="538D1507"/>
    <w:rsid w:val="53AE40CE"/>
    <w:rsid w:val="53B27A76"/>
    <w:rsid w:val="53B460FE"/>
    <w:rsid w:val="53B57DD3"/>
    <w:rsid w:val="53B71B71"/>
    <w:rsid w:val="53B8319F"/>
    <w:rsid w:val="53BB19B4"/>
    <w:rsid w:val="53C05B16"/>
    <w:rsid w:val="53C37D2C"/>
    <w:rsid w:val="53D53935"/>
    <w:rsid w:val="53EA4325"/>
    <w:rsid w:val="53F50137"/>
    <w:rsid w:val="53FB04CD"/>
    <w:rsid w:val="53FB6A6C"/>
    <w:rsid w:val="54095DDA"/>
    <w:rsid w:val="541141C7"/>
    <w:rsid w:val="541505F1"/>
    <w:rsid w:val="541A1764"/>
    <w:rsid w:val="542645AC"/>
    <w:rsid w:val="54271E31"/>
    <w:rsid w:val="543670E9"/>
    <w:rsid w:val="5439699D"/>
    <w:rsid w:val="5442626B"/>
    <w:rsid w:val="544650DD"/>
    <w:rsid w:val="54553FFE"/>
    <w:rsid w:val="545A4610"/>
    <w:rsid w:val="545E3D46"/>
    <w:rsid w:val="54663FE0"/>
    <w:rsid w:val="54701423"/>
    <w:rsid w:val="54751090"/>
    <w:rsid w:val="547528A0"/>
    <w:rsid w:val="54891A20"/>
    <w:rsid w:val="548B41F5"/>
    <w:rsid w:val="549239F0"/>
    <w:rsid w:val="549332C4"/>
    <w:rsid w:val="54943A06"/>
    <w:rsid w:val="549E4143"/>
    <w:rsid w:val="54A960EE"/>
    <w:rsid w:val="54AA19D8"/>
    <w:rsid w:val="54B903CE"/>
    <w:rsid w:val="54C0055D"/>
    <w:rsid w:val="54C067AF"/>
    <w:rsid w:val="54C65448"/>
    <w:rsid w:val="54C94F38"/>
    <w:rsid w:val="54CB694D"/>
    <w:rsid w:val="54D264E2"/>
    <w:rsid w:val="54EB218C"/>
    <w:rsid w:val="54EB2E5C"/>
    <w:rsid w:val="54ED0C66"/>
    <w:rsid w:val="550146D2"/>
    <w:rsid w:val="55033331"/>
    <w:rsid w:val="550D230A"/>
    <w:rsid w:val="5514103B"/>
    <w:rsid w:val="552E0A57"/>
    <w:rsid w:val="55436B65"/>
    <w:rsid w:val="555A280A"/>
    <w:rsid w:val="555B0286"/>
    <w:rsid w:val="555D2250"/>
    <w:rsid w:val="555D3FFE"/>
    <w:rsid w:val="555E1B24"/>
    <w:rsid w:val="55620D75"/>
    <w:rsid w:val="55692CA7"/>
    <w:rsid w:val="556A04C9"/>
    <w:rsid w:val="557F2715"/>
    <w:rsid w:val="55850E00"/>
    <w:rsid w:val="558A46C7"/>
    <w:rsid w:val="559029A4"/>
    <w:rsid w:val="559519EA"/>
    <w:rsid w:val="559A7000"/>
    <w:rsid w:val="559B0682"/>
    <w:rsid w:val="55A27C63"/>
    <w:rsid w:val="55A63859"/>
    <w:rsid w:val="55AB6E66"/>
    <w:rsid w:val="55AC04B6"/>
    <w:rsid w:val="55AE6607"/>
    <w:rsid w:val="55B87AD2"/>
    <w:rsid w:val="55BB0D24"/>
    <w:rsid w:val="55BF1FC7"/>
    <w:rsid w:val="55C54CC4"/>
    <w:rsid w:val="55CC6FE2"/>
    <w:rsid w:val="55D43B94"/>
    <w:rsid w:val="55DA41B2"/>
    <w:rsid w:val="55DB4F23"/>
    <w:rsid w:val="55F85AD5"/>
    <w:rsid w:val="55FB55C5"/>
    <w:rsid w:val="55FB7373"/>
    <w:rsid w:val="56002036"/>
    <w:rsid w:val="560501F2"/>
    <w:rsid w:val="560761F8"/>
    <w:rsid w:val="560860E0"/>
    <w:rsid w:val="560B3A5A"/>
    <w:rsid w:val="562B7C58"/>
    <w:rsid w:val="562D09FA"/>
    <w:rsid w:val="563716DC"/>
    <w:rsid w:val="564C3509"/>
    <w:rsid w:val="564E1B99"/>
    <w:rsid w:val="564F735E"/>
    <w:rsid w:val="56503B63"/>
    <w:rsid w:val="56510D7B"/>
    <w:rsid w:val="565151E5"/>
    <w:rsid w:val="56605D79"/>
    <w:rsid w:val="56611D36"/>
    <w:rsid w:val="566969D2"/>
    <w:rsid w:val="56705FB3"/>
    <w:rsid w:val="56741F47"/>
    <w:rsid w:val="567D5FDA"/>
    <w:rsid w:val="567F2378"/>
    <w:rsid w:val="568602D2"/>
    <w:rsid w:val="5689186A"/>
    <w:rsid w:val="568C6113"/>
    <w:rsid w:val="568E6439"/>
    <w:rsid w:val="56925F29"/>
    <w:rsid w:val="569D09CA"/>
    <w:rsid w:val="56A35797"/>
    <w:rsid w:val="56A72890"/>
    <w:rsid w:val="56A771B3"/>
    <w:rsid w:val="56AC431C"/>
    <w:rsid w:val="56AE1B62"/>
    <w:rsid w:val="56AE4F0A"/>
    <w:rsid w:val="56D93B58"/>
    <w:rsid w:val="56E6314E"/>
    <w:rsid w:val="56E9366F"/>
    <w:rsid w:val="56EB6B94"/>
    <w:rsid w:val="57003974"/>
    <w:rsid w:val="57016C0B"/>
    <w:rsid w:val="57046EE0"/>
    <w:rsid w:val="570E73CA"/>
    <w:rsid w:val="570F1328"/>
    <w:rsid w:val="571E1630"/>
    <w:rsid w:val="57290D84"/>
    <w:rsid w:val="572E1ACF"/>
    <w:rsid w:val="57312E77"/>
    <w:rsid w:val="5733704C"/>
    <w:rsid w:val="57362D58"/>
    <w:rsid w:val="57405985"/>
    <w:rsid w:val="57425ED3"/>
    <w:rsid w:val="57486D6A"/>
    <w:rsid w:val="574A02E3"/>
    <w:rsid w:val="575D5EE9"/>
    <w:rsid w:val="5760619F"/>
    <w:rsid w:val="57641F8B"/>
    <w:rsid w:val="57736809"/>
    <w:rsid w:val="577D7BB2"/>
    <w:rsid w:val="5789732C"/>
    <w:rsid w:val="578D66F1"/>
    <w:rsid w:val="5792501F"/>
    <w:rsid w:val="57985E81"/>
    <w:rsid w:val="57A06424"/>
    <w:rsid w:val="57A9177C"/>
    <w:rsid w:val="57B04EF5"/>
    <w:rsid w:val="57B43C7D"/>
    <w:rsid w:val="57B7680D"/>
    <w:rsid w:val="57D41E8B"/>
    <w:rsid w:val="57E53CBB"/>
    <w:rsid w:val="57E736D6"/>
    <w:rsid w:val="57EA769F"/>
    <w:rsid w:val="57F347A6"/>
    <w:rsid w:val="57FA3D86"/>
    <w:rsid w:val="57FE314A"/>
    <w:rsid w:val="580A1AEF"/>
    <w:rsid w:val="58155B70"/>
    <w:rsid w:val="58242BB1"/>
    <w:rsid w:val="58256929"/>
    <w:rsid w:val="582708F3"/>
    <w:rsid w:val="582B154B"/>
    <w:rsid w:val="58311772"/>
    <w:rsid w:val="583D0117"/>
    <w:rsid w:val="58403763"/>
    <w:rsid w:val="5843338E"/>
    <w:rsid w:val="58497766"/>
    <w:rsid w:val="58523BC2"/>
    <w:rsid w:val="585E148F"/>
    <w:rsid w:val="58614FE0"/>
    <w:rsid w:val="586B07E0"/>
    <w:rsid w:val="586D6E5C"/>
    <w:rsid w:val="586E207E"/>
    <w:rsid w:val="587D0513"/>
    <w:rsid w:val="58801DB1"/>
    <w:rsid w:val="58823157"/>
    <w:rsid w:val="5886386C"/>
    <w:rsid w:val="588F3DB4"/>
    <w:rsid w:val="58966990"/>
    <w:rsid w:val="58971088"/>
    <w:rsid w:val="589917F1"/>
    <w:rsid w:val="58A94B3D"/>
    <w:rsid w:val="58AC2BA6"/>
    <w:rsid w:val="58B24629"/>
    <w:rsid w:val="58B42243"/>
    <w:rsid w:val="58C06E06"/>
    <w:rsid w:val="58C0702C"/>
    <w:rsid w:val="58C63C68"/>
    <w:rsid w:val="58CB5722"/>
    <w:rsid w:val="58CE49F6"/>
    <w:rsid w:val="58D07EEE"/>
    <w:rsid w:val="58D228D1"/>
    <w:rsid w:val="58DF4D2A"/>
    <w:rsid w:val="58E212D4"/>
    <w:rsid w:val="58EB286B"/>
    <w:rsid w:val="58EC5DB8"/>
    <w:rsid w:val="58F9422A"/>
    <w:rsid w:val="5900361E"/>
    <w:rsid w:val="59017396"/>
    <w:rsid w:val="5906609D"/>
    <w:rsid w:val="5906675A"/>
    <w:rsid w:val="590C7B39"/>
    <w:rsid w:val="59107DD4"/>
    <w:rsid w:val="591206FF"/>
    <w:rsid w:val="592258CE"/>
    <w:rsid w:val="5925594D"/>
    <w:rsid w:val="592A44F3"/>
    <w:rsid w:val="592F76A6"/>
    <w:rsid w:val="593F3A1A"/>
    <w:rsid w:val="59441762"/>
    <w:rsid w:val="59486D73"/>
    <w:rsid w:val="594F014C"/>
    <w:rsid w:val="59544425"/>
    <w:rsid w:val="59571D30"/>
    <w:rsid w:val="59585C88"/>
    <w:rsid w:val="595E4853"/>
    <w:rsid w:val="59637709"/>
    <w:rsid w:val="59661118"/>
    <w:rsid w:val="59676172"/>
    <w:rsid w:val="59682F71"/>
    <w:rsid w:val="596A536F"/>
    <w:rsid w:val="597E2795"/>
    <w:rsid w:val="598D4786"/>
    <w:rsid w:val="599C0E6D"/>
    <w:rsid w:val="59BA66BC"/>
    <w:rsid w:val="59BB12F3"/>
    <w:rsid w:val="59C00507"/>
    <w:rsid w:val="59CC52AE"/>
    <w:rsid w:val="59D53942"/>
    <w:rsid w:val="59DB53F4"/>
    <w:rsid w:val="59DE3233"/>
    <w:rsid w:val="59E048A6"/>
    <w:rsid w:val="59E6628D"/>
    <w:rsid w:val="59F04E1D"/>
    <w:rsid w:val="59F31D20"/>
    <w:rsid w:val="5A113609"/>
    <w:rsid w:val="5A13112F"/>
    <w:rsid w:val="5A165707"/>
    <w:rsid w:val="5A1D5124"/>
    <w:rsid w:val="5A2C0BA5"/>
    <w:rsid w:val="5A4412E8"/>
    <w:rsid w:val="5A442CA3"/>
    <w:rsid w:val="5A4A7CC9"/>
    <w:rsid w:val="5A4A7F44"/>
    <w:rsid w:val="5A5056D0"/>
    <w:rsid w:val="5A557DDA"/>
    <w:rsid w:val="5A5B2AD6"/>
    <w:rsid w:val="5A665EAB"/>
    <w:rsid w:val="5A6E0A5B"/>
    <w:rsid w:val="5A7B6CD4"/>
    <w:rsid w:val="5A7C4F26"/>
    <w:rsid w:val="5A865DA5"/>
    <w:rsid w:val="5A8B33BB"/>
    <w:rsid w:val="5A8B5169"/>
    <w:rsid w:val="5A915069"/>
    <w:rsid w:val="5A9C7376"/>
    <w:rsid w:val="5A9F4DD0"/>
    <w:rsid w:val="5AA20705"/>
    <w:rsid w:val="5AA224B3"/>
    <w:rsid w:val="5AA61FA3"/>
    <w:rsid w:val="5AAB6D53"/>
    <w:rsid w:val="5ACA6725"/>
    <w:rsid w:val="5ACB1A0A"/>
    <w:rsid w:val="5AD52888"/>
    <w:rsid w:val="5AE70EB7"/>
    <w:rsid w:val="5AF11A5D"/>
    <w:rsid w:val="5AF2343A"/>
    <w:rsid w:val="5AF45A2C"/>
    <w:rsid w:val="5AF85B05"/>
    <w:rsid w:val="5B01476F"/>
    <w:rsid w:val="5B0E00E1"/>
    <w:rsid w:val="5B0F4D90"/>
    <w:rsid w:val="5B0F5DA1"/>
    <w:rsid w:val="5B173696"/>
    <w:rsid w:val="5B1A029B"/>
    <w:rsid w:val="5B206B2B"/>
    <w:rsid w:val="5B2B2C36"/>
    <w:rsid w:val="5B2B485B"/>
    <w:rsid w:val="5B2B7F94"/>
    <w:rsid w:val="5B2F01EA"/>
    <w:rsid w:val="5B3171A9"/>
    <w:rsid w:val="5B357B72"/>
    <w:rsid w:val="5B3B5CCC"/>
    <w:rsid w:val="5B3D3676"/>
    <w:rsid w:val="5B3E042E"/>
    <w:rsid w:val="5B484E08"/>
    <w:rsid w:val="5B583EE2"/>
    <w:rsid w:val="5B585D48"/>
    <w:rsid w:val="5B5A4C14"/>
    <w:rsid w:val="5B670E45"/>
    <w:rsid w:val="5B767BC7"/>
    <w:rsid w:val="5B791466"/>
    <w:rsid w:val="5B7E082A"/>
    <w:rsid w:val="5B81031A"/>
    <w:rsid w:val="5B846BA0"/>
    <w:rsid w:val="5B8816A9"/>
    <w:rsid w:val="5B9378A9"/>
    <w:rsid w:val="5B9462A0"/>
    <w:rsid w:val="5B9938B6"/>
    <w:rsid w:val="5B9F0AF4"/>
    <w:rsid w:val="5BA069F2"/>
    <w:rsid w:val="5BBB1A7E"/>
    <w:rsid w:val="5BBB7A1A"/>
    <w:rsid w:val="5BCC5A39"/>
    <w:rsid w:val="5BD06FAD"/>
    <w:rsid w:val="5BD70683"/>
    <w:rsid w:val="5BE03293"/>
    <w:rsid w:val="5BEF05B4"/>
    <w:rsid w:val="5BEF2E0C"/>
    <w:rsid w:val="5BF154A0"/>
    <w:rsid w:val="5BF55E1D"/>
    <w:rsid w:val="5C036117"/>
    <w:rsid w:val="5C05719D"/>
    <w:rsid w:val="5C0C0DF5"/>
    <w:rsid w:val="5C0C287A"/>
    <w:rsid w:val="5C1B251D"/>
    <w:rsid w:val="5C1E200D"/>
    <w:rsid w:val="5C2851A5"/>
    <w:rsid w:val="5C441A74"/>
    <w:rsid w:val="5C473841"/>
    <w:rsid w:val="5C4918DA"/>
    <w:rsid w:val="5C4B3DBB"/>
    <w:rsid w:val="5C4C26D6"/>
    <w:rsid w:val="5C4F0418"/>
    <w:rsid w:val="5C593A82"/>
    <w:rsid w:val="5C5E240A"/>
    <w:rsid w:val="5C5F065B"/>
    <w:rsid w:val="5C693191"/>
    <w:rsid w:val="5C7B2FBB"/>
    <w:rsid w:val="5C843232"/>
    <w:rsid w:val="5C844234"/>
    <w:rsid w:val="5C8A5EF3"/>
    <w:rsid w:val="5C8E0F41"/>
    <w:rsid w:val="5C901178"/>
    <w:rsid w:val="5C9E7CD1"/>
    <w:rsid w:val="5CA359EF"/>
    <w:rsid w:val="5CAC7619"/>
    <w:rsid w:val="5CC85B1F"/>
    <w:rsid w:val="5CC968A2"/>
    <w:rsid w:val="5CCE2189"/>
    <w:rsid w:val="5CD1280D"/>
    <w:rsid w:val="5CD13D4F"/>
    <w:rsid w:val="5CDC6D29"/>
    <w:rsid w:val="5CE62B2B"/>
    <w:rsid w:val="5CEA4B0F"/>
    <w:rsid w:val="5CED210B"/>
    <w:rsid w:val="5D0134C1"/>
    <w:rsid w:val="5D025FAC"/>
    <w:rsid w:val="5D204650"/>
    <w:rsid w:val="5D2F1960"/>
    <w:rsid w:val="5D3F66DF"/>
    <w:rsid w:val="5D4C0510"/>
    <w:rsid w:val="5D5757D7"/>
    <w:rsid w:val="5D5E0913"/>
    <w:rsid w:val="5D6972B8"/>
    <w:rsid w:val="5D6A375C"/>
    <w:rsid w:val="5D6D15BF"/>
    <w:rsid w:val="5D731EE5"/>
    <w:rsid w:val="5D755C5D"/>
    <w:rsid w:val="5D76202E"/>
    <w:rsid w:val="5D891708"/>
    <w:rsid w:val="5D902A97"/>
    <w:rsid w:val="5D972077"/>
    <w:rsid w:val="5D9B72D3"/>
    <w:rsid w:val="5D9C4473"/>
    <w:rsid w:val="5D9F6ABC"/>
    <w:rsid w:val="5DA40A86"/>
    <w:rsid w:val="5DA45A6F"/>
    <w:rsid w:val="5DA64068"/>
    <w:rsid w:val="5DAA3B58"/>
    <w:rsid w:val="5DAB2583"/>
    <w:rsid w:val="5DAF4D9E"/>
    <w:rsid w:val="5DAF73C1"/>
    <w:rsid w:val="5DB22A0D"/>
    <w:rsid w:val="5DB41369"/>
    <w:rsid w:val="5DC7310F"/>
    <w:rsid w:val="5DCC7F73"/>
    <w:rsid w:val="5DCF35BF"/>
    <w:rsid w:val="5DD30137"/>
    <w:rsid w:val="5DDC3F2E"/>
    <w:rsid w:val="5DEC58FC"/>
    <w:rsid w:val="5DEE47DD"/>
    <w:rsid w:val="5E016E24"/>
    <w:rsid w:val="5E0529A3"/>
    <w:rsid w:val="5E055233"/>
    <w:rsid w:val="5E0A37EF"/>
    <w:rsid w:val="5E0A3B36"/>
    <w:rsid w:val="5E190CDE"/>
    <w:rsid w:val="5E1A13BD"/>
    <w:rsid w:val="5E1C317D"/>
    <w:rsid w:val="5E281840"/>
    <w:rsid w:val="5E2A3DA7"/>
    <w:rsid w:val="5E345D1B"/>
    <w:rsid w:val="5E347A08"/>
    <w:rsid w:val="5E3F6182"/>
    <w:rsid w:val="5E48511F"/>
    <w:rsid w:val="5E5166CA"/>
    <w:rsid w:val="5E5C79A5"/>
    <w:rsid w:val="5E693A13"/>
    <w:rsid w:val="5E6F4DA2"/>
    <w:rsid w:val="5E70046F"/>
    <w:rsid w:val="5E740BB9"/>
    <w:rsid w:val="5E834D7A"/>
    <w:rsid w:val="5E846A25"/>
    <w:rsid w:val="5E8819C0"/>
    <w:rsid w:val="5E9D0FA2"/>
    <w:rsid w:val="5EA0719C"/>
    <w:rsid w:val="5EA90CA0"/>
    <w:rsid w:val="5EAB639B"/>
    <w:rsid w:val="5EAC0A97"/>
    <w:rsid w:val="5EAF150A"/>
    <w:rsid w:val="5EB153BA"/>
    <w:rsid w:val="5EB51E41"/>
    <w:rsid w:val="5EB7030F"/>
    <w:rsid w:val="5EC13FB0"/>
    <w:rsid w:val="5EC23124"/>
    <w:rsid w:val="5EC73BE1"/>
    <w:rsid w:val="5EC75FCE"/>
    <w:rsid w:val="5EE237C6"/>
    <w:rsid w:val="5EE54344"/>
    <w:rsid w:val="5EE72B8A"/>
    <w:rsid w:val="5EEF2AC7"/>
    <w:rsid w:val="5EF3152F"/>
    <w:rsid w:val="5EF4412F"/>
    <w:rsid w:val="5EF801E3"/>
    <w:rsid w:val="5EF835EC"/>
    <w:rsid w:val="5EFA28BD"/>
    <w:rsid w:val="5F1E2131"/>
    <w:rsid w:val="5F230066"/>
    <w:rsid w:val="5F2E2567"/>
    <w:rsid w:val="5F2F6BBC"/>
    <w:rsid w:val="5F3A1F9A"/>
    <w:rsid w:val="5F3E23E4"/>
    <w:rsid w:val="5F430197"/>
    <w:rsid w:val="5F4C7480"/>
    <w:rsid w:val="5F513829"/>
    <w:rsid w:val="5F5F0285"/>
    <w:rsid w:val="5F5F4E16"/>
    <w:rsid w:val="5F6B37BB"/>
    <w:rsid w:val="5F70492E"/>
    <w:rsid w:val="5F731C96"/>
    <w:rsid w:val="5F7B7F38"/>
    <w:rsid w:val="5F833103"/>
    <w:rsid w:val="5F836ED4"/>
    <w:rsid w:val="5F881C77"/>
    <w:rsid w:val="5F90360E"/>
    <w:rsid w:val="5F930AF8"/>
    <w:rsid w:val="5F934C71"/>
    <w:rsid w:val="5F9525E6"/>
    <w:rsid w:val="5F975402"/>
    <w:rsid w:val="5F9B3528"/>
    <w:rsid w:val="5FA3770C"/>
    <w:rsid w:val="5FAE5769"/>
    <w:rsid w:val="5FB75653"/>
    <w:rsid w:val="5FB80874"/>
    <w:rsid w:val="5FB93740"/>
    <w:rsid w:val="5FCD7FD2"/>
    <w:rsid w:val="5FD301E3"/>
    <w:rsid w:val="5FDC6003"/>
    <w:rsid w:val="5FE57944"/>
    <w:rsid w:val="5FE81928"/>
    <w:rsid w:val="5FEA617C"/>
    <w:rsid w:val="5FF87528"/>
    <w:rsid w:val="60003F04"/>
    <w:rsid w:val="60076D0D"/>
    <w:rsid w:val="600871C3"/>
    <w:rsid w:val="600B1C4F"/>
    <w:rsid w:val="60140D1B"/>
    <w:rsid w:val="601F6B1A"/>
    <w:rsid w:val="60250735"/>
    <w:rsid w:val="602D5D7B"/>
    <w:rsid w:val="603F1B39"/>
    <w:rsid w:val="60403C63"/>
    <w:rsid w:val="605204D7"/>
    <w:rsid w:val="605709F3"/>
    <w:rsid w:val="60591866"/>
    <w:rsid w:val="605B6E8D"/>
    <w:rsid w:val="6062696C"/>
    <w:rsid w:val="60665424"/>
    <w:rsid w:val="606721D5"/>
    <w:rsid w:val="606749B9"/>
    <w:rsid w:val="60692709"/>
    <w:rsid w:val="60714E01"/>
    <w:rsid w:val="60760143"/>
    <w:rsid w:val="60852569"/>
    <w:rsid w:val="60880AA7"/>
    <w:rsid w:val="60893DED"/>
    <w:rsid w:val="608A2DFA"/>
    <w:rsid w:val="6090299C"/>
    <w:rsid w:val="60911000"/>
    <w:rsid w:val="60934A46"/>
    <w:rsid w:val="60995980"/>
    <w:rsid w:val="60A3613E"/>
    <w:rsid w:val="60A868BE"/>
    <w:rsid w:val="60BA0556"/>
    <w:rsid w:val="60BA67A8"/>
    <w:rsid w:val="60BD0047"/>
    <w:rsid w:val="60C234C4"/>
    <w:rsid w:val="60C53E4A"/>
    <w:rsid w:val="60CE509E"/>
    <w:rsid w:val="60DF4DDA"/>
    <w:rsid w:val="60E20A32"/>
    <w:rsid w:val="610057B7"/>
    <w:rsid w:val="61007F33"/>
    <w:rsid w:val="61107F7E"/>
    <w:rsid w:val="611C5DCB"/>
    <w:rsid w:val="611F2AAF"/>
    <w:rsid w:val="612A136A"/>
    <w:rsid w:val="612F5382"/>
    <w:rsid w:val="61356073"/>
    <w:rsid w:val="613761A4"/>
    <w:rsid w:val="6138591F"/>
    <w:rsid w:val="61465AAB"/>
    <w:rsid w:val="615264A9"/>
    <w:rsid w:val="615609C9"/>
    <w:rsid w:val="61584ADF"/>
    <w:rsid w:val="61625965"/>
    <w:rsid w:val="61657F1E"/>
    <w:rsid w:val="61665FE8"/>
    <w:rsid w:val="61691F7C"/>
    <w:rsid w:val="617767F3"/>
    <w:rsid w:val="617821BF"/>
    <w:rsid w:val="61795C57"/>
    <w:rsid w:val="6189456E"/>
    <w:rsid w:val="618D5292"/>
    <w:rsid w:val="61916524"/>
    <w:rsid w:val="619813D5"/>
    <w:rsid w:val="619F78E4"/>
    <w:rsid w:val="61A35B4E"/>
    <w:rsid w:val="61AD3C17"/>
    <w:rsid w:val="61BA27D8"/>
    <w:rsid w:val="61BE4076"/>
    <w:rsid w:val="61CF1C39"/>
    <w:rsid w:val="61D2367E"/>
    <w:rsid w:val="61E04EFD"/>
    <w:rsid w:val="61EE794C"/>
    <w:rsid w:val="61F1110B"/>
    <w:rsid w:val="61FA5810"/>
    <w:rsid w:val="62037CDB"/>
    <w:rsid w:val="62090567"/>
    <w:rsid w:val="621912AD"/>
    <w:rsid w:val="621A4C78"/>
    <w:rsid w:val="62207541"/>
    <w:rsid w:val="62214DFA"/>
    <w:rsid w:val="622A1441"/>
    <w:rsid w:val="622E4992"/>
    <w:rsid w:val="622F0AD0"/>
    <w:rsid w:val="622F2C7F"/>
    <w:rsid w:val="622F77D6"/>
    <w:rsid w:val="62370CCE"/>
    <w:rsid w:val="623A38BA"/>
    <w:rsid w:val="623D5A06"/>
    <w:rsid w:val="623F0BA1"/>
    <w:rsid w:val="624A41FA"/>
    <w:rsid w:val="624E2AD0"/>
    <w:rsid w:val="6267026A"/>
    <w:rsid w:val="626764BC"/>
    <w:rsid w:val="626D1D7C"/>
    <w:rsid w:val="627209BD"/>
    <w:rsid w:val="62724E61"/>
    <w:rsid w:val="627E3805"/>
    <w:rsid w:val="628538BE"/>
    <w:rsid w:val="629B6165"/>
    <w:rsid w:val="629D1EDE"/>
    <w:rsid w:val="62A414BE"/>
    <w:rsid w:val="62C21944"/>
    <w:rsid w:val="62C85D0F"/>
    <w:rsid w:val="62D01842"/>
    <w:rsid w:val="62D07A53"/>
    <w:rsid w:val="62D43425"/>
    <w:rsid w:val="62DE1002"/>
    <w:rsid w:val="62E23D94"/>
    <w:rsid w:val="62F34922"/>
    <w:rsid w:val="62F3736C"/>
    <w:rsid w:val="62F87114"/>
    <w:rsid w:val="62FB4E56"/>
    <w:rsid w:val="62FF148D"/>
    <w:rsid w:val="630134D8"/>
    <w:rsid w:val="63116428"/>
    <w:rsid w:val="63142B45"/>
    <w:rsid w:val="631F28F3"/>
    <w:rsid w:val="63225F6E"/>
    <w:rsid w:val="63244441"/>
    <w:rsid w:val="63260839"/>
    <w:rsid w:val="63380161"/>
    <w:rsid w:val="633D546F"/>
    <w:rsid w:val="633E246B"/>
    <w:rsid w:val="63423E46"/>
    <w:rsid w:val="63442C33"/>
    <w:rsid w:val="63506F50"/>
    <w:rsid w:val="63644CBE"/>
    <w:rsid w:val="6369466D"/>
    <w:rsid w:val="63734295"/>
    <w:rsid w:val="6374342C"/>
    <w:rsid w:val="63753981"/>
    <w:rsid w:val="637846F9"/>
    <w:rsid w:val="637F5A87"/>
    <w:rsid w:val="63836EE1"/>
    <w:rsid w:val="63844E4C"/>
    <w:rsid w:val="638D6F02"/>
    <w:rsid w:val="638E7A78"/>
    <w:rsid w:val="63901A42"/>
    <w:rsid w:val="63950E07"/>
    <w:rsid w:val="639E6348"/>
    <w:rsid w:val="639E7B5B"/>
    <w:rsid w:val="63A252D2"/>
    <w:rsid w:val="63A25CDB"/>
    <w:rsid w:val="63A320F7"/>
    <w:rsid w:val="63AA498A"/>
    <w:rsid w:val="63AB1A91"/>
    <w:rsid w:val="63AE042A"/>
    <w:rsid w:val="63B3128D"/>
    <w:rsid w:val="63B53257"/>
    <w:rsid w:val="63BA261B"/>
    <w:rsid w:val="63D3458D"/>
    <w:rsid w:val="63DC60A6"/>
    <w:rsid w:val="63E43B3C"/>
    <w:rsid w:val="63E678B4"/>
    <w:rsid w:val="63EF0A10"/>
    <w:rsid w:val="640B1B8D"/>
    <w:rsid w:val="640F3694"/>
    <w:rsid w:val="64184AD3"/>
    <w:rsid w:val="641F17EC"/>
    <w:rsid w:val="642B3519"/>
    <w:rsid w:val="642C4805"/>
    <w:rsid w:val="64305579"/>
    <w:rsid w:val="643245CE"/>
    <w:rsid w:val="643A3DDB"/>
    <w:rsid w:val="643B071F"/>
    <w:rsid w:val="64475192"/>
    <w:rsid w:val="644A4A48"/>
    <w:rsid w:val="64540CC2"/>
    <w:rsid w:val="646709F5"/>
    <w:rsid w:val="646D2593"/>
    <w:rsid w:val="64744EC0"/>
    <w:rsid w:val="64754A4C"/>
    <w:rsid w:val="64760FA2"/>
    <w:rsid w:val="64872E45"/>
    <w:rsid w:val="64874BF3"/>
    <w:rsid w:val="6490098C"/>
    <w:rsid w:val="64946CB8"/>
    <w:rsid w:val="64A62BA0"/>
    <w:rsid w:val="64AB35CA"/>
    <w:rsid w:val="64AE1328"/>
    <w:rsid w:val="64B03720"/>
    <w:rsid w:val="64B674BC"/>
    <w:rsid w:val="64C323E4"/>
    <w:rsid w:val="64CA675F"/>
    <w:rsid w:val="64CF3A9F"/>
    <w:rsid w:val="64D32D4D"/>
    <w:rsid w:val="64D4595F"/>
    <w:rsid w:val="64FB5F03"/>
    <w:rsid w:val="650049A6"/>
    <w:rsid w:val="65043F87"/>
    <w:rsid w:val="650B4813"/>
    <w:rsid w:val="650D294E"/>
    <w:rsid w:val="65157F35"/>
    <w:rsid w:val="65197815"/>
    <w:rsid w:val="652579A3"/>
    <w:rsid w:val="653319F2"/>
    <w:rsid w:val="653463FD"/>
    <w:rsid w:val="6535464F"/>
    <w:rsid w:val="653D229D"/>
    <w:rsid w:val="653D2B4E"/>
    <w:rsid w:val="655B7E2E"/>
    <w:rsid w:val="655D6B53"/>
    <w:rsid w:val="655F791E"/>
    <w:rsid w:val="656211BC"/>
    <w:rsid w:val="656B6935"/>
    <w:rsid w:val="656E7938"/>
    <w:rsid w:val="65762CF6"/>
    <w:rsid w:val="65842EE1"/>
    <w:rsid w:val="658B0E38"/>
    <w:rsid w:val="658D2A76"/>
    <w:rsid w:val="6598170C"/>
    <w:rsid w:val="659D21F5"/>
    <w:rsid w:val="65AA7C28"/>
    <w:rsid w:val="65C47781"/>
    <w:rsid w:val="65CD0D2C"/>
    <w:rsid w:val="65E04CD4"/>
    <w:rsid w:val="65EC6290"/>
    <w:rsid w:val="65F107B5"/>
    <w:rsid w:val="66217325"/>
    <w:rsid w:val="662B08ED"/>
    <w:rsid w:val="663C7C5F"/>
    <w:rsid w:val="663E7534"/>
    <w:rsid w:val="664675B7"/>
    <w:rsid w:val="664A412A"/>
    <w:rsid w:val="66514C3A"/>
    <w:rsid w:val="66534D1E"/>
    <w:rsid w:val="665C0E1C"/>
    <w:rsid w:val="66621C79"/>
    <w:rsid w:val="66664368"/>
    <w:rsid w:val="668138C4"/>
    <w:rsid w:val="66854A6F"/>
    <w:rsid w:val="66896EF9"/>
    <w:rsid w:val="668B029F"/>
    <w:rsid w:val="669C425A"/>
    <w:rsid w:val="669E1E22"/>
    <w:rsid w:val="66A57393"/>
    <w:rsid w:val="66B25DAA"/>
    <w:rsid w:val="66C57C55"/>
    <w:rsid w:val="66C73EA9"/>
    <w:rsid w:val="66C93F6D"/>
    <w:rsid w:val="66CA526B"/>
    <w:rsid w:val="66CA697C"/>
    <w:rsid w:val="66E31F8B"/>
    <w:rsid w:val="66E342EB"/>
    <w:rsid w:val="66E60851"/>
    <w:rsid w:val="66E856F1"/>
    <w:rsid w:val="66FB629B"/>
    <w:rsid w:val="66FB6A5C"/>
    <w:rsid w:val="66FC33DC"/>
    <w:rsid w:val="670927AC"/>
    <w:rsid w:val="67165A66"/>
    <w:rsid w:val="67185FD7"/>
    <w:rsid w:val="6727446C"/>
    <w:rsid w:val="67285AA2"/>
    <w:rsid w:val="672C3830"/>
    <w:rsid w:val="6739419F"/>
    <w:rsid w:val="673F5780"/>
    <w:rsid w:val="674C0C8F"/>
    <w:rsid w:val="674E19F8"/>
    <w:rsid w:val="674F751F"/>
    <w:rsid w:val="67512F25"/>
    <w:rsid w:val="67577A53"/>
    <w:rsid w:val="675A2EFD"/>
    <w:rsid w:val="675B535D"/>
    <w:rsid w:val="675E7762"/>
    <w:rsid w:val="676A4CE7"/>
    <w:rsid w:val="676B6B47"/>
    <w:rsid w:val="6774607B"/>
    <w:rsid w:val="677B6565"/>
    <w:rsid w:val="677F5616"/>
    <w:rsid w:val="67941BD0"/>
    <w:rsid w:val="67AB0BF9"/>
    <w:rsid w:val="67B47B85"/>
    <w:rsid w:val="67BD092C"/>
    <w:rsid w:val="67D75874"/>
    <w:rsid w:val="67DE460B"/>
    <w:rsid w:val="67E660D5"/>
    <w:rsid w:val="67EE4F89"/>
    <w:rsid w:val="67EE5CC6"/>
    <w:rsid w:val="67FC3283"/>
    <w:rsid w:val="68014CBD"/>
    <w:rsid w:val="68093B71"/>
    <w:rsid w:val="68094ABE"/>
    <w:rsid w:val="680E73DA"/>
    <w:rsid w:val="68182006"/>
    <w:rsid w:val="681C1F38"/>
    <w:rsid w:val="681C492A"/>
    <w:rsid w:val="68294213"/>
    <w:rsid w:val="682D02C4"/>
    <w:rsid w:val="6838686B"/>
    <w:rsid w:val="68471387"/>
    <w:rsid w:val="684762FB"/>
    <w:rsid w:val="685017A0"/>
    <w:rsid w:val="685079F2"/>
    <w:rsid w:val="685122B4"/>
    <w:rsid w:val="6854249C"/>
    <w:rsid w:val="68574713"/>
    <w:rsid w:val="68595D1F"/>
    <w:rsid w:val="685C76C8"/>
    <w:rsid w:val="68660FC4"/>
    <w:rsid w:val="687B3323"/>
    <w:rsid w:val="687E630D"/>
    <w:rsid w:val="688558EE"/>
    <w:rsid w:val="68906041"/>
    <w:rsid w:val="68943F4D"/>
    <w:rsid w:val="6896597E"/>
    <w:rsid w:val="68994715"/>
    <w:rsid w:val="689A13DC"/>
    <w:rsid w:val="689A6C6E"/>
    <w:rsid w:val="689C4A3F"/>
    <w:rsid w:val="68A65864"/>
    <w:rsid w:val="68B04922"/>
    <w:rsid w:val="68B44B54"/>
    <w:rsid w:val="68B77D38"/>
    <w:rsid w:val="68C270C6"/>
    <w:rsid w:val="68C819E0"/>
    <w:rsid w:val="68CA1553"/>
    <w:rsid w:val="68CD2DF1"/>
    <w:rsid w:val="68D10682"/>
    <w:rsid w:val="68D36E4D"/>
    <w:rsid w:val="68D77C59"/>
    <w:rsid w:val="68D91796"/>
    <w:rsid w:val="68DE1146"/>
    <w:rsid w:val="68DF1760"/>
    <w:rsid w:val="68E07241"/>
    <w:rsid w:val="68E5013A"/>
    <w:rsid w:val="68E5638C"/>
    <w:rsid w:val="68F0088D"/>
    <w:rsid w:val="68F14632"/>
    <w:rsid w:val="68F4037D"/>
    <w:rsid w:val="69022EB9"/>
    <w:rsid w:val="69086C2A"/>
    <w:rsid w:val="69113922"/>
    <w:rsid w:val="691B2C2B"/>
    <w:rsid w:val="691E2760"/>
    <w:rsid w:val="692545D1"/>
    <w:rsid w:val="69275383"/>
    <w:rsid w:val="692E7D33"/>
    <w:rsid w:val="69344055"/>
    <w:rsid w:val="694320DB"/>
    <w:rsid w:val="694766FF"/>
    <w:rsid w:val="694A2693"/>
    <w:rsid w:val="69564C63"/>
    <w:rsid w:val="69574497"/>
    <w:rsid w:val="69605A13"/>
    <w:rsid w:val="69692180"/>
    <w:rsid w:val="696C260A"/>
    <w:rsid w:val="69807E63"/>
    <w:rsid w:val="69912070"/>
    <w:rsid w:val="699456BD"/>
    <w:rsid w:val="699911C9"/>
    <w:rsid w:val="69A1241F"/>
    <w:rsid w:val="69A2734B"/>
    <w:rsid w:val="69A753F0"/>
    <w:rsid w:val="69AC7A08"/>
    <w:rsid w:val="69B33D95"/>
    <w:rsid w:val="69B3721B"/>
    <w:rsid w:val="69BA15C7"/>
    <w:rsid w:val="69C02956"/>
    <w:rsid w:val="69CF348D"/>
    <w:rsid w:val="69D04C52"/>
    <w:rsid w:val="69D264BD"/>
    <w:rsid w:val="69D72179"/>
    <w:rsid w:val="69DF4B8A"/>
    <w:rsid w:val="69E04D5B"/>
    <w:rsid w:val="69E06B54"/>
    <w:rsid w:val="69E5416A"/>
    <w:rsid w:val="69E84273"/>
    <w:rsid w:val="69EA2C18"/>
    <w:rsid w:val="69F06D97"/>
    <w:rsid w:val="69F60125"/>
    <w:rsid w:val="69FA19E3"/>
    <w:rsid w:val="69FD7706"/>
    <w:rsid w:val="6A0171F6"/>
    <w:rsid w:val="6A050368"/>
    <w:rsid w:val="6A0740E0"/>
    <w:rsid w:val="6A150142"/>
    <w:rsid w:val="6A1F767C"/>
    <w:rsid w:val="6A2473ED"/>
    <w:rsid w:val="6A2A2D7D"/>
    <w:rsid w:val="6A2D7FEB"/>
    <w:rsid w:val="6A2E6E71"/>
    <w:rsid w:val="6A3274A1"/>
    <w:rsid w:val="6A3550F2"/>
    <w:rsid w:val="6A42336B"/>
    <w:rsid w:val="6A4F3A53"/>
    <w:rsid w:val="6A5617E8"/>
    <w:rsid w:val="6A5A06B4"/>
    <w:rsid w:val="6A5A3787"/>
    <w:rsid w:val="6A5D01A4"/>
    <w:rsid w:val="6A6D6639"/>
    <w:rsid w:val="6A7A2B04"/>
    <w:rsid w:val="6A7C4308"/>
    <w:rsid w:val="6A86594D"/>
    <w:rsid w:val="6A8E035E"/>
    <w:rsid w:val="6A927E4E"/>
    <w:rsid w:val="6A9C0CCD"/>
    <w:rsid w:val="6A9C315A"/>
    <w:rsid w:val="6A9D6DE2"/>
    <w:rsid w:val="6AA162E3"/>
    <w:rsid w:val="6AAC3FBD"/>
    <w:rsid w:val="6AAD5175"/>
    <w:rsid w:val="6ABA1153"/>
    <w:rsid w:val="6AC83870"/>
    <w:rsid w:val="6AC91AC9"/>
    <w:rsid w:val="6ACC02E5"/>
    <w:rsid w:val="6AD541DF"/>
    <w:rsid w:val="6AE83F12"/>
    <w:rsid w:val="6AE928D8"/>
    <w:rsid w:val="6AEC2747"/>
    <w:rsid w:val="6AF00514"/>
    <w:rsid w:val="6AF235D5"/>
    <w:rsid w:val="6AFE7291"/>
    <w:rsid w:val="6B016D82"/>
    <w:rsid w:val="6B040620"/>
    <w:rsid w:val="6B135834"/>
    <w:rsid w:val="6B20545A"/>
    <w:rsid w:val="6B332745"/>
    <w:rsid w:val="6B3809FD"/>
    <w:rsid w:val="6B4C26F3"/>
    <w:rsid w:val="6B4F5D3F"/>
    <w:rsid w:val="6B5D66AE"/>
    <w:rsid w:val="6B623CC4"/>
    <w:rsid w:val="6B694CD6"/>
    <w:rsid w:val="6B6C5FA1"/>
    <w:rsid w:val="6B6F1F3D"/>
    <w:rsid w:val="6B827EC3"/>
    <w:rsid w:val="6B851761"/>
    <w:rsid w:val="6B8544C6"/>
    <w:rsid w:val="6B8B5427"/>
    <w:rsid w:val="6B8F649C"/>
    <w:rsid w:val="6B923E7E"/>
    <w:rsid w:val="6B92455B"/>
    <w:rsid w:val="6B9E0E3B"/>
    <w:rsid w:val="6BA537CF"/>
    <w:rsid w:val="6BA936A1"/>
    <w:rsid w:val="6BAF2C82"/>
    <w:rsid w:val="6BB50FAB"/>
    <w:rsid w:val="6BB87D88"/>
    <w:rsid w:val="6BB92906"/>
    <w:rsid w:val="6BC13D80"/>
    <w:rsid w:val="6BC56001"/>
    <w:rsid w:val="6BD11944"/>
    <w:rsid w:val="6BDA1B01"/>
    <w:rsid w:val="6BE04BE9"/>
    <w:rsid w:val="6BE465CD"/>
    <w:rsid w:val="6BE8335D"/>
    <w:rsid w:val="6BF33B42"/>
    <w:rsid w:val="6BFB361E"/>
    <w:rsid w:val="6BFE3D94"/>
    <w:rsid w:val="6C011060"/>
    <w:rsid w:val="6C023AD0"/>
    <w:rsid w:val="6C123F77"/>
    <w:rsid w:val="6C186A79"/>
    <w:rsid w:val="6C1D408F"/>
    <w:rsid w:val="6C1F1BB5"/>
    <w:rsid w:val="6C270A6A"/>
    <w:rsid w:val="6C2947E2"/>
    <w:rsid w:val="6C2B5723"/>
    <w:rsid w:val="6C5A2BED"/>
    <w:rsid w:val="6C5F1FB2"/>
    <w:rsid w:val="6C621AA2"/>
    <w:rsid w:val="6C6956C9"/>
    <w:rsid w:val="6C702411"/>
    <w:rsid w:val="6C7473B7"/>
    <w:rsid w:val="6C75046D"/>
    <w:rsid w:val="6C7C5FAF"/>
    <w:rsid w:val="6C816902"/>
    <w:rsid w:val="6C8E6D3B"/>
    <w:rsid w:val="6C9854C4"/>
    <w:rsid w:val="6C9B3126"/>
    <w:rsid w:val="6C9D3F7F"/>
    <w:rsid w:val="6CA87DFD"/>
    <w:rsid w:val="6CAE11B5"/>
    <w:rsid w:val="6CB93DB8"/>
    <w:rsid w:val="6CC77E10"/>
    <w:rsid w:val="6CC85DA9"/>
    <w:rsid w:val="6CCD7863"/>
    <w:rsid w:val="6CD0777F"/>
    <w:rsid w:val="6CD90334"/>
    <w:rsid w:val="6CED2729"/>
    <w:rsid w:val="6CED3A62"/>
    <w:rsid w:val="6CEF1306"/>
    <w:rsid w:val="6CF070AE"/>
    <w:rsid w:val="6CFF6F60"/>
    <w:rsid w:val="6D0D4104"/>
    <w:rsid w:val="6D116978"/>
    <w:rsid w:val="6D156B14"/>
    <w:rsid w:val="6D176D30"/>
    <w:rsid w:val="6D250BC3"/>
    <w:rsid w:val="6D3A254E"/>
    <w:rsid w:val="6D3E42BD"/>
    <w:rsid w:val="6D4318D3"/>
    <w:rsid w:val="6D44366F"/>
    <w:rsid w:val="6D4B2536"/>
    <w:rsid w:val="6D54588F"/>
    <w:rsid w:val="6D592EA5"/>
    <w:rsid w:val="6D5D6A39"/>
    <w:rsid w:val="6D6B4986"/>
    <w:rsid w:val="6D7C62D1"/>
    <w:rsid w:val="6D825ED7"/>
    <w:rsid w:val="6D842C2A"/>
    <w:rsid w:val="6D925938"/>
    <w:rsid w:val="6D94212F"/>
    <w:rsid w:val="6D951907"/>
    <w:rsid w:val="6D99619B"/>
    <w:rsid w:val="6DA93CF5"/>
    <w:rsid w:val="6DAD16DA"/>
    <w:rsid w:val="6DB4457F"/>
    <w:rsid w:val="6DB64DD3"/>
    <w:rsid w:val="6DB8406F"/>
    <w:rsid w:val="6DBE4633"/>
    <w:rsid w:val="6DD32D72"/>
    <w:rsid w:val="6DD95D94"/>
    <w:rsid w:val="6DE7670A"/>
    <w:rsid w:val="6DE9247B"/>
    <w:rsid w:val="6DF42BCE"/>
    <w:rsid w:val="6E0030EF"/>
    <w:rsid w:val="6E056EC2"/>
    <w:rsid w:val="6E06742F"/>
    <w:rsid w:val="6E0A419F"/>
    <w:rsid w:val="6E0C06BC"/>
    <w:rsid w:val="6E153270"/>
    <w:rsid w:val="6E1970D5"/>
    <w:rsid w:val="6E1A6AD8"/>
    <w:rsid w:val="6E217E67"/>
    <w:rsid w:val="6E222E4C"/>
    <w:rsid w:val="6E276AFF"/>
    <w:rsid w:val="6E330C7F"/>
    <w:rsid w:val="6E3F02ED"/>
    <w:rsid w:val="6E3F09E8"/>
    <w:rsid w:val="6E4A5D5F"/>
    <w:rsid w:val="6E4D7CE0"/>
    <w:rsid w:val="6E573888"/>
    <w:rsid w:val="6E5979CF"/>
    <w:rsid w:val="6E5C4EEE"/>
    <w:rsid w:val="6E7F693B"/>
    <w:rsid w:val="6E8C581E"/>
    <w:rsid w:val="6E906D9A"/>
    <w:rsid w:val="6E907F65"/>
    <w:rsid w:val="6E92070D"/>
    <w:rsid w:val="6E9543B1"/>
    <w:rsid w:val="6E9E14B7"/>
    <w:rsid w:val="6EA14927"/>
    <w:rsid w:val="6EA81D9B"/>
    <w:rsid w:val="6EA840E4"/>
    <w:rsid w:val="6EB505AF"/>
    <w:rsid w:val="6EB8009F"/>
    <w:rsid w:val="6EBF7B30"/>
    <w:rsid w:val="6EC03B73"/>
    <w:rsid w:val="6EC51B8E"/>
    <w:rsid w:val="6ED272F8"/>
    <w:rsid w:val="6ED27D8E"/>
    <w:rsid w:val="6ED56A28"/>
    <w:rsid w:val="6ED9311C"/>
    <w:rsid w:val="6EE458DE"/>
    <w:rsid w:val="6EE64C0C"/>
    <w:rsid w:val="6EF235B1"/>
    <w:rsid w:val="6EF90750"/>
    <w:rsid w:val="6EF94EDE"/>
    <w:rsid w:val="6F0137F4"/>
    <w:rsid w:val="6F131AC6"/>
    <w:rsid w:val="6F1352D6"/>
    <w:rsid w:val="6F1677CA"/>
    <w:rsid w:val="6F2252D2"/>
    <w:rsid w:val="6F3E67F6"/>
    <w:rsid w:val="6F406167"/>
    <w:rsid w:val="6F5478EE"/>
    <w:rsid w:val="6F59436A"/>
    <w:rsid w:val="6F5B1156"/>
    <w:rsid w:val="6F6124E5"/>
    <w:rsid w:val="6F6B1FFA"/>
    <w:rsid w:val="6F71097A"/>
    <w:rsid w:val="6F793947"/>
    <w:rsid w:val="6F7D52B5"/>
    <w:rsid w:val="6F80296B"/>
    <w:rsid w:val="6F8166E3"/>
    <w:rsid w:val="6F8A6CA6"/>
    <w:rsid w:val="6F8B1310"/>
    <w:rsid w:val="6F977CB5"/>
    <w:rsid w:val="6FC00FB9"/>
    <w:rsid w:val="6FC07F82"/>
    <w:rsid w:val="6FC30838"/>
    <w:rsid w:val="6FC30AAA"/>
    <w:rsid w:val="6FC5117A"/>
    <w:rsid w:val="6FCC5BB0"/>
    <w:rsid w:val="6FCF2A35"/>
    <w:rsid w:val="6FD1708A"/>
    <w:rsid w:val="6FE04CFD"/>
    <w:rsid w:val="6FE25E34"/>
    <w:rsid w:val="6FEA4288"/>
    <w:rsid w:val="6FF10085"/>
    <w:rsid w:val="6FF45107"/>
    <w:rsid w:val="6FFB6495"/>
    <w:rsid w:val="7003534A"/>
    <w:rsid w:val="70056298"/>
    <w:rsid w:val="70065697"/>
    <w:rsid w:val="70227A0B"/>
    <w:rsid w:val="7028792C"/>
    <w:rsid w:val="70384EAD"/>
    <w:rsid w:val="704D7FE5"/>
    <w:rsid w:val="704E2C9A"/>
    <w:rsid w:val="705362D1"/>
    <w:rsid w:val="70551CB2"/>
    <w:rsid w:val="70561B86"/>
    <w:rsid w:val="70581960"/>
    <w:rsid w:val="70645DE9"/>
    <w:rsid w:val="706C7393"/>
    <w:rsid w:val="70717761"/>
    <w:rsid w:val="707B3132"/>
    <w:rsid w:val="707D6EAA"/>
    <w:rsid w:val="70822713"/>
    <w:rsid w:val="70860455"/>
    <w:rsid w:val="70865678"/>
    <w:rsid w:val="708C17E3"/>
    <w:rsid w:val="708F0AF3"/>
    <w:rsid w:val="70903082"/>
    <w:rsid w:val="70950698"/>
    <w:rsid w:val="709661BE"/>
    <w:rsid w:val="709A383B"/>
    <w:rsid w:val="709F32C5"/>
    <w:rsid w:val="70A21EE6"/>
    <w:rsid w:val="70A73F27"/>
    <w:rsid w:val="70A95EF1"/>
    <w:rsid w:val="70B05124"/>
    <w:rsid w:val="70BD1C21"/>
    <w:rsid w:val="70C04B37"/>
    <w:rsid w:val="70C20D61"/>
    <w:rsid w:val="70C72DD2"/>
    <w:rsid w:val="70D10213"/>
    <w:rsid w:val="70D364DF"/>
    <w:rsid w:val="70F829D5"/>
    <w:rsid w:val="70F955AF"/>
    <w:rsid w:val="710C7FFA"/>
    <w:rsid w:val="710F044A"/>
    <w:rsid w:val="711200BC"/>
    <w:rsid w:val="71153587"/>
    <w:rsid w:val="711A6DEF"/>
    <w:rsid w:val="71223D8A"/>
    <w:rsid w:val="71312C91"/>
    <w:rsid w:val="71324ECC"/>
    <w:rsid w:val="71463740"/>
    <w:rsid w:val="7148570A"/>
    <w:rsid w:val="71526589"/>
    <w:rsid w:val="715B2106"/>
    <w:rsid w:val="71681909"/>
    <w:rsid w:val="71793B16"/>
    <w:rsid w:val="717E6A9E"/>
    <w:rsid w:val="718800FF"/>
    <w:rsid w:val="718D75C1"/>
    <w:rsid w:val="718F3BAF"/>
    <w:rsid w:val="71940698"/>
    <w:rsid w:val="71941550"/>
    <w:rsid w:val="7199133A"/>
    <w:rsid w:val="71A010A2"/>
    <w:rsid w:val="71A13647"/>
    <w:rsid w:val="71A212BE"/>
    <w:rsid w:val="71A843FB"/>
    <w:rsid w:val="71A87F57"/>
    <w:rsid w:val="71AA3CCF"/>
    <w:rsid w:val="71AB7A47"/>
    <w:rsid w:val="71B759B0"/>
    <w:rsid w:val="71BA3022"/>
    <w:rsid w:val="71CC2388"/>
    <w:rsid w:val="71E33685"/>
    <w:rsid w:val="71EF5B86"/>
    <w:rsid w:val="71F47640"/>
    <w:rsid w:val="71FF0F1B"/>
    <w:rsid w:val="720C4AB2"/>
    <w:rsid w:val="723B3486"/>
    <w:rsid w:val="724C44A3"/>
    <w:rsid w:val="72560E9E"/>
    <w:rsid w:val="725C38FE"/>
    <w:rsid w:val="725C5F89"/>
    <w:rsid w:val="725D4BD2"/>
    <w:rsid w:val="72686DEE"/>
    <w:rsid w:val="72693B8A"/>
    <w:rsid w:val="726F754F"/>
    <w:rsid w:val="727A7B45"/>
    <w:rsid w:val="727B0C2E"/>
    <w:rsid w:val="727B0CE2"/>
    <w:rsid w:val="729A1F96"/>
    <w:rsid w:val="72A9042B"/>
    <w:rsid w:val="72AA3158"/>
    <w:rsid w:val="72B1108D"/>
    <w:rsid w:val="72BB3CBA"/>
    <w:rsid w:val="72BF7C4E"/>
    <w:rsid w:val="72C21831"/>
    <w:rsid w:val="72C963D7"/>
    <w:rsid w:val="72CA4893"/>
    <w:rsid w:val="72D853EF"/>
    <w:rsid w:val="72EE5E3E"/>
    <w:rsid w:val="72F316A6"/>
    <w:rsid w:val="72F66BF3"/>
    <w:rsid w:val="730D6E0A"/>
    <w:rsid w:val="730F5C56"/>
    <w:rsid w:val="73117D7E"/>
    <w:rsid w:val="7315161C"/>
    <w:rsid w:val="73153B5E"/>
    <w:rsid w:val="731D0ABA"/>
    <w:rsid w:val="731E0187"/>
    <w:rsid w:val="732112BE"/>
    <w:rsid w:val="732145DE"/>
    <w:rsid w:val="73254030"/>
    <w:rsid w:val="732B3EB1"/>
    <w:rsid w:val="733A6ECA"/>
    <w:rsid w:val="734979C3"/>
    <w:rsid w:val="734A7066"/>
    <w:rsid w:val="734E3BD9"/>
    <w:rsid w:val="735965E7"/>
    <w:rsid w:val="735A1725"/>
    <w:rsid w:val="73650000"/>
    <w:rsid w:val="736D76AA"/>
    <w:rsid w:val="736E6F7E"/>
    <w:rsid w:val="73703AC6"/>
    <w:rsid w:val="737D3686"/>
    <w:rsid w:val="73840550"/>
    <w:rsid w:val="73874291"/>
    <w:rsid w:val="738B5D82"/>
    <w:rsid w:val="738F5872"/>
    <w:rsid w:val="73974727"/>
    <w:rsid w:val="739E54A5"/>
    <w:rsid w:val="739E5AB6"/>
    <w:rsid w:val="73A16271"/>
    <w:rsid w:val="73A96E54"/>
    <w:rsid w:val="73AA26AC"/>
    <w:rsid w:val="73B02AF8"/>
    <w:rsid w:val="73B3503A"/>
    <w:rsid w:val="73B63F3A"/>
    <w:rsid w:val="73BB0416"/>
    <w:rsid w:val="73BB0F0C"/>
    <w:rsid w:val="73CB67D8"/>
    <w:rsid w:val="73CD1EF7"/>
    <w:rsid w:val="73DA16F0"/>
    <w:rsid w:val="73E123D8"/>
    <w:rsid w:val="73E13D0E"/>
    <w:rsid w:val="73E7745D"/>
    <w:rsid w:val="73EC1AA2"/>
    <w:rsid w:val="73F26870"/>
    <w:rsid w:val="73FE6554"/>
    <w:rsid w:val="740E41F9"/>
    <w:rsid w:val="741B0EB4"/>
    <w:rsid w:val="741B32B8"/>
    <w:rsid w:val="741C3268"/>
    <w:rsid w:val="74212243"/>
    <w:rsid w:val="7424045E"/>
    <w:rsid w:val="742C1313"/>
    <w:rsid w:val="74300B0C"/>
    <w:rsid w:val="7434641A"/>
    <w:rsid w:val="743B50B2"/>
    <w:rsid w:val="74406ECA"/>
    <w:rsid w:val="744924DF"/>
    <w:rsid w:val="744C3764"/>
    <w:rsid w:val="744E4297"/>
    <w:rsid w:val="74563C7D"/>
    <w:rsid w:val="745919DD"/>
    <w:rsid w:val="745C78D7"/>
    <w:rsid w:val="745D771F"/>
    <w:rsid w:val="74675EA7"/>
    <w:rsid w:val="746A7A17"/>
    <w:rsid w:val="7476433D"/>
    <w:rsid w:val="74786307"/>
    <w:rsid w:val="747A1221"/>
    <w:rsid w:val="74837BE5"/>
    <w:rsid w:val="748D1686"/>
    <w:rsid w:val="749253EC"/>
    <w:rsid w:val="749D28C5"/>
    <w:rsid w:val="749D7B1B"/>
    <w:rsid w:val="74B24552"/>
    <w:rsid w:val="74B5411B"/>
    <w:rsid w:val="74B80DF9"/>
    <w:rsid w:val="74CA6436"/>
    <w:rsid w:val="74D84FF7"/>
    <w:rsid w:val="74F64957"/>
    <w:rsid w:val="74FB2A94"/>
    <w:rsid w:val="74FF4332"/>
    <w:rsid w:val="75065344"/>
    <w:rsid w:val="75232716"/>
    <w:rsid w:val="75271ADB"/>
    <w:rsid w:val="7529740C"/>
    <w:rsid w:val="754333E7"/>
    <w:rsid w:val="755C79D6"/>
    <w:rsid w:val="756A5957"/>
    <w:rsid w:val="756B70C0"/>
    <w:rsid w:val="758B2F20"/>
    <w:rsid w:val="758F7329"/>
    <w:rsid w:val="75917BDC"/>
    <w:rsid w:val="75957353"/>
    <w:rsid w:val="75976C60"/>
    <w:rsid w:val="75994786"/>
    <w:rsid w:val="75AD3016"/>
    <w:rsid w:val="75AD415E"/>
    <w:rsid w:val="75B1519F"/>
    <w:rsid w:val="75B94E29"/>
    <w:rsid w:val="75C80BC8"/>
    <w:rsid w:val="75CC0E4F"/>
    <w:rsid w:val="75CE1F56"/>
    <w:rsid w:val="75D23D52"/>
    <w:rsid w:val="75D95287"/>
    <w:rsid w:val="75E06FDA"/>
    <w:rsid w:val="75E4177A"/>
    <w:rsid w:val="75E43B4B"/>
    <w:rsid w:val="75E677AB"/>
    <w:rsid w:val="75E875BB"/>
    <w:rsid w:val="75EC7EEC"/>
    <w:rsid w:val="75FA3EA5"/>
    <w:rsid w:val="76041D8F"/>
    <w:rsid w:val="760C30F5"/>
    <w:rsid w:val="7614205F"/>
    <w:rsid w:val="76162F90"/>
    <w:rsid w:val="76167FCC"/>
    <w:rsid w:val="762348A3"/>
    <w:rsid w:val="762A086A"/>
    <w:rsid w:val="762B1F05"/>
    <w:rsid w:val="763D2391"/>
    <w:rsid w:val="76426BCC"/>
    <w:rsid w:val="764654DA"/>
    <w:rsid w:val="76471112"/>
    <w:rsid w:val="764C63FC"/>
    <w:rsid w:val="76524935"/>
    <w:rsid w:val="765608C9"/>
    <w:rsid w:val="765669A3"/>
    <w:rsid w:val="76585061"/>
    <w:rsid w:val="76595CC1"/>
    <w:rsid w:val="766F30AC"/>
    <w:rsid w:val="766F3721"/>
    <w:rsid w:val="768410B2"/>
    <w:rsid w:val="768A1863"/>
    <w:rsid w:val="768B23BB"/>
    <w:rsid w:val="768C39E0"/>
    <w:rsid w:val="769767EC"/>
    <w:rsid w:val="769B7C72"/>
    <w:rsid w:val="769D4813"/>
    <w:rsid w:val="769E7B7B"/>
    <w:rsid w:val="76A458B6"/>
    <w:rsid w:val="76B2450E"/>
    <w:rsid w:val="76B50296"/>
    <w:rsid w:val="76C06227"/>
    <w:rsid w:val="76C23869"/>
    <w:rsid w:val="76C515AB"/>
    <w:rsid w:val="76C608A6"/>
    <w:rsid w:val="76CC0B8C"/>
    <w:rsid w:val="76D93890"/>
    <w:rsid w:val="76D966AC"/>
    <w:rsid w:val="76DF0CBB"/>
    <w:rsid w:val="76EE0731"/>
    <w:rsid w:val="76F263F7"/>
    <w:rsid w:val="76F42A03"/>
    <w:rsid w:val="77044E51"/>
    <w:rsid w:val="770912DA"/>
    <w:rsid w:val="7709679A"/>
    <w:rsid w:val="77201ABB"/>
    <w:rsid w:val="77204A34"/>
    <w:rsid w:val="772C1113"/>
    <w:rsid w:val="77333B9D"/>
    <w:rsid w:val="77372D5B"/>
    <w:rsid w:val="773A5AF5"/>
    <w:rsid w:val="77400C32"/>
    <w:rsid w:val="774F5233"/>
    <w:rsid w:val="77531794"/>
    <w:rsid w:val="775766A7"/>
    <w:rsid w:val="7758241F"/>
    <w:rsid w:val="775841CD"/>
    <w:rsid w:val="775B03FE"/>
    <w:rsid w:val="775C13BB"/>
    <w:rsid w:val="776E1C43"/>
    <w:rsid w:val="778536F0"/>
    <w:rsid w:val="778925D9"/>
    <w:rsid w:val="778F2B3B"/>
    <w:rsid w:val="77903967"/>
    <w:rsid w:val="77907953"/>
    <w:rsid w:val="77950F7E"/>
    <w:rsid w:val="779C4929"/>
    <w:rsid w:val="77A462BC"/>
    <w:rsid w:val="77A613DD"/>
    <w:rsid w:val="77AF64E3"/>
    <w:rsid w:val="77BE04D4"/>
    <w:rsid w:val="77C67389"/>
    <w:rsid w:val="77CA1BDB"/>
    <w:rsid w:val="77D11FA1"/>
    <w:rsid w:val="77D71454"/>
    <w:rsid w:val="77DB1819"/>
    <w:rsid w:val="77E617D9"/>
    <w:rsid w:val="77EF164B"/>
    <w:rsid w:val="77F5624C"/>
    <w:rsid w:val="77FC724F"/>
    <w:rsid w:val="77FF289B"/>
    <w:rsid w:val="78014865"/>
    <w:rsid w:val="78104AA8"/>
    <w:rsid w:val="78236589"/>
    <w:rsid w:val="7831514A"/>
    <w:rsid w:val="78373C81"/>
    <w:rsid w:val="784066B4"/>
    <w:rsid w:val="784A121D"/>
    <w:rsid w:val="784A1D68"/>
    <w:rsid w:val="78515B7F"/>
    <w:rsid w:val="785902C5"/>
    <w:rsid w:val="785A744C"/>
    <w:rsid w:val="7860158C"/>
    <w:rsid w:val="78623556"/>
    <w:rsid w:val="78686692"/>
    <w:rsid w:val="786D38E9"/>
    <w:rsid w:val="7871747F"/>
    <w:rsid w:val="78725FEB"/>
    <w:rsid w:val="787B4BF8"/>
    <w:rsid w:val="78852DA0"/>
    <w:rsid w:val="78866832"/>
    <w:rsid w:val="78A73706"/>
    <w:rsid w:val="78A8187D"/>
    <w:rsid w:val="78B673FD"/>
    <w:rsid w:val="78BB53B2"/>
    <w:rsid w:val="78CC11E9"/>
    <w:rsid w:val="78D26AA6"/>
    <w:rsid w:val="78D930EC"/>
    <w:rsid w:val="78D9582D"/>
    <w:rsid w:val="78DD2BDC"/>
    <w:rsid w:val="78F6302A"/>
    <w:rsid w:val="78F85C68"/>
    <w:rsid w:val="78FD6DDA"/>
    <w:rsid w:val="790E7239"/>
    <w:rsid w:val="791156D8"/>
    <w:rsid w:val="791954AD"/>
    <w:rsid w:val="79256331"/>
    <w:rsid w:val="79382508"/>
    <w:rsid w:val="79403C25"/>
    <w:rsid w:val="794979A7"/>
    <w:rsid w:val="795310F0"/>
    <w:rsid w:val="795F1843"/>
    <w:rsid w:val="79613412"/>
    <w:rsid w:val="7962409E"/>
    <w:rsid w:val="79722848"/>
    <w:rsid w:val="798175FA"/>
    <w:rsid w:val="798949BF"/>
    <w:rsid w:val="79905EA0"/>
    <w:rsid w:val="79915775"/>
    <w:rsid w:val="799E1514"/>
    <w:rsid w:val="799F0785"/>
    <w:rsid w:val="79C33D0C"/>
    <w:rsid w:val="79D42231"/>
    <w:rsid w:val="79D83DD5"/>
    <w:rsid w:val="79E166FC"/>
    <w:rsid w:val="79E45E91"/>
    <w:rsid w:val="79E93803"/>
    <w:rsid w:val="79F51C72"/>
    <w:rsid w:val="79F67096"/>
    <w:rsid w:val="7A0348C4"/>
    <w:rsid w:val="7A0D3B0F"/>
    <w:rsid w:val="7A0F3269"/>
    <w:rsid w:val="7A1E5250"/>
    <w:rsid w:val="7A28257D"/>
    <w:rsid w:val="7A2B6CBF"/>
    <w:rsid w:val="7A331710"/>
    <w:rsid w:val="7A3E3CA4"/>
    <w:rsid w:val="7A4D15E8"/>
    <w:rsid w:val="7A5073DE"/>
    <w:rsid w:val="7A5C3FD5"/>
    <w:rsid w:val="7A615E7E"/>
    <w:rsid w:val="7A684727"/>
    <w:rsid w:val="7A687671"/>
    <w:rsid w:val="7A6A0BEA"/>
    <w:rsid w:val="7A6A66F1"/>
    <w:rsid w:val="7A6C1D46"/>
    <w:rsid w:val="7A6E4011"/>
    <w:rsid w:val="7A714402"/>
    <w:rsid w:val="7A7535F0"/>
    <w:rsid w:val="7A7C1AD0"/>
    <w:rsid w:val="7A822A1F"/>
    <w:rsid w:val="7A8953D2"/>
    <w:rsid w:val="7A8C48BA"/>
    <w:rsid w:val="7A9C1B19"/>
    <w:rsid w:val="7AAA11E4"/>
    <w:rsid w:val="7ABA4357"/>
    <w:rsid w:val="7AC57DCC"/>
    <w:rsid w:val="7AC8166A"/>
    <w:rsid w:val="7ACF47A6"/>
    <w:rsid w:val="7AD26AC2"/>
    <w:rsid w:val="7AD31907"/>
    <w:rsid w:val="7AD63B65"/>
    <w:rsid w:val="7ADD5115"/>
    <w:rsid w:val="7ADF2C16"/>
    <w:rsid w:val="7AE70D64"/>
    <w:rsid w:val="7AF5507D"/>
    <w:rsid w:val="7B036ACB"/>
    <w:rsid w:val="7B095F0A"/>
    <w:rsid w:val="7B1242D4"/>
    <w:rsid w:val="7B187EFC"/>
    <w:rsid w:val="7B1B79EC"/>
    <w:rsid w:val="7B1E128A"/>
    <w:rsid w:val="7B22521E"/>
    <w:rsid w:val="7B242713"/>
    <w:rsid w:val="7B272834"/>
    <w:rsid w:val="7B2B12DE"/>
    <w:rsid w:val="7B313CEB"/>
    <w:rsid w:val="7B31720F"/>
    <w:rsid w:val="7B3E776B"/>
    <w:rsid w:val="7B5573A2"/>
    <w:rsid w:val="7B630A59"/>
    <w:rsid w:val="7B711D02"/>
    <w:rsid w:val="7B7F7F7B"/>
    <w:rsid w:val="7B880D6F"/>
    <w:rsid w:val="7BA479A7"/>
    <w:rsid w:val="7BBA7205"/>
    <w:rsid w:val="7BC2255D"/>
    <w:rsid w:val="7BC635B1"/>
    <w:rsid w:val="7BC63D37"/>
    <w:rsid w:val="7BD04C7A"/>
    <w:rsid w:val="7BD06A28"/>
    <w:rsid w:val="7BD65048"/>
    <w:rsid w:val="7BE424D4"/>
    <w:rsid w:val="7BF85F7F"/>
    <w:rsid w:val="7BFB1681"/>
    <w:rsid w:val="7BFF730D"/>
    <w:rsid w:val="7C037D98"/>
    <w:rsid w:val="7C083BD4"/>
    <w:rsid w:val="7C0B5CB2"/>
    <w:rsid w:val="7C0C5586"/>
    <w:rsid w:val="7C0E57A2"/>
    <w:rsid w:val="7C1423AB"/>
    <w:rsid w:val="7C1508DF"/>
    <w:rsid w:val="7C246D74"/>
    <w:rsid w:val="7C2A25DC"/>
    <w:rsid w:val="7C2E374F"/>
    <w:rsid w:val="7C30396B"/>
    <w:rsid w:val="7C345209"/>
    <w:rsid w:val="7C3570AE"/>
    <w:rsid w:val="7C3D4C98"/>
    <w:rsid w:val="7C3E1BE4"/>
    <w:rsid w:val="7C43369E"/>
    <w:rsid w:val="7C4714BB"/>
    <w:rsid w:val="7C636A4B"/>
    <w:rsid w:val="7C656CDF"/>
    <w:rsid w:val="7C683105"/>
    <w:rsid w:val="7C694787"/>
    <w:rsid w:val="7C6F0797"/>
    <w:rsid w:val="7C6F4493"/>
    <w:rsid w:val="7C7339D5"/>
    <w:rsid w:val="7C741AA9"/>
    <w:rsid w:val="7C7948B0"/>
    <w:rsid w:val="7C8415C1"/>
    <w:rsid w:val="7C926D12"/>
    <w:rsid w:val="7C975BED"/>
    <w:rsid w:val="7CB2612E"/>
    <w:rsid w:val="7CB84A5A"/>
    <w:rsid w:val="7CBB2E91"/>
    <w:rsid w:val="7CC3297F"/>
    <w:rsid w:val="7CC75B6C"/>
    <w:rsid w:val="7CD53BAA"/>
    <w:rsid w:val="7CDB38D7"/>
    <w:rsid w:val="7CDE5175"/>
    <w:rsid w:val="7CE03507"/>
    <w:rsid w:val="7CE46DDC"/>
    <w:rsid w:val="7CE56503"/>
    <w:rsid w:val="7CF06642"/>
    <w:rsid w:val="7CF44998"/>
    <w:rsid w:val="7D0A5F6A"/>
    <w:rsid w:val="7D0D0224"/>
    <w:rsid w:val="7D1B4B7B"/>
    <w:rsid w:val="7D23285A"/>
    <w:rsid w:val="7D272678"/>
    <w:rsid w:val="7D2D7B75"/>
    <w:rsid w:val="7D311F8A"/>
    <w:rsid w:val="7D3A098C"/>
    <w:rsid w:val="7D3A3873"/>
    <w:rsid w:val="7D3C2C2C"/>
    <w:rsid w:val="7D3D633F"/>
    <w:rsid w:val="7D435E10"/>
    <w:rsid w:val="7D452778"/>
    <w:rsid w:val="7D592A4D"/>
    <w:rsid w:val="7D621000"/>
    <w:rsid w:val="7D6B47EE"/>
    <w:rsid w:val="7D6F7FC0"/>
    <w:rsid w:val="7D760836"/>
    <w:rsid w:val="7D8201F6"/>
    <w:rsid w:val="7D831878"/>
    <w:rsid w:val="7D880E1F"/>
    <w:rsid w:val="7D91229B"/>
    <w:rsid w:val="7D92659D"/>
    <w:rsid w:val="7D965A4F"/>
    <w:rsid w:val="7D9B5235"/>
    <w:rsid w:val="7D9F2B56"/>
    <w:rsid w:val="7DA0242A"/>
    <w:rsid w:val="7DB4751F"/>
    <w:rsid w:val="7DB83C18"/>
    <w:rsid w:val="7DBF4FA6"/>
    <w:rsid w:val="7DC720AD"/>
    <w:rsid w:val="7DC75C09"/>
    <w:rsid w:val="7DC83348"/>
    <w:rsid w:val="7DD02D0F"/>
    <w:rsid w:val="7DD12077"/>
    <w:rsid w:val="7DDB3462"/>
    <w:rsid w:val="7DDD367E"/>
    <w:rsid w:val="7DE762AB"/>
    <w:rsid w:val="7E002EC9"/>
    <w:rsid w:val="7E0871BD"/>
    <w:rsid w:val="7E1B76A8"/>
    <w:rsid w:val="7E3413DD"/>
    <w:rsid w:val="7E3F0504"/>
    <w:rsid w:val="7E485356"/>
    <w:rsid w:val="7E486797"/>
    <w:rsid w:val="7E4C4331"/>
    <w:rsid w:val="7E4F4523"/>
    <w:rsid w:val="7E5F5E41"/>
    <w:rsid w:val="7E643626"/>
    <w:rsid w:val="7E67038F"/>
    <w:rsid w:val="7E6873EC"/>
    <w:rsid w:val="7E6A3164"/>
    <w:rsid w:val="7E7017D2"/>
    <w:rsid w:val="7E7933A7"/>
    <w:rsid w:val="7E7B3547"/>
    <w:rsid w:val="7E7D056B"/>
    <w:rsid w:val="7E7F0292"/>
    <w:rsid w:val="7E837D82"/>
    <w:rsid w:val="7E8533C8"/>
    <w:rsid w:val="7E894815"/>
    <w:rsid w:val="7E8E6727"/>
    <w:rsid w:val="7EAB3AA1"/>
    <w:rsid w:val="7EB10D93"/>
    <w:rsid w:val="7EBE18D5"/>
    <w:rsid w:val="7EC14D4E"/>
    <w:rsid w:val="7EC565EC"/>
    <w:rsid w:val="7EC81C39"/>
    <w:rsid w:val="7EC87E8B"/>
    <w:rsid w:val="7ECD54A1"/>
    <w:rsid w:val="7ED14F91"/>
    <w:rsid w:val="7ED317FE"/>
    <w:rsid w:val="7EDC644C"/>
    <w:rsid w:val="7EE2719E"/>
    <w:rsid w:val="7EEA7E01"/>
    <w:rsid w:val="7EF06AC9"/>
    <w:rsid w:val="7EF2006A"/>
    <w:rsid w:val="7F006A40"/>
    <w:rsid w:val="7F073AE9"/>
    <w:rsid w:val="7F08472B"/>
    <w:rsid w:val="7F0A3FFF"/>
    <w:rsid w:val="7F131848"/>
    <w:rsid w:val="7F192494"/>
    <w:rsid w:val="7F1A58FA"/>
    <w:rsid w:val="7F1C0902"/>
    <w:rsid w:val="7F1C369E"/>
    <w:rsid w:val="7F1E5CFC"/>
    <w:rsid w:val="7F201667"/>
    <w:rsid w:val="7F21759B"/>
    <w:rsid w:val="7F2A512D"/>
    <w:rsid w:val="7F3217A8"/>
    <w:rsid w:val="7F33724E"/>
    <w:rsid w:val="7F356C56"/>
    <w:rsid w:val="7F395683"/>
    <w:rsid w:val="7F4305FB"/>
    <w:rsid w:val="7F4B0CA8"/>
    <w:rsid w:val="7F4E797C"/>
    <w:rsid w:val="7F506192"/>
    <w:rsid w:val="7F544253"/>
    <w:rsid w:val="7F590AE3"/>
    <w:rsid w:val="7F5E4E55"/>
    <w:rsid w:val="7F6741BD"/>
    <w:rsid w:val="7F736048"/>
    <w:rsid w:val="7F7B6CAB"/>
    <w:rsid w:val="7F806B50"/>
    <w:rsid w:val="7F8503AD"/>
    <w:rsid w:val="7F914720"/>
    <w:rsid w:val="7F98785D"/>
    <w:rsid w:val="7F9F0062"/>
    <w:rsid w:val="7F9F7AC7"/>
    <w:rsid w:val="7FA02BB5"/>
    <w:rsid w:val="7FA12856"/>
    <w:rsid w:val="7FA206DC"/>
    <w:rsid w:val="7FAA57E2"/>
    <w:rsid w:val="7FAE0E2E"/>
    <w:rsid w:val="7FB66DFD"/>
    <w:rsid w:val="7FC20D7E"/>
    <w:rsid w:val="7FC60DD5"/>
    <w:rsid w:val="7FCA19E0"/>
    <w:rsid w:val="7FD840FD"/>
    <w:rsid w:val="7FE304BD"/>
    <w:rsid w:val="7FE45B22"/>
    <w:rsid w:val="7FE5681A"/>
    <w:rsid w:val="7FF16F6D"/>
    <w:rsid w:val="7FF33CA2"/>
    <w:rsid w:val="7FF57BC1"/>
    <w:rsid w:val="7FFB075B"/>
    <w:rsid w:val="7FFF78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4">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5">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6">
    <w:name w:val="annotation text"/>
    <w:basedOn w:val="1"/>
    <w:qFormat/>
    <w:uiPriority w:val="0"/>
    <w:pPr>
      <w:jc w:val="left"/>
    </w:pPr>
  </w:style>
  <w:style w:type="paragraph" w:styleId="7">
    <w:name w:val="Body Text"/>
    <w:basedOn w:val="1"/>
    <w:next w:val="8"/>
    <w:unhideWhenUsed/>
    <w:qFormat/>
    <w:uiPriority w:val="99"/>
    <w:pPr>
      <w:spacing w:after="120"/>
    </w:pPr>
  </w:style>
  <w:style w:type="paragraph" w:styleId="8">
    <w:name w:val="Body Text First Indent"/>
    <w:basedOn w:val="7"/>
    <w:qFormat/>
    <w:uiPriority w:val="0"/>
    <w:pPr>
      <w:autoSpaceDE w:val="0"/>
      <w:autoSpaceDN w:val="0"/>
      <w:ind w:firstLine="420"/>
      <w:jc w:val="left"/>
    </w:pPr>
    <w:rPr>
      <w:rFonts w:ascii="宋体" w:hAnsi="宋体" w:cs="宋体"/>
      <w:kern w:val="0"/>
      <w:sz w:val="32"/>
      <w:szCs w:val="32"/>
      <w:lang w:eastAsia="en-US"/>
    </w:rPr>
  </w:style>
  <w:style w:type="paragraph" w:styleId="9">
    <w:name w:val="Body Text Indent"/>
    <w:basedOn w:val="1"/>
    <w:link w:val="27"/>
    <w:qFormat/>
    <w:uiPriority w:val="0"/>
    <w:pPr>
      <w:ind w:firstLine="315"/>
    </w:pPr>
    <w:rPr>
      <w:sz w:val="24"/>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pPr>
      <w:spacing w:line="600" w:lineRule="exact"/>
      <w:ind w:firstLine="641"/>
    </w:pPr>
    <w:rPr>
      <w:rFonts w:eastAsia="方正仿宋简体"/>
      <w:bCs/>
      <w:kern w:val="44"/>
      <w:sz w:val="32"/>
    </w:rPr>
  </w:style>
  <w:style w:type="paragraph" w:styleId="13">
    <w:name w:val="footnote text"/>
    <w:basedOn w:val="1"/>
    <w:qFormat/>
    <w:uiPriority w:val="0"/>
    <w:pPr>
      <w:snapToGrid w:val="0"/>
      <w:jc w:val="left"/>
    </w:pPr>
    <w:rPr>
      <w:sz w:val="18"/>
    </w:rPr>
  </w:style>
  <w:style w:type="paragraph" w:styleId="14">
    <w:name w:val="toc 6"/>
    <w:basedOn w:val="1"/>
    <w:next w:val="1"/>
    <w:qFormat/>
    <w:uiPriority w:val="0"/>
    <w:pPr>
      <w:wordWrap w:val="0"/>
      <w:ind w:left="1700"/>
    </w:pPr>
    <w:rPr>
      <w:rFonts w:ascii="Calibri" w:hAnsi="Calibri" w:eastAsia="宋体" w:cs="Times New Roman"/>
    </w:rPr>
  </w:style>
  <w:style w:type="paragraph" w:styleId="15">
    <w:name w:val="Normal (Web)"/>
    <w:basedOn w:val="1"/>
    <w:qFormat/>
    <w:uiPriority w:val="0"/>
    <w:pPr>
      <w:spacing w:beforeAutospacing="1" w:afterAutospacing="1"/>
      <w:jc w:val="left"/>
    </w:pPr>
    <w:rPr>
      <w:rFonts w:cs="Times New Roman"/>
      <w:kern w:val="0"/>
      <w:sz w:val="24"/>
    </w:rPr>
  </w:style>
  <w:style w:type="paragraph" w:styleId="16">
    <w:name w:val="Body Text First Indent 2"/>
    <w:basedOn w:val="9"/>
    <w:next w:val="1"/>
    <w:unhideWhenUsed/>
    <w:qFormat/>
    <w:uiPriority w:val="99"/>
    <w:pPr>
      <w:ind w:firstLine="42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qFormat/>
    <w:uiPriority w:val="0"/>
    <w:rPr>
      <w:color w:val="0000FF"/>
      <w:u w:val="single"/>
    </w:rPr>
  </w:style>
  <w:style w:type="character" w:styleId="21">
    <w:name w:val="footnote reference"/>
    <w:basedOn w:val="19"/>
    <w:qFormat/>
    <w:uiPriority w:val="0"/>
    <w:rPr>
      <w:vertAlign w:val="superscript"/>
    </w:rPr>
  </w:style>
  <w:style w:type="character" w:customStyle="1" w:styleId="22">
    <w:name w:val="text_he1"/>
    <w:basedOn w:val="19"/>
    <w:qFormat/>
    <w:uiPriority w:val="0"/>
    <w:rPr>
      <w:sz w:val="24"/>
      <w:szCs w:val="24"/>
    </w:rPr>
  </w:style>
  <w:style w:type="character" w:customStyle="1" w:styleId="23">
    <w:name w:val="font41"/>
    <w:basedOn w:val="19"/>
    <w:qFormat/>
    <w:uiPriority w:val="0"/>
    <w:rPr>
      <w:rFonts w:hint="eastAsia" w:ascii="仿宋" w:hAnsi="仿宋" w:eastAsia="仿宋" w:cs="仿宋"/>
      <w:color w:val="000000"/>
      <w:sz w:val="16"/>
      <w:szCs w:val="16"/>
      <w:u w:val="none"/>
    </w:rPr>
  </w:style>
  <w:style w:type="character" w:customStyle="1" w:styleId="24">
    <w:name w:val="font11"/>
    <w:basedOn w:val="19"/>
    <w:qFormat/>
    <w:uiPriority w:val="0"/>
    <w:rPr>
      <w:rFonts w:hint="eastAsia" w:ascii="仿宋" w:hAnsi="仿宋" w:eastAsia="仿宋" w:cs="仿宋"/>
      <w:color w:val="000000"/>
      <w:sz w:val="24"/>
      <w:szCs w:val="24"/>
      <w:u w:val="none"/>
    </w:rPr>
  </w:style>
  <w:style w:type="paragraph" w:styleId="25">
    <w:name w:val="List Paragraph"/>
    <w:basedOn w:val="1"/>
    <w:unhideWhenUsed/>
    <w:qFormat/>
    <w:uiPriority w:val="99"/>
    <w:pPr>
      <w:ind w:firstLine="420" w:firstLineChars="200"/>
    </w:pPr>
  </w:style>
  <w:style w:type="paragraph" w:styleId="26">
    <w:name w:val="No Spacing"/>
    <w:qFormat/>
    <w:uiPriority w:val="1"/>
    <w:pPr>
      <w:widowControl w:val="0"/>
      <w:spacing w:line="540" w:lineRule="exact"/>
      <w:jc w:val="both"/>
    </w:pPr>
    <w:rPr>
      <w:rFonts w:ascii="Calibri" w:hAnsi="Calibri" w:eastAsia="宋体" w:cs="Times New Roman"/>
      <w:kern w:val="2"/>
      <w:sz w:val="21"/>
      <w:szCs w:val="22"/>
      <w:lang w:val="en-US" w:eastAsia="zh-CN" w:bidi="ar-SA"/>
    </w:rPr>
  </w:style>
  <w:style w:type="character" w:customStyle="1" w:styleId="27">
    <w:name w:val="正文文本缩进 Char"/>
    <w:link w:val="9"/>
    <w:qFormat/>
    <w:uiPriority w:val="0"/>
    <w:rPr>
      <w:sz w:val="24"/>
      <w:szCs w:val="20"/>
    </w:rPr>
  </w:style>
  <w:style w:type="paragraph" w:customStyle="1" w:styleId="28">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18</Pages>
  <Words>7757</Words>
  <Characters>8719</Characters>
  <Lines>79</Lines>
  <Paragraphs>22</Paragraphs>
  <TotalTime>93</TotalTime>
  <ScaleCrop>false</ScaleCrop>
  <LinksUpToDate>false</LinksUpToDate>
  <CharactersWithSpaces>8928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2022-06-21T01:29:00Z</dcterms:created>
  <dc:creator>何何</dc:creator>
  <cp:lastModifiedBy>WPS_1080789079</cp:lastModifiedBy>
  <cp:lastPrinted>2025-12-02T09:53:00Z</cp:lastPrinted>
  <dcterms:modified xsi:type="dcterms:W3CDTF">2025-12-05T02:49:24Z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FEB82F3D1AD0441CBE5E3D14957C61CF_13</vt:lpwstr>
  </property>
  <property fmtid="{D5CDD505-2E9C-101B-9397-08002B2CF9AE}" pid="4" name="KSOTemplateDocerSaveRecord">
    <vt:lpwstr>eyJoZGlkIjoiMjk3ZmNhYjMxNTRhYmJmODgwZjhlYWUwZjRkODljYmYiLCJ1c2VySWQiOiIxMDgwNzg5MDc5In0=</vt:lpwstr>
  </property>
</Properties>
</file>