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8B962">
      <w:pPr>
        <w:adjustRightInd/>
        <w:snapToGrid/>
        <w:spacing w:after="0"/>
        <w:jc w:val="center"/>
        <w:rPr>
          <w:rFonts w:hint="eastAsia" w:ascii="微软雅黑" w:hAnsi="微软雅黑" w:eastAsia="宋体" w:cs="宋体"/>
          <w:b/>
          <w:bCs/>
          <w:color w:val="0B1216"/>
          <w:sz w:val="36"/>
          <w:szCs w:val="36"/>
        </w:rPr>
      </w:pPr>
      <w:bookmarkStart w:id="0" w:name="_GoBack"/>
      <w:r>
        <w:rPr>
          <w:rFonts w:ascii="微软雅黑" w:hAnsi="微软雅黑" w:eastAsia="宋体" w:cs="宋体"/>
          <w:b/>
          <w:bCs/>
          <w:color w:val="0B1216"/>
          <w:sz w:val="36"/>
          <w:szCs w:val="36"/>
        </w:rPr>
        <w:t>益阳市政务中心201</w:t>
      </w:r>
      <w:r>
        <w:rPr>
          <w:rFonts w:hint="eastAsia" w:ascii="微软雅黑" w:hAnsi="微软雅黑" w:eastAsia="宋体" w:cs="宋体"/>
          <w:b/>
          <w:bCs/>
          <w:color w:val="0B1216"/>
          <w:sz w:val="36"/>
          <w:szCs w:val="36"/>
        </w:rPr>
        <w:t>8</w:t>
      </w:r>
      <w:r>
        <w:rPr>
          <w:rFonts w:ascii="微软雅黑" w:hAnsi="微软雅黑" w:eastAsia="宋体" w:cs="宋体"/>
          <w:b/>
          <w:bCs/>
          <w:color w:val="0B1216"/>
          <w:sz w:val="36"/>
          <w:szCs w:val="36"/>
        </w:rPr>
        <w:t>年部门整体支出绩效评价报告</w:t>
      </w:r>
      <w:bookmarkEnd w:id="0"/>
    </w:p>
    <w:p w14:paraId="51132F99">
      <w:pPr>
        <w:adjustRightInd/>
        <w:snapToGrid/>
        <w:spacing w:after="0"/>
        <w:ind w:firstLine="480"/>
        <w:jc w:val="both"/>
        <w:rPr>
          <w:rFonts w:ascii="宋体" w:hAnsi="宋体" w:eastAsia="宋体" w:cs="宋体"/>
          <w:color w:val="062D3C"/>
          <w:sz w:val="24"/>
          <w:szCs w:val="24"/>
        </w:rPr>
      </w:pPr>
    </w:p>
    <w:p w14:paraId="5487A7D9">
      <w:pPr>
        <w:adjustRightInd/>
        <w:snapToGrid/>
        <w:spacing w:after="0"/>
        <w:ind w:firstLine="480"/>
        <w:jc w:val="both"/>
        <w:rPr>
          <w:rFonts w:ascii="宋体" w:hAnsi="宋体" w:eastAsia="宋体" w:cs="宋体"/>
          <w:color w:val="062D3C"/>
          <w:sz w:val="24"/>
          <w:szCs w:val="24"/>
        </w:rPr>
      </w:pPr>
    </w:p>
    <w:p w14:paraId="1ECC4EC7">
      <w:pPr>
        <w:adjustRightInd/>
        <w:snapToGrid/>
        <w:spacing w:after="0" w:line="400" w:lineRule="exact"/>
        <w:ind w:firstLine="480"/>
        <w:jc w:val="both"/>
        <w:rPr>
          <w:rFonts w:cs="宋体" w:asciiTheme="minorEastAsia" w:hAnsiTheme="minorEastAsia" w:eastAsiaTheme="minorEastAsia"/>
          <w:color w:val="062D3C"/>
          <w:sz w:val="24"/>
          <w:szCs w:val="24"/>
        </w:rPr>
      </w:pPr>
      <w:r>
        <w:rPr>
          <w:rFonts w:cs="宋体" w:asciiTheme="minorEastAsia" w:hAnsiTheme="minorEastAsia" w:eastAsiaTheme="minorEastAsia"/>
          <w:color w:val="062D3C"/>
          <w:sz w:val="24"/>
          <w:szCs w:val="24"/>
        </w:rPr>
        <w:t>根据根据湖南省人民政府《关于全面推进预算绩效管理的意见》（湘政发 [2012]33号）和《湖南省预算绩效管理工作规程（试行）》湘财绩[2013]28号）的要求，</w:t>
      </w:r>
      <w:r>
        <w:rPr>
          <w:rFonts w:hint="eastAsia" w:cs="宋体" w:asciiTheme="minorEastAsia" w:hAnsiTheme="minorEastAsia" w:eastAsiaTheme="minorEastAsia"/>
          <w:color w:val="062D3C"/>
          <w:sz w:val="24"/>
          <w:szCs w:val="24"/>
        </w:rPr>
        <w:t>我中心对2018年度部门整体支出进行了全面综合评价，现将有关情况报告如下：</w:t>
      </w:r>
    </w:p>
    <w:p w14:paraId="2C139DA4">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一、基本情况</w:t>
      </w:r>
    </w:p>
    <w:p w14:paraId="6C2124F4">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我中心为参照公务员管理的全额拨款事业单位。</w:t>
      </w:r>
    </w:p>
    <w:p w14:paraId="1B2D007B">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（一）部门整体支出概况</w:t>
      </w:r>
    </w:p>
    <w:p w14:paraId="4BF6F6D6">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2018年部门决算收支情况:</w:t>
      </w:r>
    </w:p>
    <w:p w14:paraId="3AFAE432">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1.收入：1009.84万元，全部为一般财政拨款。</w:t>
      </w:r>
    </w:p>
    <w:p w14:paraId="73341F87">
      <w:pPr>
        <w:adjustRightInd/>
        <w:snapToGrid/>
        <w:spacing w:after="0" w:line="400" w:lineRule="exact"/>
        <w:ind w:firstLine="482"/>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2.支出：879.98万元，其中：一般公共服务支出775.74万元，主要用于行政审批、人员工资、日常运转以及为完成财政特定行政工作任务等；社会保障和就业支出30.89万元；医疗卫生与计划生育支出15.45万元，主要用于按照规定标准为职工缴纳的基本医疗保险及公务员医疗补助等支出；住房保障支出18.54万元，主要用于按照规定标准为职工缴纳住房公积金支出。</w:t>
      </w:r>
      <w:r>
        <w:rPr>
          <w:rFonts w:cs="宋体" w:asciiTheme="minorEastAsia" w:hAnsiTheme="minorEastAsia" w:eastAsiaTheme="minorEastAsia"/>
          <w:color w:val="062D3C"/>
          <w:sz w:val="24"/>
          <w:szCs w:val="24"/>
        </w:rPr>
        <w:t>文化体育和传媒支出33.71万元</w:t>
      </w:r>
      <w:r>
        <w:rPr>
          <w:rFonts w:hint="eastAsia" w:cs="宋体" w:asciiTheme="minorEastAsia" w:hAnsiTheme="minorEastAsia" w:eastAsiaTheme="minorEastAsia"/>
          <w:color w:val="062D3C"/>
          <w:sz w:val="24"/>
          <w:szCs w:val="24"/>
        </w:rPr>
        <w:t>,主要用于行政审批、财政特定行政工作任务</w:t>
      </w:r>
    </w:p>
    <w:p w14:paraId="019FA7E9">
      <w:pPr>
        <w:adjustRightInd/>
        <w:snapToGrid/>
        <w:spacing w:after="0" w:line="400" w:lineRule="exact"/>
        <w:ind w:firstLine="482"/>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年初结转和结余18.84万元，全年收入决算数为1009.84万元；全年支出决算数为879.98万元，用事业基金弥补收支差额5.65万元，年末结转和结余154.35万元，全年收支平衡。</w:t>
      </w:r>
    </w:p>
    <w:p w14:paraId="35A46D03">
      <w:pPr>
        <w:adjustRightInd/>
        <w:snapToGrid/>
        <w:spacing w:after="0" w:line="400" w:lineRule="exact"/>
        <w:ind w:firstLine="482"/>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（二）部门整体支出绩效目标</w:t>
      </w:r>
    </w:p>
    <w:p w14:paraId="178954F0">
      <w:pPr>
        <w:adjustRightInd/>
        <w:snapToGrid/>
        <w:spacing w:after="0" w:line="400" w:lineRule="exact"/>
        <w:ind w:firstLine="482"/>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预决算公开：2018年，按照财政局的统一要求，部门预算在中心门户网站上公开，决算由财政局网站统一公开，中心还在门户网站上对《2017年度部门整体支出绩效评价报告》进行了公开。</w:t>
      </w:r>
    </w:p>
    <w:p w14:paraId="1823BE15">
      <w:pPr>
        <w:adjustRightInd/>
        <w:snapToGrid/>
        <w:spacing w:after="0" w:line="400" w:lineRule="exact"/>
        <w:ind w:firstLine="482"/>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资产管理：中心进一步加强资产管理，按照《益阳市政务中心资产管理制度》，明确了具体责任科室和责任人，定期开展固定资产清查，定期对报废资产进行处置、完善固定资产台账，做好资产统计工作，单位无任何资产流失现象。</w:t>
      </w:r>
    </w:p>
    <w:p w14:paraId="50F10153">
      <w:pPr>
        <w:shd w:val="clear" w:color="auto" w:fill="FFFFFF"/>
        <w:adjustRightInd/>
        <w:snapToGrid/>
        <w:spacing w:after="0" w:line="400" w:lineRule="exact"/>
        <w:ind w:firstLine="600" w:firstLineChars="250"/>
        <w:contextualSpacing/>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三公经费控制：贯彻落实上级有关精神，遵照益阳市市直机关公务支出制度，严格控制“三公”经费支出，取得了良好的成效。</w:t>
      </w:r>
      <w:r>
        <w:rPr>
          <w:rFonts w:cs="宋体" w:asciiTheme="minorEastAsia" w:hAnsiTheme="minorEastAsia" w:eastAsiaTheme="minorEastAsia"/>
          <w:color w:val="062D3C"/>
          <w:sz w:val="24"/>
          <w:szCs w:val="24"/>
        </w:rPr>
        <w:t>2018 年度“三公”经费财政拨款支出预算为10.86万元，支出决算为2.4万元，完成预算的22.1%，其中：</w:t>
      </w:r>
      <w:r>
        <w:rPr>
          <w:rFonts w:hint="eastAsia" w:cs="宋体" w:asciiTheme="minorEastAsia" w:hAnsiTheme="minorEastAsia" w:eastAsiaTheme="minorEastAsia"/>
          <w:color w:val="062D3C"/>
          <w:sz w:val="24"/>
          <w:szCs w:val="24"/>
        </w:rPr>
        <w:t>因公出国（境）费支出决算0万元；</w:t>
      </w:r>
      <w:r>
        <w:rPr>
          <w:rFonts w:cs="宋体" w:asciiTheme="minorEastAsia" w:hAnsiTheme="minorEastAsia" w:eastAsiaTheme="minorEastAsia"/>
          <w:color w:val="062D3C"/>
          <w:sz w:val="24"/>
          <w:szCs w:val="24"/>
        </w:rPr>
        <w:t>公务用车购置及运行费支出决算为1.63万元， 完成预算的23.28%；公务接待费支出决算为0.77万元，完成预算的19.95%。2018年度“三公”经费支出决算数小于预算数的主要原因：认真贯彻落实中央八项规定和省委市委的“规定办法”精神和厉行节约要求，进一步从严控制“三公”经费开支，全年实际支出</w:t>
      </w:r>
      <w:r>
        <w:rPr>
          <w:rFonts w:hint="eastAsia" w:cs="宋体" w:asciiTheme="minorEastAsia" w:hAnsiTheme="minorEastAsia" w:eastAsiaTheme="minorEastAsia"/>
          <w:color w:val="062D3C"/>
          <w:sz w:val="24"/>
          <w:szCs w:val="24"/>
        </w:rPr>
        <w:t>较</w:t>
      </w:r>
      <w:r>
        <w:rPr>
          <w:rFonts w:cs="宋体" w:asciiTheme="minorEastAsia" w:hAnsiTheme="minorEastAsia" w:eastAsiaTheme="minorEastAsia"/>
          <w:color w:val="062D3C"/>
          <w:sz w:val="24"/>
          <w:szCs w:val="24"/>
        </w:rPr>
        <w:t>预算</w:t>
      </w:r>
      <w:r>
        <w:rPr>
          <w:rFonts w:hint="eastAsia" w:cs="宋体" w:asciiTheme="minorEastAsia" w:hAnsiTheme="minorEastAsia" w:eastAsiaTheme="minorEastAsia"/>
          <w:color w:val="062D3C"/>
          <w:sz w:val="24"/>
          <w:szCs w:val="24"/>
        </w:rPr>
        <w:t>大幅减少</w:t>
      </w:r>
      <w:r>
        <w:rPr>
          <w:rFonts w:cs="宋体" w:asciiTheme="minorEastAsia" w:hAnsiTheme="minorEastAsia" w:eastAsiaTheme="minorEastAsia"/>
          <w:color w:val="062D3C"/>
          <w:sz w:val="24"/>
          <w:szCs w:val="24"/>
        </w:rPr>
        <w:t>。</w:t>
      </w:r>
      <w:r>
        <w:rPr>
          <w:rFonts w:hint="eastAsia" w:cs="宋体" w:asciiTheme="minorEastAsia" w:hAnsiTheme="minorEastAsia" w:eastAsiaTheme="minorEastAsia"/>
          <w:color w:val="062D3C"/>
          <w:sz w:val="24"/>
          <w:szCs w:val="24"/>
        </w:rPr>
        <w:t>。</w:t>
      </w:r>
    </w:p>
    <w:p w14:paraId="46E472DE">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内部管理制度建设情况：近年来，中心制定了《益阳市政务中心管理制度汇编》、《窗口工作人员绩效考核奖励资金管理办法》、《益阳市政务中心财务内部监督暂行办法》、《益阳市政务中心食堂管理办法》等一系列内部管理制度，上述制度、办法基本得到有效执行。</w:t>
      </w:r>
    </w:p>
    <w:p w14:paraId="238239CF">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二、绩效评价工作情况</w:t>
      </w:r>
    </w:p>
    <w:p w14:paraId="2AB615E3">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（一）绩效评价目的</w:t>
      </w:r>
    </w:p>
    <w:p w14:paraId="4F854781">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此次绩效评价的目的是：严格落实《预算法》及省、市绩效管理工作的有关规定，进一步规范财政资金的管理，牢固树立预算绩效理念，强化部门支出责任，提高财政资金使用效益，促进全市政务公开、政务服务工作的发展。</w:t>
      </w:r>
    </w:p>
    <w:p w14:paraId="3E4244D6">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（二）绩效评价的主要过程</w:t>
      </w:r>
    </w:p>
    <w:p w14:paraId="3AA71670">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根据绩效评价的要求，我们成立了自评工作领导小组，对照自评方案进行研究和部署，分管领导及相关科室全程参与，按照自评方案的要求，对照各实施项目的内容逐条逐项自评。在自评过程发现问题，查找原因，及时纠正偏差，为下一步工作夯实基础。</w:t>
      </w:r>
    </w:p>
    <w:p w14:paraId="65A72672">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三、主要绩效及评价结论</w:t>
      </w:r>
    </w:p>
    <w:p w14:paraId="0E55B5AC">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（一）经济性评价</w:t>
      </w:r>
    </w:p>
    <w:p w14:paraId="51B7433C">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本年预算安排控制较好，财政供养人员、编制内在职人员控制在预算编制以内；预算执行方面，支出总额控制在预算总额以内；本年无转移资金支付，不存在截留或滞留专项资金情况。</w:t>
      </w:r>
    </w:p>
    <w:p w14:paraId="34C5238D">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（二）效率性评价</w:t>
      </w:r>
    </w:p>
    <w:p w14:paraId="4DA95BD2">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强化部门整体支出，加强国有资产管理，提高资金使用效益，提升财务管理，建立节约型机关，我中心在强化业务管理、财务管理和厉行节约方面开展了大量工作，效率提升显著：</w:t>
      </w:r>
    </w:p>
    <w:p w14:paraId="2649AF92">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1、在原有相对健全的财务管理制度基础上，适时地、针对性的进行了相关制度的增补，制度的建立更为完善；</w:t>
      </w:r>
    </w:p>
    <w:p w14:paraId="59E99963">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2、重视制度的学习和宣讲工作，组织机关人员学习中央、湖南省人民政府下发的《党政机关厉行节约反对浪费条例》、《关于厉行节约反对浪费的实施意见》等一系列文件精神，并结合“两学一做”学习教育的开展，将厉行节约反对浪费教育作为机关作风建设的重要内容，极大强化了机关厉行节约管理意识；</w:t>
      </w:r>
    </w:p>
    <w:p w14:paraId="512555EA">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3、严格执行了国库集中支付、公务卡结算制度、政府采购等有关规定，政府采购目录内的货物与服务全部按要求实施了政府采购，确保了支出管理流程、审批手续的完整。</w:t>
      </w:r>
    </w:p>
    <w:p w14:paraId="12A33C67">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（三）社会效益评价</w:t>
      </w:r>
    </w:p>
    <w:p w14:paraId="05C28DBF">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2018年，在市委、市政府的正确领导下，市政务中心认真贯彻落实中央、省、市的重大决策部署，努力践行“依法、公开、便民、高效、廉洁”的服务宗旨，进一步深化行政审批制度和“放管服”改革，着力推进政务公开和“互联网+政务服务”工作，不断创新政务服务，为“五个益阳”建设营造优质高效的政务服务环境，并因此连续三年荣获全省政务公开政务服务工作先进单位。</w:t>
      </w:r>
    </w:p>
    <w:p w14:paraId="573F542A">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四、存在的主要问题</w:t>
      </w:r>
    </w:p>
    <w:p w14:paraId="39C46005">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房租支付不够及时，没有按照绩效管理按月或按季度支付，主要原因是房东没能及时提供房租发票。</w:t>
      </w:r>
    </w:p>
    <w:p w14:paraId="09904F63">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五、有关建议</w:t>
      </w:r>
    </w:p>
    <w:p w14:paraId="44A29206">
      <w:pPr>
        <w:adjustRightInd/>
        <w:snapToGrid/>
        <w:spacing w:after="0" w:line="400" w:lineRule="exact"/>
        <w:ind w:firstLine="480"/>
        <w:jc w:val="both"/>
        <w:rPr>
          <w:rFonts w:cs="宋体" w:asciiTheme="minorEastAsia" w:hAnsiTheme="minorEastAsia" w:eastAsiaTheme="minorEastAsia"/>
          <w:color w:val="062D3C"/>
          <w:sz w:val="24"/>
          <w:szCs w:val="24"/>
        </w:rPr>
      </w:pPr>
      <w:r>
        <w:rPr>
          <w:rFonts w:hint="eastAsia" w:cs="宋体" w:asciiTheme="minorEastAsia" w:hAnsiTheme="minorEastAsia" w:eastAsiaTheme="minorEastAsia"/>
          <w:color w:val="062D3C"/>
          <w:sz w:val="24"/>
          <w:szCs w:val="24"/>
        </w:rPr>
        <w:t>根据工资收入的增加每年相应提高养老保险、医保、公积金等的预算拨付。</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YWY5Y2MxYTI0MDdjMDcyMGU4OTY0YzhiZGZhYzcifQ=="/>
  </w:docVars>
  <w:rsids>
    <w:rsidRoot w:val="00D31D50"/>
    <w:rsid w:val="00133E8E"/>
    <w:rsid w:val="001722C5"/>
    <w:rsid w:val="001D79CC"/>
    <w:rsid w:val="002F3EAF"/>
    <w:rsid w:val="00323B43"/>
    <w:rsid w:val="003D37D8"/>
    <w:rsid w:val="00426133"/>
    <w:rsid w:val="004358AB"/>
    <w:rsid w:val="008B7726"/>
    <w:rsid w:val="00926A02"/>
    <w:rsid w:val="00942A72"/>
    <w:rsid w:val="00A32311"/>
    <w:rsid w:val="00C7759A"/>
    <w:rsid w:val="00C8314D"/>
    <w:rsid w:val="00D31D50"/>
    <w:rsid w:val="00DB129C"/>
    <w:rsid w:val="00F34DCF"/>
    <w:rsid w:val="63C2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1967</Words>
  <Characters>2088</Characters>
  <Lines>15</Lines>
  <Paragraphs>4</Paragraphs>
  <TotalTime>13</TotalTime>
  <ScaleCrop>false</ScaleCrop>
  <LinksUpToDate>false</LinksUpToDate>
  <CharactersWithSpaces>2091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夏天</cp:lastModifiedBy>
  <dcterms:modified xsi:type="dcterms:W3CDTF">2024-10-16T07:43:24Z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4CD3CCEAC8EC41A7A9C17591DC79C83F_13</vt:lpwstr>
  </property>
</Properties>
</file>