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F4629">
      <w:pPr>
        <w:adjustRightInd/>
        <w:snapToGrid/>
        <w:spacing w:after="0"/>
        <w:jc w:val="center"/>
        <w:rPr>
          <w:rFonts w:hint="eastAsia" w:ascii="微软雅黑" w:hAnsi="微软雅黑" w:eastAsia="宋体" w:cs="宋体"/>
          <w:b/>
          <w:bCs/>
          <w:color w:val="0B1216"/>
          <w:sz w:val="36"/>
          <w:szCs w:val="36"/>
        </w:rPr>
      </w:pPr>
    </w:p>
    <w:p w14:paraId="658CD30B">
      <w:pPr>
        <w:adjustRightInd/>
        <w:snapToGrid/>
        <w:spacing w:after="0"/>
        <w:jc w:val="center"/>
        <w:rPr>
          <w:rFonts w:hint="eastAsia" w:ascii="微软雅黑" w:hAnsi="微软雅黑" w:eastAsia="宋体" w:cs="宋体"/>
          <w:b/>
          <w:bCs/>
          <w:color w:val="0B1216"/>
          <w:sz w:val="36"/>
          <w:szCs w:val="36"/>
        </w:rPr>
      </w:pPr>
    </w:p>
    <w:p w14:paraId="375E6970">
      <w:pPr>
        <w:adjustRightInd/>
        <w:snapToGrid/>
        <w:spacing w:after="0"/>
        <w:jc w:val="center"/>
        <w:rPr>
          <w:rFonts w:hint="eastAsia" w:ascii="微软雅黑" w:hAnsi="微软雅黑" w:eastAsia="宋体" w:cs="宋体"/>
          <w:b/>
          <w:bCs/>
          <w:color w:val="0B1216"/>
          <w:sz w:val="36"/>
          <w:szCs w:val="36"/>
        </w:rPr>
      </w:pPr>
    </w:p>
    <w:p w14:paraId="571EB098">
      <w:pPr>
        <w:adjustRightInd/>
        <w:snapToGrid/>
        <w:spacing w:after="0"/>
        <w:jc w:val="center"/>
        <w:rPr>
          <w:rFonts w:hint="eastAsia" w:ascii="微软雅黑" w:hAnsi="微软雅黑" w:eastAsia="宋体" w:cs="宋体"/>
          <w:b/>
          <w:bCs/>
          <w:color w:val="0B1216"/>
          <w:sz w:val="36"/>
          <w:szCs w:val="36"/>
        </w:rPr>
      </w:pPr>
    </w:p>
    <w:p w14:paraId="2BDC4B87">
      <w:pPr>
        <w:adjustRightInd/>
        <w:snapToGrid/>
        <w:spacing w:after="0"/>
        <w:jc w:val="center"/>
        <w:rPr>
          <w:rFonts w:hint="eastAsia" w:ascii="微软雅黑" w:hAnsi="微软雅黑" w:eastAsia="宋体" w:cs="宋体"/>
          <w:b/>
          <w:bCs/>
          <w:color w:val="0B1216"/>
          <w:sz w:val="36"/>
          <w:szCs w:val="36"/>
        </w:rPr>
      </w:pPr>
    </w:p>
    <w:p w14:paraId="2CFF6C3B">
      <w:pPr>
        <w:adjustRightInd/>
        <w:snapToGrid/>
        <w:spacing w:after="0"/>
        <w:jc w:val="center"/>
        <w:rPr>
          <w:rFonts w:hint="eastAsia" w:ascii="微软雅黑" w:hAnsi="微软雅黑" w:eastAsia="宋体" w:cs="宋体"/>
          <w:b/>
          <w:bCs/>
          <w:color w:val="0B1216"/>
          <w:sz w:val="36"/>
          <w:szCs w:val="36"/>
        </w:rPr>
      </w:pPr>
    </w:p>
    <w:p w14:paraId="62A35608">
      <w:pPr>
        <w:adjustRightInd/>
        <w:snapToGrid/>
        <w:spacing w:after="0"/>
        <w:jc w:val="center"/>
        <w:rPr>
          <w:rFonts w:hint="eastAsia" w:ascii="微软雅黑" w:hAnsi="微软雅黑" w:eastAsia="宋体" w:cs="宋体"/>
          <w:b/>
          <w:bCs/>
          <w:color w:val="0B1216"/>
          <w:sz w:val="36"/>
          <w:szCs w:val="36"/>
        </w:rPr>
      </w:pPr>
    </w:p>
    <w:p w14:paraId="13CFBE9D">
      <w:pPr>
        <w:adjustRightInd/>
        <w:snapToGrid/>
        <w:spacing w:after="0"/>
        <w:jc w:val="center"/>
        <w:rPr>
          <w:rFonts w:hint="eastAsia" w:ascii="微软雅黑" w:hAnsi="微软雅黑" w:eastAsia="宋体" w:cs="宋体"/>
          <w:b/>
          <w:bCs/>
          <w:color w:val="0B1216"/>
          <w:sz w:val="36"/>
          <w:szCs w:val="36"/>
        </w:rPr>
      </w:pPr>
    </w:p>
    <w:p w14:paraId="1658F56A">
      <w:pPr>
        <w:adjustRightInd/>
        <w:snapToGrid/>
        <w:spacing w:after="0"/>
        <w:jc w:val="center"/>
        <w:rPr>
          <w:rFonts w:hint="eastAsia" w:ascii="微软雅黑" w:hAnsi="微软雅黑" w:eastAsia="宋体" w:cs="宋体"/>
          <w:b/>
          <w:bCs/>
          <w:color w:val="0B1216"/>
          <w:sz w:val="36"/>
          <w:szCs w:val="36"/>
        </w:rPr>
      </w:pPr>
    </w:p>
    <w:p w14:paraId="4B2B3E35">
      <w:pPr>
        <w:adjustRightInd/>
        <w:snapToGrid/>
        <w:spacing w:after="0"/>
        <w:jc w:val="center"/>
        <w:rPr>
          <w:rFonts w:hint="eastAsia" w:ascii="微软雅黑" w:hAnsi="微软雅黑" w:eastAsia="宋体" w:cs="宋体"/>
          <w:b/>
          <w:bCs/>
          <w:color w:val="0B1216"/>
          <w:sz w:val="36"/>
          <w:szCs w:val="36"/>
        </w:rPr>
      </w:pPr>
    </w:p>
    <w:p w14:paraId="4F3186C3">
      <w:pPr>
        <w:adjustRightInd/>
        <w:snapToGrid/>
        <w:spacing w:after="0"/>
        <w:jc w:val="center"/>
        <w:rPr>
          <w:rFonts w:hint="eastAsia" w:ascii="微软雅黑" w:hAnsi="微软雅黑" w:eastAsia="宋体" w:cs="宋体"/>
          <w:b/>
          <w:bCs/>
          <w:color w:val="0B1216"/>
          <w:sz w:val="36"/>
          <w:szCs w:val="36"/>
        </w:rPr>
      </w:pPr>
    </w:p>
    <w:p w14:paraId="0FDA9C9D">
      <w:pPr>
        <w:adjustRightInd/>
        <w:snapToGrid/>
        <w:spacing w:after="0"/>
        <w:jc w:val="center"/>
        <w:rPr>
          <w:rFonts w:hint="eastAsia" w:ascii="微软雅黑" w:hAnsi="微软雅黑" w:eastAsia="宋体" w:cs="宋体"/>
          <w:b/>
          <w:bCs/>
          <w:color w:val="0B1216"/>
          <w:sz w:val="36"/>
          <w:szCs w:val="36"/>
        </w:rPr>
      </w:pPr>
    </w:p>
    <w:p w14:paraId="406C9C4F">
      <w:pPr>
        <w:adjustRightInd/>
        <w:snapToGrid/>
        <w:spacing w:after="0"/>
        <w:jc w:val="center"/>
        <w:rPr>
          <w:rFonts w:ascii="黑体" w:hAnsi="黑体" w:eastAsia="黑体" w:cs="宋体"/>
          <w:b/>
          <w:bCs/>
          <w:color w:val="0B1216"/>
          <w:sz w:val="52"/>
          <w:szCs w:val="52"/>
        </w:rPr>
      </w:pPr>
      <w:r>
        <w:rPr>
          <w:rFonts w:hint="eastAsia" w:ascii="黑体" w:hAnsi="黑体" w:eastAsia="黑体" w:cs="宋体"/>
          <w:b/>
          <w:bCs/>
          <w:color w:val="0B1216"/>
          <w:sz w:val="52"/>
          <w:szCs w:val="52"/>
        </w:rPr>
        <w:t>益阳市</w:t>
      </w:r>
      <w:r>
        <w:rPr>
          <w:rFonts w:ascii="黑体" w:hAnsi="黑体" w:eastAsia="黑体" w:cs="宋体"/>
          <w:b/>
          <w:bCs/>
          <w:color w:val="0B1216"/>
          <w:sz w:val="52"/>
          <w:szCs w:val="52"/>
        </w:rPr>
        <w:t>2019年度部门决算公开</w:t>
      </w:r>
    </w:p>
    <w:p w14:paraId="13723882">
      <w:pPr>
        <w:adjustRightInd/>
        <w:snapToGrid/>
        <w:spacing w:after="0" w:line="480" w:lineRule="auto"/>
        <w:ind w:firstLine="480"/>
        <w:jc w:val="center"/>
        <w:rPr>
          <w:rFonts w:hint="eastAsia" w:ascii="微软雅黑" w:hAnsi="微软雅黑" w:eastAsia="宋体" w:cs="宋体"/>
          <w:color w:val="062D3C"/>
          <w:sz w:val="24"/>
          <w:szCs w:val="24"/>
        </w:rPr>
      </w:pPr>
    </w:p>
    <w:p w14:paraId="64F60D11">
      <w:pPr>
        <w:adjustRightInd/>
        <w:snapToGrid/>
        <w:spacing w:after="0"/>
        <w:jc w:val="center"/>
        <w:rPr>
          <w:rFonts w:ascii="黑体" w:hAnsi="黑体" w:eastAsia="黑体" w:cs="宋体"/>
          <w:color w:val="062D3C"/>
          <w:sz w:val="24"/>
          <w:szCs w:val="24"/>
        </w:rPr>
      </w:pPr>
    </w:p>
    <w:p w14:paraId="338174AF">
      <w:pPr>
        <w:adjustRightInd/>
        <w:snapToGrid/>
        <w:spacing w:after="0"/>
        <w:jc w:val="center"/>
        <w:rPr>
          <w:rFonts w:ascii="黑体" w:hAnsi="黑体" w:eastAsia="黑体" w:cs="宋体"/>
          <w:color w:val="062D3C"/>
          <w:sz w:val="24"/>
          <w:szCs w:val="24"/>
        </w:rPr>
      </w:pPr>
    </w:p>
    <w:p w14:paraId="77056197">
      <w:pPr>
        <w:adjustRightInd/>
        <w:snapToGrid/>
        <w:spacing w:after="0"/>
        <w:jc w:val="center"/>
        <w:rPr>
          <w:rFonts w:ascii="黑体" w:hAnsi="黑体" w:eastAsia="黑体" w:cs="宋体"/>
          <w:color w:val="062D3C"/>
          <w:sz w:val="24"/>
          <w:szCs w:val="24"/>
        </w:rPr>
      </w:pPr>
    </w:p>
    <w:p w14:paraId="370C7DF2">
      <w:pPr>
        <w:adjustRightInd/>
        <w:snapToGrid/>
        <w:spacing w:after="0"/>
        <w:jc w:val="center"/>
        <w:rPr>
          <w:rFonts w:ascii="黑体" w:hAnsi="黑体" w:eastAsia="黑体" w:cs="宋体"/>
          <w:color w:val="062D3C"/>
          <w:sz w:val="24"/>
          <w:szCs w:val="24"/>
        </w:rPr>
      </w:pPr>
    </w:p>
    <w:p w14:paraId="41F01C8F">
      <w:pPr>
        <w:adjustRightInd/>
        <w:snapToGrid/>
        <w:spacing w:after="0"/>
        <w:jc w:val="center"/>
        <w:rPr>
          <w:rFonts w:ascii="黑体" w:hAnsi="黑体" w:eastAsia="黑体" w:cs="宋体"/>
          <w:color w:val="062D3C"/>
          <w:sz w:val="24"/>
          <w:szCs w:val="24"/>
        </w:rPr>
      </w:pPr>
    </w:p>
    <w:p w14:paraId="359AA877">
      <w:pPr>
        <w:adjustRightInd/>
        <w:snapToGrid/>
        <w:spacing w:after="0"/>
        <w:jc w:val="center"/>
        <w:rPr>
          <w:rFonts w:ascii="黑体" w:hAnsi="黑体" w:eastAsia="黑体" w:cs="宋体"/>
          <w:color w:val="062D3C"/>
          <w:sz w:val="24"/>
          <w:szCs w:val="24"/>
        </w:rPr>
      </w:pPr>
    </w:p>
    <w:p w14:paraId="0B834401">
      <w:pPr>
        <w:adjustRightInd/>
        <w:snapToGrid/>
        <w:spacing w:after="0"/>
        <w:jc w:val="center"/>
        <w:rPr>
          <w:rFonts w:ascii="仿宋" w:hAnsi="仿宋" w:eastAsia="仿宋" w:cs="宋体"/>
          <w:bCs/>
          <w:color w:val="0B1216"/>
          <w:sz w:val="32"/>
          <w:szCs w:val="32"/>
        </w:rPr>
      </w:pPr>
      <w:r>
        <w:rPr>
          <w:rFonts w:hint="eastAsia" w:ascii="仿宋" w:hAnsi="仿宋" w:eastAsia="仿宋" w:cs="宋体"/>
          <w:color w:val="062D3C"/>
          <w:sz w:val="32"/>
          <w:szCs w:val="32"/>
        </w:rPr>
        <w:t>单位名称：</w:t>
      </w:r>
      <w:r>
        <w:rPr>
          <w:rFonts w:ascii="仿宋" w:hAnsi="仿宋" w:eastAsia="仿宋" w:cs="宋体"/>
          <w:bCs/>
          <w:color w:val="0B1216"/>
          <w:sz w:val="32"/>
          <w:szCs w:val="32"/>
        </w:rPr>
        <w:t>益阳市行政审批服务局</w:t>
      </w:r>
    </w:p>
    <w:p w14:paraId="02315758">
      <w:pPr>
        <w:adjustRightInd/>
        <w:snapToGrid/>
        <w:spacing w:after="0"/>
        <w:jc w:val="center"/>
        <w:rPr>
          <w:rFonts w:ascii="仿宋" w:hAnsi="仿宋" w:eastAsia="仿宋" w:cs="宋体"/>
          <w:color w:val="062D3C"/>
          <w:sz w:val="32"/>
          <w:szCs w:val="32"/>
        </w:rPr>
      </w:pPr>
    </w:p>
    <w:p w14:paraId="4847B911">
      <w:pPr>
        <w:adjustRightInd/>
        <w:snapToGrid/>
        <w:spacing w:after="0"/>
        <w:jc w:val="center"/>
        <w:rPr>
          <w:rFonts w:hint="eastAsia" w:ascii="微软雅黑" w:hAnsi="微软雅黑" w:eastAsia="宋体" w:cs="宋体"/>
          <w:color w:val="062D3C"/>
          <w:sz w:val="24"/>
          <w:szCs w:val="24"/>
        </w:rPr>
      </w:pPr>
    </w:p>
    <w:p w14:paraId="4A208451">
      <w:pPr>
        <w:adjustRightInd/>
        <w:snapToGrid/>
        <w:spacing w:after="0"/>
        <w:jc w:val="center"/>
        <w:rPr>
          <w:rFonts w:hint="eastAsia" w:ascii="微软雅黑" w:hAnsi="微软雅黑" w:eastAsia="宋体" w:cs="宋体"/>
          <w:color w:val="062D3C"/>
          <w:sz w:val="24"/>
          <w:szCs w:val="24"/>
        </w:rPr>
      </w:pPr>
    </w:p>
    <w:p w14:paraId="782C52D2">
      <w:pPr>
        <w:adjustRightInd/>
        <w:snapToGrid/>
        <w:spacing w:after="0"/>
        <w:jc w:val="center"/>
        <w:rPr>
          <w:rFonts w:hint="eastAsia" w:ascii="微软雅黑" w:hAnsi="微软雅黑" w:eastAsia="宋体" w:cs="宋体"/>
          <w:color w:val="062D3C"/>
          <w:sz w:val="24"/>
          <w:szCs w:val="24"/>
        </w:rPr>
      </w:pPr>
    </w:p>
    <w:p w14:paraId="671B284B">
      <w:pPr>
        <w:adjustRightInd/>
        <w:snapToGrid/>
        <w:spacing w:after="0"/>
        <w:jc w:val="center"/>
        <w:rPr>
          <w:rFonts w:hint="eastAsia" w:ascii="微软雅黑" w:hAnsi="微软雅黑" w:eastAsia="宋体" w:cs="宋体"/>
          <w:color w:val="062D3C"/>
          <w:sz w:val="24"/>
          <w:szCs w:val="24"/>
        </w:rPr>
      </w:pPr>
    </w:p>
    <w:p w14:paraId="51EBECF0">
      <w:pPr>
        <w:adjustRightInd/>
        <w:snapToGrid/>
        <w:spacing w:after="0"/>
        <w:jc w:val="center"/>
        <w:rPr>
          <w:rFonts w:hint="eastAsia" w:ascii="微软雅黑" w:hAnsi="微软雅黑" w:eastAsia="宋体" w:cs="宋体"/>
          <w:color w:val="062D3C"/>
          <w:sz w:val="24"/>
          <w:szCs w:val="24"/>
        </w:rPr>
      </w:pPr>
    </w:p>
    <w:p w14:paraId="226703A5">
      <w:pPr>
        <w:adjustRightInd/>
        <w:snapToGrid/>
        <w:spacing w:after="0"/>
        <w:jc w:val="center"/>
        <w:rPr>
          <w:rFonts w:hint="eastAsia" w:ascii="微软雅黑" w:hAnsi="微软雅黑" w:eastAsia="宋体" w:cs="宋体"/>
          <w:color w:val="062D3C"/>
          <w:sz w:val="24"/>
          <w:szCs w:val="24"/>
        </w:rPr>
      </w:pPr>
    </w:p>
    <w:p w14:paraId="3ACEB9C8">
      <w:pPr>
        <w:adjustRightInd/>
        <w:snapToGrid/>
        <w:spacing w:after="0"/>
        <w:jc w:val="center"/>
        <w:rPr>
          <w:rFonts w:hint="eastAsia" w:ascii="微软雅黑" w:hAnsi="微软雅黑" w:eastAsia="宋体" w:cs="宋体"/>
          <w:color w:val="062D3C"/>
          <w:sz w:val="24"/>
          <w:szCs w:val="24"/>
        </w:rPr>
      </w:pPr>
    </w:p>
    <w:p w14:paraId="2584FB15">
      <w:pPr>
        <w:adjustRightInd/>
        <w:snapToGrid/>
        <w:spacing w:after="0"/>
        <w:jc w:val="center"/>
        <w:rPr>
          <w:rFonts w:hint="eastAsia" w:ascii="微软雅黑" w:hAnsi="微软雅黑" w:eastAsia="宋体" w:cs="宋体"/>
          <w:color w:val="062D3C"/>
          <w:sz w:val="24"/>
          <w:szCs w:val="24"/>
        </w:rPr>
      </w:pPr>
    </w:p>
    <w:p w14:paraId="4B60E6DD">
      <w:pPr>
        <w:adjustRightInd/>
        <w:snapToGrid/>
        <w:spacing w:after="0"/>
        <w:jc w:val="center"/>
        <w:rPr>
          <w:rFonts w:hint="eastAsia" w:ascii="微软雅黑" w:hAnsi="微软雅黑" w:eastAsia="宋体" w:cs="宋体"/>
          <w:color w:val="062D3C"/>
          <w:sz w:val="24"/>
          <w:szCs w:val="24"/>
        </w:rPr>
      </w:pPr>
    </w:p>
    <w:p w14:paraId="5EC1DE7B">
      <w:pPr>
        <w:adjustRightInd/>
        <w:snapToGrid/>
        <w:spacing w:after="0"/>
        <w:jc w:val="center"/>
        <w:rPr>
          <w:rFonts w:hint="eastAsia" w:ascii="微软雅黑" w:hAnsi="微软雅黑" w:eastAsia="宋体" w:cs="宋体"/>
          <w:color w:val="062D3C"/>
          <w:sz w:val="24"/>
          <w:szCs w:val="24"/>
        </w:rPr>
      </w:pPr>
    </w:p>
    <w:p w14:paraId="1ABAA9C4">
      <w:pPr>
        <w:adjustRightInd/>
        <w:snapToGrid/>
        <w:spacing w:after="0"/>
        <w:jc w:val="center"/>
        <w:rPr>
          <w:rFonts w:hint="eastAsia" w:ascii="微软雅黑" w:hAnsi="微软雅黑" w:eastAsia="宋体" w:cs="宋体"/>
          <w:color w:val="062D3C"/>
          <w:sz w:val="24"/>
          <w:szCs w:val="24"/>
        </w:rPr>
      </w:pPr>
    </w:p>
    <w:p w14:paraId="7B4244C0">
      <w:pPr>
        <w:adjustRightInd/>
        <w:snapToGrid/>
        <w:spacing w:after="0"/>
        <w:jc w:val="center"/>
        <w:rPr>
          <w:rFonts w:hint="eastAsia" w:ascii="微软雅黑" w:hAnsi="微软雅黑" w:eastAsia="宋体" w:cs="宋体"/>
          <w:color w:val="062D3C"/>
          <w:sz w:val="24"/>
          <w:szCs w:val="24"/>
        </w:rPr>
      </w:pPr>
    </w:p>
    <w:p w14:paraId="38A2D359">
      <w:pPr>
        <w:adjustRightInd/>
        <w:snapToGrid/>
        <w:spacing w:after="0"/>
        <w:jc w:val="center"/>
        <w:rPr>
          <w:rFonts w:hint="eastAsia" w:ascii="微软雅黑" w:hAnsi="微软雅黑" w:eastAsia="宋体" w:cs="宋体"/>
          <w:color w:val="062D3C"/>
          <w:sz w:val="24"/>
          <w:szCs w:val="24"/>
        </w:rPr>
      </w:pPr>
    </w:p>
    <w:p w14:paraId="5E981497">
      <w:pPr>
        <w:adjustRightInd/>
        <w:snapToGrid/>
        <w:spacing w:after="0"/>
        <w:jc w:val="center"/>
        <w:rPr>
          <w:rFonts w:hint="eastAsia" w:ascii="微软雅黑" w:hAnsi="微软雅黑" w:eastAsia="宋体" w:cs="宋体"/>
          <w:color w:val="062D3C"/>
          <w:sz w:val="24"/>
          <w:szCs w:val="24"/>
        </w:rPr>
      </w:pPr>
    </w:p>
    <w:p w14:paraId="6280F453">
      <w:pPr>
        <w:adjustRightInd/>
        <w:snapToGrid/>
        <w:spacing w:after="0"/>
        <w:jc w:val="center"/>
        <w:rPr>
          <w:rFonts w:hint="eastAsia" w:ascii="微软雅黑" w:hAnsi="微软雅黑" w:eastAsia="宋体" w:cs="宋体"/>
          <w:color w:val="062D3C"/>
          <w:sz w:val="24"/>
          <w:szCs w:val="24"/>
        </w:rPr>
      </w:pPr>
    </w:p>
    <w:p w14:paraId="29C157E1">
      <w:pPr>
        <w:adjustRightInd/>
        <w:snapToGrid/>
        <w:spacing w:after="0"/>
        <w:jc w:val="center"/>
        <w:rPr>
          <w:rFonts w:hint="eastAsia" w:ascii="微软雅黑" w:hAnsi="微软雅黑" w:eastAsia="宋体" w:cs="宋体"/>
          <w:color w:val="062D3C"/>
          <w:sz w:val="24"/>
          <w:szCs w:val="24"/>
        </w:rPr>
      </w:pPr>
    </w:p>
    <w:p w14:paraId="4DCA23B8">
      <w:pPr>
        <w:adjustRightInd/>
        <w:snapToGrid/>
        <w:spacing w:after="0"/>
        <w:jc w:val="center"/>
        <w:rPr>
          <w:rFonts w:hint="eastAsia" w:ascii="微软雅黑" w:hAnsi="微软雅黑" w:eastAsia="宋体" w:cs="宋体"/>
          <w:color w:val="062D3C"/>
          <w:sz w:val="24"/>
          <w:szCs w:val="24"/>
        </w:rPr>
      </w:pPr>
    </w:p>
    <w:p w14:paraId="7AF0EC0E">
      <w:pPr>
        <w:adjustRightInd/>
        <w:snapToGrid/>
        <w:spacing w:after="0" w:line="480" w:lineRule="auto"/>
        <w:ind w:firstLine="480"/>
        <w:jc w:val="center"/>
        <w:rPr>
          <w:rFonts w:ascii="黑体" w:hAnsi="黑体" w:eastAsia="黑体" w:cs="宋体"/>
          <w:color w:val="062D3C"/>
          <w:sz w:val="36"/>
          <w:szCs w:val="36"/>
        </w:rPr>
      </w:pPr>
      <w:r>
        <w:rPr>
          <w:rFonts w:ascii="黑体" w:hAnsi="黑体" w:eastAsia="黑体" w:cs="宋体"/>
          <w:color w:val="062D3C"/>
          <w:sz w:val="36"/>
          <w:szCs w:val="36"/>
        </w:rPr>
        <w:t>目</w:t>
      </w:r>
      <w:r>
        <w:rPr>
          <w:rFonts w:ascii="微软雅黑" w:hAnsi="微软雅黑" w:eastAsia="黑体" w:cs="宋体"/>
          <w:color w:val="062D3C"/>
          <w:sz w:val="36"/>
          <w:szCs w:val="36"/>
        </w:rPr>
        <w:t> </w:t>
      </w:r>
      <w:r>
        <w:rPr>
          <w:rFonts w:hint="eastAsia" w:ascii="黑体" w:hAnsi="黑体" w:eastAsia="黑体" w:cs="宋体"/>
          <w:color w:val="062D3C"/>
          <w:sz w:val="36"/>
          <w:szCs w:val="36"/>
        </w:rPr>
        <w:t xml:space="preserve">           </w:t>
      </w:r>
      <w:r>
        <w:rPr>
          <w:rFonts w:ascii="黑体" w:hAnsi="黑体" w:eastAsia="黑体" w:cs="宋体"/>
          <w:color w:val="062D3C"/>
          <w:sz w:val="36"/>
          <w:szCs w:val="36"/>
        </w:rPr>
        <w:t>录</w:t>
      </w:r>
    </w:p>
    <w:p w14:paraId="6A037727">
      <w:pPr>
        <w:adjustRightInd/>
        <w:snapToGrid/>
        <w:spacing w:after="0" w:line="560" w:lineRule="exact"/>
        <w:ind w:firstLine="482"/>
        <w:contextualSpacing/>
        <w:jc w:val="both"/>
        <w:rPr>
          <w:rFonts w:hint="eastAsia" w:ascii="微软雅黑" w:hAnsi="微软雅黑" w:eastAsia="宋体" w:cs="宋体"/>
          <w:b/>
          <w:color w:val="062D3C"/>
          <w:sz w:val="24"/>
          <w:szCs w:val="24"/>
        </w:rPr>
      </w:pPr>
      <w:r>
        <w:rPr>
          <w:rFonts w:ascii="微软雅黑" w:hAnsi="微软雅黑" w:eastAsia="宋体" w:cs="宋体"/>
          <w:b/>
          <w:color w:val="062D3C"/>
          <w:sz w:val="24"/>
          <w:szCs w:val="24"/>
        </w:rPr>
        <w:t>第一部分</w:t>
      </w:r>
      <w:r>
        <w:rPr>
          <w:rFonts w:hint="eastAsia" w:ascii="微软雅黑" w:hAnsi="微软雅黑" w:eastAsia="宋体" w:cs="宋体"/>
          <w:b/>
          <w:color w:val="062D3C"/>
          <w:sz w:val="24"/>
          <w:szCs w:val="24"/>
        </w:rPr>
        <w:t xml:space="preserve">  </w:t>
      </w:r>
      <w:r>
        <w:rPr>
          <w:rFonts w:ascii="微软雅黑" w:hAnsi="微软雅黑" w:eastAsia="宋体" w:cs="宋体"/>
          <w:b/>
          <w:color w:val="062D3C"/>
          <w:sz w:val="24"/>
          <w:szCs w:val="24"/>
        </w:rPr>
        <w:t> 益阳市行政审批服务局概况</w:t>
      </w:r>
    </w:p>
    <w:p w14:paraId="0266D02B">
      <w:pPr>
        <w:adjustRightInd/>
        <w:snapToGrid/>
        <w:spacing w:after="0" w:line="560" w:lineRule="exact"/>
        <w:ind w:firstLine="482"/>
        <w:contextualSpacing/>
        <w:jc w:val="both"/>
        <w:rPr>
          <w:rFonts w:hint="eastAsia" w:ascii="微软雅黑" w:hAnsi="微软雅黑" w:eastAsia="宋体" w:cs="宋体"/>
          <w:color w:val="062D3C"/>
          <w:sz w:val="24"/>
          <w:szCs w:val="24"/>
        </w:rPr>
      </w:pPr>
      <w:r>
        <w:rPr>
          <w:rFonts w:ascii="微软雅黑" w:hAnsi="微软雅黑" w:eastAsia="宋体" w:cs="宋体"/>
          <w:color w:val="062D3C"/>
          <w:sz w:val="24"/>
          <w:szCs w:val="24"/>
        </w:rPr>
        <w:t>一、部门职责</w:t>
      </w:r>
    </w:p>
    <w:p w14:paraId="6951B8C5">
      <w:pPr>
        <w:adjustRightInd/>
        <w:snapToGrid/>
        <w:spacing w:after="0" w:line="560" w:lineRule="exact"/>
        <w:ind w:firstLine="482"/>
        <w:contextualSpacing/>
        <w:jc w:val="both"/>
        <w:rPr>
          <w:rFonts w:hint="eastAsia" w:ascii="微软雅黑" w:hAnsi="微软雅黑" w:eastAsia="宋体" w:cs="宋体"/>
          <w:color w:val="062D3C"/>
          <w:sz w:val="24"/>
          <w:szCs w:val="24"/>
        </w:rPr>
      </w:pPr>
      <w:r>
        <w:rPr>
          <w:rFonts w:ascii="微软雅黑" w:hAnsi="微软雅黑" w:eastAsia="宋体" w:cs="宋体"/>
          <w:color w:val="062D3C"/>
          <w:sz w:val="24"/>
          <w:szCs w:val="24"/>
        </w:rPr>
        <w:t>二、机构设置</w:t>
      </w:r>
    </w:p>
    <w:p w14:paraId="4DB472FF">
      <w:pPr>
        <w:adjustRightInd/>
        <w:snapToGrid/>
        <w:spacing w:after="0" w:line="560" w:lineRule="exact"/>
        <w:ind w:firstLine="482"/>
        <w:contextualSpacing/>
        <w:jc w:val="both"/>
        <w:rPr>
          <w:rFonts w:hint="eastAsia" w:ascii="微软雅黑" w:hAnsi="微软雅黑" w:eastAsia="宋体" w:cs="宋体"/>
          <w:color w:val="062D3C"/>
          <w:sz w:val="24"/>
          <w:szCs w:val="24"/>
        </w:rPr>
      </w:pPr>
      <w:r>
        <w:rPr>
          <w:rFonts w:ascii="微软雅黑" w:hAnsi="微软雅黑" w:eastAsia="宋体" w:cs="宋体"/>
          <w:color w:val="062D3C"/>
          <w:sz w:val="24"/>
          <w:szCs w:val="24"/>
        </w:rPr>
        <w:t>三、部门决算单位构成</w:t>
      </w:r>
    </w:p>
    <w:p w14:paraId="39B07C32">
      <w:pPr>
        <w:adjustRightInd/>
        <w:snapToGrid/>
        <w:spacing w:after="0" w:line="560" w:lineRule="exact"/>
        <w:ind w:firstLine="482"/>
        <w:contextualSpacing/>
        <w:jc w:val="both"/>
        <w:rPr>
          <w:rFonts w:hint="eastAsia" w:ascii="微软雅黑" w:hAnsi="微软雅黑" w:eastAsia="宋体" w:cs="宋体"/>
          <w:color w:val="062D3C"/>
          <w:sz w:val="24"/>
          <w:szCs w:val="24"/>
        </w:rPr>
      </w:pPr>
    </w:p>
    <w:p w14:paraId="1D921B11">
      <w:pPr>
        <w:adjustRightInd/>
        <w:snapToGrid/>
        <w:spacing w:after="0" w:line="560" w:lineRule="exact"/>
        <w:ind w:firstLine="482"/>
        <w:contextualSpacing/>
        <w:jc w:val="both"/>
        <w:rPr>
          <w:rFonts w:hint="eastAsia" w:ascii="微软雅黑" w:hAnsi="微软雅黑" w:eastAsia="宋体" w:cs="宋体"/>
          <w:b/>
          <w:color w:val="062D3C"/>
          <w:sz w:val="24"/>
          <w:szCs w:val="24"/>
        </w:rPr>
      </w:pPr>
      <w:r>
        <w:rPr>
          <w:rFonts w:ascii="微软雅黑" w:hAnsi="微软雅黑" w:eastAsia="宋体" w:cs="宋体"/>
          <w:b/>
          <w:color w:val="062D3C"/>
          <w:sz w:val="24"/>
          <w:szCs w:val="24"/>
        </w:rPr>
        <w:t>第二部分</w:t>
      </w:r>
      <w:r>
        <w:rPr>
          <w:rFonts w:hint="eastAsia" w:ascii="微软雅黑" w:hAnsi="微软雅黑" w:eastAsia="宋体" w:cs="宋体"/>
          <w:b/>
          <w:color w:val="062D3C"/>
          <w:sz w:val="24"/>
          <w:szCs w:val="24"/>
        </w:rPr>
        <w:t xml:space="preserve">  </w:t>
      </w:r>
      <w:r>
        <w:rPr>
          <w:rFonts w:ascii="微软雅黑" w:hAnsi="微软雅黑" w:eastAsia="宋体" w:cs="宋体"/>
          <w:b/>
          <w:color w:val="062D3C"/>
          <w:sz w:val="24"/>
          <w:szCs w:val="24"/>
        </w:rPr>
        <w:t> 益阳市行政审批服务局2019 年度部门决算表</w:t>
      </w:r>
    </w:p>
    <w:p w14:paraId="29236606">
      <w:pPr>
        <w:adjustRightInd/>
        <w:snapToGrid/>
        <w:spacing w:after="0" w:line="560" w:lineRule="exact"/>
        <w:ind w:firstLine="482"/>
        <w:contextualSpacing/>
        <w:jc w:val="both"/>
        <w:rPr>
          <w:rFonts w:hint="eastAsia" w:ascii="微软雅黑" w:hAnsi="微软雅黑" w:eastAsia="宋体" w:cs="宋体"/>
          <w:color w:val="062D3C"/>
          <w:sz w:val="24"/>
          <w:szCs w:val="24"/>
        </w:rPr>
      </w:pPr>
      <w:r>
        <w:rPr>
          <w:rFonts w:ascii="微软雅黑" w:hAnsi="微软雅黑" w:eastAsia="宋体" w:cs="宋体"/>
          <w:color w:val="062D3C"/>
          <w:sz w:val="24"/>
          <w:szCs w:val="24"/>
        </w:rPr>
        <w:t>一、收入支出决算总表</w:t>
      </w:r>
    </w:p>
    <w:p w14:paraId="58FF0E4E">
      <w:pPr>
        <w:adjustRightInd/>
        <w:snapToGrid/>
        <w:spacing w:after="0" w:line="560" w:lineRule="exact"/>
        <w:ind w:firstLine="482"/>
        <w:contextualSpacing/>
        <w:jc w:val="both"/>
        <w:rPr>
          <w:rFonts w:hint="eastAsia" w:ascii="微软雅黑" w:hAnsi="微软雅黑" w:eastAsia="宋体" w:cs="宋体"/>
          <w:color w:val="062D3C"/>
          <w:sz w:val="24"/>
          <w:szCs w:val="24"/>
        </w:rPr>
      </w:pPr>
      <w:r>
        <w:rPr>
          <w:rFonts w:ascii="微软雅黑" w:hAnsi="微软雅黑" w:eastAsia="宋体" w:cs="宋体"/>
          <w:color w:val="062D3C"/>
          <w:sz w:val="24"/>
          <w:szCs w:val="24"/>
        </w:rPr>
        <w:t>二、收入决算表</w:t>
      </w:r>
    </w:p>
    <w:p w14:paraId="4EF8C14C">
      <w:pPr>
        <w:adjustRightInd/>
        <w:snapToGrid/>
        <w:spacing w:after="0" w:line="560" w:lineRule="exact"/>
        <w:ind w:firstLine="482"/>
        <w:contextualSpacing/>
        <w:jc w:val="both"/>
        <w:rPr>
          <w:rFonts w:hint="eastAsia" w:ascii="微软雅黑" w:hAnsi="微软雅黑" w:eastAsia="宋体" w:cs="宋体"/>
          <w:color w:val="062D3C"/>
          <w:sz w:val="24"/>
          <w:szCs w:val="24"/>
        </w:rPr>
      </w:pPr>
      <w:r>
        <w:rPr>
          <w:rFonts w:ascii="微软雅黑" w:hAnsi="微软雅黑" w:eastAsia="宋体" w:cs="宋体"/>
          <w:color w:val="062D3C"/>
          <w:sz w:val="24"/>
          <w:szCs w:val="24"/>
        </w:rPr>
        <w:t>三、支出决算表</w:t>
      </w:r>
    </w:p>
    <w:p w14:paraId="53038F81">
      <w:pPr>
        <w:adjustRightInd/>
        <w:snapToGrid/>
        <w:spacing w:after="0" w:line="560" w:lineRule="exact"/>
        <w:ind w:firstLine="482"/>
        <w:contextualSpacing/>
        <w:jc w:val="both"/>
        <w:rPr>
          <w:rFonts w:hint="eastAsia" w:ascii="微软雅黑" w:hAnsi="微软雅黑" w:eastAsia="宋体" w:cs="宋体"/>
          <w:color w:val="062D3C"/>
          <w:sz w:val="24"/>
          <w:szCs w:val="24"/>
        </w:rPr>
      </w:pPr>
      <w:r>
        <w:rPr>
          <w:rFonts w:ascii="微软雅黑" w:hAnsi="微软雅黑" w:eastAsia="宋体" w:cs="宋体"/>
          <w:color w:val="062D3C"/>
          <w:sz w:val="24"/>
          <w:szCs w:val="24"/>
        </w:rPr>
        <w:t>四、财政拨款收入支出决算总表</w:t>
      </w:r>
    </w:p>
    <w:p w14:paraId="310F3335">
      <w:pPr>
        <w:adjustRightInd/>
        <w:snapToGrid/>
        <w:spacing w:after="0" w:line="560" w:lineRule="exact"/>
        <w:ind w:firstLine="482"/>
        <w:contextualSpacing/>
        <w:jc w:val="both"/>
        <w:rPr>
          <w:rFonts w:hint="eastAsia" w:ascii="微软雅黑" w:hAnsi="微软雅黑" w:eastAsia="宋体" w:cs="宋体"/>
          <w:color w:val="062D3C"/>
          <w:sz w:val="24"/>
          <w:szCs w:val="24"/>
        </w:rPr>
      </w:pPr>
      <w:r>
        <w:rPr>
          <w:rFonts w:ascii="微软雅黑" w:hAnsi="微软雅黑" w:eastAsia="宋体" w:cs="宋体"/>
          <w:color w:val="062D3C"/>
          <w:sz w:val="24"/>
          <w:szCs w:val="24"/>
        </w:rPr>
        <w:t>五、一般公共预算财政拨款支出决算表</w:t>
      </w:r>
    </w:p>
    <w:p w14:paraId="2D4D9739">
      <w:pPr>
        <w:adjustRightInd/>
        <w:snapToGrid/>
        <w:spacing w:after="0" w:line="560" w:lineRule="exact"/>
        <w:ind w:firstLine="482"/>
        <w:contextualSpacing/>
        <w:jc w:val="both"/>
        <w:rPr>
          <w:rFonts w:hint="eastAsia" w:ascii="微软雅黑" w:hAnsi="微软雅黑" w:eastAsia="宋体" w:cs="宋体"/>
          <w:color w:val="062D3C"/>
          <w:sz w:val="24"/>
          <w:szCs w:val="24"/>
        </w:rPr>
      </w:pPr>
      <w:r>
        <w:rPr>
          <w:rFonts w:ascii="微软雅黑" w:hAnsi="微软雅黑" w:eastAsia="宋体" w:cs="宋体"/>
          <w:color w:val="062D3C"/>
          <w:sz w:val="24"/>
          <w:szCs w:val="24"/>
        </w:rPr>
        <w:t>六、一般公共预算财政拨款基本支出决算表</w:t>
      </w:r>
    </w:p>
    <w:p w14:paraId="4204978B">
      <w:pPr>
        <w:adjustRightInd/>
        <w:snapToGrid/>
        <w:spacing w:after="0" w:line="560" w:lineRule="exact"/>
        <w:ind w:firstLine="482"/>
        <w:contextualSpacing/>
        <w:jc w:val="both"/>
        <w:rPr>
          <w:rFonts w:hint="eastAsia" w:ascii="微软雅黑" w:hAnsi="微软雅黑" w:eastAsia="宋体" w:cs="宋体"/>
          <w:color w:val="062D3C"/>
          <w:sz w:val="24"/>
          <w:szCs w:val="24"/>
        </w:rPr>
      </w:pPr>
      <w:r>
        <w:rPr>
          <w:rFonts w:ascii="微软雅黑" w:hAnsi="微软雅黑" w:eastAsia="宋体" w:cs="宋体"/>
          <w:color w:val="062D3C"/>
          <w:sz w:val="24"/>
          <w:szCs w:val="24"/>
        </w:rPr>
        <w:t>七、一般公共预算财政拨款“三公”经费支出决算表</w:t>
      </w:r>
    </w:p>
    <w:p w14:paraId="3289F703">
      <w:pPr>
        <w:adjustRightInd/>
        <w:snapToGrid/>
        <w:spacing w:after="0" w:line="560" w:lineRule="exact"/>
        <w:ind w:firstLine="482"/>
        <w:contextualSpacing/>
        <w:jc w:val="both"/>
        <w:rPr>
          <w:rFonts w:hint="eastAsia" w:ascii="微软雅黑" w:hAnsi="微软雅黑" w:eastAsia="宋体" w:cs="宋体"/>
          <w:color w:val="062D3C"/>
          <w:sz w:val="24"/>
          <w:szCs w:val="24"/>
        </w:rPr>
      </w:pPr>
      <w:r>
        <w:rPr>
          <w:rFonts w:ascii="微软雅黑" w:hAnsi="微软雅黑" w:eastAsia="宋体" w:cs="宋体"/>
          <w:color w:val="062D3C"/>
          <w:sz w:val="24"/>
          <w:szCs w:val="24"/>
        </w:rPr>
        <w:t>八、政府性基金预算财政拨款收入支出决算表</w:t>
      </w:r>
    </w:p>
    <w:p w14:paraId="1EF958DA">
      <w:pPr>
        <w:adjustRightInd/>
        <w:snapToGrid/>
        <w:spacing w:after="0" w:line="560" w:lineRule="exact"/>
        <w:ind w:firstLine="482"/>
        <w:contextualSpacing/>
        <w:jc w:val="both"/>
        <w:rPr>
          <w:rFonts w:hint="eastAsia" w:ascii="微软雅黑" w:hAnsi="微软雅黑" w:eastAsia="宋体" w:cs="宋体"/>
          <w:color w:val="062D3C"/>
          <w:sz w:val="24"/>
          <w:szCs w:val="24"/>
        </w:rPr>
      </w:pPr>
    </w:p>
    <w:p w14:paraId="7A21DC60">
      <w:pPr>
        <w:adjustRightInd/>
        <w:snapToGrid/>
        <w:spacing w:after="0" w:line="560" w:lineRule="exact"/>
        <w:ind w:firstLine="482"/>
        <w:contextualSpacing/>
        <w:jc w:val="both"/>
        <w:rPr>
          <w:rFonts w:hint="eastAsia" w:ascii="微软雅黑" w:hAnsi="微软雅黑" w:eastAsia="宋体" w:cs="宋体"/>
          <w:b/>
          <w:color w:val="062D3C"/>
          <w:sz w:val="24"/>
          <w:szCs w:val="24"/>
        </w:rPr>
      </w:pPr>
      <w:r>
        <w:rPr>
          <w:rFonts w:ascii="微软雅黑" w:hAnsi="微软雅黑" w:eastAsia="宋体" w:cs="宋体"/>
          <w:b/>
          <w:color w:val="062D3C"/>
          <w:sz w:val="24"/>
          <w:szCs w:val="24"/>
        </w:rPr>
        <w:t>第三部分 </w:t>
      </w:r>
      <w:r>
        <w:rPr>
          <w:rFonts w:hint="eastAsia" w:ascii="微软雅黑" w:hAnsi="微软雅黑" w:eastAsia="宋体" w:cs="宋体"/>
          <w:b/>
          <w:color w:val="062D3C"/>
          <w:sz w:val="24"/>
          <w:szCs w:val="24"/>
        </w:rPr>
        <w:t xml:space="preserve">  </w:t>
      </w:r>
      <w:r>
        <w:rPr>
          <w:rFonts w:ascii="微软雅黑" w:hAnsi="微软雅黑" w:eastAsia="宋体" w:cs="宋体"/>
          <w:b/>
          <w:color w:val="062D3C"/>
          <w:sz w:val="24"/>
          <w:szCs w:val="24"/>
        </w:rPr>
        <w:t>益阳市行政审批服务局2019年度部门决算情况说明</w:t>
      </w:r>
    </w:p>
    <w:p w14:paraId="059C78D6">
      <w:pPr>
        <w:adjustRightInd/>
        <w:snapToGrid/>
        <w:spacing w:after="0" w:line="560" w:lineRule="exact"/>
        <w:ind w:firstLine="482"/>
        <w:contextualSpacing/>
        <w:jc w:val="both"/>
        <w:rPr>
          <w:rFonts w:hint="eastAsia" w:ascii="微软雅黑" w:hAnsi="微软雅黑" w:eastAsia="宋体" w:cs="宋体"/>
          <w:color w:val="062D3C"/>
          <w:sz w:val="24"/>
          <w:szCs w:val="24"/>
        </w:rPr>
      </w:pPr>
      <w:r>
        <w:rPr>
          <w:rFonts w:ascii="微软雅黑" w:hAnsi="微软雅黑" w:eastAsia="宋体" w:cs="宋体"/>
          <w:color w:val="062D3C"/>
          <w:sz w:val="24"/>
          <w:szCs w:val="24"/>
        </w:rPr>
        <w:t>一、收入支出决算总体情况说明</w:t>
      </w:r>
    </w:p>
    <w:p w14:paraId="2B637CCD">
      <w:pPr>
        <w:adjustRightInd/>
        <w:snapToGrid/>
        <w:spacing w:after="0" w:line="560" w:lineRule="exact"/>
        <w:ind w:firstLine="482"/>
        <w:contextualSpacing/>
        <w:jc w:val="both"/>
        <w:rPr>
          <w:rFonts w:hint="eastAsia" w:ascii="微软雅黑" w:hAnsi="微软雅黑" w:eastAsia="宋体" w:cs="宋体"/>
          <w:color w:val="062D3C"/>
          <w:sz w:val="24"/>
          <w:szCs w:val="24"/>
        </w:rPr>
      </w:pPr>
      <w:r>
        <w:rPr>
          <w:rFonts w:ascii="微软雅黑" w:hAnsi="微软雅黑" w:eastAsia="宋体" w:cs="宋体"/>
          <w:color w:val="062D3C"/>
          <w:sz w:val="24"/>
          <w:szCs w:val="24"/>
        </w:rPr>
        <w:t>二、收入决算情况说明</w:t>
      </w:r>
    </w:p>
    <w:p w14:paraId="1B381240">
      <w:pPr>
        <w:adjustRightInd/>
        <w:snapToGrid/>
        <w:spacing w:after="0" w:line="560" w:lineRule="exact"/>
        <w:ind w:firstLine="482"/>
        <w:contextualSpacing/>
        <w:jc w:val="both"/>
        <w:rPr>
          <w:rFonts w:hint="eastAsia" w:ascii="微软雅黑" w:hAnsi="微软雅黑" w:eastAsia="宋体" w:cs="宋体"/>
          <w:color w:val="062D3C"/>
          <w:sz w:val="24"/>
          <w:szCs w:val="24"/>
        </w:rPr>
      </w:pPr>
      <w:r>
        <w:rPr>
          <w:rFonts w:ascii="微软雅黑" w:hAnsi="微软雅黑" w:eastAsia="宋体" w:cs="宋体"/>
          <w:color w:val="062D3C"/>
          <w:sz w:val="24"/>
          <w:szCs w:val="24"/>
        </w:rPr>
        <w:t>三、支出决算情况说明</w:t>
      </w:r>
    </w:p>
    <w:p w14:paraId="53568458">
      <w:pPr>
        <w:adjustRightInd/>
        <w:snapToGrid/>
        <w:spacing w:after="0" w:line="560" w:lineRule="exact"/>
        <w:ind w:firstLine="482"/>
        <w:contextualSpacing/>
        <w:jc w:val="both"/>
        <w:rPr>
          <w:rFonts w:hint="eastAsia" w:ascii="微软雅黑" w:hAnsi="微软雅黑" w:eastAsia="宋体" w:cs="宋体"/>
          <w:color w:val="062D3C"/>
          <w:sz w:val="24"/>
          <w:szCs w:val="24"/>
        </w:rPr>
      </w:pPr>
      <w:r>
        <w:rPr>
          <w:rFonts w:ascii="微软雅黑" w:hAnsi="微软雅黑" w:eastAsia="宋体" w:cs="宋体"/>
          <w:color w:val="062D3C"/>
          <w:sz w:val="24"/>
          <w:szCs w:val="24"/>
        </w:rPr>
        <w:t>四、财政拨款收入支出决算总体情况说明</w:t>
      </w:r>
    </w:p>
    <w:p w14:paraId="0080E271">
      <w:pPr>
        <w:adjustRightInd/>
        <w:snapToGrid/>
        <w:spacing w:after="0" w:line="560" w:lineRule="exact"/>
        <w:ind w:firstLine="482"/>
        <w:contextualSpacing/>
        <w:jc w:val="both"/>
        <w:rPr>
          <w:rFonts w:hint="eastAsia" w:ascii="微软雅黑" w:hAnsi="微软雅黑" w:eastAsia="宋体" w:cs="宋体"/>
          <w:color w:val="062D3C"/>
          <w:sz w:val="24"/>
          <w:szCs w:val="24"/>
        </w:rPr>
      </w:pPr>
      <w:r>
        <w:rPr>
          <w:rFonts w:ascii="微软雅黑" w:hAnsi="微软雅黑" w:eastAsia="宋体" w:cs="宋体"/>
          <w:color w:val="062D3C"/>
          <w:sz w:val="24"/>
          <w:szCs w:val="24"/>
        </w:rPr>
        <w:t>五、一般公共预算财政拨款支出决算情况说明</w:t>
      </w:r>
    </w:p>
    <w:p w14:paraId="735E6C97">
      <w:pPr>
        <w:adjustRightInd/>
        <w:snapToGrid/>
        <w:spacing w:after="0" w:line="560" w:lineRule="exact"/>
        <w:ind w:firstLine="482"/>
        <w:contextualSpacing/>
        <w:jc w:val="both"/>
        <w:rPr>
          <w:rFonts w:hint="eastAsia" w:ascii="微软雅黑" w:hAnsi="微软雅黑" w:eastAsia="宋体" w:cs="宋体"/>
          <w:color w:val="062D3C"/>
          <w:sz w:val="24"/>
          <w:szCs w:val="24"/>
        </w:rPr>
      </w:pPr>
      <w:r>
        <w:rPr>
          <w:rFonts w:ascii="微软雅黑" w:hAnsi="微软雅黑" w:eastAsia="宋体" w:cs="宋体"/>
          <w:color w:val="062D3C"/>
          <w:sz w:val="24"/>
          <w:szCs w:val="24"/>
        </w:rPr>
        <w:t>六、一般公共预算财政拨款基本支出决算情况说明</w:t>
      </w:r>
    </w:p>
    <w:p w14:paraId="76E28957">
      <w:pPr>
        <w:adjustRightInd/>
        <w:snapToGrid/>
        <w:spacing w:after="0" w:line="560" w:lineRule="exact"/>
        <w:ind w:firstLine="482"/>
        <w:contextualSpacing/>
        <w:jc w:val="both"/>
        <w:rPr>
          <w:rFonts w:hint="eastAsia" w:ascii="微软雅黑" w:hAnsi="微软雅黑" w:eastAsia="宋体" w:cs="宋体"/>
          <w:color w:val="062D3C"/>
          <w:sz w:val="24"/>
          <w:szCs w:val="24"/>
        </w:rPr>
      </w:pPr>
      <w:r>
        <w:rPr>
          <w:rFonts w:ascii="微软雅黑" w:hAnsi="微软雅黑" w:eastAsia="宋体" w:cs="宋体"/>
          <w:color w:val="062D3C"/>
          <w:sz w:val="24"/>
          <w:szCs w:val="24"/>
        </w:rPr>
        <w:t>七、政府性基金预算财政拨款支出决算情况说明</w:t>
      </w:r>
    </w:p>
    <w:p w14:paraId="21C0E2E3">
      <w:pPr>
        <w:adjustRightInd/>
        <w:snapToGrid/>
        <w:spacing w:after="0" w:line="560" w:lineRule="exact"/>
        <w:ind w:firstLine="482"/>
        <w:contextualSpacing/>
        <w:jc w:val="both"/>
        <w:rPr>
          <w:rFonts w:hint="eastAsia" w:ascii="微软雅黑" w:hAnsi="微软雅黑" w:eastAsia="宋体" w:cs="宋体"/>
          <w:color w:val="062D3C"/>
          <w:sz w:val="24"/>
          <w:szCs w:val="24"/>
        </w:rPr>
      </w:pPr>
      <w:r>
        <w:rPr>
          <w:rFonts w:ascii="微软雅黑" w:hAnsi="微软雅黑" w:eastAsia="宋体" w:cs="宋体"/>
          <w:color w:val="062D3C"/>
          <w:sz w:val="24"/>
          <w:szCs w:val="24"/>
        </w:rPr>
        <w:t>八、一般公共预算财政拨款“三公”经费支出决算情况说明</w:t>
      </w:r>
    </w:p>
    <w:p w14:paraId="68D5D67A">
      <w:pPr>
        <w:adjustRightInd/>
        <w:snapToGrid/>
        <w:spacing w:after="0" w:line="560" w:lineRule="exact"/>
        <w:ind w:firstLine="482"/>
        <w:contextualSpacing/>
        <w:jc w:val="both"/>
        <w:rPr>
          <w:rFonts w:hint="eastAsia" w:ascii="微软雅黑" w:hAnsi="微软雅黑" w:eastAsia="宋体" w:cs="宋体"/>
          <w:color w:val="062D3C"/>
          <w:sz w:val="24"/>
          <w:szCs w:val="24"/>
        </w:rPr>
      </w:pPr>
      <w:r>
        <w:rPr>
          <w:rFonts w:ascii="微软雅黑" w:hAnsi="微软雅黑" w:eastAsia="宋体" w:cs="宋体"/>
          <w:color w:val="062D3C"/>
          <w:sz w:val="24"/>
          <w:szCs w:val="24"/>
        </w:rPr>
        <w:t>九、预算绩效情况说明</w:t>
      </w:r>
    </w:p>
    <w:p w14:paraId="621E3F90">
      <w:pPr>
        <w:adjustRightInd/>
        <w:snapToGrid/>
        <w:spacing w:after="0" w:line="560" w:lineRule="exact"/>
        <w:ind w:firstLine="482"/>
        <w:contextualSpacing/>
        <w:jc w:val="both"/>
        <w:rPr>
          <w:rFonts w:hint="eastAsia" w:ascii="微软雅黑" w:hAnsi="微软雅黑" w:eastAsia="宋体" w:cs="宋体"/>
          <w:color w:val="062D3C"/>
          <w:sz w:val="24"/>
          <w:szCs w:val="24"/>
        </w:rPr>
      </w:pPr>
      <w:r>
        <w:rPr>
          <w:rFonts w:ascii="微软雅黑" w:hAnsi="微软雅黑" w:eastAsia="宋体" w:cs="宋体"/>
          <w:color w:val="062D3C"/>
          <w:sz w:val="24"/>
          <w:szCs w:val="24"/>
        </w:rPr>
        <w:t>十、其他重要事项情况说明</w:t>
      </w:r>
    </w:p>
    <w:p w14:paraId="7F07EF7B">
      <w:pPr>
        <w:adjustRightInd/>
        <w:snapToGrid/>
        <w:spacing w:after="0" w:line="560" w:lineRule="exact"/>
        <w:ind w:firstLine="482"/>
        <w:contextualSpacing/>
        <w:jc w:val="both"/>
        <w:rPr>
          <w:rFonts w:hint="eastAsia" w:ascii="微软雅黑" w:hAnsi="微软雅黑" w:eastAsia="宋体" w:cs="宋体"/>
          <w:color w:val="062D3C"/>
          <w:sz w:val="24"/>
          <w:szCs w:val="24"/>
        </w:rPr>
      </w:pPr>
    </w:p>
    <w:p w14:paraId="158179B4">
      <w:pPr>
        <w:adjustRightInd/>
        <w:snapToGrid/>
        <w:spacing w:after="0" w:line="560" w:lineRule="exact"/>
        <w:ind w:firstLine="482"/>
        <w:contextualSpacing/>
        <w:jc w:val="both"/>
        <w:rPr>
          <w:rFonts w:hint="eastAsia" w:ascii="微软雅黑" w:hAnsi="微软雅黑" w:eastAsia="宋体" w:cs="宋体"/>
          <w:b/>
          <w:color w:val="062D3C"/>
          <w:sz w:val="24"/>
          <w:szCs w:val="24"/>
        </w:rPr>
      </w:pPr>
      <w:r>
        <w:rPr>
          <w:rFonts w:ascii="微软雅黑" w:hAnsi="微软雅黑" w:eastAsia="宋体" w:cs="宋体"/>
          <w:b/>
          <w:color w:val="062D3C"/>
          <w:sz w:val="24"/>
          <w:szCs w:val="24"/>
        </w:rPr>
        <w:t>第四部分</w:t>
      </w:r>
      <w:r>
        <w:rPr>
          <w:rFonts w:hint="eastAsia" w:ascii="微软雅黑" w:hAnsi="微软雅黑" w:eastAsia="宋体" w:cs="宋体"/>
          <w:b/>
          <w:color w:val="062D3C"/>
          <w:sz w:val="24"/>
          <w:szCs w:val="24"/>
        </w:rPr>
        <w:t xml:space="preserve">  </w:t>
      </w:r>
      <w:r>
        <w:rPr>
          <w:rFonts w:ascii="微软雅黑" w:hAnsi="微软雅黑" w:eastAsia="宋体" w:cs="宋体"/>
          <w:b/>
          <w:color w:val="062D3C"/>
          <w:sz w:val="24"/>
          <w:szCs w:val="24"/>
        </w:rPr>
        <w:t> 名词解释</w:t>
      </w:r>
    </w:p>
    <w:p w14:paraId="5F1F4947">
      <w:pPr>
        <w:adjustRightInd/>
        <w:snapToGrid/>
        <w:spacing w:after="0" w:line="560" w:lineRule="exact"/>
        <w:ind w:firstLine="482"/>
        <w:contextualSpacing/>
        <w:jc w:val="both"/>
        <w:rPr>
          <w:rFonts w:hint="eastAsia" w:ascii="微软雅黑" w:hAnsi="微软雅黑" w:eastAsia="宋体" w:cs="宋体"/>
          <w:b/>
          <w:color w:val="062D3C"/>
          <w:sz w:val="24"/>
          <w:szCs w:val="24"/>
        </w:rPr>
      </w:pPr>
    </w:p>
    <w:p w14:paraId="4CCD15A8">
      <w:pPr>
        <w:adjustRightInd/>
        <w:snapToGrid/>
        <w:spacing w:after="0" w:line="560" w:lineRule="exact"/>
        <w:ind w:firstLine="482"/>
        <w:contextualSpacing/>
        <w:jc w:val="both"/>
        <w:rPr>
          <w:rFonts w:hint="eastAsia" w:ascii="微软雅黑" w:hAnsi="微软雅黑" w:eastAsia="宋体" w:cs="宋体"/>
          <w:b/>
          <w:color w:val="062D3C"/>
          <w:sz w:val="24"/>
          <w:szCs w:val="24"/>
        </w:rPr>
      </w:pPr>
      <w:r>
        <w:rPr>
          <w:rFonts w:ascii="微软雅黑" w:hAnsi="微软雅黑" w:eastAsia="宋体" w:cs="宋体"/>
          <w:b/>
          <w:color w:val="062D3C"/>
          <w:sz w:val="24"/>
          <w:szCs w:val="24"/>
        </w:rPr>
        <w:t>第五部分</w:t>
      </w:r>
      <w:r>
        <w:rPr>
          <w:rFonts w:hint="eastAsia" w:ascii="微软雅黑" w:hAnsi="微软雅黑" w:eastAsia="宋体" w:cs="宋体"/>
          <w:b/>
          <w:color w:val="062D3C"/>
          <w:sz w:val="24"/>
          <w:szCs w:val="24"/>
        </w:rPr>
        <w:t xml:space="preserve">  </w:t>
      </w:r>
      <w:r>
        <w:rPr>
          <w:rFonts w:ascii="微软雅黑" w:hAnsi="微软雅黑" w:eastAsia="宋体" w:cs="宋体"/>
          <w:b/>
          <w:color w:val="062D3C"/>
          <w:sz w:val="24"/>
          <w:szCs w:val="24"/>
        </w:rPr>
        <w:t> 附件</w:t>
      </w:r>
    </w:p>
    <w:p w14:paraId="3CE865B1">
      <w:pPr>
        <w:adjustRightInd/>
        <w:snapToGrid/>
        <w:spacing w:after="0" w:line="560" w:lineRule="exact"/>
        <w:ind w:firstLine="482"/>
        <w:contextualSpacing/>
        <w:jc w:val="both"/>
        <w:rPr>
          <w:rFonts w:hint="eastAsia" w:ascii="微软雅黑" w:hAnsi="微软雅黑" w:eastAsia="宋体" w:cs="宋体"/>
          <w:color w:val="062D3C"/>
          <w:sz w:val="24"/>
          <w:szCs w:val="24"/>
        </w:rPr>
      </w:pPr>
    </w:p>
    <w:p w14:paraId="3AAEFAA2">
      <w:pPr>
        <w:adjustRightInd/>
        <w:snapToGrid/>
        <w:spacing w:after="0" w:line="560" w:lineRule="exact"/>
        <w:ind w:firstLine="482"/>
        <w:contextualSpacing/>
        <w:jc w:val="both"/>
        <w:rPr>
          <w:rFonts w:hint="eastAsia" w:ascii="微软雅黑" w:hAnsi="微软雅黑" w:eastAsia="宋体" w:cs="宋体"/>
          <w:color w:val="062D3C"/>
          <w:sz w:val="24"/>
          <w:szCs w:val="24"/>
        </w:rPr>
      </w:pPr>
    </w:p>
    <w:p w14:paraId="6EF01AC0">
      <w:pPr>
        <w:adjustRightInd/>
        <w:snapToGrid/>
        <w:spacing w:after="0" w:line="560" w:lineRule="exact"/>
        <w:ind w:firstLine="482"/>
        <w:contextualSpacing/>
        <w:jc w:val="both"/>
        <w:rPr>
          <w:rFonts w:hint="eastAsia" w:ascii="微软雅黑" w:hAnsi="微软雅黑" w:eastAsia="宋体" w:cs="宋体"/>
          <w:color w:val="062D3C"/>
          <w:sz w:val="24"/>
          <w:szCs w:val="24"/>
        </w:rPr>
      </w:pPr>
    </w:p>
    <w:p w14:paraId="293C445D">
      <w:pPr>
        <w:adjustRightInd/>
        <w:snapToGrid/>
        <w:spacing w:after="0" w:line="560" w:lineRule="exact"/>
        <w:ind w:firstLine="482"/>
        <w:contextualSpacing/>
        <w:jc w:val="both"/>
        <w:rPr>
          <w:rFonts w:hint="eastAsia" w:ascii="微软雅黑" w:hAnsi="微软雅黑" w:eastAsia="宋体" w:cs="宋体"/>
          <w:color w:val="062D3C"/>
          <w:sz w:val="24"/>
          <w:szCs w:val="24"/>
        </w:rPr>
      </w:pPr>
    </w:p>
    <w:p w14:paraId="6750B8EE">
      <w:pPr>
        <w:adjustRightInd/>
        <w:snapToGrid/>
        <w:spacing w:after="0" w:line="560" w:lineRule="exact"/>
        <w:ind w:firstLine="482"/>
        <w:contextualSpacing/>
        <w:jc w:val="both"/>
        <w:rPr>
          <w:rFonts w:hint="eastAsia" w:ascii="微软雅黑" w:hAnsi="微软雅黑" w:eastAsia="宋体" w:cs="宋体"/>
          <w:color w:val="062D3C"/>
          <w:sz w:val="24"/>
          <w:szCs w:val="24"/>
        </w:rPr>
      </w:pPr>
    </w:p>
    <w:p w14:paraId="6318DCA5">
      <w:pPr>
        <w:adjustRightInd/>
        <w:snapToGrid/>
        <w:spacing w:after="0" w:line="560" w:lineRule="exact"/>
        <w:ind w:firstLine="482"/>
        <w:contextualSpacing/>
        <w:jc w:val="both"/>
        <w:rPr>
          <w:rFonts w:hint="eastAsia" w:ascii="微软雅黑" w:hAnsi="微软雅黑" w:eastAsia="宋体" w:cs="宋体"/>
          <w:color w:val="062D3C"/>
          <w:sz w:val="24"/>
          <w:szCs w:val="24"/>
        </w:rPr>
      </w:pPr>
    </w:p>
    <w:p w14:paraId="4F27F479">
      <w:pPr>
        <w:adjustRightInd/>
        <w:snapToGrid/>
        <w:spacing w:after="0" w:line="560" w:lineRule="exact"/>
        <w:ind w:firstLine="482"/>
        <w:contextualSpacing/>
        <w:jc w:val="both"/>
        <w:rPr>
          <w:rFonts w:hint="eastAsia" w:ascii="微软雅黑" w:hAnsi="微软雅黑" w:eastAsia="宋体" w:cs="宋体"/>
          <w:color w:val="062D3C"/>
          <w:sz w:val="24"/>
          <w:szCs w:val="24"/>
        </w:rPr>
      </w:pPr>
    </w:p>
    <w:p w14:paraId="4AAC598A">
      <w:pPr>
        <w:adjustRightInd/>
        <w:snapToGrid/>
        <w:spacing w:after="0" w:line="560" w:lineRule="exact"/>
        <w:ind w:firstLine="482"/>
        <w:contextualSpacing/>
        <w:jc w:val="both"/>
        <w:rPr>
          <w:rFonts w:hint="eastAsia" w:ascii="微软雅黑" w:hAnsi="微软雅黑" w:eastAsia="宋体" w:cs="宋体"/>
          <w:color w:val="062D3C"/>
          <w:sz w:val="24"/>
          <w:szCs w:val="24"/>
        </w:rPr>
      </w:pPr>
    </w:p>
    <w:p w14:paraId="3F4EF66D">
      <w:pPr>
        <w:adjustRightInd/>
        <w:snapToGrid/>
        <w:spacing w:after="0" w:line="560" w:lineRule="exact"/>
        <w:ind w:firstLine="482"/>
        <w:contextualSpacing/>
        <w:jc w:val="both"/>
        <w:rPr>
          <w:rFonts w:hint="eastAsia" w:ascii="微软雅黑" w:hAnsi="微软雅黑" w:eastAsia="宋体" w:cs="宋体"/>
          <w:color w:val="062D3C"/>
          <w:sz w:val="24"/>
          <w:szCs w:val="24"/>
        </w:rPr>
      </w:pPr>
    </w:p>
    <w:p w14:paraId="30CB6617">
      <w:pPr>
        <w:adjustRightInd/>
        <w:snapToGrid/>
        <w:spacing w:after="0" w:line="560" w:lineRule="exact"/>
        <w:ind w:firstLine="482"/>
        <w:contextualSpacing/>
        <w:jc w:val="both"/>
        <w:rPr>
          <w:rFonts w:hint="eastAsia" w:ascii="微软雅黑" w:hAnsi="微软雅黑" w:eastAsia="宋体" w:cs="宋体"/>
          <w:color w:val="062D3C"/>
          <w:sz w:val="24"/>
          <w:szCs w:val="24"/>
        </w:rPr>
      </w:pPr>
    </w:p>
    <w:p w14:paraId="77C40DAA">
      <w:pPr>
        <w:adjustRightInd/>
        <w:snapToGrid/>
        <w:spacing w:after="0" w:line="560" w:lineRule="exact"/>
        <w:ind w:firstLine="482"/>
        <w:contextualSpacing/>
        <w:jc w:val="both"/>
        <w:rPr>
          <w:rFonts w:hint="eastAsia" w:ascii="微软雅黑" w:hAnsi="微软雅黑" w:eastAsia="宋体" w:cs="宋体"/>
          <w:color w:val="062D3C"/>
          <w:sz w:val="24"/>
          <w:szCs w:val="24"/>
        </w:rPr>
      </w:pPr>
    </w:p>
    <w:p w14:paraId="32D50DB2">
      <w:pPr>
        <w:adjustRightInd/>
        <w:snapToGrid/>
        <w:spacing w:after="0" w:line="560" w:lineRule="exact"/>
        <w:ind w:firstLine="482"/>
        <w:contextualSpacing/>
        <w:jc w:val="both"/>
        <w:rPr>
          <w:rFonts w:hint="eastAsia" w:ascii="微软雅黑" w:hAnsi="微软雅黑" w:eastAsia="宋体" w:cs="宋体"/>
          <w:color w:val="062D3C"/>
          <w:sz w:val="24"/>
          <w:szCs w:val="24"/>
        </w:rPr>
      </w:pPr>
    </w:p>
    <w:p w14:paraId="25B5F0D2">
      <w:pPr>
        <w:adjustRightInd/>
        <w:snapToGrid/>
        <w:spacing w:after="0" w:line="560" w:lineRule="exact"/>
        <w:ind w:firstLine="482"/>
        <w:contextualSpacing/>
        <w:jc w:val="both"/>
        <w:rPr>
          <w:rFonts w:hint="eastAsia" w:ascii="微软雅黑" w:hAnsi="微软雅黑" w:eastAsia="宋体" w:cs="宋体"/>
          <w:color w:val="062D3C"/>
          <w:sz w:val="24"/>
          <w:szCs w:val="24"/>
        </w:rPr>
      </w:pPr>
    </w:p>
    <w:p w14:paraId="37EDBBF5">
      <w:pPr>
        <w:adjustRightInd/>
        <w:snapToGrid/>
        <w:spacing w:after="0" w:line="560" w:lineRule="exact"/>
        <w:ind w:firstLine="482"/>
        <w:contextualSpacing/>
        <w:jc w:val="both"/>
        <w:rPr>
          <w:rFonts w:hint="eastAsia" w:ascii="微软雅黑" w:hAnsi="微软雅黑" w:eastAsia="宋体" w:cs="宋体"/>
          <w:color w:val="062D3C"/>
          <w:sz w:val="24"/>
          <w:szCs w:val="24"/>
        </w:rPr>
      </w:pPr>
    </w:p>
    <w:p w14:paraId="54641BA8">
      <w:pPr>
        <w:adjustRightInd/>
        <w:snapToGrid/>
        <w:spacing w:after="0" w:line="560" w:lineRule="exact"/>
        <w:ind w:firstLine="482"/>
        <w:contextualSpacing/>
        <w:jc w:val="both"/>
        <w:rPr>
          <w:rFonts w:hint="eastAsia" w:ascii="微软雅黑" w:hAnsi="微软雅黑" w:eastAsia="宋体" w:cs="宋体"/>
          <w:color w:val="062D3C"/>
          <w:sz w:val="24"/>
          <w:szCs w:val="24"/>
        </w:rPr>
      </w:pPr>
    </w:p>
    <w:p w14:paraId="19B7E251">
      <w:pPr>
        <w:adjustRightInd/>
        <w:snapToGrid/>
        <w:spacing w:after="0" w:line="560" w:lineRule="exact"/>
        <w:ind w:firstLine="482"/>
        <w:contextualSpacing/>
        <w:jc w:val="both"/>
        <w:rPr>
          <w:rFonts w:hint="eastAsia" w:ascii="微软雅黑" w:hAnsi="微软雅黑" w:eastAsia="宋体" w:cs="宋体"/>
          <w:color w:val="062D3C"/>
          <w:sz w:val="24"/>
          <w:szCs w:val="24"/>
        </w:rPr>
      </w:pPr>
    </w:p>
    <w:p w14:paraId="0CA51EBB">
      <w:pPr>
        <w:adjustRightInd/>
        <w:snapToGrid/>
        <w:spacing w:after="0" w:line="560" w:lineRule="exact"/>
        <w:ind w:firstLine="482"/>
        <w:contextualSpacing/>
        <w:jc w:val="both"/>
        <w:rPr>
          <w:rFonts w:hint="eastAsia" w:ascii="微软雅黑" w:hAnsi="微软雅黑" w:eastAsia="宋体" w:cs="宋体"/>
          <w:color w:val="062D3C"/>
          <w:sz w:val="24"/>
          <w:szCs w:val="24"/>
        </w:rPr>
      </w:pPr>
    </w:p>
    <w:p w14:paraId="6EB979DD">
      <w:pPr>
        <w:adjustRightInd/>
        <w:snapToGrid/>
        <w:spacing w:after="0" w:line="560" w:lineRule="exact"/>
        <w:ind w:firstLine="480"/>
        <w:contextualSpacing/>
        <w:jc w:val="center"/>
        <w:rPr>
          <w:rFonts w:ascii="黑体" w:hAnsi="黑体" w:eastAsia="黑体" w:cs="宋体"/>
          <w:color w:val="062D3C"/>
          <w:sz w:val="30"/>
          <w:szCs w:val="30"/>
        </w:rPr>
      </w:pPr>
      <w:r>
        <w:rPr>
          <w:rFonts w:ascii="黑体" w:hAnsi="黑体" w:eastAsia="黑体" w:cs="宋体"/>
          <w:color w:val="062D3C"/>
          <w:sz w:val="30"/>
          <w:szCs w:val="30"/>
        </w:rPr>
        <w:t>第一部分</w:t>
      </w:r>
      <w:r>
        <w:rPr>
          <w:rFonts w:hint="eastAsia" w:ascii="黑体" w:hAnsi="黑体" w:eastAsia="黑体" w:cs="宋体"/>
          <w:color w:val="062D3C"/>
          <w:sz w:val="30"/>
          <w:szCs w:val="30"/>
        </w:rPr>
        <w:t xml:space="preserve">  </w:t>
      </w:r>
      <w:r>
        <w:rPr>
          <w:rFonts w:ascii="微软雅黑" w:hAnsi="微软雅黑" w:eastAsia="黑体" w:cs="宋体"/>
          <w:color w:val="062D3C"/>
          <w:sz w:val="30"/>
          <w:szCs w:val="30"/>
        </w:rPr>
        <w:t> </w:t>
      </w:r>
      <w:r>
        <w:rPr>
          <w:rFonts w:ascii="黑体" w:hAnsi="黑体" w:eastAsia="黑体" w:cs="宋体"/>
          <w:color w:val="062D3C"/>
          <w:sz w:val="30"/>
          <w:szCs w:val="30"/>
        </w:rPr>
        <w:t>益阳市行政审批服务局概况</w:t>
      </w:r>
    </w:p>
    <w:p w14:paraId="1AA7F181">
      <w:pPr>
        <w:adjustRightInd/>
        <w:snapToGrid/>
        <w:spacing w:after="0" w:line="560" w:lineRule="exact"/>
        <w:ind w:firstLine="480"/>
        <w:contextualSpacing/>
        <w:jc w:val="center"/>
        <w:rPr>
          <w:rFonts w:ascii="黑体" w:hAnsi="黑体" w:eastAsia="黑体" w:cs="宋体"/>
          <w:color w:val="062D3C"/>
          <w:sz w:val="30"/>
          <w:szCs w:val="30"/>
        </w:rPr>
      </w:pPr>
    </w:p>
    <w:p w14:paraId="60CB030A">
      <w:pPr>
        <w:adjustRightInd/>
        <w:snapToGrid/>
        <w:spacing w:after="0" w:line="560" w:lineRule="exact"/>
        <w:ind w:firstLine="480"/>
        <w:contextualSpacing/>
        <w:jc w:val="both"/>
        <w:rPr>
          <w:rFonts w:ascii="仿宋" w:hAnsi="仿宋" w:eastAsia="仿宋" w:cs="宋体"/>
          <w:b/>
          <w:color w:val="062D3C"/>
          <w:sz w:val="28"/>
          <w:szCs w:val="28"/>
        </w:rPr>
      </w:pPr>
      <w:r>
        <w:rPr>
          <w:rFonts w:ascii="仿宋" w:hAnsi="仿宋" w:eastAsia="仿宋" w:cs="宋体"/>
          <w:b/>
          <w:color w:val="062D3C"/>
          <w:sz w:val="28"/>
          <w:szCs w:val="28"/>
        </w:rPr>
        <w:t>一、部门职责</w:t>
      </w:r>
    </w:p>
    <w:p w14:paraId="008DBA42">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一）负责组织开展行政审批制度改革、政务管理服务、智慧城市建设、数据资源管理方面重大问题的调查研究，拟订相关政策、措施和方案，经批准后组织实施。研究拟订运用市场机制推进智慧城市建设和优化配置大数据资源的政策措施，经批准后指导实施。</w:t>
      </w:r>
    </w:p>
    <w:p w14:paraId="594C193D">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二）负责统筹推进、指导协调全市行政审批制度改革工作，健全完善权责清单、公共服务事项清单制度，会同有关部门清理规范行政审批中介服务事项。承担市深化行政审批制度改革工作领导小组的日常工作，督促有关方面落实领导小组的决定事项、工作部署和要求。承办“放管服”改革相关工作。</w:t>
      </w:r>
    </w:p>
    <w:p w14:paraId="4241D69C">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三）负责推进全市政务管理服务体系建设。统筹推进、指导协调全市“互联网+政务服务”工作和“马上办、网上办、就近办、一次办”改革工作。负责协调、推进全市行政效能工作，督促行政机关提高审批服务效率，优化营商政务环境。承担市“互联网+政务服务”工作联席会议的日常工作。</w:t>
      </w:r>
    </w:p>
    <w:p w14:paraId="7132B4B0">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四）负责拟订政务服务大厅管理制度、规范，指导监督全市政务服务大厅管理工作。承担市本级政务服务大厅运行管理，负责进驻大厅工作人员的管理、培训和考核；负责处理服务对象对进驻大厅单位或工作人员的举报投诉，负责来信来访接待工作；协助有关部门查处进驻大厅工作人员违规违纪违法行为。</w:t>
      </w:r>
    </w:p>
    <w:p w14:paraId="32CB7EDC">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五）负责拟订全市智慧城市建设和大数据发展应用规划、年度计划，经批准后组织实施；统筹协调、监督评估全市智慧城市建设管理和大数据发展应用工作，协同有关部门管理政府投资的智慧城市建设项目和大数据发展应用项目；引导社会资本参与智慧城市、大数据基础设施和公共服务设施建设，会同有关部门推进大数据采集、存储、加工、应用类产业发展和大数据与云计算、物联网、移动互联网新技术融合发展。培育、引导、扶持大数据行业协会发展。承担市智慧城市建设领导小组的日常工作。</w:t>
      </w:r>
    </w:p>
    <w:p w14:paraId="4E3349EB">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六）负责政务数据资源和社会数据资源的统筹管理。组织编制数据资源目录，推进数据资源采集汇聚，完善全市政务信息资源共享交换平台和公共数据资源开放平台，促进政务、民生、产业领域各类数据资源的深度开发利用与共享开放，建立完善公共数据资源管理服务机制。指导、规范、管理数据资源交易工作，引导培育大数据交易市场，促进数据资源流通。</w:t>
      </w:r>
    </w:p>
    <w:p w14:paraId="269BD9DE">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七）负责拟订电子政务发展规划，经批准后组织实施；统筹协调、监督评估电子政务基础设施建设和政务信息系统建设，协同有关部门管理政府投资的电子政务建设项目；负责全市政府门户网站和政府部门政务网站开办整合、安全管理、监督检查、考核评价；统筹推进智慧城市和电子政务安全保障体系建设，指导监督政务信息系统、政务数据的安全保障工作，协调处理电子政务信息安全应急事件。</w:t>
      </w:r>
    </w:p>
    <w:p w14:paraId="4AD65252">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（八）完成市委、市政府交办的其他任务。</w:t>
      </w:r>
    </w:p>
    <w:p w14:paraId="5F008B3B">
      <w:pPr>
        <w:adjustRightInd/>
        <w:snapToGrid/>
        <w:spacing w:after="0" w:line="560" w:lineRule="exact"/>
        <w:ind w:firstLine="480"/>
        <w:contextualSpacing/>
        <w:jc w:val="both"/>
        <w:rPr>
          <w:rFonts w:ascii="仿宋" w:hAnsi="仿宋" w:eastAsia="仿宋" w:cs="宋体"/>
          <w:b/>
          <w:color w:val="062D3C"/>
          <w:sz w:val="28"/>
          <w:szCs w:val="28"/>
        </w:rPr>
      </w:pPr>
      <w:r>
        <w:rPr>
          <w:rFonts w:ascii="仿宋" w:hAnsi="仿宋" w:eastAsia="仿宋" w:cs="宋体"/>
          <w:b/>
          <w:color w:val="062D3C"/>
          <w:sz w:val="28"/>
          <w:szCs w:val="28"/>
        </w:rPr>
        <w:t>二、机构设置</w:t>
      </w:r>
    </w:p>
    <w:p w14:paraId="392D739B">
      <w:pPr>
        <w:adjustRightInd/>
        <w:snapToGrid/>
        <w:spacing w:after="0" w:line="560" w:lineRule="exact"/>
        <w:ind w:firstLine="618" w:firstLineChars="221"/>
        <w:contextualSpacing/>
        <w:jc w:val="both"/>
        <w:rPr>
          <w:rFonts w:ascii="仿宋" w:hAnsi="仿宋" w:eastAsia="仿宋" w:cs="宋体"/>
          <w:color w:val="062D3C"/>
          <w:sz w:val="28"/>
          <w:szCs w:val="28"/>
        </w:rPr>
      </w:pPr>
      <w:r>
        <w:rPr>
          <w:rFonts w:ascii="仿宋" w:hAnsi="仿宋" w:eastAsia="仿宋" w:cs="宋体"/>
          <w:color w:val="062D3C"/>
          <w:sz w:val="28"/>
          <w:szCs w:val="28"/>
        </w:rPr>
        <w:t>市行政审批服务局内设8个科室</w:t>
      </w:r>
      <w:r>
        <w:rPr>
          <w:rFonts w:hint="eastAsia" w:ascii="仿宋" w:hAnsi="仿宋" w:eastAsia="仿宋" w:cs="宋体"/>
          <w:color w:val="062D3C"/>
          <w:sz w:val="28"/>
          <w:szCs w:val="28"/>
        </w:rPr>
        <w:t>，</w:t>
      </w:r>
      <w:r>
        <w:rPr>
          <w:rFonts w:ascii="仿宋" w:hAnsi="仿宋" w:eastAsia="仿宋" w:cs="宋体"/>
          <w:color w:val="062D3C"/>
          <w:sz w:val="28"/>
          <w:szCs w:val="28"/>
        </w:rPr>
        <w:t>分别为</w:t>
      </w:r>
      <w:r>
        <w:rPr>
          <w:rFonts w:hint="eastAsia" w:ascii="仿宋" w:hAnsi="仿宋" w:eastAsia="仿宋" w:cs="宋体"/>
          <w:color w:val="062D3C"/>
          <w:sz w:val="28"/>
          <w:szCs w:val="28"/>
        </w:rPr>
        <w:t>：办公室、行政审批改革科、政务服务管理科、窗口管理科、智慧城市和大数据发展科、数据资源应用管理科、电子政务管理科、人事科（财务科）。下设</w:t>
      </w:r>
      <w:r>
        <w:rPr>
          <w:rFonts w:ascii="仿宋" w:hAnsi="仿宋" w:eastAsia="仿宋" w:cs="宋体"/>
          <w:color w:val="062D3C"/>
          <w:sz w:val="28"/>
          <w:szCs w:val="28"/>
        </w:rPr>
        <w:t>事业单位2个</w:t>
      </w:r>
      <w:r>
        <w:rPr>
          <w:rFonts w:hint="eastAsia" w:ascii="仿宋" w:hAnsi="仿宋" w:eastAsia="仿宋" w:cs="宋体"/>
          <w:color w:val="062D3C"/>
          <w:sz w:val="28"/>
          <w:szCs w:val="28"/>
        </w:rPr>
        <w:t>，</w:t>
      </w:r>
      <w:r>
        <w:rPr>
          <w:rFonts w:ascii="仿宋" w:hAnsi="仿宋" w:eastAsia="仿宋" w:cs="宋体"/>
          <w:color w:val="062D3C"/>
          <w:sz w:val="28"/>
          <w:szCs w:val="28"/>
        </w:rPr>
        <w:t>分别为政务大厅服务中心、市智慧城市和大数据中心</w:t>
      </w:r>
      <w:r>
        <w:rPr>
          <w:rFonts w:hint="eastAsia" w:ascii="仿宋" w:hAnsi="仿宋" w:eastAsia="仿宋" w:cs="宋体"/>
          <w:color w:val="062D3C"/>
          <w:sz w:val="28"/>
          <w:szCs w:val="28"/>
        </w:rPr>
        <w:t>。其中政务大厅服务中心为正科级公益一类事业单位，财务并入局机关核算。市智慧城市和大数据中心为副处级公益一类事业单位，核定全额拨款事业编制16名，其中：主任1名、副主任3名。内设机构6个（均为副科级）：综合科、开发应用科、项目建设科、大数据运行科、网站料、网络科，设副科级领导职数6名，其财务实施独立核算。</w:t>
      </w:r>
    </w:p>
    <w:p w14:paraId="1D46E508">
      <w:pPr>
        <w:adjustRightInd/>
        <w:snapToGrid/>
        <w:spacing w:after="0" w:line="560" w:lineRule="exact"/>
        <w:ind w:firstLine="480"/>
        <w:contextualSpacing/>
        <w:jc w:val="both"/>
        <w:rPr>
          <w:rFonts w:ascii="仿宋" w:hAnsi="仿宋" w:eastAsia="仿宋" w:cs="宋体"/>
          <w:b/>
          <w:color w:val="062D3C"/>
          <w:sz w:val="28"/>
          <w:szCs w:val="28"/>
        </w:rPr>
      </w:pPr>
      <w:r>
        <w:rPr>
          <w:rFonts w:ascii="仿宋" w:hAnsi="仿宋" w:eastAsia="仿宋" w:cs="宋体"/>
          <w:b/>
          <w:color w:val="062D3C"/>
          <w:sz w:val="28"/>
          <w:szCs w:val="28"/>
        </w:rPr>
        <w:t>三、部门决算单位构成</w:t>
      </w:r>
    </w:p>
    <w:p w14:paraId="65DA4B66">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从决算单位构成看，益阳市行政审批服务局部门决算</w:t>
      </w:r>
      <w:r>
        <w:rPr>
          <w:rFonts w:hint="eastAsia" w:ascii="仿宋" w:hAnsi="仿宋" w:eastAsia="仿宋" w:cs="宋体"/>
          <w:color w:val="062D3C"/>
          <w:sz w:val="28"/>
          <w:szCs w:val="28"/>
        </w:rPr>
        <w:t>应</w:t>
      </w:r>
      <w:r>
        <w:rPr>
          <w:rFonts w:ascii="仿宋" w:hAnsi="仿宋" w:eastAsia="仿宋" w:cs="宋体"/>
          <w:color w:val="062D3C"/>
          <w:sz w:val="28"/>
          <w:szCs w:val="28"/>
        </w:rPr>
        <w:t>包括益阳市行政审批服务局部门决算本级决算</w:t>
      </w:r>
      <w:r>
        <w:rPr>
          <w:rFonts w:hint="eastAsia" w:ascii="仿宋" w:hAnsi="仿宋" w:eastAsia="仿宋" w:cs="宋体"/>
          <w:color w:val="062D3C"/>
          <w:sz w:val="28"/>
          <w:szCs w:val="28"/>
        </w:rPr>
        <w:t>、益阳市智慧城市和大数据中心部门决算，但因市智慧城市和大数据中心于2019年4月机构改革时组建，主体由原市电子政务办组建，其财务核算原为独立核算单位，经请示财政部门同意，2019年决算暂不合并，故本决算公开仅含</w:t>
      </w:r>
      <w:r>
        <w:rPr>
          <w:rFonts w:ascii="仿宋" w:hAnsi="仿宋" w:eastAsia="仿宋" w:cs="宋体"/>
          <w:color w:val="062D3C"/>
          <w:sz w:val="28"/>
          <w:szCs w:val="28"/>
        </w:rPr>
        <w:t>市行政审批服务局</w:t>
      </w:r>
      <w:r>
        <w:rPr>
          <w:rFonts w:hint="eastAsia" w:ascii="仿宋" w:hAnsi="仿宋" w:eastAsia="仿宋" w:cs="宋体"/>
          <w:color w:val="062D3C"/>
          <w:sz w:val="28"/>
          <w:szCs w:val="28"/>
        </w:rPr>
        <w:t>本级</w:t>
      </w:r>
      <w:r>
        <w:rPr>
          <w:rFonts w:ascii="仿宋" w:hAnsi="仿宋" w:eastAsia="仿宋" w:cs="宋体"/>
          <w:color w:val="062D3C"/>
          <w:sz w:val="28"/>
          <w:szCs w:val="28"/>
        </w:rPr>
        <w:t>部门决算。</w:t>
      </w:r>
    </w:p>
    <w:tbl>
      <w:tblPr>
        <w:tblStyle w:val="6"/>
        <w:tblW w:w="0" w:type="auto"/>
        <w:tblInd w:w="98" w:type="dxa"/>
        <w:tblLayout w:type="autofit"/>
        <w:tblCellMar>
          <w:top w:w="15" w:type="dxa"/>
          <w:left w:w="15" w:type="dxa"/>
          <w:bottom w:w="15" w:type="dxa"/>
          <w:right w:w="15" w:type="dxa"/>
        </w:tblCellMar>
      </w:tblPr>
      <w:tblGrid>
        <w:gridCol w:w="2216"/>
        <w:gridCol w:w="6208"/>
      </w:tblGrid>
      <w:tr w14:paraId="3BC1D4B2">
        <w:tblPrEx>
          <w:tblCellMar>
            <w:top w:w="15" w:type="dxa"/>
            <w:left w:w="15" w:type="dxa"/>
            <w:bottom w:w="15" w:type="dxa"/>
            <w:right w:w="15" w:type="dxa"/>
          </w:tblCellMar>
        </w:tblPrEx>
        <w:trPr>
          <w:trHeight w:val="1" w:hRule="atLeast"/>
        </w:trPr>
        <w:tc>
          <w:tcPr>
            <w:tcW w:w="22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DB38212">
            <w:pPr>
              <w:adjustRightInd/>
              <w:snapToGrid/>
              <w:spacing w:after="0" w:line="560" w:lineRule="exact"/>
              <w:ind w:firstLine="480"/>
              <w:contextualSpacing/>
              <w:jc w:val="center"/>
              <w:rPr>
                <w:rFonts w:ascii="仿宋" w:hAnsi="仿宋" w:eastAsia="仿宋" w:cs="宋体"/>
                <w:sz w:val="28"/>
                <w:szCs w:val="28"/>
              </w:rPr>
            </w:pPr>
            <w:r>
              <w:rPr>
                <w:rFonts w:hint="eastAsia" w:ascii="仿宋" w:hAnsi="仿宋" w:eastAsia="仿宋" w:cs="宋体"/>
                <w:b/>
                <w:bCs/>
                <w:sz w:val="28"/>
                <w:szCs w:val="28"/>
              </w:rPr>
              <w:t>序号</w:t>
            </w:r>
          </w:p>
        </w:tc>
        <w:tc>
          <w:tcPr>
            <w:tcW w:w="628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B079525">
            <w:pPr>
              <w:adjustRightInd/>
              <w:snapToGrid/>
              <w:spacing w:after="0" w:line="560" w:lineRule="exact"/>
              <w:ind w:firstLine="480"/>
              <w:contextualSpacing/>
              <w:jc w:val="center"/>
              <w:rPr>
                <w:rFonts w:ascii="仿宋" w:hAnsi="仿宋" w:eastAsia="仿宋" w:cs="宋体"/>
                <w:sz w:val="28"/>
                <w:szCs w:val="28"/>
              </w:rPr>
            </w:pPr>
            <w:r>
              <w:rPr>
                <w:rFonts w:hint="eastAsia" w:ascii="仿宋" w:hAnsi="仿宋" w:eastAsia="仿宋" w:cs="宋体"/>
                <w:b/>
                <w:bCs/>
                <w:sz w:val="28"/>
                <w:szCs w:val="28"/>
              </w:rPr>
              <w:t>单位名称</w:t>
            </w:r>
          </w:p>
        </w:tc>
      </w:tr>
      <w:tr w14:paraId="426BA95A">
        <w:tblPrEx>
          <w:tblCellMar>
            <w:top w:w="15" w:type="dxa"/>
            <w:left w:w="15" w:type="dxa"/>
            <w:bottom w:w="15" w:type="dxa"/>
            <w:right w:w="15" w:type="dxa"/>
          </w:tblCellMar>
        </w:tblPrEx>
        <w:trPr>
          <w:trHeight w:val="1" w:hRule="atLeast"/>
        </w:trPr>
        <w:tc>
          <w:tcPr>
            <w:tcW w:w="223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A974AF4">
            <w:pPr>
              <w:adjustRightInd/>
              <w:snapToGrid/>
              <w:spacing w:after="0" w:line="560" w:lineRule="exact"/>
              <w:ind w:firstLine="480"/>
              <w:contextualSpacing/>
              <w:jc w:val="center"/>
              <w:rPr>
                <w:rFonts w:ascii="仿宋" w:hAnsi="仿宋" w:eastAsia="仿宋" w:cs="宋体"/>
                <w:sz w:val="28"/>
                <w:szCs w:val="28"/>
              </w:rPr>
            </w:pPr>
            <w:r>
              <w:rPr>
                <w:rFonts w:hint="eastAsia" w:ascii="仿宋" w:hAnsi="仿宋" w:eastAsia="仿宋" w:cs="宋体"/>
                <w:b/>
                <w:bCs/>
                <w:sz w:val="28"/>
                <w:szCs w:val="28"/>
              </w:rPr>
              <w:t>1</w:t>
            </w:r>
          </w:p>
        </w:tc>
        <w:tc>
          <w:tcPr>
            <w:tcW w:w="62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DF8150">
            <w:pPr>
              <w:adjustRightInd/>
              <w:snapToGrid/>
              <w:spacing w:after="0" w:line="560" w:lineRule="exact"/>
              <w:ind w:firstLine="480"/>
              <w:contextualSpacing/>
              <w:rPr>
                <w:rFonts w:ascii="仿宋" w:hAnsi="仿宋" w:eastAsia="仿宋" w:cs="宋体"/>
                <w:sz w:val="28"/>
                <w:szCs w:val="28"/>
              </w:rPr>
            </w:pPr>
            <w:r>
              <w:rPr>
                <w:rFonts w:hint="eastAsia" w:ascii="仿宋" w:hAnsi="仿宋" w:eastAsia="仿宋" w:cs="宋体"/>
                <w:sz w:val="28"/>
                <w:szCs w:val="28"/>
              </w:rPr>
              <w:t>益阳市行政审批服务局</w:t>
            </w:r>
          </w:p>
        </w:tc>
      </w:tr>
      <w:tr w14:paraId="1932C4BD">
        <w:tblPrEx>
          <w:tblCellMar>
            <w:top w:w="15" w:type="dxa"/>
            <w:left w:w="15" w:type="dxa"/>
            <w:bottom w:w="15" w:type="dxa"/>
            <w:right w:w="15" w:type="dxa"/>
          </w:tblCellMar>
        </w:tblPrEx>
        <w:trPr>
          <w:trHeight w:val="1" w:hRule="atLeast"/>
        </w:trPr>
        <w:tc>
          <w:tcPr>
            <w:tcW w:w="223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2D3907B">
            <w:pPr>
              <w:adjustRightInd/>
              <w:snapToGrid/>
              <w:spacing w:after="0" w:line="560" w:lineRule="exact"/>
              <w:ind w:firstLine="480"/>
              <w:contextualSpacing/>
              <w:jc w:val="center"/>
              <w:rPr>
                <w:rFonts w:ascii="仿宋" w:hAnsi="仿宋" w:eastAsia="仿宋" w:cs="宋体"/>
                <w:sz w:val="28"/>
                <w:szCs w:val="28"/>
              </w:rPr>
            </w:pPr>
            <w:r>
              <w:rPr>
                <w:rFonts w:hint="eastAsia" w:ascii="仿宋" w:hAnsi="仿宋" w:eastAsia="仿宋" w:cs="宋体"/>
                <w:b/>
                <w:bCs/>
                <w:sz w:val="28"/>
                <w:szCs w:val="28"/>
              </w:rPr>
              <w:t>2</w:t>
            </w:r>
          </w:p>
        </w:tc>
        <w:tc>
          <w:tcPr>
            <w:tcW w:w="62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896939">
            <w:pPr>
              <w:adjustRightInd/>
              <w:snapToGrid/>
              <w:spacing w:after="0" w:line="560" w:lineRule="exact"/>
              <w:ind w:firstLine="480"/>
              <w:contextualSpacing/>
              <w:rPr>
                <w:rFonts w:ascii="仿宋" w:hAnsi="仿宋" w:eastAsia="仿宋" w:cs="宋体"/>
                <w:sz w:val="28"/>
                <w:szCs w:val="28"/>
              </w:rPr>
            </w:pPr>
            <w:r>
              <w:rPr>
                <w:rFonts w:hint="eastAsia" w:ascii="宋体" w:hAnsi="宋体" w:eastAsia="仿宋" w:cs="宋体"/>
                <w:sz w:val="28"/>
                <w:szCs w:val="28"/>
              </w:rPr>
              <w:t> </w:t>
            </w:r>
          </w:p>
        </w:tc>
      </w:tr>
      <w:tr w14:paraId="0E96F6AE">
        <w:tblPrEx>
          <w:tblCellMar>
            <w:top w:w="15" w:type="dxa"/>
            <w:left w:w="15" w:type="dxa"/>
            <w:bottom w:w="15" w:type="dxa"/>
            <w:right w:w="15" w:type="dxa"/>
          </w:tblCellMar>
        </w:tblPrEx>
        <w:trPr>
          <w:trHeight w:val="1" w:hRule="atLeast"/>
        </w:trPr>
        <w:tc>
          <w:tcPr>
            <w:tcW w:w="223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57607E9">
            <w:pPr>
              <w:adjustRightInd/>
              <w:snapToGrid/>
              <w:spacing w:after="0" w:line="560" w:lineRule="exact"/>
              <w:ind w:firstLine="480"/>
              <w:contextualSpacing/>
              <w:jc w:val="center"/>
              <w:rPr>
                <w:rFonts w:ascii="仿宋" w:hAnsi="仿宋" w:eastAsia="仿宋" w:cs="宋体"/>
                <w:sz w:val="28"/>
                <w:szCs w:val="28"/>
              </w:rPr>
            </w:pPr>
            <w:r>
              <w:rPr>
                <w:rFonts w:hint="eastAsia" w:ascii="仿宋" w:hAnsi="仿宋" w:eastAsia="仿宋" w:cs="宋体"/>
                <w:b/>
                <w:bCs/>
                <w:sz w:val="28"/>
                <w:szCs w:val="28"/>
              </w:rPr>
              <w:t>3</w:t>
            </w:r>
          </w:p>
        </w:tc>
        <w:tc>
          <w:tcPr>
            <w:tcW w:w="62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7D65BC">
            <w:pPr>
              <w:adjustRightInd/>
              <w:snapToGrid/>
              <w:spacing w:after="0" w:line="560" w:lineRule="exact"/>
              <w:ind w:firstLine="480"/>
              <w:contextualSpacing/>
              <w:rPr>
                <w:rFonts w:ascii="仿宋" w:hAnsi="仿宋" w:eastAsia="仿宋" w:cs="宋体"/>
                <w:sz w:val="28"/>
                <w:szCs w:val="28"/>
              </w:rPr>
            </w:pPr>
            <w:r>
              <w:rPr>
                <w:rFonts w:hint="eastAsia" w:ascii="宋体" w:hAnsi="宋体" w:eastAsia="仿宋" w:cs="宋体"/>
                <w:sz w:val="28"/>
                <w:szCs w:val="28"/>
              </w:rPr>
              <w:t> </w:t>
            </w:r>
          </w:p>
        </w:tc>
      </w:tr>
      <w:tr w14:paraId="0C1D577A">
        <w:tblPrEx>
          <w:tblCellMar>
            <w:top w:w="15" w:type="dxa"/>
            <w:left w:w="15" w:type="dxa"/>
            <w:bottom w:w="15" w:type="dxa"/>
            <w:right w:w="15" w:type="dxa"/>
          </w:tblCellMar>
        </w:tblPrEx>
        <w:trPr>
          <w:trHeight w:val="1" w:hRule="atLeast"/>
        </w:trPr>
        <w:tc>
          <w:tcPr>
            <w:tcW w:w="223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BA32938">
            <w:pPr>
              <w:adjustRightInd/>
              <w:snapToGrid/>
              <w:spacing w:after="0" w:line="560" w:lineRule="exact"/>
              <w:ind w:firstLine="480"/>
              <w:contextualSpacing/>
              <w:jc w:val="center"/>
              <w:rPr>
                <w:rFonts w:ascii="仿宋" w:hAnsi="仿宋" w:eastAsia="仿宋" w:cs="宋体"/>
                <w:sz w:val="28"/>
                <w:szCs w:val="28"/>
              </w:rPr>
            </w:pPr>
            <w:r>
              <w:rPr>
                <w:rFonts w:hint="eastAsia" w:ascii="仿宋" w:hAnsi="仿宋" w:eastAsia="仿宋" w:cs="宋体"/>
                <w:b/>
                <w:bCs/>
                <w:sz w:val="28"/>
                <w:szCs w:val="28"/>
              </w:rPr>
              <w:t>4</w:t>
            </w:r>
          </w:p>
        </w:tc>
        <w:tc>
          <w:tcPr>
            <w:tcW w:w="62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559FD39">
            <w:pPr>
              <w:adjustRightInd/>
              <w:snapToGrid/>
              <w:spacing w:after="0" w:line="560" w:lineRule="exact"/>
              <w:ind w:firstLine="480"/>
              <w:contextualSpacing/>
              <w:rPr>
                <w:rFonts w:ascii="仿宋" w:hAnsi="仿宋" w:eastAsia="仿宋" w:cs="宋体"/>
                <w:sz w:val="28"/>
                <w:szCs w:val="28"/>
              </w:rPr>
            </w:pPr>
            <w:r>
              <w:rPr>
                <w:rFonts w:hint="eastAsia" w:ascii="宋体" w:hAnsi="宋体" w:eastAsia="仿宋" w:cs="宋体"/>
                <w:sz w:val="28"/>
                <w:szCs w:val="28"/>
              </w:rPr>
              <w:t> </w:t>
            </w:r>
          </w:p>
        </w:tc>
      </w:tr>
      <w:tr w14:paraId="5AFCC666">
        <w:tblPrEx>
          <w:tblCellMar>
            <w:top w:w="15" w:type="dxa"/>
            <w:left w:w="15" w:type="dxa"/>
            <w:bottom w:w="15" w:type="dxa"/>
            <w:right w:w="15" w:type="dxa"/>
          </w:tblCellMar>
        </w:tblPrEx>
        <w:trPr>
          <w:trHeight w:val="1" w:hRule="atLeast"/>
        </w:trPr>
        <w:tc>
          <w:tcPr>
            <w:tcW w:w="223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397FF8">
            <w:pPr>
              <w:adjustRightInd/>
              <w:snapToGrid/>
              <w:spacing w:after="0" w:line="560" w:lineRule="exact"/>
              <w:ind w:firstLine="480"/>
              <w:contextualSpacing/>
              <w:jc w:val="center"/>
              <w:rPr>
                <w:rFonts w:ascii="仿宋" w:hAnsi="仿宋" w:eastAsia="仿宋" w:cs="宋体"/>
                <w:sz w:val="28"/>
                <w:szCs w:val="28"/>
              </w:rPr>
            </w:pPr>
            <w:r>
              <w:rPr>
                <w:rFonts w:hint="eastAsia" w:ascii="仿宋" w:hAnsi="仿宋" w:eastAsia="仿宋" w:cs="宋体"/>
                <w:b/>
                <w:bCs/>
                <w:sz w:val="28"/>
                <w:szCs w:val="28"/>
              </w:rPr>
              <w:t>5</w:t>
            </w:r>
          </w:p>
        </w:tc>
        <w:tc>
          <w:tcPr>
            <w:tcW w:w="62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343899A">
            <w:pPr>
              <w:adjustRightInd/>
              <w:snapToGrid/>
              <w:spacing w:after="0" w:line="560" w:lineRule="exact"/>
              <w:ind w:firstLine="480"/>
              <w:contextualSpacing/>
              <w:rPr>
                <w:rFonts w:ascii="仿宋" w:hAnsi="仿宋" w:eastAsia="仿宋" w:cs="宋体"/>
                <w:sz w:val="28"/>
                <w:szCs w:val="28"/>
              </w:rPr>
            </w:pPr>
            <w:r>
              <w:rPr>
                <w:rFonts w:hint="eastAsia" w:ascii="宋体" w:hAnsi="宋体" w:eastAsia="仿宋" w:cs="宋体"/>
                <w:sz w:val="28"/>
                <w:szCs w:val="28"/>
              </w:rPr>
              <w:t> </w:t>
            </w:r>
          </w:p>
        </w:tc>
      </w:tr>
      <w:tr w14:paraId="7627D6DC">
        <w:tblPrEx>
          <w:tblCellMar>
            <w:top w:w="15" w:type="dxa"/>
            <w:left w:w="15" w:type="dxa"/>
            <w:bottom w:w="15" w:type="dxa"/>
            <w:right w:w="15" w:type="dxa"/>
          </w:tblCellMar>
        </w:tblPrEx>
        <w:trPr>
          <w:trHeight w:val="1" w:hRule="atLeast"/>
        </w:trPr>
        <w:tc>
          <w:tcPr>
            <w:tcW w:w="223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19A6FD3">
            <w:pPr>
              <w:adjustRightInd/>
              <w:snapToGrid/>
              <w:spacing w:after="0" w:line="560" w:lineRule="exact"/>
              <w:ind w:firstLine="480"/>
              <w:contextualSpacing/>
              <w:jc w:val="center"/>
              <w:rPr>
                <w:rFonts w:ascii="仿宋" w:hAnsi="仿宋" w:eastAsia="仿宋" w:cs="宋体"/>
                <w:sz w:val="28"/>
                <w:szCs w:val="28"/>
              </w:rPr>
            </w:pPr>
            <w:r>
              <w:rPr>
                <w:rFonts w:hint="eastAsia" w:ascii="仿宋" w:hAnsi="仿宋" w:eastAsia="仿宋" w:cs="宋体"/>
                <w:b/>
                <w:bCs/>
                <w:sz w:val="28"/>
                <w:szCs w:val="28"/>
              </w:rPr>
              <w:t>6</w:t>
            </w:r>
          </w:p>
        </w:tc>
        <w:tc>
          <w:tcPr>
            <w:tcW w:w="62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08987E9">
            <w:pPr>
              <w:adjustRightInd/>
              <w:snapToGrid/>
              <w:spacing w:after="0" w:line="560" w:lineRule="exact"/>
              <w:contextualSpacing/>
              <w:rPr>
                <w:rFonts w:ascii="仿宋" w:hAnsi="仿宋" w:eastAsia="仿宋" w:cs="宋体"/>
                <w:sz w:val="28"/>
                <w:szCs w:val="28"/>
              </w:rPr>
            </w:pPr>
          </w:p>
        </w:tc>
      </w:tr>
    </w:tbl>
    <w:p w14:paraId="72F8013B">
      <w:pPr>
        <w:adjustRightInd/>
        <w:snapToGrid/>
        <w:spacing w:after="0" w:line="560" w:lineRule="exact"/>
        <w:ind w:firstLine="480"/>
        <w:contextualSpacing/>
        <w:jc w:val="both"/>
        <w:rPr>
          <w:rFonts w:ascii="仿宋" w:hAnsi="仿宋" w:eastAsia="仿宋" w:cs="宋体"/>
          <w:color w:val="062D3C"/>
          <w:sz w:val="28"/>
          <w:szCs w:val="28"/>
        </w:rPr>
      </w:pPr>
    </w:p>
    <w:p w14:paraId="48AECE93">
      <w:pPr>
        <w:adjustRightInd/>
        <w:snapToGrid/>
        <w:spacing w:after="0" w:line="560" w:lineRule="exact"/>
        <w:ind w:firstLine="480"/>
        <w:contextualSpacing/>
        <w:jc w:val="both"/>
        <w:rPr>
          <w:rFonts w:ascii="仿宋" w:hAnsi="仿宋" w:eastAsia="仿宋" w:cs="宋体"/>
          <w:color w:val="062D3C"/>
          <w:sz w:val="28"/>
          <w:szCs w:val="28"/>
        </w:rPr>
      </w:pPr>
    </w:p>
    <w:p w14:paraId="4E0DB5E5">
      <w:pPr>
        <w:adjustRightInd/>
        <w:snapToGrid/>
        <w:spacing w:after="0" w:line="560" w:lineRule="exact"/>
        <w:ind w:firstLine="480"/>
        <w:contextualSpacing/>
        <w:jc w:val="both"/>
        <w:rPr>
          <w:rFonts w:ascii="仿宋" w:hAnsi="仿宋" w:eastAsia="仿宋" w:cs="宋体"/>
          <w:color w:val="062D3C"/>
          <w:sz w:val="28"/>
          <w:szCs w:val="28"/>
        </w:rPr>
      </w:pPr>
    </w:p>
    <w:p w14:paraId="5C78F1AA">
      <w:pPr>
        <w:adjustRightInd/>
        <w:snapToGrid/>
        <w:spacing w:after="0" w:line="560" w:lineRule="exact"/>
        <w:ind w:firstLine="480"/>
        <w:contextualSpacing/>
        <w:jc w:val="both"/>
        <w:rPr>
          <w:rFonts w:ascii="黑体" w:hAnsi="黑体" w:eastAsia="黑体" w:cs="宋体"/>
          <w:color w:val="062D3C"/>
          <w:sz w:val="30"/>
          <w:szCs w:val="30"/>
        </w:rPr>
      </w:pPr>
      <w:r>
        <w:rPr>
          <w:rFonts w:ascii="黑体" w:hAnsi="黑体" w:eastAsia="黑体" w:cs="宋体"/>
          <w:color w:val="062D3C"/>
          <w:sz w:val="30"/>
          <w:szCs w:val="30"/>
        </w:rPr>
        <w:t>第二部分</w:t>
      </w:r>
      <w:r>
        <w:rPr>
          <w:rFonts w:hint="eastAsia" w:ascii="黑体" w:hAnsi="黑体" w:eastAsia="黑体" w:cs="宋体"/>
          <w:color w:val="062D3C"/>
          <w:sz w:val="30"/>
          <w:szCs w:val="30"/>
        </w:rPr>
        <w:t xml:space="preserve"> </w:t>
      </w:r>
      <w:r>
        <w:rPr>
          <w:rFonts w:ascii="微软雅黑" w:hAnsi="微软雅黑" w:eastAsia="黑体" w:cs="宋体"/>
          <w:color w:val="062D3C"/>
          <w:sz w:val="30"/>
          <w:szCs w:val="30"/>
        </w:rPr>
        <w:t> </w:t>
      </w:r>
      <w:r>
        <w:rPr>
          <w:rFonts w:ascii="黑体" w:hAnsi="黑体" w:eastAsia="黑体" w:cs="宋体"/>
          <w:color w:val="062D3C"/>
          <w:sz w:val="30"/>
          <w:szCs w:val="30"/>
        </w:rPr>
        <w:t>益阳市行政审批服务局2019 年度部门决算表</w:t>
      </w:r>
    </w:p>
    <w:p w14:paraId="6E27B19B">
      <w:pPr>
        <w:adjustRightInd/>
        <w:snapToGrid/>
        <w:spacing w:after="0" w:line="560" w:lineRule="exact"/>
        <w:ind w:firstLine="480"/>
        <w:contextualSpacing/>
        <w:jc w:val="both"/>
        <w:rPr>
          <w:rFonts w:ascii="仿宋" w:hAnsi="仿宋" w:eastAsia="仿宋" w:cs="宋体"/>
          <w:color w:val="062D3C"/>
          <w:sz w:val="28"/>
          <w:szCs w:val="28"/>
        </w:rPr>
      </w:pPr>
    </w:p>
    <w:p w14:paraId="312E4380">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表1：收入支出决算总表</w:t>
      </w:r>
    </w:p>
    <w:p w14:paraId="75577955">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表2：收入决算表</w:t>
      </w:r>
    </w:p>
    <w:p w14:paraId="46FF6311">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表3：支出决算表</w:t>
      </w:r>
    </w:p>
    <w:p w14:paraId="66ED37C0">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表4：财政拨款收入支出决算总表</w:t>
      </w:r>
    </w:p>
    <w:p w14:paraId="37C15F6D">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表5：一般公共预算财政拨款支出决算表</w:t>
      </w:r>
    </w:p>
    <w:p w14:paraId="26DCD49E">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表6：一般公共预算财政拨款基本支出决算表</w:t>
      </w:r>
    </w:p>
    <w:p w14:paraId="229F060A">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表7：一般公共预算财政拨款“三公”经费支出决算表</w:t>
      </w:r>
    </w:p>
    <w:p w14:paraId="6A5AD5D0">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表8：政府性基金预算财政拨款收入支出决算表</w:t>
      </w:r>
    </w:p>
    <w:p w14:paraId="420E10AF">
      <w:pPr>
        <w:adjustRightInd/>
        <w:snapToGrid/>
        <w:spacing w:after="0" w:line="560" w:lineRule="exact"/>
        <w:ind w:firstLine="480"/>
        <w:contextualSpacing/>
        <w:jc w:val="both"/>
        <w:rPr>
          <w:rFonts w:ascii="仿宋" w:hAnsi="仿宋" w:eastAsia="仿宋" w:cs="宋体"/>
          <w:color w:val="062D3C"/>
          <w:sz w:val="28"/>
          <w:szCs w:val="28"/>
        </w:rPr>
      </w:pPr>
    </w:p>
    <w:p w14:paraId="70D99B95">
      <w:pPr>
        <w:shd w:val="clear" w:color="auto" w:fill="FFFFFF"/>
        <w:adjustRightInd/>
        <w:snapToGrid/>
        <w:spacing w:after="0" w:line="560" w:lineRule="exact"/>
        <w:ind w:firstLine="480"/>
        <w:contextualSpacing/>
        <w:jc w:val="both"/>
        <w:rPr>
          <w:rFonts w:ascii="仿宋" w:hAnsi="仿宋" w:eastAsia="仿宋" w:cs="宋体"/>
          <w:b/>
          <w:color w:val="062D3C"/>
          <w:sz w:val="28"/>
          <w:szCs w:val="28"/>
        </w:rPr>
      </w:pPr>
      <w:r>
        <w:rPr>
          <w:rFonts w:ascii="仿宋" w:hAnsi="仿宋" w:eastAsia="仿宋" w:cs="宋体"/>
          <w:b/>
          <w:color w:val="062D3C"/>
          <w:sz w:val="28"/>
          <w:szCs w:val="28"/>
        </w:rPr>
        <w:t>（</w:t>
      </w:r>
      <w:r>
        <w:rPr>
          <w:rFonts w:hint="eastAsia" w:ascii="仿宋" w:hAnsi="仿宋" w:eastAsia="仿宋" w:cs="宋体"/>
          <w:b/>
          <w:color w:val="062D3C"/>
          <w:sz w:val="28"/>
          <w:szCs w:val="28"/>
        </w:rPr>
        <w:t>注：以上部门决算报表中，空表表示本部门无相关收支情况，详见附件1）</w:t>
      </w:r>
    </w:p>
    <w:p w14:paraId="7A88EF55">
      <w:pPr>
        <w:adjustRightInd/>
        <w:snapToGrid/>
        <w:spacing w:after="0" w:line="560" w:lineRule="exact"/>
        <w:ind w:firstLine="480"/>
        <w:contextualSpacing/>
        <w:jc w:val="center"/>
        <w:rPr>
          <w:rFonts w:ascii="黑体" w:hAnsi="黑体" w:eastAsia="黑体" w:cs="宋体"/>
          <w:color w:val="062D3C"/>
          <w:sz w:val="30"/>
          <w:szCs w:val="30"/>
        </w:rPr>
      </w:pPr>
    </w:p>
    <w:p w14:paraId="22AADA90">
      <w:pPr>
        <w:adjustRightInd/>
        <w:snapToGrid/>
        <w:spacing w:after="0" w:line="560" w:lineRule="exact"/>
        <w:ind w:firstLine="480"/>
        <w:contextualSpacing/>
        <w:jc w:val="center"/>
        <w:rPr>
          <w:rFonts w:ascii="黑体" w:hAnsi="黑体" w:eastAsia="黑体" w:cs="宋体"/>
          <w:color w:val="062D3C"/>
          <w:sz w:val="30"/>
          <w:szCs w:val="30"/>
        </w:rPr>
      </w:pPr>
    </w:p>
    <w:p w14:paraId="04561D5C">
      <w:pPr>
        <w:adjustRightInd/>
        <w:snapToGrid/>
        <w:spacing w:after="0" w:line="560" w:lineRule="exact"/>
        <w:ind w:firstLine="480"/>
        <w:contextualSpacing/>
        <w:jc w:val="center"/>
        <w:rPr>
          <w:rFonts w:ascii="黑体" w:hAnsi="黑体" w:eastAsia="黑体" w:cs="宋体"/>
          <w:color w:val="062D3C"/>
          <w:sz w:val="30"/>
          <w:szCs w:val="30"/>
        </w:rPr>
      </w:pPr>
    </w:p>
    <w:p w14:paraId="5293EADF">
      <w:pPr>
        <w:adjustRightInd/>
        <w:snapToGrid/>
        <w:spacing w:after="0" w:line="560" w:lineRule="exact"/>
        <w:ind w:firstLine="480"/>
        <w:contextualSpacing/>
        <w:jc w:val="center"/>
        <w:rPr>
          <w:rFonts w:ascii="黑体" w:hAnsi="黑体" w:eastAsia="黑体" w:cs="宋体"/>
          <w:color w:val="062D3C"/>
          <w:sz w:val="30"/>
          <w:szCs w:val="30"/>
        </w:rPr>
      </w:pPr>
    </w:p>
    <w:p w14:paraId="5D58AF73">
      <w:pPr>
        <w:adjustRightInd/>
        <w:snapToGrid/>
        <w:spacing w:after="0" w:line="560" w:lineRule="exact"/>
        <w:ind w:firstLine="480"/>
        <w:contextualSpacing/>
        <w:jc w:val="center"/>
        <w:rPr>
          <w:rFonts w:ascii="黑体" w:hAnsi="黑体" w:eastAsia="黑体" w:cs="宋体"/>
          <w:color w:val="062D3C"/>
          <w:sz w:val="30"/>
          <w:szCs w:val="30"/>
        </w:rPr>
      </w:pPr>
    </w:p>
    <w:p w14:paraId="4541EB9A">
      <w:pPr>
        <w:adjustRightInd/>
        <w:snapToGrid/>
        <w:spacing w:after="0" w:line="560" w:lineRule="exact"/>
        <w:ind w:firstLine="480"/>
        <w:contextualSpacing/>
        <w:jc w:val="center"/>
        <w:rPr>
          <w:rFonts w:ascii="黑体" w:hAnsi="黑体" w:eastAsia="黑体" w:cs="宋体"/>
          <w:color w:val="062D3C"/>
          <w:sz w:val="30"/>
          <w:szCs w:val="30"/>
        </w:rPr>
      </w:pPr>
    </w:p>
    <w:p w14:paraId="173ECD97">
      <w:pPr>
        <w:adjustRightInd/>
        <w:snapToGrid/>
        <w:spacing w:after="0" w:line="560" w:lineRule="exact"/>
        <w:ind w:firstLine="480"/>
        <w:contextualSpacing/>
        <w:jc w:val="center"/>
        <w:rPr>
          <w:rFonts w:ascii="黑体" w:hAnsi="黑体" w:eastAsia="黑体" w:cs="宋体"/>
          <w:color w:val="062D3C"/>
          <w:sz w:val="30"/>
          <w:szCs w:val="30"/>
        </w:rPr>
      </w:pPr>
    </w:p>
    <w:p w14:paraId="47FA81B3">
      <w:pPr>
        <w:adjustRightInd/>
        <w:snapToGrid/>
        <w:spacing w:after="0" w:line="560" w:lineRule="exact"/>
        <w:ind w:firstLine="480"/>
        <w:contextualSpacing/>
        <w:jc w:val="center"/>
        <w:rPr>
          <w:rFonts w:ascii="黑体" w:hAnsi="黑体" w:eastAsia="黑体" w:cs="宋体"/>
          <w:color w:val="062D3C"/>
          <w:sz w:val="30"/>
          <w:szCs w:val="30"/>
        </w:rPr>
      </w:pPr>
    </w:p>
    <w:p w14:paraId="35301FC8">
      <w:pPr>
        <w:adjustRightInd/>
        <w:snapToGrid/>
        <w:spacing w:after="0" w:line="560" w:lineRule="exact"/>
        <w:ind w:firstLine="480"/>
        <w:contextualSpacing/>
        <w:jc w:val="center"/>
        <w:rPr>
          <w:rFonts w:ascii="黑体" w:hAnsi="黑体" w:eastAsia="黑体" w:cs="宋体"/>
          <w:color w:val="062D3C"/>
          <w:sz w:val="30"/>
          <w:szCs w:val="30"/>
        </w:rPr>
      </w:pPr>
    </w:p>
    <w:p w14:paraId="7B8557D2">
      <w:pPr>
        <w:adjustRightInd/>
        <w:snapToGrid/>
        <w:spacing w:after="0" w:line="560" w:lineRule="exact"/>
        <w:ind w:firstLine="480"/>
        <w:contextualSpacing/>
        <w:jc w:val="center"/>
        <w:rPr>
          <w:rFonts w:ascii="黑体" w:hAnsi="黑体" w:eastAsia="黑体" w:cs="宋体"/>
          <w:color w:val="062D3C"/>
          <w:sz w:val="30"/>
          <w:szCs w:val="30"/>
        </w:rPr>
      </w:pPr>
    </w:p>
    <w:p w14:paraId="4216CB7E">
      <w:pPr>
        <w:adjustRightInd/>
        <w:snapToGrid/>
        <w:spacing w:after="0" w:line="560" w:lineRule="exact"/>
        <w:ind w:firstLine="480"/>
        <w:contextualSpacing/>
        <w:jc w:val="center"/>
        <w:rPr>
          <w:rFonts w:ascii="黑体" w:hAnsi="黑体" w:eastAsia="黑体" w:cs="宋体"/>
          <w:color w:val="062D3C"/>
          <w:sz w:val="30"/>
          <w:szCs w:val="30"/>
        </w:rPr>
      </w:pPr>
    </w:p>
    <w:p w14:paraId="38DF422D">
      <w:pPr>
        <w:adjustRightInd/>
        <w:snapToGrid/>
        <w:spacing w:after="0" w:line="560" w:lineRule="exact"/>
        <w:ind w:firstLine="480"/>
        <w:contextualSpacing/>
        <w:jc w:val="center"/>
        <w:rPr>
          <w:rFonts w:ascii="黑体" w:hAnsi="黑体" w:eastAsia="黑体" w:cs="宋体"/>
          <w:color w:val="062D3C"/>
          <w:sz w:val="30"/>
          <w:szCs w:val="30"/>
        </w:rPr>
      </w:pPr>
      <w:r>
        <w:rPr>
          <w:rFonts w:ascii="黑体" w:hAnsi="黑体" w:eastAsia="黑体" w:cs="宋体"/>
          <w:color w:val="062D3C"/>
          <w:sz w:val="30"/>
          <w:szCs w:val="30"/>
        </w:rPr>
        <w:t>第三部分</w:t>
      </w:r>
      <w:r>
        <w:rPr>
          <w:rFonts w:hint="eastAsia" w:ascii="黑体" w:hAnsi="黑体" w:eastAsia="黑体" w:cs="宋体"/>
          <w:color w:val="062D3C"/>
          <w:sz w:val="30"/>
          <w:szCs w:val="30"/>
        </w:rPr>
        <w:t xml:space="preserve">   </w:t>
      </w:r>
      <w:r>
        <w:rPr>
          <w:rFonts w:ascii="黑体" w:hAnsi="黑体" w:eastAsia="黑体" w:cs="宋体"/>
          <w:color w:val="062D3C"/>
          <w:sz w:val="30"/>
          <w:szCs w:val="30"/>
        </w:rPr>
        <w:t>益阳市行政审批服务局</w:t>
      </w:r>
    </w:p>
    <w:p w14:paraId="230073C2">
      <w:pPr>
        <w:adjustRightInd/>
        <w:snapToGrid/>
        <w:spacing w:after="0" w:line="560" w:lineRule="exact"/>
        <w:ind w:firstLine="480"/>
        <w:contextualSpacing/>
        <w:jc w:val="center"/>
        <w:rPr>
          <w:rFonts w:ascii="黑体" w:hAnsi="黑体" w:eastAsia="黑体" w:cs="宋体"/>
          <w:color w:val="062D3C"/>
          <w:sz w:val="30"/>
          <w:szCs w:val="30"/>
        </w:rPr>
      </w:pPr>
      <w:r>
        <w:rPr>
          <w:rFonts w:ascii="黑体" w:hAnsi="黑体" w:eastAsia="黑体" w:cs="宋体"/>
          <w:color w:val="062D3C"/>
          <w:sz w:val="30"/>
          <w:szCs w:val="30"/>
        </w:rPr>
        <w:t>2019年度部门决算情况说明</w:t>
      </w:r>
    </w:p>
    <w:p w14:paraId="2D3FBEDA">
      <w:pPr>
        <w:adjustRightInd/>
        <w:snapToGrid/>
        <w:spacing w:after="0" w:line="560" w:lineRule="exact"/>
        <w:ind w:firstLine="480"/>
        <w:contextualSpacing/>
        <w:jc w:val="center"/>
        <w:rPr>
          <w:rFonts w:ascii="黑体" w:hAnsi="黑体" w:eastAsia="黑体" w:cs="宋体"/>
          <w:color w:val="062D3C"/>
          <w:sz w:val="30"/>
          <w:szCs w:val="30"/>
        </w:rPr>
      </w:pPr>
    </w:p>
    <w:p w14:paraId="25A4C339">
      <w:pPr>
        <w:adjustRightInd/>
        <w:snapToGrid/>
        <w:spacing w:after="0" w:line="560" w:lineRule="exact"/>
        <w:ind w:firstLine="480"/>
        <w:contextualSpacing/>
        <w:jc w:val="both"/>
        <w:rPr>
          <w:rFonts w:ascii="仿宋" w:hAnsi="仿宋" w:eastAsia="仿宋" w:cs="宋体"/>
          <w:b/>
          <w:color w:val="062D3C"/>
          <w:sz w:val="28"/>
          <w:szCs w:val="28"/>
        </w:rPr>
      </w:pPr>
      <w:r>
        <w:rPr>
          <w:rFonts w:ascii="仿宋" w:hAnsi="仿宋" w:eastAsia="仿宋" w:cs="宋体"/>
          <w:b/>
          <w:color w:val="062D3C"/>
          <w:sz w:val="28"/>
          <w:szCs w:val="28"/>
        </w:rPr>
        <w:t>一、关于行政审批服务局2019 年度收入支出决算总体情况说明</w:t>
      </w:r>
    </w:p>
    <w:p w14:paraId="1D75E22C">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益阳市行政审批服务局2019年度收入总计990.07万元，比上年同期减少19.76万元，减幅1.96%；支出总计901.71万元，比上年同期增加21.73万元，增长2.47%。主要原因：本年度</w:t>
      </w:r>
      <w:r>
        <w:rPr>
          <w:rFonts w:hint="eastAsia" w:ascii="仿宋" w:hAnsi="仿宋" w:eastAsia="仿宋" w:cs="宋体"/>
          <w:color w:val="062D3C"/>
          <w:sz w:val="28"/>
          <w:szCs w:val="28"/>
        </w:rPr>
        <w:t>政府压减行政性支出，收入减少；本部门</w:t>
      </w:r>
      <w:r>
        <w:rPr>
          <w:rFonts w:ascii="仿宋" w:hAnsi="仿宋" w:eastAsia="仿宋" w:cs="宋体"/>
          <w:color w:val="062D3C"/>
          <w:sz w:val="28"/>
          <w:szCs w:val="28"/>
        </w:rPr>
        <w:t>政务大厅综合服务窗口的一般商品和服务支出费用增加</w:t>
      </w:r>
      <w:r>
        <w:rPr>
          <w:rFonts w:hint="eastAsia" w:ascii="仿宋" w:hAnsi="仿宋" w:eastAsia="仿宋" w:cs="宋体"/>
          <w:color w:val="062D3C"/>
          <w:sz w:val="28"/>
          <w:szCs w:val="28"/>
        </w:rPr>
        <w:t>，支出增加</w:t>
      </w:r>
      <w:r>
        <w:rPr>
          <w:rFonts w:ascii="仿宋" w:hAnsi="仿宋" w:eastAsia="仿宋" w:cs="宋体"/>
          <w:color w:val="062D3C"/>
          <w:sz w:val="28"/>
          <w:szCs w:val="28"/>
        </w:rPr>
        <w:t>。</w:t>
      </w:r>
    </w:p>
    <w:p w14:paraId="2209F647">
      <w:pPr>
        <w:adjustRightInd/>
        <w:snapToGrid/>
        <w:spacing w:after="0" w:line="560" w:lineRule="exact"/>
        <w:ind w:firstLine="480"/>
        <w:contextualSpacing/>
        <w:jc w:val="both"/>
        <w:rPr>
          <w:rFonts w:ascii="仿宋" w:hAnsi="仿宋" w:eastAsia="仿宋" w:cs="宋体"/>
          <w:b/>
          <w:color w:val="062D3C"/>
          <w:sz w:val="28"/>
          <w:szCs w:val="28"/>
        </w:rPr>
      </w:pPr>
      <w:r>
        <w:rPr>
          <w:rFonts w:ascii="仿宋" w:hAnsi="仿宋" w:eastAsia="仿宋" w:cs="宋体"/>
          <w:b/>
          <w:color w:val="062D3C"/>
          <w:sz w:val="28"/>
          <w:szCs w:val="28"/>
        </w:rPr>
        <w:t>二、关于益阳市行政审批服务局2019 年度收入决算情况说明</w:t>
      </w:r>
    </w:p>
    <w:p w14:paraId="262E25C5">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2019年度收入合计</w:t>
      </w:r>
      <w:r>
        <w:rPr>
          <w:rFonts w:ascii="微软雅黑" w:hAnsi="微软雅黑" w:eastAsia="仿宋" w:cs="宋体"/>
          <w:color w:val="062D3C"/>
          <w:sz w:val="28"/>
          <w:szCs w:val="28"/>
        </w:rPr>
        <w:t> </w:t>
      </w:r>
      <w:r>
        <w:rPr>
          <w:rFonts w:ascii="仿宋" w:hAnsi="仿宋" w:eastAsia="仿宋" w:cs="宋体"/>
          <w:color w:val="062D3C"/>
          <w:sz w:val="28"/>
          <w:szCs w:val="28"/>
        </w:rPr>
        <w:t>990.07万元，其中：财政拨款收入990.07万元，占</w:t>
      </w:r>
      <w:r>
        <w:rPr>
          <w:rFonts w:ascii="微软雅黑" w:hAnsi="微软雅黑" w:eastAsia="仿宋" w:cs="宋体"/>
          <w:color w:val="062D3C"/>
          <w:sz w:val="28"/>
          <w:szCs w:val="28"/>
        </w:rPr>
        <w:t> </w:t>
      </w:r>
      <w:r>
        <w:rPr>
          <w:rFonts w:ascii="仿宋" w:hAnsi="仿宋" w:eastAsia="仿宋" w:cs="宋体"/>
          <w:color w:val="062D3C"/>
          <w:sz w:val="28"/>
          <w:szCs w:val="28"/>
        </w:rPr>
        <w:t>100%；</w:t>
      </w:r>
      <w:r>
        <w:rPr>
          <w:rFonts w:hint="eastAsia" w:ascii="仿宋" w:hAnsi="仿宋" w:eastAsia="仿宋" w:cs="宋体"/>
          <w:color w:val="062D3C"/>
          <w:sz w:val="28"/>
          <w:szCs w:val="28"/>
        </w:rPr>
        <w:t>事业收入0万元，占0%；经营收入0万元，占0%。</w:t>
      </w:r>
    </w:p>
    <w:p w14:paraId="211B02D3">
      <w:pPr>
        <w:adjustRightInd/>
        <w:snapToGrid/>
        <w:spacing w:after="0" w:line="560" w:lineRule="exact"/>
        <w:ind w:firstLine="480"/>
        <w:contextualSpacing/>
        <w:jc w:val="both"/>
        <w:rPr>
          <w:rFonts w:ascii="仿宋" w:hAnsi="仿宋" w:eastAsia="仿宋" w:cs="宋体"/>
          <w:b/>
          <w:color w:val="062D3C"/>
          <w:sz w:val="28"/>
          <w:szCs w:val="28"/>
        </w:rPr>
      </w:pPr>
      <w:r>
        <w:rPr>
          <w:rFonts w:ascii="仿宋" w:hAnsi="仿宋" w:eastAsia="仿宋" w:cs="宋体"/>
          <w:b/>
          <w:color w:val="062D3C"/>
          <w:sz w:val="28"/>
          <w:szCs w:val="28"/>
        </w:rPr>
        <w:t>三、关于益阳市行政审批服务局2019年度支出决算情况说明</w:t>
      </w:r>
    </w:p>
    <w:p w14:paraId="4DE7FB21">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2019年度支出合计901.71万元，其中：基本支出787.12万元，占87.29%；项目支出114.59万元，占12.71%；</w:t>
      </w:r>
      <w:r>
        <w:rPr>
          <w:rFonts w:hint="eastAsia" w:ascii="仿宋" w:hAnsi="仿宋" w:eastAsia="仿宋" w:cs="宋体"/>
          <w:color w:val="062D3C"/>
          <w:sz w:val="28"/>
          <w:szCs w:val="28"/>
        </w:rPr>
        <w:t>经营支出0万元，占0%，</w:t>
      </w:r>
    </w:p>
    <w:p w14:paraId="72AF2575">
      <w:pPr>
        <w:adjustRightInd/>
        <w:snapToGrid/>
        <w:spacing w:after="0" w:line="560" w:lineRule="exact"/>
        <w:ind w:firstLine="480"/>
        <w:contextualSpacing/>
        <w:jc w:val="both"/>
        <w:rPr>
          <w:rFonts w:ascii="仿宋" w:hAnsi="仿宋" w:eastAsia="仿宋" w:cs="宋体"/>
          <w:b/>
          <w:color w:val="062D3C"/>
          <w:sz w:val="28"/>
          <w:szCs w:val="28"/>
        </w:rPr>
      </w:pPr>
      <w:r>
        <w:rPr>
          <w:rFonts w:ascii="仿宋" w:hAnsi="仿宋" w:eastAsia="仿宋" w:cs="宋体"/>
          <w:b/>
          <w:color w:val="062D3C"/>
          <w:sz w:val="28"/>
          <w:szCs w:val="28"/>
        </w:rPr>
        <w:t>四、关于益阳市行政审批服务局2019 年度财政拨款收入支出决算总体情况说明</w:t>
      </w:r>
    </w:p>
    <w:p w14:paraId="556578E8">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2019 年度财政拨款收入总计990.07万元，比上年同期减少19.76万元，减幅1.96%；财政拨款支出总计901.71万元，比上年同期增加21.73万元，增长2.47%。主要原因：本年度</w:t>
      </w:r>
      <w:r>
        <w:rPr>
          <w:rFonts w:hint="eastAsia" w:ascii="仿宋" w:hAnsi="仿宋" w:eastAsia="仿宋" w:cs="宋体"/>
          <w:color w:val="062D3C"/>
          <w:sz w:val="28"/>
          <w:szCs w:val="28"/>
        </w:rPr>
        <w:t>政府压减行政性支出，财政拨款收入减少；本部门</w:t>
      </w:r>
      <w:r>
        <w:rPr>
          <w:rFonts w:ascii="仿宋" w:hAnsi="仿宋" w:eastAsia="仿宋" w:cs="宋体"/>
          <w:color w:val="062D3C"/>
          <w:sz w:val="28"/>
          <w:szCs w:val="28"/>
        </w:rPr>
        <w:t>政务大厅综合服务窗口的一般商品和服务支出费用增加</w:t>
      </w:r>
      <w:r>
        <w:rPr>
          <w:rFonts w:hint="eastAsia" w:ascii="仿宋" w:hAnsi="仿宋" w:eastAsia="仿宋" w:cs="宋体"/>
          <w:color w:val="062D3C"/>
          <w:sz w:val="28"/>
          <w:szCs w:val="28"/>
        </w:rPr>
        <w:t>，支出增加</w:t>
      </w:r>
      <w:r>
        <w:rPr>
          <w:rFonts w:ascii="仿宋" w:hAnsi="仿宋" w:eastAsia="仿宋" w:cs="宋体"/>
          <w:color w:val="062D3C"/>
          <w:sz w:val="28"/>
          <w:szCs w:val="28"/>
        </w:rPr>
        <w:t>。</w:t>
      </w:r>
    </w:p>
    <w:p w14:paraId="65E585BF">
      <w:pPr>
        <w:adjustRightInd/>
        <w:snapToGrid/>
        <w:spacing w:after="0" w:line="560" w:lineRule="exact"/>
        <w:ind w:firstLine="480"/>
        <w:contextualSpacing/>
        <w:jc w:val="both"/>
        <w:rPr>
          <w:rFonts w:ascii="仿宋" w:hAnsi="仿宋" w:eastAsia="仿宋" w:cs="宋体"/>
          <w:color w:val="062D3C"/>
          <w:sz w:val="28"/>
          <w:szCs w:val="28"/>
        </w:rPr>
      </w:pPr>
    </w:p>
    <w:p w14:paraId="18479CB8">
      <w:pPr>
        <w:adjustRightInd/>
        <w:snapToGrid/>
        <w:spacing w:after="0" w:line="560" w:lineRule="exact"/>
        <w:ind w:firstLine="480"/>
        <w:contextualSpacing/>
        <w:jc w:val="both"/>
        <w:rPr>
          <w:rFonts w:ascii="仿宋" w:hAnsi="仿宋" w:eastAsia="仿宋" w:cs="宋体"/>
          <w:b/>
          <w:color w:val="062D3C"/>
          <w:sz w:val="28"/>
          <w:szCs w:val="28"/>
        </w:rPr>
      </w:pPr>
      <w:r>
        <w:rPr>
          <w:rFonts w:ascii="仿宋" w:hAnsi="仿宋" w:eastAsia="仿宋" w:cs="宋体"/>
          <w:b/>
          <w:color w:val="062D3C"/>
          <w:sz w:val="28"/>
          <w:szCs w:val="28"/>
        </w:rPr>
        <w:t>五、关于益阳市行政审批服务局2019 年度一般公共预算财政拨款收入支出决算情况说明</w:t>
      </w:r>
    </w:p>
    <w:p w14:paraId="7B372A0F">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（一）一般公共预算财政拨款收入支出决算总体情况。</w:t>
      </w:r>
    </w:p>
    <w:p w14:paraId="3037CF25">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2019 年度一般公共预算财政拨款收入总计990.07万元，比上年同期减少19.76万元，减幅1.96%；一般公共预算财政拨款支出总计901.71万元，比上年同期增加21.73万元，增长2.47%。主要原因：本年度</w:t>
      </w:r>
      <w:r>
        <w:rPr>
          <w:rFonts w:hint="eastAsia" w:ascii="仿宋" w:hAnsi="仿宋" w:eastAsia="仿宋" w:cs="宋体"/>
          <w:color w:val="062D3C"/>
          <w:sz w:val="28"/>
          <w:szCs w:val="28"/>
        </w:rPr>
        <w:t>政府压减行政性支出，一般公共预算财政拨款收入减少；本部门</w:t>
      </w:r>
      <w:r>
        <w:rPr>
          <w:rFonts w:ascii="仿宋" w:hAnsi="仿宋" w:eastAsia="仿宋" w:cs="宋体"/>
          <w:color w:val="062D3C"/>
          <w:sz w:val="28"/>
          <w:szCs w:val="28"/>
        </w:rPr>
        <w:t>政务大厅综合服务窗口的一般商品和服务支出费用增加</w:t>
      </w:r>
      <w:r>
        <w:rPr>
          <w:rFonts w:hint="eastAsia" w:ascii="仿宋" w:hAnsi="仿宋" w:eastAsia="仿宋" w:cs="宋体"/>
          <w:color w:val="062D3C"/>
          <w:sz w:val="28"/>
          <w:szCs w:val="28"/>
        </w:rPr>
        <w:t>，支出增加。</w:t>
      </w:r>
    </w:p>
    <w:p w14:paraId="5F34B59C">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（二）一般公共预算财政拨款支出决算构成情况。</w:t>
      </w:r>
    </w:p>
    <w:p w14:paraId="7FDCF604">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2019 年度财政拨款支出901.71万元，主要用于以下方面：</w:t>
      </w:r>
      <w:r>
        <w:rPr>
          <w:rFonts w:ascii="微软雅黑" w:hAnsi="微软雅黑" w:eastAsia="仿宋" w:cs="宋体"/>
          <w:color w:val="062D3C"/>
          <w:sz w:val="28"/>
          <w:szCs w:val="28"/>
        </w:rPr>
        <w:t> </w:t>
      </w:r>
      <w:r>
        <w:rPr>
          <w:rFonts w:ascii="仿宋" w:hAnsi="仿宋" w:eastAsia="仿宋" w:cs="宋体"/>
          <w:color w:val="062D3C"/>
          <w:sz w:val="28"/>
          <w:szCs w:val="28"/>
        </w:rPr>
        <w:t>一般公共服务（类）支出851.52万元，占</w:t>
      </w:r>
      <w:r>
        <w:rPr>
          <w:rFonts w:ascii="微软雅黑" w:hAnsi="微软雅黑" w:eastAsia="仿宋" w:cs="宋体"/>
          <w:color w:val="062D3C"/>
          <w:sz w:val="28"/>
          <w:szCs w:val="28"/>
        </w:rPr>
        <w:t> </w:t>
      </w:r>
      <w:r>
        <w:rPr>
          <w:rFonts w:ascii="仿宋" w:hAnsi="仿宋" w:eastAsia="仿宋" w:cs="宋体"/>
          <w:color w:val="062D3C"/>
          <w:sz w:val="28"/>
          <w:szCs w:val="28"/>
        </w:rPr>
        <w:t>94.43%；</w:t>
      </w:r>
      <w:r>
        <w:rPr>
          <w:rFonts w:ascii="微软雅黑" w:hAnsi="微软雅黑" w:eastAsia="仿宋" w:cs="宋体"/>
          <w:color w:val="062D3C"/>
          <w:sz w:val="28"/>
          <w:szCs w:val="28"/>
        </w:rPr>
        <w:t> </w:t>
      </w:r>
      <w:r>
        <w:rPr>
          <w:rFonts w:ascii="仿宋" w:hAnsi="仿宋" w:eastAsia="仿宋" w:cs="宋体"/>
          <w:color w:val="062D3C"/>
          <w:sz w:val="28"/>
          <w:szCs w:val="28"/>
        </w:rPr>
        <w:t>住房保障（类）支出</w:t>
      </w:r>
      <w:r>
        <w:rPr>
          <w:rFonts w:ascii="微软雅黑" w:hAnsi="微软雅黑" w:eastAsia="仿宋" w:cs="宋体"/>
          <w:color w:val="062D3C"/>
          <w:sz w:val="28"/>
          <w:szCs w:val="28"/>
        </w:rPr>
        <w:t> </w:t>
      </w:r>
      <w:r>
        <w:rPr>
          <w:rFonts w:ascii="仿宋" w:hAnsi="仿宋" w:eastAsia="仿宋" w:cs="宋体"/>
          <w:color w:val="062D3C"/>
          <w:sz w:val="28"/>
          <w:szCs w:val="28"/>
        </w:rPr>
        <w:t>17.68 万元，占</w:t>
      </w:r>
      <w:r>
        <w:rPr>
          <w:rFonts w:ascii="微软雅黑" w:hAnsi="微软雅黑" w:eastAsia="仿宋" w:cs="宋体"/>
          <w:color w:val="062D3C"/>
          <w:sz w:val="28"/>
          <w:szCs w:val="28"/>
        </w:rPr>
        <w:t> </w:t>
      </w:r>
      <w:r>
        <w:rPr>
          <w:rFonts w:ascii="仿宋" w:hAnsi="仿宋" w:eastAsia="仿宋" w:cs="宋体"/>
          <w:color w:val="062D3C"/>
          <w:sz w:val="28"/>
          <w:szCs w:val="28"/>
        </w:rPr>
        <w:t>1.96%;教育支出3.04万元，占总支出0.34%；社会保障和就业支出29.47万元，占总支出3.27%。</w:t>
      </w:r>
    </w:p>
    <w:p w14:paraId="7D4E8CBC">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（三）一般公共预算财政拨款支出决算具体情况。</w:t>
      </w:r>
    </w:p>
    <w:p w14:paraId="2E37AC21">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2019 年度财政拨款支出年初预算为</w:t>
      </w:r>
      <w:r>
        <w:rPr>
          <w:rFonts w:ascii="微软雅黑" w:hAnsi="微软雅黑" w:eastAsia="仿宋" w:cs="宋体"/>
          <w:color w:val="062D3C"/>
          <w:sz w:val="28"/>
          <w:szCs w:val="28"/>
        </w:rPr>
        <w:t> </w:t>
      </w:r>
      <w:r>
        <w:rPr>
          <w:rFonts w:ascii="仿宋" w:hAnsi="仿宋" w:eastAsia="仿宋" w:cs="宋体"/>
          <w:color w:val="062D3C"/>
          <w:sz w:val="28"/>
          <w:szCs w:val="28"/>
        </w:rPr>
        <w:t>838.29万元，调整预算数为1118.86万元，支出决算为901.71 万元，完成调整预算的80.59 %。其中：</w:t>
      </w:r>
    </w:p>
    <w:p w14:paraId="5FB9BC96">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1.</w:t>
      </w:r>
      <w:r>
        <w:rPr>
          <w:rFonts w:ascii="微软雅黑" w:hAnsi="微软雅黑" w:eastAsia="仿宋" w:cs="宋体"/>
          <w:color w:val="062D3C"/>
          <w:sz w:val="28"/>
          <w:szCs w:val="28"/>
        </w:rPr>
        <w:t> </w:t>
      </w:r>
      <w:r>
        <w:rPr>
          <w:rFonts w:ascii="仿宋" w:hAnsi="仿宋" w:eastAsia="仿宋" w:cs="宋体"/>
          <w:color w:val="062D3C"/>
          <w:sz w:val="28"/>
          <w:szCs w:val="28"/>
        </w:rPr>
        <w:t>一般公共服务支出（类）政府办公厅（室）及相关机构事务（款）行政运行（项）财政拨款支出决算为</w:t>
      </w:r>
      <w:r>
        <w:rPr>
          <w:rFonts w:ascii="微软雅黑" w:hAnsi="微软雅黑" w:eastAsia="仿宋" w:cs="宋体"/>
          <w:color w:val="062D3C"/>
          <w:sz w:val="28"/>
          <w:szCs w:val="28"/>
        </w:rPr>
        <w:t> </w:t>
      </w:r>
      <w:r>
        <w:rPr>
          <w:rFonts w:ascii="仿宋" w:hAnsi="仿宋" w:eastAsia="仿宋" w:cs="宋体"/>
          <w:color w:val="062D3C"/>
          <w:sz w:val="28"/>
          <w:szCs w:val="28"/>
        </w:rPr>
        <w:t>735.93万元，主要用于市行政审批服务局工作正常运转及工作人员工资福利等。</w:t>
      </w:r>
    </w:p>
    <w:p w14:paraId="4356EEB0">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2. 一般公共服务支出（类）政府办公厅（室）及相关机构事务（款）政务公开审批（项）财政拨款支出决算为</w:t>
      </w:r>
      <w:r>
        <w:rPr>
          <w:rFonts w:ascii="微软雅黑" w:hAnsi="微软雅黑" w:eastAsia="仿宋" w:cs="宋体"/>
          <w:color w:val="062D3C"/>
          <w:sz w:val="28"/>
          <w:szCs w:val="28"/>
        </w:rPr>
        <w:t> </w:t>
      </w:r>
      <w:r>
        <w:rPr>
          <w:rFonts w:ascii="仿宋" w:hAnsi="仿宋" w:eastAsia="仿宋" w:cs="宋体"/>
          <w:color w:val="062D3C"/>
          <w:sz w:val="28"/>
          <w:szCs w:val="28"/>
        </w:rPr>
        <w:t>64.85万元，主要用于政务审批工作、政务公开工作、会议、培训费等。</w:t>
      </w:r>
    </w:p>
    <w:p w14:paraId="19FFBCF1">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3. 一般公共服务支出（类）政府办公厅（室）及相关机构事务（款）其他政府办公厅（室）及相关机构事务支出（项）财政拨款支出决算为29.74万，主要用于政务大厅正常运转等。</w:t>
      </w:r>
    </w:p>
    <w:p w14:paraId="64A3D397">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4.</w:t>
      </w:r>
      <w:r>
        <w:rPr>
          <w:rFonts w:ascii="微软雅黑" w:hAnsi="微软雅黑" w:eastAsia="仿宋" w:cs="宋体"/>
          <w:color w:val="062D3C"/>
          <w:sz w:val="28"/>
          <w:szCs w:val="28"/>
        </w:rPr>
        <w:t> </w:t>
      </w:r>
      <w:r>
        <w:rPr>
          <w:rFonts w:ascii="仿宋" w:hAnsi="仿宋" w:eastAsia="仿宋" w:cs="宋体"/>
          <w:color w:val="062D3C"/>
          <w:sz w:val="28"/>
          <w:szCs w:val="28"/>
        </w:rPr>
        <w:t>一般公共服务支出（类）税收事务（款）行政运行（项）财政拨款支出决算为1万，主要用于工作人员工资福利支出。</w:t>
      </w:r>
    </w:p>
    <w:p w14:paraId="69BEBAD5">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5. 一般公共服务支出（类）税收事务（款）一般行政管理事务（项）财政拨款支出决算为20万，主要用于政务大厅地税窗口人员工资等。</w:t>
      </w:r>
    </w:p>
    <w:p w14:paraId="7A4947B7">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6.教育支出（类）其他教育支出（款）其他教育支出（类）财政拨款支出决算为3.04万，主要用于机关工作人员公积金单位部分缴纳等。</w:t>
      </w:r>
    </w:p>
    <w:p w14:paraId="4FAA05D0">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7.社会保障和就业支出（类）行政事业单位离退休（款）机关事业单位基本养老保险缴费支出（类）财政拨款支出决算为29.47万，主要用于机关工作人员购买医疗保险和养老保险缴费等。</w:t>
      </w:r>
    </w:p>
    <w:p w14:paraId="022B1827">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8.住房保障支出（类）住房改革支出（款）住房公积金（类）财政拨款支出决算为17.68万，主要用于机关工作人员公积金单位部分缴纳等。</w:t>
      </w:r>
    </w:p>
    <w:p w14:paraId="0333E434">
      <w:pPr>
        <w:adjustRightInd/>
        <w:snapToGrid/>
        <w:spacing w:after="0" w:line="560" w:lineRule="exact"/>
        <w:ind w:firstLine="480"/>
        <w:contextualSpacing/>
        <w:jc w:val="both"/>
        <w:rPr>
          <w:rFonts w:ascii="仿宋" w:hAnsi="仿宋" w:eastAsia="仿宋" w:cs="宋体"/>
          <w:b/>
          <w:color w:val="062D3C"/>
          <w:sz w:val="28"/>
          <w:szCs w:val="28"/>
        </w:rPr>
      </w:pPr>
      <w:r>
        <w:rPr>
          <w:rFonts w:ascii="仿宋" w:hAnsi="仿宋" w:eastAsia="仿宋" w:cs="宋体"/>
          <w:b/>
          <w:color w:val="062D3C"/>
          <w:sz w:val="28"/>
          <w:szCs w:val="28"/>
        </w:rPr>
        <w:t>六、关于益阳市行政审批服务局2019 年度一般公共预算财政拨款基本支出决算情况说明</w:t>
      </w:r>
    </w:p>
    <w:p w14:paraId="046735DE">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2019年度一般公共预算财政拨款基本支出901.71万元，其中人员经费支出</w:t>
      </w:r>
      <w:r>
        <w:rPr>
          <w:rFonts w:ascii="微软雅黑" w:hAnsi="微软雅黑" w:eastAsia="仿宋" w:cs="宋体"/>
          <w:color w:val="062D3C"/>
          <w:sz w:val="28"/>
          <w:szCs w:val="28"/>
        </w:rPr>
        <w:t> </w:t>
      </w:r>
      <w:r>
        <w:rPr>
          <w:rFonts w:ascii="仿宋" w:hAnsi="仿宋" w:eastAsia="仿宋" w:cs="宋体"/>
          <w:color w:val="062D3C"/>
          <w:sz w:val="28"/>
          <w:szCs w:val="28"/>
        </w:rPr>
        <w:t>389.98万元，主要包括：主要包括基本工资、津贴补贴、其他社会保障缴费、绩效工资、机关事</w:t>
      </w:r>
      <w:r>
        <w:rPr>
          <w:rFonts w:ascii="微软雅黑" w:hAnsi="微软雅黑" w:eastAsia="仿宋" w:cs="宋体"/>
          <w:color w:val="062D3C"/>
          <w:sz w:val="28"/>
          <w:szCs w:val="28"/>
        </w:rPr>
        <w:t> </w:t>
      </w:r>
      <w:r>
        <w:rPr>
          <w:rFonts w:ascii="仿宋" w:hAnsi="仿宋" w:eastAsia="仿宋" w:cs="宋体"/>
          <w:color w:val="062D3C"/>
          <w:sz w:val="28"/>
          <w:szCs w:val="28"/>
        </w:rPr>
        <w:t>业单位基本养老金保险缴费、其他工资福利支出、生活补助、奖励金、住房公积金、其他对个人和家庭的补助支出；公用经费支出</w:t>
      </w:r>
      <w:r>
        <w:rPr>
          <w:rFonts w:ascii="微软雅黑" w:hAnsi="微软雅黑" w:eastAsia="仿宋" w:cs="宋体"/>
          <w:color w:val="062D3C"/>
          <w:sz w:val="28"/>
          <w:szCs w:val="28"/>
        </w:rPr>
        <w:t> </w:t>
      </w:r>
      <w:r>
        <w:rPr>
          <w:rFonts w:ascii="仿宋" w:hAnsi="仿宋" w:eastAsia="仿宋" w:cs="宋体"/>
          <w:color w:val="062D3C"/>
          <w:sz w:val="28"/>
          <w:szCs w:val="28"/>
        </w:rPr>
        <w:t>397.14万元。主要包括：办公费、印刷费、水费、电费、邮电费、物业管理费、差旅费、维修（护）费、租赁费、会议费、培训费、公务接待费、专用材料费、劳务费、工会经费、公务用车运行维护费、</w:t>
      </w:r>
      <w:r>
        <w:rPr>
          <w:rFonts w:ascii="微软雅黑" w:hAnsi="微软雅黑" w:eastAsia="仿宋" w:cs="宋体"/>
          <w:color w:val="062D3C"/>
          <w:sz w:val="28"/>
          <w:szCs w:val="28"/>
        </w:rPr>
        <w:t> </w:t>
      </w:r>
      <w:r>
        <w:rPr>
          <w:rFonts w:ascii="仿宋" w:hAnsi="仿宋" w:eastAsia="仿宋" w:cs="宋体"/>
          <w:color w:val="062D3C"/>
          <w:sz w:val="28"/>
          <w:szCs w:val="28"/>
        </w:rPr>
        <w:t>其他商品和服务支出、信息网络及软件购置更新、其他资本性支出。</w:t>
      </w:r>
    </w:p>
    <w:p w14:paraId="52D8CC35">
      <w:pPr>
        <w:adjustRightInd/>
        <w:snapToGrid/>
        <w:spacing w:after="0" w:line="560" w:lineRule="exact"/>
        <w:ind w:firstLine="480"/>
        <w:contextualSpacing/>
        <w:jc w:val="both"/>
        <w:rPr>
          <w:rFonts w:ascii="仿宋" w:hAnsi="仿宋" w:eastAsia="仿宋" w:cs="宋体"/>
          <w:b/>
          <w:color w:val="062D3C"/>
          <w:sz w:val="28"/>
          <w:szCs w:val="28"/>
        </w:rPr>
      </w:pPr>
      <w:r>
        <w:rPr>
          <w:rFonts w:ascii="仿宋" w:hAnsi="仿宋" w:eastAsia="仿宋" w:cs="宋体"/>
          <w:b/>
          <w:color w:val="062D3C"/>
          <w:sz w:val="28"/>
          <w:szCs w:val="28"/>
        </w:rPr>
        <w:t>七、政府性基金预算财政拨款支出决算情况说明</w:t>
      </w:r>
    </w:p>
    <w:p w14:paraId="621DC63C">
      <w:pPr>
        <w:adjustRightInd/>
        <w:snapToGrid/>
        <w:spacing w:after="0" w:line="560" w:lineRule="exact"/>
        <w:ind w:firstLine="480"/>
        <w:contextualSpacing/>
        <w:jc w:val="both"/>
        <w:rPr>
          <w:rFonts w:ascii="仿宋" w:hAnsi="仿宋" w:eastAsia="仿宋" w:cs="宋体"/>
          <w:color w:val="062D3C"/>
          <w:sz w:val="28"/>
          <w:szCs w:val="28"/>
        </w:rPr>
      </w:pPr>
      <w:r>
        <w:rPr>
          <w:rFonts w:hint="eastAsia" w:ascii="仿宋" w:hAnsi="仿宋" w:eastAsia="仿宋" w:cs="宋体"/>
          <w:color w:val="062D3C"/>
          <w:sz w:val="28"/>
          <w:szCs w:val="28"/>
        </w:rPr>
        <w:t>2019年度本部门</w:t>
      </w:r>
      <w:r>
        <w:rPr>
          <w:rFonts w:ascii="仿宋" w:hAnsi="仿宋" w:eastAsia="仿宋" w:cs="宋体"/>
          <w:color w:val="062D3C"/>
          <w:sz w:val="28"/>
          <w:szCs w:val="28"/>
        </w:rPr>
        <w:t>无政府性基金收支</w:t>
      </w:r>
      <w:r>
        <w:rPr>
          <w:rFonts w:hint="eastAsia" w:ascii="仿宋" w:hAnsi="仿宋" w:eastAsia="仿宋" w:cs="宋体"/>
          <w:color w:val="062D3C"/>
          <w:sz w:val="28"/>
          <w:szCs w:val="28"/>
        </w:rPr>
        <w:t>。</w:t>
      </w:r>
    </w:p>
    <w:p w14:paraId="3EC3A699">
      <w:pPr>
        <w:adjustRightInd/>
        <w:snapToGrid/>
        <w:spacing w:after="0" w:line="560" w:lineRule="exact"/>
        <w:ind w:firstLine="480"/>
        <w:contextualSpacing/>
        <w:jc w:val="both"/>
        <w:rPr>
          <w:rFonts w:ascii="仿宋" w:hAnsi="仿宋" w:eastAsia="仿宋" w:cs="宋体"/>
          <w:b/>
          <w:color w:val="062D3C"/>
          <w:sz w:val="28"/>
          <w:szCs w:val="28"/>
        </w:rPr>
      </w:pPr>
      <w:r>
        <w:rPr>
          <w:rFonts w:ascii="仿宋" w:hAnsi="仿宋" w:eastAsia="仿宋" w:cs="宋体"/>
          <w:b/>
          <w:color w:val="062D3C"/>
          <w:sz w:val="28"/>
          <w:szCs w:val="28"/>
        </w:rPr>
        <w:t>八、关于益阳市行政审批服务局2019 年度一般公共预算财政拨款“三公”经费支出决算情况说明</w:t>
      </w:r>
    </w:p>
    <w:p w14:paraId="023499BB">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（一）“三公”经费财政拨款支出决算总体情况说明。</w:t>
      </w:r>
    </w:p>
    <w:p w14:paraId="216288E4">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2019 年度“三公”经费财政拨款支出预算为10.86万元，支出决算为2.26万元，完成预算的20.8%，其中：因公出国（境）费支出决算</w:t>
      </w:r>
      <w:r>
        <w:rPr>
          <w:rFonts w:hint="eastAsia" w:ascii="仿宋" w:hAnsi="仿宋" w:eastAsia="仿宋" w:cs="宋体"/>
          <w:color w:val="062D3C"/>
          <w:sz w:val="28"/>
          <w:szCs w:val="28"/>
        </w:rPr>
        <w:t>0万元</w:t>
      </w:r>
      <w:r>
        <w:rPr>
          <w:rFonts w:ascii="仿宋" w:hAnsi="仿宋" w:eastAsia="仿宋" w:cs="宋体"/>
          <w:color w:val="062D3C"/>
          <w:sz w:val="28"/>
          <w:szCs w:val="28"/>
        </w:rPr>
        <w:t>；公务用车购置及运行费支出决算为2.2万元</w:t>
      </w:r>
      <w:r>
        <w:rPr>
          <w:rFonts w:hint="eastAsia" w:ascii="仿宋" w:hAnsi="仿宋" w:eastAsia="仿宋" w:cs="宋体"/>
          <w:color w:val="062D3C"/>
          <w:sz w:val="32"/>
          <w:szCs w:val="32"/>
        </w:rPr>
        <w:t>(公务用车购置费0万元，公务用车运行费2.2万元）</w:t>
      </w:r>
      <w:r>
        <w:rPr>
          <w:rFonts w:ascii="仿宋" w:hAnsi="仿宋" w:eastAsia="仿宋" w:cs="宋体"/>
          <w:color w:val="062D3C"/>
          <w:sz w:val="28"/>
          <w:szCs w:val="28"/>
        </w:rPr>
        <w:t>，完成预算的31.4%；公务接待费支出决算为</w:t>
      </w:r>
      <w:r>
        <w:rPr>
          <w:rFonts w:ascii="微软雅黑" w:hAnsi="微软雅黑" w:eastAsia="仿宋" w:cs="宋体"/>
          <w:color w:val="062D3C"/>
          <w:sz w:val="28"/>
          <w:szCs w:val="28"/>
        </w:rPr>
        <w:t> </w:t>
      </w:r>
      <w:r>
        <w:rPr>
          <w:rFonts w:ascii="仿宋" w:hAnsi="仿宋" w:eastAsia="仿宋" w:cs="宋体"/>
          <w:color w:val="062D3C"/>
          <w:sz w:val="28"/>
          <w:szCs w:val="28"/>
        </w:rPr>
        <w:t>0.06万元，完成预算的1.55%。2019 年度“三公”经费支出决算数小于预算数的主要原因：认真贯彻落实中央八项</w:t>
      </w:r>
      <w:bookmarkStart w:id="0" w:name="_GoBack"/>
      <w:bookmarkEnd w:id="0"/>
      <w:r>
        <w:rPr>
          <w:rFonts w:ascii="仿宋" w:hAnsi="仿宋" w:eastAsia="仿宋" w:cs="宋体"/>
          <w:color w:val="062D3C"/>
          <w:sz w:val="28"/>
          <w:szCs w:val="28"/>
        </w:rPr>
        <w:t>规定、省委九项规定、市委十项规定和厉行节约要求，进一步从严控制“三公”经费开支，全年实际支出比预算大幅减少。</w:t>
      </w:r>
    </w:p>
    <w:p w14:paraId="42A46966">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（二）“三公”经费财政拨款支出决算具体情况说明。</w:t>
      </w:r>
    </w:p>
    <w:p w14:paraId="5BBA9DE4">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2019 年度“三公”经费财政拨款支出决算为2.26万元，其中：因公出国（境）费支出决算</w:t>
      </w:r>
      <w:r>
        <w:rPr>
          <w:rFonts w:hint="eastAsia" w:ascii="仿宋" w:hAnsi="仿宋" w:eastAsia="仿宋" w:cs="宋体"/>
          <w:color w:val="062D3C"/>
          <w:sz w:val="28"/>
          <w:szCs w:val="28"/>
        </w:rPr>
        <w:t>0万元，占0%</w:t>
      </w:r>
      <w:r>
        <w:rPr>
          <w:rFonts w:ascii="仿宋" w:hAnsi="仿宋" w:eastAsia="仿宋" w:cs="宋体"/>
          <w:color w:val="062D3C"/>
          <w:sz w:val="28"/>
          <w:szCs w:val="28"/>
        </w:rPr>
        <w:t>；公务用车购置及运行费支出决算为2.2万元</w:t>
      </w:r>
      <w:r>
        <w:rPr>
          <w:rFonts w:hint="eastAsia" w:ascii="仿宋" w:hAnsi="仿宋" w:eastAsia="仿宋" w:cs="宋体"/>
          <w:color w:val="062D3C"/>
          <w:sz w:val="32"/>
          <w:szCs w:val="32"/>
        </w:rPr>
        <w:t>(公务用车购置费0万元，公务用车运行费2.2万元）</w:t>
      </w:r>
      <w:r>
        <w:rPr>
          <w:rFonts w:ascii="仿宋" w:hAnsi="仿宋" w:eastAsia="仿宋" w:cs="宋体"/>
          <w:color w:val="062D3C"/>
          <w:sz w:val="28"/>
          <w:szCs w:val="28"/>
        </w:rPr>
        <w:t>，占97%；公务接待费支出决算为</w:t>
      </w:r>
      <w:r>
        <w:rPr>
          <w:rFonts w:ascii="微软雅黑" w:hAnsi="微软雅黑" w:eastAsia="仿宋" w:cs="宋体"/>
          <w:color w:val="062D3C"/>
          <w:sz w:val="28"/>
          <w:szCs w:val="28"/>
        </w:rPr>
        <w:t> </w:t>
      </w:r>
      <w:r>
        <w:rPr>
          <w:rFonts w:ascii="仿宋" w:hAnsi="仿宋" w:eastAsia="仿宋" w:cs="宋体"/>
          <w:color w:val="062D3C"/>
          <w:sz w:val="28"/>
          <w:szCs w:val="28"/>
        </w:rPr>
        <w:t>0.06万元，占3%。2019 年度“三公”经费支出决算数小于上年决算数的主要原因：贯彻落实中央和国家机关公务用车制度改革精神，当年没有购置车辆；</w:t>
      </w:r>
      <w:r>
        <w:rPr>
          <w:rFonts w:hint="eastAsia" w:ascii="仿宋" w:hAnsi="仿宋" w:eastAsia="仿宋" w:cs="宋体"/>
          <w:color w:val="062D3C"/>
          <w:sz w:val="28"/>
          <w:szCs w:val="28"/>
        </w:rPr>
        <w:t>认真</w:t>
      </w:r>
      <w:r>
        <w:rPr>
          <w:rFonts w:ascii="仿宋" w:hAnsi="仿宋" w:eastAsia="仿宋" w:cs="宋体"/>
          <w:color w:val="062D3C"/>
          <w:sz w:val="28"/>
          <w:szCs w:val="28"/>
        </w:rPr>
        <w:t>落实中央、省委、市委关于厉行节约的要求，从严控制公务接待行为。</w:t>
      </w:r>
    </w:p>
    <w:p w14:paraId="2B0B0321">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1、因公出国（境）情况说明</w:t>
      </w:r>
    </w:p>
    <w:p w14:paraId="4194D47D">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2019 年度</w:t>
      </w:r>
      <w:r>
        <w:rPr>
          <w:rFonts w:hint="eastAsia" w:ascii="仿宋" w:hAnsi="仿宋" w:eastAsia="仿宋" w:cs="宋体"/>
          <w:color w:val="062D3C"/>
          <w:sz w:val="28"/>
          <w:szCs w:val="28"/>
        </w:rPr>
        <w:t>本部门</w:t>
      </w:r>
      <w:r>
        <w:rPr>
          <w:rFonts w:ascii="仿宋" w:hAnsi="仿宋" w:eastAsia="仿宋" w:cs="宋体"/>
          <w:color w:val="062D3C"/>
          <w:sz w:val="28"/>
          <w:szCs w:val="28"/>
        </w:rPr>
        <w:t>无因公出国(境)</w:t>
      </w:r>
      <w:r>
        <w:rPr>
          <w:rFonts w:hint="eastAsia" w:ascii="仿宋" w:hAnsi="仿宋" w:eastAsia="仿宋" w:cs="宋体"/>
          <w:color w:val="062D3C"/>
          <w:sz w:val="28"/>
          <w:szCs w:val="28"/>
        </w:rPr>
        <w:t>情况</w:t>
      </w:r>
    </w:p>
    <w:p w14:paraId="128314E0">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2、公务用车购置及运行经费情况说明</w:t>
      </w:r>
    </w:p>
    <w:p w14:paraId="0E70833F">
      <w:pPr>
        <w:adjustRightInd/>
        <w:snapToGrid/>
        <w:spacing w:after="0" w:line="560" w:lineRule="exact"/>
        <w:ind w:firstLine="480"/>
        <w:contextualSpacing/>
        <w:jc w:val="both"/>
        <w:rPr>
          <w:rFonts w:ascii="仿宋" w:hAnsi="仿宋" w:eastAsia="仿宋" w:cs="宋体"/>
          <w:color w:val="062D3C"/>
          <w:sz w:val="28"/>
          <w:szCs w:val="28"/>
        </w:rPr>
      </w:pPr>
      <w:r>
        <w:rPr>
          <w:rFonts w:hint="eastAsia" w:ascii="仿宋" w:hAnsi="仿宋" w:eastAsia="仿宋" w:cs="宋体"/>
          <w:color w:val="062D3C"/>
          <w:sz w:val="28"/>
          <w:szCs w:val="28"/>
        </w:rPr>
        <w:t>公务用车购置支出：0万元，购置数0台，</w:t>
      </w:r>
      <w:r>
        <w:rPr>
          <w:rFonts w:ascii="仿宋" w:hAnsi="仿宋" w:eastAsia="仿宋" w:cs="宋体"/>
          <w:color w:val="062D3C"/>
          <w:sz w:val="28"/>
          <w:szCs w:val="28"/>
        </w:rPr>
        <w:t>保有量1台</w:t>
      </w:r>
      <w:r>
        <w:rPr>
          <w:rFonts w:hint="eastAsia" w:ascii="仿宋" w:hAnsi="仿宋" w:eastAsia="仿宋" w:cs="宋体"/>
          <w:color w:val="062D3C"/>
          <w:sz w:val="28"/>
          <w:szCs w:val="28"/>
        </w:rPr>
        <w:t>。</w:t>
      </w:r>
    </w:p>
    <w:p w14:paraId="0542E049">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运行经费支出：2.2万元，主要用于机要文件传递、开展区（县）政务公开和政务服务督查和调研、省政务公开和政务服务工作联系等开支的车辆燃料费、维修费、过桥过路费、保险费。</w:t>
      </w:r>
    </w:p>
    <w:p w14:paraId="58326EEF">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3、公务接待情况说明</w:t>
      </w:r>
    </w:p>
    <w:p w14:paraId="2C90010E">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公务接待支出0.06万元，国内公务接待1批次，接待5人。接待支出主要用于</w:t>
      </w:r>
      <w:r>
        <w:rPr>
          <w:rFonts w:hint="eastAsia" w:ascii="仿宋" w:hAnsi="仿宋" w:eastAsia="仿宋" w:cs="宋体"/>
          <w:color w:val="062D3C"/>
          <w:sz w:val="28"/>
          <w:szCs w:val="28"/>
        </w:rPr>
        <w:t>友邻</w:t>
      </w:r>
      <w:r>
        <w:rPr>
          <w:rFonts w:ascii="仿宋" w:hAnsi="仿宋" w:eastAsia="仿宋" w:cs="宋体"/>
          <w:color w:val="062D3C"/>
          <w:sz w:val="28"/>
          <w:szCs w:val="28"/>
        </w:rPr>
        <w:t>市州</w:t>
      </w:r>
      <w:r>
        <w:rPr>
          <w:rFonts w:hint="eastAsia" w:ascii="仿宋" w:hAnsi="仿宋" w:eastAsia="仿宋" w:cs="宋体"/>
          <w:color w:val="062D3C"/>
          <w:sz w:val="28"/>
          <w:szCs w:val="28"/>
        </w:rPr>
        <w:t>调研、</w:t>
      </w:r>
      <w:r>
        <w:rPr>
          <w:rFonts w:ascii="仿宋" w:hAnsi="仿宋" w:eastAsia="仿宋" w:cs="宋体"/>
          <w:color w:val="062D3C"/>
          <w:sz w:val="28"/>
          <w:szCs w:val="28"/>
        </w:rPr>
        <w:t>学习交流。</w:t>
      </w:r>
    </w:p>
    <w:p w14:paraId="16972676">
      <w:pPr>
        <w:adjustRightInd/>
        <w:snapToGrid/>
        <w:spacing w:after="0" w:line="560" w:lineRule="exact"/>
        <w:ind w:firstLine="480"/>
        <w:contextualSpacing/>
        <w:jc w:val="both"/>
        <w:rPr>
          <w:rFonts w:ascii="仿宋" w:hAnsi="仿宋" w:eastAsia="仿宋" w:cs="宋体"/>
          <w:b/>
          <w:color w:val="062D3C"/>
          <w:sz w:val="28"/>
          <w:szCs w:val="28"/>
        </w:rPr>
      </w:pPr>
      <w:r>
        <w:rPr>
          <w:rFonts w:ascii="仿宋" w:hAnsi="仿宋" w:eastAsia="仿宋" w:cs="宋体"/>
          <w:b/>
          <w:color w:val="062D3C"/>
          <w:sz w:val="28"/>
          <w:szCs w:val="28"/>
        </w:rPr>
        <w:t>九、关于</w:t>
      </w:r>
      <w:r>
        <w:rPr>
          <w:rFonts w:ascii="微软雅黑" w:hAnsi="微软雅黑" w:eastAsia="仿宋" w:cs="宋体"/>
          <w:b/>
          <w:color w:val="062D3C"/>
          <w:sz w:val="28"/>
          <w:szCs w:val="28"/>
        </w:rPr>
        <w:t> </w:t>
      </w:r>
      <w:r>
        <w:rPr>
          <w:rFonts w:ascii="仿宋" w:hAnsi="仿宋" w:eastAsia="仿宋" w:cs="宋体"/>
          <w:b/>
          <w:color w:val="062D3C"/>
          <w:sz w:val="28"/>
          <w:szCs w:val="28"/>
        </w:rPr>
        <w:t>2019 年度预算绩效情况说明</w:t>
      </w:r>
    </w:p>
    <w:p w14:paraId="53D81FF7">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（一）绩效管理工作开展情况</w:t>
      </w:r>
    </w:p>
    <w:p w14:paraId="6E95AB31">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认真贯彻党中央关于行政审批制度改革、政务管理服务、智慧城市建设、数据资源管理工作的方针政策和决策部署，全面落实省委、市委关于行政审批制度改革、政务管理服务、智慧城市建设、数据资源管理工作要求，在履行职责过程中坚持和加强党对行政审批制度改革、政务管理服务、智慧城市建设、数据资源管理工作的集中统一领导。预算绩效管理是深化部门预算改革的必然要求，是加强财政支出管理、提高财政资金使用效益的有效途径。我局高度重视，建立了分管领导具体抓、相关科室参与的协调工作机制。在具体工作中，人事（财务）科负责预算支出绩效考评相关政策的制定，牵头组织项目绩效考评工作，下达项目绩效考评通知，跟踪了解项目绩效考评工作实施情况，做好项目绩效考评经验总结及交流宣传工作，探索绩效考评结果公示及应用机制。</w:t>
      </w:r>
    </w:p>
    <w:p w14:paraId="68001968">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（二）部门决算中项目绩效自评结果</w:t>
      </w:r>
      <w:r>
        <w:rPr>
          <w:rFonts w:ascii="微软雅黑" w:hAnsi="微软雅黑" w:eastAsia="仿宋" w:cs="宋体"/>
          <w:color w:val="062D3C"/>
          <w:sz w:val="28"/>
          <w:szCs w:val="28"/>
        </w:rPr>
        <w:t> </w:t>
      </w:r>
      <w:r>
        <w:rPr>
          <w:rFonts w:ascii="仿宋" w:hAnsi="仿宋" w:eastAsia="仿宋" w:cs="宋体"/>
          <w:color w:val="062D3C"/>
          <w:sz w:val="28"/>
          <w:szCs w:val="28"/>
        </w:rPr>
        <w:t>。</w:t>
      </w:r>
    </w:p>
    <w:p w14:paraId="17BC0A07">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2019年部门</w:t>
      </w:r>
      <w:r>
        <w:rPr>
          <w:rFonts w:hint="eastAsia" w:ascii="仿宋" w:hAnsi="仿宋" w:eastAsia="仿宋" w:cs="宋体"/>
          <w:color w:val="062D3C"/>
          <w:sz w:val="28"/>
          <w:szCs w:val="28"/>
        </w:rPr>
        <w:t>决算中无项目绩效自评，</w:t>
      </w:r>
      <w:r>
        <w:rPr>
          <w:rFonts w:ascii="仿宋" w:hAnsi="仿宋" w:eastAsia="仿宋" w:cs="宋体"/>
          <w:color w:val="062D3C"/>
          <w:sz w:val="28"/>
          <w:szCs w:val="28"/>
        </w:rPr>
        <w:t>整体支出绩效自评分为98分。从考核结果来看，通过全局干职工的共同努力，取得了较好的经济、社会、环境效益。</w:t>
      </w:r>
    </w:p>
    <w:p w14:paraId="3C139278">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1.严格执行各项财政财务规定，不符合规定的决不乱开口，在规定支出范围的尽量减少开支，厉行节约，确保全年预算支出不突破指标，不给财政增加负担。对三公经费、因公临时出国出境、公务接待和因公出差费用标准和报账管理等进行严格把关，抓实内控工作。2019年的部门预算编制中，除法定支出和政策性支出按有关规定安排外，一般性支出安排实行“零增长”。公费出境和公费旅游经费支出为零。</w:t>
      </w:r>
    </w:p>
    <w:p w14:paraId="26FF9E98">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2.在《益阳市财政局关于2019年市本级部门预算的批复》下达后，按照财政局的统一要求，部门预算已在规定时间内予以公开。同时就本单位公开情况进行了说明，提高了预算透明度，切实保障了社会公众的知情权、参与权和监督权。</w:t>
      </w:r>
    </w:p>
    <w:p w14:paraId="36C95003">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3.按照市财政局统一要求，于规定时间在财政局网站上统一进行了“三公”经费公开，同时就本单位公开情况进行了说明。并且在益阳市行政审批服务局网站对《2019年度部门整体支出绩效评价报告》进行了公开。</w:t>
      </w:r>
    </w:p>
    <w:p w14:paraId="7F3CEE15">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（三）以部门为主体开展的重点绩效评价管理</w:t>
      </w:r>
    </w:p>
    <w:p w14:paraId="20A441BA">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此次绩效评价的目的是：严格落实《预算法》及省、市绩效管理工作的有关规定，进一步规范财政资金的管理，牢固树立预算绩效理念，强化部门支出责任，提高财政资金使用效益，促进全市政务公开、政务服务工作的发展。</w:t>
      </w:r>
    </w:p>
    <w:p w14:paraId="4A8D3507">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1.经济性评价</w:t>
      </w:r>
    </w:p>
    <w:p w14:paraId="6CF22A03">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本年预算安排控制较好，财政供养人员、编制内在职人员控制在预算编制以内；预算执行方面，支出总额控制在预算总额以内；本年无转移资金支付，不存在截留或滞留专项资金情况。</w:t>
      </w:r>
    </w:p>
    <w:p w14:paraId="15DBDA4B">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2、效率性评价</w:t>
      </w:r>
    </w:p>
    <w:p w14:paraId="61AC6E48">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强化部门整体支出，加强国有资产管理，提高资金使用效益，提升财务管理，建立节约型机关，我局在强化业务管理、财务管理和厉行节约方面开展了大量工作，效率提升显著：</w:t>
      </w:r>
    </w:p>
    <w:p w14:paraId="5892E7A5">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（1）在原有相对健全的财务管理制度基础上，适时地、针对性的进行了相关制度的增补，制度的建立更为完善。</w:t>
      </w:r>
    </w:p>
    <w:p w14:paraId="3142D72C">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（2）重视制度的学习和宣讲工作，组织机关人员学习中央、湖南省人民政府下发的一系列文件精神，将厉行节约反对浪费教育作为作风建设的重要内容，极大强化了厉行节约管理意识。</w:t>
      </w:r>
    </w:p>
    <w:p w14:paraId="28CDD3D0">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（3）严格执行了国库集中支付、公务卡结算制度、政府采购等有关规定，政府采购目录内的货物与服务全部按要求实施了政府采购，确保了支出管理流程、审批手续的完整。</w:t>
      </w:r>
    </w:p>
    <w:p w14:paraId="5260EBFB">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3、社会效益评价</w:t>
      </w:r>
    </w:p>
    <w:p w14:paraId="7672C003">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2019年，在市委、市政府的正确领导下，市行政审批服务局认真贯彻落实中央、省委、市委的重大决策部署和要求，坚持以人民为中心的发展思想，努力践行“依法、公开、便民、高效、廉洁”的服务宗旨，以省“一件事一次办”改革落地和国家政务服务平台对接工作为重点，扎实推进行政审批制度改革、政务服务管理、智慧城市和大数据管理等工作，取得较好成效。“一件事一次办”改革进度居全省前列，并在12月11日全省“一件事一次办”改革现场推进会上得到省局的充分肯定；电子证照系统改造成为全省蓝本，二级及以上深度网上可办率达到100%；90%的政务服务事项实现“最多跑一次”。</w:t>
      </w:r>
    </w:p>
    <w:p w14:paraId="079B8D39">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4、预算绩效情况的说明。</w:t>
      </w:r>
    </w:p>
    <w:p w14:paraId="3DED4FDF">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为进一步规范财政资金管理，强化绩效和责任意识，切实提高财政资金使用效益，根据《益阳市财政局关于开展2019年度预算绩效自评工作的通知》（益财绩〔2020〕70号）文件精神，我局认真组织对2019年度部门整体支出开展绩效自评，按财政要求及时报送了《益阳市行政审批服务局2019年度部门整体支出绩效评价报告》。</w:t>
      </w:r>
    </w:p>
    <w:p w14:paraId="3A375522">
      <w:pPr>
        <w:adjustRightInd/>
        <w:snapToGrid/>
        <w:spacing w:after="0" w:line="560" w:lineRule="exact"/>
        <w:ind w:firstLine="618" w:firstLineChars="221"/>
        <w:contextualSpacing/>
        <w:jc w:val="both"/>
        <w:rPr>
          <w:rFonts w:ascii="仿宋" w:hAnsi="仿宋" w:eastAsia="仿宋" w:cs="宋体"/>
          <w:color w:val="062D3C"/>
          <w:sz w:val="28"/>
          <w:szCs w:val="28"/>
        </w:rPr>
      </w:pPr>
      <w:r>
        <w:rPr>
          <w:rFonts w:ascii="仿宋" w:hAnsi="仿宋" w:eastAsia="仿宋" w:cs="宋体"/>
          <w:color w:val="062D3C"/>
          <w:sz w:val="28"/>
          <w:szCs w:val="28"/>
        </w:rPr>
        <w:t>2019年，我局严格落实市委、市政府关于党政机关厉行节约的有关要求，既有效保障机关运转，又坚决制止铺张浪费，切实规范公务消费行为，努力降低行政成本，进一步压减一般性支出，保障重点支出，不断优化支出结构，圆满完成了全年任务。</w:t>
      </w:r>
    </w:p>
    <w:p w14:paraId="1E53D908">
      <w:pPr>
        <w:adjustRightInd/>
        <w:snapToGrid/>
        <w:spacing w:after="0" w:line="560" w:lineRule="exact"/>
        <w:ind w:firstLine="480"/>
        <w:contextualSpacing/>
        <w:jc w:val="both"/>
        <w:rPr>
          <w:rFonts w:ascii="仿宋" w:hAnsi="仿宋" w:eastAsia="仿宋" w:cs="宋体"/>
          <w:b/>
          <w:color w:val="062D3C"/>
          <w:sz w:val="28"/>
          <w:szCs w:val="28"/>
        </w:rPr>
      </w:pPr>
      <w:r>
        <w:rPr>
          <w:rFonts w:ascii="仿宋" w:hAnsi="仿宋" w:eastAsia="仿宋" w:cs="宋体"/>
          <w:b/>
          <w:color w:val="062D3C"/>
          <w:sz w:val="28"/>
          <w:szCs w:val="28"/>
        </w:rPr>
        <w:t>十、其他重要事项的情况说明</w:t>
      </w:r>
    </w:p>
    <w:p w14:paraId="53380761">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（一）预决算收支增减变化情况。</w:t>
      </w:r>
    </w:p>
    <w:p w14:paraId="02D975FE">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2019年部门预算编报范围为益阳市行政审批服务局</w:t>
      </w:r>
      <w:r>
        <w:rPr>
          <w:rFonts w:hint="eastAsia" w:ascii="仿宋" w:hAnsi="仿宋" w:eastAsia="仿宋" w:cs="宋体"/>
          <w:color w:val="062D3C"/>
          <w:sz w:val="28"/>
          <w:szCs w:val="28"/>
        </w:rPr>
        <w:t>本级</w:t>
      </w:r>
      <w:r>
        <w:rPr>
          <w:rFonts w:ascii="仿宋" w:hAnsi="仿宋" w:eastAsia="仿宋" w:cs="宋体"/>
          <w:color w:val="062D3C"/>
          <w:sz w:val="28"/>
          <w:szCs w:val="28"/>
        </w:rPr>
        <w:t>。收入来源主要为公共财政预算拨款。支出既包括保障部门单位行政运行的经费，也包括政务公开、大厅学习培训、启用省市网上政务服务和电子监察系统优化改造升级项目建设、窗口工作人员绩效考核奖励、综合服务受理窗口工作等专项经费。</w:t>
      </w:r>
    </w:p>
    <w:p w14:paraId="0006D81A">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1.收入预决算，2019年初收入预算数839.29万元，其中，一般公共预算拨款838.29万元；2018年收入决算数990.07万元，其中，财政拨款收入990.07万元，年初结转和结余128.79万元。</w:t>
      </w:r>
      <w:r>
        <w:rPr>
          <w:rFonts w:hint="eastAsia" w:ascii="仿宋" w:hAnsi="仿宋" w:eastAsia="仿宋" w:cs="宋体"/>
          <w:color w:val="062D3C"/>
          <w:sz w:val="28"/>
          <w:szCs w:val="28"/>
        </w:rPr>
        <w:t>收入决算数大于预算数主要原因是年中追加了部分预算预留资金。</w:t>
      </w:r>
    </w:p>
    <w:p w14:paraId="52450FAE">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2.支出预决算，2018年年初支出预算数838.29万元；2018年支出决算数901.71万元，其中年末结转和结余217.15万元。</w:t>
      </w:r>
      <w:r>
        <w:rPr>
          <w:rFonts w:hint="eastAsia" w:ascii="仿宋" w:hAnsi="仿宋" w:eastAsia="仿宋" w:cs="宋体"/>
          <w:color w:val="062D3C"/>
          <w:sz w:val="28"/>
          <w:szCs w:val="28"/>
        </w:rPr>
        <w:t>支出决算数大于收入预算数主要是按照省政府要求两批</w:t>
      </w:r>
      <w:r>
        <w:rPr>
          <w:rFonts w:ascii="仿宋" w:hAnsi="仿宋" w:eastAsia="仿宋" w:cs="宋体"/>
          <w:color w:val="062D3C"/>
          <w:sz w:val="28"/>
          <w:szCs w:val="28"/>
        </w:rPr>
        <w:t>“</w:t>
      </w:r>
      <w:r>
        <w:rPr>
          <w:rFonts w:ascii="微软雅黑" w:hAnsi="微软雅黑" w:eastAsia="仿宋" w:cs="宋体"/>
          <w:color w:val="062D3C"/>
          <w:sz w:val="28"/>
          <w:szCs w:val="28"/>
        </w:rPr>
        <w:t> </w:t>
      </w:r>
      <w:r>
        <w:rPr>
          <w:rFonts w:ascii="仿宋" w:hAnsi="仿宋" w:eastAsia="仿宋" w:cs="宋体"/>
          <w:color w:val="062D3C"/>
          <w:sz w:val="28"/>
          <w:szCs w:val="28"/>
        </w:rPr>
        <w:t>一件事一次办”平台建设</w:t>
      </w:r>
      <w:r>
        <w:rPr>
          <w:rFonts w:hint="eastAsia" w:ascii="仿宋" w:hAnsi="仿宋" w:eastAsia="仿宋" w:cs="宋体"/>
          <w:color w:val="062D3C"/>
          <w:sz w:val="28"/>
          <w:szCs w:val="28"/>
        </w:rPr>
        <w:t>费增加等因素造成支出增加。</w:t>
      </w:r>
    </w:p>
    <w:p w14:paraId="1E72425E">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（二）机关运行经费支出情况。</w:t>
      </w:r>
    </w:p>
    <w:p w14:paraId="568D60E8">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本部门2019年度机关运行经费支出397.14万元，较上年增加26.15万元，增加7.05%，主要原因是：“</w:t>
      </w:r>
      <w:r>
        <w:rPr>
          <w:rFonts w:ascii="微软雅黑" w:hAnsi="微软雅黑" w:eastAsia="仿宋" w:cs="宋体"/>
          <w:color w:val="062D3C"/>
          <w:sz w:val="28"/>
          <w:szCs w:val="28"/>
        </w:rPr>
        <w:t> </w:t>
      </w:r>
      <w:r>
        <w:rPr>
          <w:rFonts w:ascii="仿宋" w:hAnsi="仿宋" w:eastAsia="仿宋" w:cs="宋体"/>
          <w:color w:val="062D3C"/>
          <w:sz w:val="28"/>
          <w:szCs w:val="28"/>
        </w:rPr>
        <w:t>一件事一次办”平台建设的专用设备购置、大厅窗口重新调整布局、自助服务区综合受理窗口等一般性商品和服务等支出增加。</w:t>
      </w:r>
    </w:p>
    <w:p w14:paraId="20E6A596">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（三）政府采购支出情况。</w:t>
      </w:r>
    </w:p>
    <w:p w14:paraId="33C88986">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本部门2019年度无政府采购</w:t>
      </w:r>
      <w:r>
        <w:rPr>
          <w:rFonts w:hint="eastAsia" w:ascii="仿宋" w:hAnsi="仿宋" w:eastAsia="仿宋" w:cs="宋体"/>
          <w:color w:val="062D3C"/>
          <w:sz w:val="28"/>
          <w:szCs w:val="28"/>
        </w:rPr>
        <w:t>相关情况。</w:t>
      </w:r>
    </w:p>
    <w:p w14:paraId="5E0104C9">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（四）国有资产占用情况。</w:t>
      </w:r>
    </w:p>
    <w:p w14:paraId="33701C00">
      <w:pPr>
        <w:shd w:val="clear" w:color="auto" w:fill="FFFFFF"/>
        <w:adjustRightInd/>
        <w:snapToGrid/>
        <w:spacing w:after="0" w:line="560" w:lineRule="exact"/>
        <w:ind w:firstLine="618" w:firstLineChars="221"/>
        <w:contextualSpacing/>
        <w:jc w:val="both"/>
        <w:rPr>
          <w:rFonts w:ascii="仿宋" w:hAnsi="仿宋" w:eastAsia="仿宋" w:cs="宋体"/>
          <w:color w:val="062D3C"/>
          <w:sz w:val="28"/>
          <w:szCs w:val="28"/>
        </w:rPr>
      </w:pPr>
      <w:r>
        <w:rPr>
          <w:rFonts w:ascii="仿宋" w:hAnsi="仿宋" w:eastAsia="仿宋" w:cs="宋体"/>
          <w:color w:val="062D3C"/>
          <w:sz w:val="28"/>
          <w:szCs w:val="28"/>
        </w:rPr>
        <w:t>截至2019年12月31日，本部门共有车辆1辆，</w:t>
      </w:r>
      <w:r>
        <w:rPr>
          <w:rFonts w:hint="eastAsia" w:ascii="仿宋" w:hAnsi="仿宋" w:eastAsia="仿宋" w:cs="宋体"/>
          <w:color w:val="062D3C"/>
          <w:sz w:val="28"/>
          <w:szCs w:val="28"/>
        </w:rPr>
        <w:t>其中，领导干部用车0辆、</w:t>
      </w:r>
      <w:r>
        <w:rPr>
          <w:rFonts w:ascii="仿宋" w:hAnsi="仿宋" w:eastAsia="仿宋" w:cs="宋体"/>
          <w:color w:val="062D3C"/>
          <w:sz w:val="28"/>
          <w:szCs w:val="28"/>
        </w:rPr>
        <w:t>一般公务用车1辆</w:t>
      </w:r>
      <w:r>
        <w:rPr>
          <w:rFonts w:hint="eastAsia" w:ascii="仿宋" w:hAnsi="仿宋" w:eastAsia="仿宋" w:cs="宋体"/>
          <w:color w:val="062D3C"/>
          <w:sz w:val="28"/>
          <w:szCs w:val="28"/>
        </w:rPr>
        <w:t>、一般执法执勤用车0辆、特种专业技术用车0辆、其他用车0辆</w:t>
      </w:r>
      <w:r>
        <w:rPr>
          <w:rFonts w:ascii="仿宋" w:hAnsi="仿宋" w:eastAsia="仿宋" w:cs="宋体"/>
          <w:color w:val="062D3C"/>
          <w:sz w:val="28"/>
          <w:szCs w:val="28"/>
        </w:rPr>
        <w:t>；单位价值50万元以上</w:t>
      </w:r>
      <w:r>
        <w:rPr>
          <w:rFonts w:hint="eastAsia" w:ascii="仿宋" w:hAnsi="仿宋" w:eastAsia="仿宋" w:cs="宋体"/>
          <w:color w:val="062D3C"/>
          <w:sz w:val="28"/>
          <w:szCs w:val="28"/>
        </w:rPr>
        <w:t>通用设备0台（套），单位100万元以上专用设备0台（套）。</w:t>
      </w:r>
    </w:p>
    <w:p w14:paraId="2B6363B9">
      <w:pPr>
        <w:adjustRightInd/>
        <w:snapToGrid/>
        <w:spacing w:after="0" w:line="560" w:lineRule="exact"/>
        <w:ind w:firstLine="480"/>
        <w:contextualSpacing/>
        <w:jc w:val="both"/>
        <w:rPr>
          <w:rFonts w:ascii="仿宋" w:hAnsi="仿宋" w:eastAsia="仿宋" w:cs="宋体"/>
          <w:color w:val="062D3C"/>
          <w:sz w:val="28"/>
          <w:szCs w:val="28"/>
        </w:rPr>
      </w:pPr>
    </w:p>
    <w:p w14:paraId="2D72D16D">
      <w:pPr>
        <w:adjustRightInd/>
        <w:snapToGrid/>
        <w:spacing w:after="0" w:line="560" w:lineRule="exact"/>
        <w:ind w:firstLine="480"/>
        <w:contextualSpacing/>
        <w:jc w:val="both"/>
        <w:rPr>
          <w:rFonts w:ascii="仿宋" w:hAnsi="仿宋" w:eastAsia="仿宋" w:cs="宋体"/>
          <w:color w:val="062D3C"/>
          <w:sz w:val="28"/>
          <w:szCs w:val="28"/>
        </w:rPr>
      </w:pPr>
    </w:p>
    <w:p w14:paraId="7D9C6194">
      <w:pPr>
        <w:adjustRightInd/>
        <w:snapToGrid/>
        <w:spacing w:after="0" w:line="560" w:lineRule="exact"/>
        <w:ind w:firstLine="480"/>
        <w:contextualSpacing/>
        <w:jc w:val="both"/>
        <w:rPr>
          <w:rFonts w:ascii="仿宋" w:hAnsi="仿宋" w:eastAsia="仿宋" w:cs="宋体"/>
          <w:color w:val="062D3C"/>
          <w:sz w:val="28"/>
          <w:szCs w:val="28"/>
        </w:rPr>
      </w:pPr>
    </w:p>
    <w:p w14:paraId="4D0FD340">
      <w:pPr>
        <w:adjustRightInd/>
        <w:snapToGrid/>
        <w:spacing w:after="0" w:line="560" w:lineRule="exact"/>
        <w:ind w:firstLine="480"/>
        <w:contextualSpacing/>
        <w:jc w:val="both"/>
        <w:rPr>
          <w:rFonts w:ascii="仿宋" w:hAnsi="仿宋" w:eastAsia="仿宋" w:cs="宋体"/>
          <w:color w:val="062D3C"/>
          <w:sz w:val="28"/>
          <w:szCs w:val="28"/>
        </w:rPr>
      </w:pPr>
    </w:p>
    <w:p w14:paraId="520D5FBE">
      <w:pPr>
        <w:adjustRightInd/>
        <w:snapToGrid/>
        <w:spacing w:after="0" w:line="560" w:lineRule="exact"/>
        <w:ind w:firstLine="1920" w:firstLineChars="600"/>
        <w:contextualSpacing/>
        <w:jc w:val="both"/>
        <w:rPr>
          <w:rFonts w:ascii="黑体" w:hAnsi="黑体" w:eastAsia="黑体" w:cs="宋体"/>
          <w:color w:val="062D3C"/>
          <w:sz w:val="32"/>
          <w:szCs w:val="32"/>
        </w:rPr>
      </w:pPr>
      <w:r>
        <w:rPr>
          <w:rFonts w:ascii="黑体" w:hAnsi="黑体" w:eastAsia="黑体" w:cs="宋体"/>
          <w:color w:val="062D3C"/>
          <w:sz w:val="32"/>
          <w:szCs w:val="32"/>
        </w:rPr>
        <w:t>第四部分</w:t>
      </w:r>
      <w:r>
        <w:rPr>
          <w:rFonts w:hint="eastAsia" w:ascii="黑体" w:hAnsi="黑体" w:eastAsia="黑体" w:cs="宋体"/>
          <w:color w:val="062D3C"/>
          <w:sz w:val="32"/>
          <w:szCs w:val="32"/>
        </w:rPr>
        <w:t xml:space="preserve">  </w:t>
      </w:r>
      <w:r>
        <w:rPr>
          <w:rFonts w:ascii="黑体" w:hAnsi="黑体" w:eastAsia="黑体" w:cs="宋体"/>
          <w:color w:val="062D3C"/>
          <w:sz w:val="32"/>
          <w:szCs w:val="32"/>
        </w:rPr>
        <w:t>名词解释</w:t>
      </w:r>
    </w:p>
    <w:p w14:paraId="5575C188">
      <w:pPr>
        <w:adjustRightInd/>
        <w:snapToGrid/>
        <w:spacing w:after="0" w:line="560" w:lineRule="exact"/>
        <w:ind w:firstLine="1920" w:firstLineChars="600"/>
        <w:contextualSpacing/>
        <w:jc w:val="both"/>
        <w:rPr>
          <w:rFonts w:ascii="黑体" w:hAnsi="黑体" w:eastAsia="黑体" w:cs="宋体"/>
          <w:color w:val="062D3C"/>
          <w:sz w:val="32"/>
          <w:szCs w:val="32"/>
        </w:rPr>
      </w:pPr>
    </w:p>
    <w:p w14:paraId="64F257E4">
      <w:pPr>
        <w:adjustRightInd/>
        <w:snapToGrid/>
        <w:spacing w:after="0" w:line="560" w:lineRule="exact"/>
        <w:ind w:firstLine="618" w:firstLineChars="221"/>
        <w:contextualSpacing/>
        <w:jc w:val="both"/>
        <w:rPr>
          <w:rFonts w:ascii="仿宋" w:hAnsi="仿宋" w:eastAsia="仿宋" w:cs="宋体"/>
          <w:color w:val="062D3C"/>
          <w:sz w:val="28"/>
          <w:szCs w:val="28"/>
        </w:rPr>
      </w:pPr>
      <w:r>
        <w:rPr>
          <w:rFonts w:ascii="仿宋" w:hAnsi="仿宋" w:eastAsia="仿宋" w:cs="宋体"/>
          <w:color w:val="062D3C"/>
          <w:sz w:val="28"/>
          <w:szCs w:val="28"/>
        </w:rPr>
        <w:t>一、财政拨款收入：指中央财政当年拨付的资金。</w:t>
      </w:r>
    </w:p>
    <w:p w14:paraId="38824444">
      <w:pPr>
        <w:adjustRightInd/>
        <w:snapToGrid/>
        <w:spacing w:after="0" w:line="560" w:lineRule="exact"/>
        <w:ind w:firstLine="618" w:firstLineChars="221"/>
        <w:contextualSpacing/>
        <w:jc w:val="both"/>
        <w:rPr>
          <w:rFonts w:ascii="仿宋" w:hAnsi="仿宋" w:eastAsia="仿宋" w:cs="宋体"/>
          <w:color w:val="062D3C"/>
          <w:sz w:val="28"/>
          <w:szCs w:val="28"/>
        </w:rPr>
      </w:pPr>
      <w:r>
        <w:rPr>
          <w:rFonts w:ascii="仿宋" w:hAnsi="仿宋" w:eastAsia="仿宋" w:cs="宋体"/>
          <w:color w:val="062D3C"/>
          <w:sz w:val="28"/>
          <w:szCs w:val="28"/>
        </w:rPr>
        <w:t>二、事业收入：指事业单位开展专业业务活动及辅助活动所取得的收入。如：中国财政杂志社的刊物发行收入，中国注册会计师协会、中国资产评估协会、中国国债协会、中国会计学会收取的会费收入等。</w:t>
      </w:r>
    </w:p>
    <w:p w14:paraId="3092F27B">
      <w:pPr>
        <w:adjustRightInd/>
        <w:snapToGrid/>
        <w:spacing w:after="0" w:line="560" w:lineRule="exact"/>
        <w:ind w:firstLine="618" w:firstLineChars="221"/>
        <w:contextualSpacing/>
        <w:jc w:val="both"/>
        <w:rPr>
          <w:rFonts w:ascii="仿宋" w:hAnsi="仿宋" w:eastAsia="仿宋" w:cs="宋体"/>
          <w:color w:val="062D3C"/>
          <w:sz w:val="28"/>
          <w:szCs w:val="28"/>
        </w:rPr>
      </w:pPr>
      <w:r>
        <w:rPr>
          <w:rFonts w:ascii="仿宋" w:hAnsi="仿宋" w:eastAsia="仿宋" w:cs="宋体"/>
          <w:color w:val="062D3C"/>
          <w:sz w:val="28"/>
          <w:szCs w:val="28"/>
        </w:rPr>
        <w:t>三、经营收入：指事业单位在专业业务活动及其辅助活动之外开展非独立核算经营活动取得的收入。如：中国财政杂志社广告收入等。</w:t>
      </w:r>
    </w:p>
    <w:p w14:paraId="3E39AA15">
      <w:pPr>
        <w:adjustRightInd/>
        <w:snapToGrid/>
        <w:spacing w:after="0" w:line="560" w:lineRule="exact"/>
        <w:ind w:firstLine="618" w:firstLineChars="221"/>
        <w:contextualSpacing/>
        <w:jc w:val="both"/>
        <w:rPr>
          <w:rFonts w:ascii="仿宋" w:hAnsi="仿宋" w:eastAsia="仿宋" w:cs="宋体"/>
          <w:color w:val="062D3C"/>
          <w:sz w:val="28"/>
          <w:szCs w:val="28"/>
        </w:rPr>
      </w:pPr>
      <w:r>
        <w:rPr>
          <w:rFonts w:ascii="仿宋" w:hAnsi="仿宋" w:eastAsia="仿宋" w:cs="宋体"/>
          <w:color w:val="062D3C"/>
          <w:sz w:val="28"/>
          <w:szCs w:val="28"/>
        </w:rPr>
        <w:t>四、其他收入：指除上述“财政拨款收入”、“事业收入”</w:t>
      </w:r>
      <w:r>
        <w:rPr>
          <w:rFonts w:hint="eastAsia" w:ascii="宋体" w:hAnsi="宋体" w:eastAsia="宋体" w:cs="宋体"/>
          <w:color w:val="062D3C"/>
          <w:sz w:val="28"/>
          <w:szCs w:val="28"/>
        </w:rPr>
        <w:t> </w:t>
      </w:r>
      <w:r>
        <w:rPr>
          <w:rFonts w:ascii="仿宋" w:hAnsi="仿宋" w:eastAsia="仿宋" w:cs="宋体"/>
          <w:color w:val="062D3C"/>
          <w:sz w:val="28"/>
          <w:szCs w:val="28"/>
        </w:rPr>
        <w:t>、“经营收入”等以外的收入。主要是按规定动用的售房收入、存款利息收入等。</w:t>
      </w:r>
    </w:p>
    <w:p w14:paraId="020F7703">
      <w:pPr>
        <w:adjustRightInd/>
        <w:snapToGrid/>
        <w:spacing w:after="0" w:line="560" w:lineRule="exact"/>
        <w:ind w:firstLine="618" w:firstLineChars="221"/>
        <w:contextualSpacing/>
        <w:jc w:val="both"/>
        <w:rPr>
          <w:rFonts w:ascii="仿宋" w:hAnsi="仿宋" w:eastAsia="仿宋" w:cs="宋体"/>
          <w:color w:val="062D3C"/>
          <w:sz w:val="28"/>
          <w:szCs w:val="28"/>
        </w:rPr>
      </w:pPr>
      <w:r>
        <w:rPr>
          <w:rFonts w:ascii="仿宋" w:hAnsi="仿宋" w:eastAsia="仿宋" w:cs="宋体"/>
          <w:color w:val="062D3C"/>
          <w:sz w:val="28"/>
          <w:szCs w:val="28"/>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22C7D546">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六、年初结转和结余：指以前年度尚未完成、结转到本年按有关规定继续使用的资金。</w:t>
      </w:r>
    </w:p>
    <w:p w14:paraId="69D10B3A">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七、结余分配：指事业单位按规定提取的职工福利基金、事业基金和缴纳的所得税，以及建设单位按规定应交回的基本建设竣工项目结余资金。</w:t>
      </w:r>
    </w:p>
    <w:p w14:paraId="70F44B1D">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八、年末结转和结余：指本年度或以前年度预算安排、因客观条件发生变化无法按原计划实施，需要延迟到以后年度按有关规定继续使用的资金。</w:t>
      </w:r>
    </w:p>
    <w:p w14:paraId="522C89CD">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九、基本支出：指为保障机构正常运转、完成日常工</w:t>
      </w:r>
    </w:p>
    <w:p w14:paraId="67F47DB7">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作任务而发生的人员支出和公用支出。</w:t>
      </w:r>
    </w:p>
    <w:p w14:paraId="3C8C29DC">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十、项目支出：指在基本支出之外为完成特定行政任务和事业发展目标所发生的支出。</w:t>
      </w:r>
    </w:p>
    <w:p w14:paraId="7A38CE08">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十一、经营支出：指事业单位在专业业务活动及其辅助活动之外开展非独立核算经营活动发生的支出。</w:t>
      </w:r>
    </w:p>
    <w:p w14:paraId="785B7D16">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61F6E68">
      <w:pPr>
        <w:adjustRightInd/>
        <w:snapToGrid/>
        <w:spacing w:after="0" w:line="560" w:lineRule="exact"/>
        <w:ind w:firstLine="480"/>
        <w:contextualSpacing/>
        <w:jc w:val="both"/>
        <w:rPr>
          <w:rFonts w:ascii="仿宋" w:hAnsi="仿宋" w:eastAsia="仿宋" w:cs="宋体"/>
          <w:color w:val="062D3C"/>
          <w:sz w:val="28"/>
          <w:szCs w:val="28"/>
        </w:rPr>
      </w:pPr>
      <w:r>
        <w:rPr>
          <w:rFonts w:ascii="仿宋" w:hAnsi="仿宋" w:eastAsia="仿宋" w:cs="宋体"/>
          <w:color w:val="062D3C"/>
          <w:sz w:val="28"/>
          <w:szCs w:val="28"/>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F7529C6">
      <w:pPr>
        <w:adjustRightInd/>
        <w:snapToGrid/>
        <w:spacing w:after="0" w:line="560" w:lineRule="exact"/>
        <w:ind w:firstLine="480"/>
        <w:contextualSpacing/>
        <w:jc w:val="center"/>
        <w:rPr>
          <w:rFonts w:ascii="仿宋" w:hAnsi="仿宋" w:eastAsia="仿宋" w:cs="宋体"/>
          <w:color w:val="062D3C"/>
          <w:sz w:val="28"/>
          <w:szCs w:val="28"/>
        </w:rPr>
      </w:pPr>
    </w:p>
    <w:p w14:paraId="1ED4FA86">
      <w:pPr>
        <w:adjustRightInd/>
        <w:snapToGrid/>
        <w:spacing w:after="0" w:line="560" w:lineRule="exact"/>
        <w:ind w:firstLine="480"/>
        <w:contextualSpacing/>
        <w:jc w:val="center"/>
        <w:rPr>
          <w:rFonts w:ascii="仿宋" w:hAnsi="仿宋" w:eastAsia="仿宋" w:cs="宋体"/>
          <w:color w:val="062D3C"/>
          <w:sz w:val="28"/>
          <w:szCs w:val="28"/>
        </w:rPr>
      </w:pPr>
    </w:p>
    <w:p w14:paraId="0980316E">
      <w:pPr>
        <w:adjustRightInd/>
        <w:snapToGrid/>
        <w:spacing w:after="0" w:line="560" w:lineRule="exact"/>
        <w:ind w:firstLine="2580" w:firstLineChars="860"/>
        <w:contextualSpacing/>
        <w:rPr>
          <w:rFonts w:ascii="黑体" w:hAnsi="黑体" w:eastAsia="黑体" w:cs="宋体"/>
          <w:color w:val="062D3C"/>
          <w:sz w:val="30"/>
          <w:szCs w:val="30"/>
        </w:rPr>
      </w:pPr>
      <w:r>
        <w:rPr>
          <w:rFonts w:ascii="黑体" w:hAnsi="黑体" w:eastAsia="黑体" w:cs="宋体"/>
          <w:color w:val="062D3C"/>
          <w:sz w:val="30"/>
          <w:szCs w:val="30"/>
        </w:rPr>
        <w:t>第五部分</w:t>
      </w:r>
      <w:r>
        <w:rPr>
          <w:rFonts w:hint="eastAsia" w:ascii="宋体" w:hAnsi="宋体" w:eastAsia="黑体" w:cs="宋体"/>
          <w:color w:val="062D3C"/>
          <w:sz w:val="30"/>
          <w:szCs w:val="30"/>
        </w:rPr>
        <w:t xml:space="preserve">  </w:t>
      </w:r>
      <w:r>
        <w:rPr>
          <w:rFonts w:ascii="黑体" w:hAnsi="黑体" w:eastAsia="黑体" w:cs="宋体"/>
          <w:color w:val="062D3C"/>
          <w:sz w:val="30"/>
          <w:szCs w:val="30"/>
        </w:rPr>
        <w:t>附件</w:t>
      </w:r>
    </w:p>
    <w:p w14:paraId="526F04BB">
      <w:pPr>
        <w:adjustRightInd/>
        <w:snapToGrid/>
        <w:spacing w:after="0" w:line="560" w:lineRule="exact"/>
        <w:ind w:firstLine="2580" w:firstLineChars="860"/>
        <w:contextualSpacing/>
        <w:rPr>
          <w:rFonts w:ascii="黑体" w:hAnsi="黑体" w:eastAsia="黑体" w:cs="宋体"/>
          <w:color w:val="062D3C"/>
          <w:sz w:val="30"/>
          <w:szCs w:val="30"/>
        </w:rPr>
      </w:pPr>
    </w:p>
    <w:p w14:paraId="764DD265">
      <w:pPr>
        <w:adjustRightInd/>
        <w:snapToGrid/>
        <w:spacing w:after="0" w:line="560" w:lineRule="exact"/>
        <w:contextualSpacing/>
        <w:jc w:val="both"/>
        <w:rPr>
          <w:rFonts w:ascii="仿宋" w:hAnsi="仿宋" w:eastAsia="仿宋" w:cs="宋体"/>
          <w:color w:val="062D3C"/>
          <w:sz w:val="28"/>
          <w:szCs w:val="28"/>
        </w:rPr>
      </w:pPr>
      <w:r>
        <w:rPr>
          <w:rFonts w:ascii="仿宋" w:hAnsi="仿宋" w:eastAsia="仿宋" w:cs="宋体"/>
          <w:color w:val="062D3C"/>
          <w:sz w:val="28"/>
          <w:szCs w:val="28"/>
        </w:rPr>
        <w:t>附件</w:t>
      </w:r>
      <w:r>
        <w:rPr>
          <w:rFonts w:hint="eastAsia" w:ascii="仿宋" w:hAnsi="仿宋" w:eastAsia="仿宋" w:cs="宋体"/>
          <w:color w:val="062D3C"/>
          <w:sz w:val="28"/>
          <w:szCs w:val="28"/>
        </w:rPr>
        <w:t>:1.</w:t>
      </w:r>
      <w:r>
        <w:t xml:space="preserve"> </w:t>
      </w:r>
      <w:r>
        <w:fldChar w:fldCharType="begin"/>
      </w:r>
      <w:r>
        <w:instrText xml:space="preserve"> HYPERLINK "http://xzsp.yiyang.gov.cn/uploadfiles/202106/20210602171147233.xls" \t "_blank" </w:instrText>
      </w:r>
      <w:r>
        <w:fldChar w:fldCharType="separate"/>
      </w:r>
      <w:r>
        <w:rPr>
          <w:rFonts w:ascii="仿宋" w:hAnsi="仿宋" w:eastAsia="仿宋" w:cs="宋体"/>
          <w:color w:val="062D3C"/>
          <w:sz w:val="28"/>
          <w:szCs w:val="28"/>
        </w:rPr>
        <w:t>2019年决算公开表.</w:t>
      </w:r>
      <w:r>
        <w:rPr>
          <w:rFonts w:ascii="仿宋" w:hAnsi="仿宋" w:eastAsia="仿宋" w:cs="宋体"/>
          <w:color w:val="062D3C"/>
          <w:sz w:val="28"/>
          <w:szCs w:val="28"/>
        </w:rPr>
        <w:fldChar w:fldCharType="end"/>
      </w:r>
      <w:r>
        <w:rPr>
          <w:rFonts w:ascii="仿宋" w:hAnsi="仿宋" w:eastAsia="仿宋" w:cs="宋体"/>
          <w:color w:val="062D3C"/>
          <w:sz w:val="28"/>
          <w:szCs w:val="28"/>
        </w:rPr>
        <w:t xml:space="preserve"> </w:t>
      </w:r>
    </w:p>
    <w:p w14:paraId="76FEDFCA">
      <w:pPr>
        <w:adjustRightInd/>
        <w:snapToGrid/>
        <w:spacing w:after="0" w:line="560" w:lineRule="exact"/>
        <w:ind w:firstLine="480"/>
        <w:contextualSpacing/>
        <w:jc w:val="both"/>
      </w:pPr>
      <w:r>
        <w:rPr>
          <w:rFonts w:hint="eastAsia" w:ascii="MS Mincho" w:hAnsi="MS Mincho" w:eastAsia="MS Mincho" w:cs="MS Mincho"/>
          <w:color w:val="062D3C"/>
          <w:sz w:val="28"/>
          <w:szCs w:val="28"/>
        </w:rPr>
        <w:t> </w:t>
      </w:r>
      <w:r>
        <w:rPr>
          <w:rFonts w:hint="eastAsia" w:ascii="MS Mincho" w:hAnsi="MS Mincho" w:cs="MS Mincho" w:eastAsiaTheme="minorEastAsia"/>
          <w:color w:val="062D3C"/>
          <w:sz w:val="28"/>
          <w:szCs w:val="28"/>
        </w:rPr>
        <w:t xml:space="preserve"> </w:t>
      </w:r>
      <w:r>
        <w:rPr>
          <w:rFonts w:ascii="仿宋" w:hAnsi="仿宋" w:eastAsia="仿宋" w:cs="宋体"/>
          <w:color w:val="062D3C"/>
          <w:sz w:val="28"/>
          <w:szCs w:val="28"/>
        </w:rPr>
        <w:t>2.</w:t>
      </w:r>
      <w:r>
        <w:t xml:space="preserve"> </w:t>
      </w:r>
      <w:r>
        <w:fldChar w:fldCharType="begin"/>
      </w:r>
      <w:r>
        <w:instrText xml:space="preserve"> HYPERLINK "http://xzsp.yiyang.gov.cn/uploadfiles/202009/20200929094243860.xls" \t "_blank" </w:instrText>
      </w:r>
      <w:r>
        <w:fldChar w:fldCharType="separate"/>
      </w:r>
      <w:r>
        <w:rPr>
          <w:rFonts w:ascii="仿宋" w:hAnsi="仿宋" w:eastAsia="仿宋" w:cs="宋体"/>
          <w:color w:val="062D3C"/>
          <w:sz w:val="28"/>
          <w:szCs w:val="28"/>
        </w:rPr>
        <w:t>2019年度部门决算数据过渡表.</w:t>
      </w:r>
      <w:r>
        <w:rPr>
          <w:rFonts w:ascii="仿宋" w:hAnsi="仿宋" w:eastAsia="仿宋" w:cs="宋体"/>
          <w:color w:val="062D3C"/>
          <w:sz w:val="28"/>
          <w:szCs w:val="28"/>
        </w:rPr>
        <w:fldChar w:fldCharType="end"/>
      </w:r>
      <w:r>
        <w:rPr>
          <w:rFonts w:hint="eastAsia"/>
        </w:rPr>
        <w:t xml:space="preserve"> </w:t>
      </w:r>
    </w:p>
    <w:p w14:paraId="21AA1728">
      <w:pPr>
        <w:adjustRightInd/>
        <w:snapToGrid/>
        <w:spacing w:after="0" w:line="560" w:lineRule="exact"/>
        <w:ind w:firstLine="700" w:firstLineChars="250"/>
        <w:contextualSpacing/>
        <w:jc w:val="both"/>
        <w:rPr>
          <w:rFonts w:ascii="仿宋" w:hAnsi="仿宋" w:eastAsia="仿宋"/>
          <w:sz w:val="30"/>
          <w:szCs w:val="30"/>
        </w:rPr>
      </w:pPr>
      <w:r>
        <w:rPr>
          <w:rFonts w:hint="eastAsia" w:ascii="仿宋" w:hAnsi="仿宋" w:eastAsia="仿宋" w:cs="宋体"/>
          <w:color w:val="062D3C"/>
          <w:sz w:val="28"/>
          <w:szCs w:val="28"/>
        </w:rPr>
        <w:t>3.</w:t>
      </w:r>
      <w:r>
        <w:rPr>
          <w:rFonts w:ascii="黑体" w:hAnsi="黑体" w:eastAsia="黑体" w:cs="宋体"/>
          <w:b/>
          <w:bCs/>
          <w:color w:val="0B1216"/>
          <w:sz w:val="28"/>
          <w:szCs w:val="28"/>
        </w:rPr>
        <w:t xml:space="preserve"> </w:t>
      </w:r>
      <w:r>
        <w:rPr>
          <w:rFonts w:ascii="仿宋" w:hAnsi="仿宋" w:eastAsia="仿宋" w:cs="宋体"/>
          <w:bCs/>
          <w:color w:val="0B1216"/>
          <w:sz w:val="30"/>
          <w:szCs w:val="30"/>
        </w:rPr>
        <w:t>市行政审批服务局2019年度部门整体支出绩效评价报告</w:t>
      </w: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659518"/>
      <w:docPartObj>
        <w:docPartGallery w:val="autotext"/>
      </w:docPartObj>
    </w:sdtPr>
    <w:sdtContent>
      <w:p w14:paraId="46EC7AB0">
        <w:pPr>
          <w:pStyle w:val="3"/>
          <w:jc w:val="center"/>
        </w:pPr>
        <w:r>
          <w:fldChar w:fldCharType="begin"/>
        </w:r>
        <w:r>
          <w:instrText xml:space="preserve"> PAGE   \* MERGEFORMAT </w:instrText>
        </w:r>
        <w:r>
          <w:fldChar w:fldCharType="separate"/>
        </w:r>
        <w:r>
          <w:rPr>
            <w:lang w:val="zh-CN"/>
          </w:rPr>
          <w:t>14</w:t>
        </w:r>
        <w:r>
          <w:rPr>
            <w:lang w:val="zh-CN"/>
          </w:rPr>
          <w:fldChar w:fldCharType="end"/>
        </w:r>
      </w:p>
    </w:sdtContent>
  </w:sdt>
  <w:p w14:paraId="587CC011">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YWY5Y2MxYTI0MDdjMDcyMGU4OTY0YzhiZGZhYzcifQ=="/>
  </w:docVars>
  <w:rsids>
    <w:rsidRoot w:val="00D31D50"/>
    <w:rsid w:val="000A3104"/>
    <w:rsid w:val="00117FDF"/>
    <w:rsid w:val="0012434C"/>
    <w:rsid w:val="001A2692"/>
    <w:rsid w:val="001C7525"/>
    <w:rsid w:val="00255C16"/>
    <w:rsid w:val="002D7260"/>
    <w:rsid w:val="003100CA"/>
    <w:rsid w:val="00323B43"/>
    <w:rsid w:val="00330782"/>
    <w:rsid w:val="003D37D8"/>
    <w:rsid w:val="00426133"/>
    <w:rsid w:val="004358AB"/>
    <w:rsid w:val="00454271"/>
    <w:rsid w:val="004E3C12"/>
    <w:rsid w:val="00571B81"/>
    <w:rsid w:val="005A7C33"/>
    <w:rsid w:val="005B787C"/>
    <w:rsid w:val="005D6E26"/>
    <w:rsid w:val="005F4C9E"/>
    <w:rsid w:val="00652E38"/>
    <w:rsid w:val="006558D2"/>
    <w:rsid w:val="00666A28"/>
    <w:rsid w:val="00696C7E"/>
    <w:rsid w:val="007B0DFC"/>
    <w:rsid w:val="00813508"/>
    <w:rsid w:val="00864331"/>
    <w:rsid w:val="008B7726"/>
    <w:rsid w:val="00907BA4"/>
    <w:rsid w:val="009A279B"/>
    <w:rsid w:val="00A013B5"/>
    <w:rsid w:val="00A131D9"/>
    <w:rsid w:val="00A63B16"/>
    <w:rsid w:val="00B65C03"/>
    <w:rsid w:val="00B86052"/>
    <w:rsid w:val="00B95A08"/>
    <w:rsid w:val="00C0573E"/>
    <w:rsid w:val="00C152B0"/>
    <w:rsid w:val="00C807B0"/>
    <w:rsid w:val="00D16EF2"/>
    <w:rsid w:val="00D31D50"/>
    <w:rsid w:val="00D4510A"/>
    <w:rsid w:val="00E32732"/>
    <w:rsid w:val="00EF45E3"/>
    <w:rsid w:val="00EF48DB"/>
    <w:rsid w:val="00F330CD"/>
    <w:rsid w:val="00F762C5"/>
    <w:rsid w:val="00FC0813"/>
    <w:rsid w:val="1F5ED417"/>
    <w:rsid w:val="27BF885E"/>
    <w:rsid w:val="39E27C81"/>
    <w:rsid w:val="3BCFC141"/>
    <w:rsid w:val="3FBE0FD4"/>
    <w:rsid w:val="56C7AF58"/>
    <w:rsid w:val="5FCBBB82"/>
    <w:rsid w:val="63EF3A4A"/>
    <w:rsid w:val="767F360D"/>
    <w:rsid w:val="7AF72369"/>
    <w:rsid w:val="7F6FBCCC"/>
    <w:rsid w:val="7FBFF574"/>
    <w:rsid w:val="E59F9520"/>
    <w:rsid w:val="FF73B260"/>
    <w:rsid w:val="FF7F1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after="0"/>
    </w:pPr>
    <w:rPr>
      <w:sz w:val="18"/>
      <w:szCs w:val="18"/>
    </w:rPr>
  </w:style>
  <w:style w:type="paragraph" w:styleId="3">
    <w:name w:val="footer"/>
    <w:basedOn w:val="1"/>
    <w:link w:val="12"/>
    <w:unhideWhenUsed/>
    <w:qFormat/>
    <w:uiPriority w:val="99"/>
    <w:pPr>
      <w:tabs>
        <w:tab w:val="center" w:pos="4153"/>
        <w:tab w:val="right" w:pos="8306"/>
      </w:tabs>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9">
    <w:name w:val="Hyperlink"/>
    <w:basedOn w:val="7"/>
    <w:unhideWhenUsed/>
    <w:qFormat/>
    <w:uiPriority w:val="99"/>
    <w:rPr>
      <w:color w:val="0000FF"/>
      <w:u w:val="single"/>
    </w:rPr>
  </w:style>
  <w:style w:type="character" w:customStyle="1" w:styleId="10">
    <w:name w:val="批注框文本 Char"/>
    <w:basedOn w:val="7"/>
    <w:link w:val="2"/>
    <w:semiHidden/>
    <w:qFormat/>
    <w:uiPriority w:val="99"/>
    <w:rPr>
      <w:rFonts w:ascii="Tahoma" w:hAnsi="Tahoma"/>
      <w:sz w:val="18"/>
      <w:szCs w:val="18"/>
    </w:rPr>
  </w:style>
  <w:style w:type="character" w:customStyle="1" w:styleId="11">
    <w:name w:val="页眉 Char"/>
    <w:basedOn w:val="7"/>
    <w:link w:val="4"/>
    <w:semiHidden/>
    <w:qFormat/>
    <w:uiPriority w:val="99"/>
    <w:rPr>
      <w:rFonts w:ascii="Tahoma" w:hAnsi="Tahoma"/>
      <w:sz w:val="18"/>
      <w:szCs w:val="18"/>
    </w:rPr>
  </w:style>
  <w:style w:type="character" w:customStyle="1" w:styleId="12">
    <w:name w:val="页脚 Char"/>
    <w:basedOn w:val="7"/>
    <w:link w:val="3"/>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8109</Words>
  <Characters>8608</Characters>
  <Lines>64</Lines>
  <Paragraphs>18</Paragraphs>
  <TotalTime>1</TotalTime>
  <ScaleCrop>false</ScaleCrop>
  <LinksUpToDate>false</LinksUpToDate>
  <CharactersWithSpaces>8704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2008-09-12T09:20:00Z</dcterms:created>
  <dc:creator>kylin</dc:creator>
  <cp:lastModifiedBy>夏天</cp:lastModifiedBy>
  <dcterms:modified xsi:type="dcterms:W3CDTF">2024-10-16T07:38:39Z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6D09C6E610164FB9B240B2565AD257E8_13</vt:lpwstr>
  </property>
</Properties>
</file>