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shd w:val="clear" w:color="auto" w:fill="FFFFFF"/>
        <w:spacing w:beforeAutospacing="0" w:afterAutospacing="0" w:line="600" w:lineRule="exact"/>
        <w:jc w:val="center"/>
        <w:rPr>
          <w:rFonts w:hint="default" w:ascii="方正小标宋简体" w:hAnsi="方正小标宋_GBK" w:eastAsia="方正小标宋简体" w:cs="方正小标宋_GBK"/>
          <w:b w:val="0"/>
          <w:bCs/>
          <w:sz w:val="44"/>
          <w:szCs w:val="44"/>
          <w:shd w:val="clear" w:color="auto" w:fill="FFFFFF"/>
        </w:rPr>
      </w:pPr>
      <w:r>
        <w:rPr>
          <w:rFonts w:ascii="方正小标宋简体" w:hAnsi="方正小标宋_GBK" w:eastAsia="方正小标宋简体" w:cs="方正小标宋_GBK"/>
          <w:b w:val="0"/>
          <w:bCs/>
          <w:sz w:val="44"/>
          <w:szCs w:val="44"/>
          <w:shd w:val="clear" w:color="auto" w:fill="FFFFFF"/>
        </w:rPr>
        <w:t>2021年度益阳市委党校主体班</w:t>
      </w:r>
    </w:p>
    <w:p>
      <w:pPr>
        <w:pStyle w:val="3"/>
        <w:shd w:val="clear" w:color="auto" w:fill="FFFFFF"/>
        <w:spacing w:beforeAutospacing="0" w:afterAutospacing="0" w:line="600" w:lineRule="exact"/>
        <w:jc w:val="center"/>
        <w:rPr>
          <w:rFonts w:hint="default" w:ascii="方正小标宋简体" w:hAnsi="方正小标宋_GBK" w:eastAsia="方正小标宋简体" w:cs="方正小标宋_GBK"/>
          <w:b w:val="0"/>
          <w:bCs/>
          <w:sz w:val="44"/>
          <w:szCs w:val="44"/>
          <w:shd w:val="clear" w:color="auto" w:fill="FFFFFF"/>
        </w:rPr>
      </w:pPr>
      <w:r>
        <w:rPr>
          <w:rFonts w:ascii="方正小标宋简体" w:hAnsi="方正小标宋_GBK" w:eastAsia="方正小标宋简体" w:cs="方正小标宋_GBK"/>
          <w:b w:val="0"/>
          <w:bCs/>
          <w:sz w:val="44"/>
          <w:szCs w:val="44"/>
          <w:shd w:val="clear" w:color="auto" w:fill="FFFFFF"/>
        </w:rPr>
        <w:t>培训项目绩效评价报告</w:t>
      </w:r>
    </w:p>
    <w:p/>
    <w:p>
      <w:pPr>
        <w:pStyle w:val="8"/>
        <w:spacing w:beforeAutospacing="0" w:afterAutospacing="0" w:line="600" w:lineRule="exact"/>
        <w:ind w:right="-100"/>
        <w:jc w:val="center"/>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湖南源成会计师事务所（普通合伙）</w:t>
      </w:r>
    </w:p>
    <w:p>
      <w:pPr>
        <w:pStyle w:val="8"/>
        <w:spacing w:beforeAutospacing="0" w:afterAutospacing="0" w:line="600" w:lineRule="exact"/>
        <w:jc w:val="both"/>
        <w:rPr>
          <w:rFonts w:ascii="方正仿宋简体" w:hAnsi="方正仿宋简体" w:eastAsia="方正仿宋简体" w:cs="方正仿宋简体"/>
          <w:sz w:val="32"/>
          <w:szCs w:val="32"/>
          <w:shd w:val="clear" w:color="auto" w:fill="FFFFFF"/>
        </w:rPr>
      </w:pP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592"/>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根据《益阳市财政局关于做好2022年市级财政重点绩效评价工作的通知》（益财绩〔2022〕148号）文件精神，受益阳市财政局委托，湖南源成会计师事务所成立绩效评价工作组，于2022年8月20日至9月20日对益阳市委党校主体班培训项目开展了绩效评价。现将有关情况报告如下：</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黑体" w:hAnsi="宋体" w:eastAsia="黑体" w:cs="黑体"/>
          <w:spacing w:val="-6"/>
          <w:sz w:val="32"/>
          <w:szCs w:val="32"/>
          <w:shd w:val="clear" w:color="auto" w:fill="FFFFFF"/>
        </w:rPr>
        <w:t>一、项目</w:t>
      </w:r>
      <w:r>
        <w:rPr>
          <w:rFonts w:ascii="黑体" w:hAnsi="宋体" w:eastAsia="黑体" w:cs="黑体"/>
          <w:spacing w:val="-6"/>
          <w:sz w:val="32"/>
          <w:szCs w:val="32"/>
          <w:shd w:val="clear" w:color="auto" w:fill="FFFFFF"/>
        </w:rPr>
        <w:t>基本情况</w:t>
      </w:r>
    </w:p>
    <w:p>
      <w:pPr>
        <w:pStyle w:val="8"/>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620" w:lineRule="exact"/>
        <w:ind w:left="0" w:firstLine="463" w:firstLineChars="150"/>
        <w:jc w:val="both"/>
        <w:textAlignment w:val="auto"/>
        <w:rPr>
          <w:rFonts w:ascii="仿宋_GB2312" w:hAnsi="仿宋_GB2312" w:eastAsia="仿宋_GB2312" w:cs="仿宋_GB2312"/>
          <w:b/>
          <w:bCs/>
          <w:spacing w:val="-6"/>
          <w:sz w:val="32"/>
          <w:szCs w:val="32"/>
          <w:shd w:val="clear" w:color="auto" w:fill="FFFFFF"/>
        </w:rPr>
      </w:pPr>
      <w:r>
        <w:rPr>
          <w:rFonts w:ascii="仿宋_GB2312" w:hAnsi="仿宋_GB2312" w:eastAsia="仿宋_GB2312" w:cs="仿宋_GB2312"/>
          <w:b/>
          <w:bCs/>
          <w:spacing w:val="-6"/>
          <w:sz w:val="32"/>
          <w:szCs w:val="32"/>
          <w:shd w:val="clear" w:color="auto" w:fill="FFFFFF"/>
        </w:rPr>
        <w:t>项目单位基本情况</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益阳市委党校是公益一类全额拨款事业单位</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是在益阳市委直接领导下培养党员领导干部和理论干部的学校。内设办公室、教务科、科研科、学员管理科、培训科等12个行政科室和马克思主义理论教研室、党史党建教研室等8个教辅科室。</w:t>
      </w:r>
      <w:r>
        <w:rPr>
          <w:rFonts w:hint="eastAsia" w:ascii="仿宋" w:hAnsi="仿宋" w:eastAsia="仿宋" w:cs="仿宋"/>
          <w:sz w:val="32"/>
          <w:szCs w:val="32"/>
        </w:rPr>
        <w:t>现有在职人员98人，离退休</w:t>
      </w:r>
      <w:r>
        <w:rPr>
          <w:rFonts w:hint="eastAsia" w:ascii="仿宋" w:hAnsi="仿宋" w:eastAsia="仿宋" w:cs="仿宋"/>
          <w:sz w:val="32"/>
          <w:szCs w:val="32"/>
          <w:lang w:eastAsia="zh-CN"/>
        </w:rPr>
        <w:t>人员</w:t>
      </w:r>
      <w:r>
        <w:rPr>
          <w:rFonts w:hint="eastAsia" w:ascii="仿宋" w:hAnsi="仿宋" w:eastAsia="仿宋" w:cs="仿宋"/>
          <w:sz w:val="32"/>
          <w:szCs w:val="32"/>
        </w:rPr>
        <w:t>98人。</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left="0" w:firstLine="463" w:firstLineChars="150"/>
        <w:jc w:val="both"/>
        <w:textAlignment w:val="auto"/>
        <w:rPr>
          <w:rFonts w:ascii="仿宋_GB2312" w:hAnsi="仿宋_GB2312" w:eastAsia="仿宋_GB2312" w:cs="仿宋_GB2312"/>
          <w:b/>
          <w:bCs/>
          <w:spacing w:val="-6"/>
          <w:sz w:val="32"/>
          <w:szCs w:val="32"/>
          <w:shd w:val="clear" w:color="auto" w:fill="FFFFFF"/>
        </w:rPr>
      </w:pPr>
      <w:r>
        <w:rPr>
          <w:rFonts w:ascii="仿宋_GB2312" w:hAnsi="仿宋_GB2312" w:eastAsia="仿宋_GB2312" w:cs="仿宋_GB2312"/>
          <w:b/>
          <w:bCs/>
          <w:spacing w:val="-6"/>
          <w:sz w:val="32"/>
          <w:szCs w:val="32"/>
          <w:shd w:val="clear" w:color="auto" w:fill="FFFFFF"/>
        </w:rPr>
        <w:t>（二）项目</w:t>
      </w:r>
      <w:r>
        <w:rPr>
          <w:rFonts w:hint="eastAsia" w:ascii="仿宋_GB2312" w:hAnsi="仿宋_GB2312" w:eastAsia="仿宋_GB2312" w:cs="仿宋_GB2312"/>
          <w:b/>
          <w:bCs/>
          <w:spacing w:val="-6"/>
          <w:sz w:val="32"/>
          <w:szCs w:val="32"/>
          <w:shd w:val="clear" w:color="auto" w:fill="FFFFFF"/>
          <w:lang w:eastAsia="zh-CN"/>
        </w:rPr>
        <w:t>基本</w:t>
      </w:r>
      <w:r>
        <w:rPr>
          <w:rFonts w:ascii="仿宋_GB2312" w:hAnsi="仿宋_GB2312" w:eastAsia="仿宋_GB2312" w:cs="仿宋_GB2312"/>
          <w:b/>
          <w:bCs/>
          <w:spacing w:val="-6"/>
          <w:sz w:val="32"/>
          <w:szCs w:val="32"/>
          <w:shd w:val="clear" w:color="auto" w:fill="FFFFFF"/>
        </w:rPr>
        <w:t>情况</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lang w:eastAsia="zh-CN"/>
        </w:rPr>
        <w:t>根据</w:t>
      </w:r>
      <w:r>
        <w:rPr>
          <w:rFonts w:hint="eastAsia" w:ascii="仿宋_GB2312" w:hAnsi="仿宋_GB2312" w:eastAsia="仿宋_GB2312" w:cs="仿宋_GB2312"/>
          <w:spacing w:val="-6"/>
          <w:sz w:val="32"/>
          <w:szCs w:val="32"/>
          <w:shd w:val="clear" w:color="auto" w:fill="FFFFFF"/>
        </w:rPr>
        <w:t>《中共益阳市委组织部关于下达2021年上半年干部调训计划的通知》（益组通〔2021〕6号），</w:t>
      </w:r>
      <w:r>
        <w:rPr>
          <w:rFonts w:hint="eastAsia" w:ascii="仿宋_GB2312" w:hAnsi="仿宋_GB2312" w:eastAsia="仿宋_GB2312" w:cs="仿宋_GB2312"/>
          <w:spacing w:val="-6"/>
          <w:sz w:val="32"/>
          <w:szCs w:val="32"/>
          <w:shd w:val="clear" w:color="auto" w:fill="FFFFFF"/>
          <w:lang w:eastAsia="zh-CN"/>
        </w:rPr>
        <w:t>市委党校上半年开设</w:t>
      </w:r>
      <w:r>
        <w:rPr>
          <w:rFonts w:hint="eastAsia" w:ascii="仿宋_GB2312" w:hAnsi="仿宋_GB2312" w:eastAsia="仿宋_GB2312" w:cs="仿宋_GB2312"/>
          <w:spacing w:val="-6"/>
          <w:sz w:val="32"/>
          <w:szCs w:val="32"/>
          <w:shd w:val="clear" w:color="auto" w:fill="FFFFFF"/>
        </w:rPr>
        <w:t>培训班8个，具体为：1.处级干部学习习近平新时代中</w:t>
      </w:r>
      <w:r>
        <w:rPr>
          <w:rFonts w:hint="eastAsia" w:ascii="仿宋_GB2312" w:hAnsi="仿宋_GB2312" w:eastAsia="仿宋_GB2312" w:cs="仿宋_GB2312"/>
          <w:spacing w:val="-6"/>
          <w:sz w:val="32"/>
          <w:szCs w:val="32"/>
          <w:shd w:val="clear" w:color="auto" w:fill="FFFFFF"/>
          <w:lang w:eastAsia="zh-CN"/>
        </w:rPr>
        <w:t>国</w:t>
      </w:r>
      <w:bookmarkStart w:id="0" w:name="_GoBack"/>
      <w:bookmarkEnd w:id="0"/>
      <w:r>
        <w:rPr>
          <w:rFonts w:hint="eastAsia" w:ascii="仿宋_GB2312" w:hAnsi="仿宋_GB2312" w:eastAsia="仿宋_GB2312" w:cs="仿宋_GB2312"/>
          <w:spacing w:val="-6"/>
          <w:sz w:val="32"/>
          <w:szCs w:val="32"/>
          <w:shd w:val="clear" w:color="auto" w:fill="FFFFFF"/>
        </w:rPr>
        <w:t>特色社会主义思想专题进修班，人数50人，学制1个月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2.处级干部提升政治能力专题进修班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人数50人，学制1个月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3.年轻干部理想信念宗旨教育专题培训一班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人数45人，学制3个月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4.科技干部进修班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人数45人，学制1个月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5.新任乡镇党政正职提升政治能力专题培训班，学制3天，人数45人</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6.全市80后村党组织书记培训班（2期），人数200人，20天</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7.全市居民小区党支部书记培训班（3期），人数760人，15天</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8.全市发展村级集体经济培训班，人数210人，学制3天。</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lang w:eastAsia="zh-CN"/>
        </w:rPr>
        <w:t>根据</w:t>
      </w:r>
      <w:r>
        <w:rPr>
          <w:rFonts w:hint="eastAsia" w:ascii="仿宋_GB2312" w:hAnsi="仿宋_GB2312" w:eastAsia="仿宋_GB2312" w:cs="仿宋_GB2312"/>
          <w:spacing w:val="-6"/>
          <w:sz w:val="32"/>
          <w:szCs w:val="32"/>
          <w:shd w:val="clear" w:color="auto" w:fill="FFFFFF"/>
        </w:rPr>
        <w:t>《中共益阳市委组织部关于下达2021年下半年干部调训计划的通知》（益组通〔2021〕60号），</w:t>
      </w:r>
      <w:r>
        <w:rPr>
          <w:rFonts w:hint="eastAsia" w:ascii="仿宋_GB2312" w:hAnsi="仿宋_GB2312" w:eastAsia="仿宋_GB2312" w:cs="仿宋_GB2312"/>
          <w:spacing w:val="-6"/>
          <w:sz w:val="32"/>
          <w:szCs w:val="32"/>
          <w:shd w:val="clear" w:color="auto" w:fill="FFFFFF"/>
          <w:lang w:eastAsia="zh-CN"/>
        </w:rPr>
        <w:t>市委党校下半年开设</w:t>
      </w:r>
      <w:r>
        <w:rPr>
          <w:rFonts w:hint="eastAsia" w:ascii="仿宋_GB2312" w:hAnsi="仿宋_GB2312" w:eastAsia="仿宋_GB2312" w:cs="仿宋_GB2312"/>
          <w:spacing w:val="-6"/>
          <w:sz w:val="32"/>
          <w:szCs w:val="32"/>
          <w:shd w:val="clear" w:color="auto" w:fill="FFFFFF"/>
        </w:rPr>
        <w:t>培训班5个，其中：1.处级干部学习习近平新时代中国特色社会主义思想专题进修班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人数51人，学制1个月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2.新提拔处级干部培训班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具体参训对象和开班时间</w:t>
      </w:r>
      <w:r>
        <w:rPr>
          <w:rFonts w:hint="eastAsia" w:ascii="仿宋_GB2312" w:hAnsi="仿宋_GB2312" w:eastAsia="仿宋_GB2312" w:cs="仿宋_GB2312"/>
          <w:spacing w:val="-6"/>
          <w:sz w:val="32"/>
          <w:szCs w:val="32"/>
          <w:shd w:val="clear" w:color="auto" w:fill="FFFFFF"/>
          <w:lang w:eastAsia="zh-CN"/>
        </w:rPr>
        <w:t>以实际情况为准；</w:t>
      </w:r>
      <w:r>
        <w:rPr>
          <w:rFonts w:hint="eastAsia" w:ascii="仿宋_GB2312" w:hAnsi="仿宋_GB2312" w:eastAsia="仿宋_GB2312" w:cs="仿宋_GB2312"/>
          <w:spacing w:val="-6"/>
          <w:sz w:val="32"/>
          <w:szCs w:val="32"/>
          <w:shd w:val="clear" w:color="auto" w:fill="FFFFFF"/>
        </w:rPr>
        <w:t>3.科级干部进修班</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人数45人，学制1个月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4.四区中青年干部培训班，人数45人，学制2个月</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5.新录用公务员初任培训班，人数99人，学制1周。</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462" w:firstLineChars="150"/>
        <w:jc w:val="both"/>
        <w:textAlignment w:val="auto"/>
        <w:rPr>
          <w:rFonts w:hint="eastAsia" w:ascii="仿宋" w:hAnsi="仿宋" w:eastAsia="仿宋" w:cs="仿宋"/>
          <w:spacing w:val="-6"/>
          <w:sz w:val="32"/>
          <w:szCs w:val="32"/>
          <w:shd w:val="clear" w:color="auto" w:fill="FFFFFF"/>
        </w:rPr>
      </w:pPr>
      <w:r>
        <w:rPr>
          <w:rFonts w:hint="eastAsia" w:ascii="仿宋" w:hAnsi="仿宋" w:eastAsia="仿宋" w:cs="仿宋"/>
          <w:spacing w:val="-6"/>
          <w:sz w:val="32"/>
          <w:szCs w:val="32"/>
          <w:shd w:val="clear" w:color="auto" w:fill="FFFFFF"/>
        </w:rPr>
        <w:t>2021年，</w:t>
      </w:r>
      <w:r>
        <w:rPr>
          <w:rFonts w:hint="eastAsia" w:ascii="仿宋" w:hAnsi="仿宋" w:eastAsia="仿宋" w:cs="仿宋"/>
          <w:spacing w:val="-6"/>
          <w:sz w:val="32"/>
          <w:szCs w:val="32"/>
          <w:shd w:val="clear" w:color="auto" w:fill="FFFFFF"/>
          <w:lang w:eastAsia="zh-CN"/>
        </w:rPr>
        <w:t>受疫情等形势影响，</w:t>
      </w:r>
      <w:r>
        <w:rPr>
          <w:rFonts w:hint="eastAsia" w:ascii="仿宋" w:hAnsi="仿宋" w:eastAsia="仿宋" w:cs="仿宋"/>
          <w:spacing w:val="-6"/>
          <w:sz w:val="32"/>
          <w:szCs w:val="32"/>
          <w:shd w:val="clear" w:color="auto" w:fill="FFFFFF"/>
        </w:rPr>
        <w:t>该校</w:t>
      </w:r>
      <w:r>
        <w:rPr>
          <w:rFonts w:hint="eastAsia" w:ascii="仿宋" w:hAnsi="仿宋" w:eastAsia="仿宋" w:cs="仿宋"/>
          <w:spacing w:val="-6"/>
          <w:sz w:val="32"/>
          <w:szCs w:val="32"/>
          <w:shd w:val="clear" w:color="auto" w:fill="FFFFFF"/>
          <w:lang w:eastAsia="zh-CN"/>
        </w:rPr>
        <w:t>实际</w:t>
      </w:r>
      <w:r>
        <w:rPr>
          <w:rFonts w:hint="eastAsia" w:ascii="仿宋" w:hAnsi="仿宋" w:eastAsia="仿宋" w:cs="仿宋"/>
          <w:spacing w:val="-6"/>
          <w:sz w:val="32"/>
          <w:szCs w:val="32"/>
          <w:shd w:val="clear" w:color="auto" w:fill="FFFFFF"/>
        </w:rPr>
        <w:t>开办主体培训</w:t>
      </w:r>
      <w:r>
        <w:rPr>
          <w:rFonts w:hint="eastAsia" w:ascii="仿宋" w:hAnsi="仿宋" w:eastAsia="仿宋" w:cs="仿宋"/>
          <w:spacing w:val="-6"/>
          <w:sz w:val="32"/>
          <w:szCs w:val="32"/>
          <w:shd w:val="clear" w:color="auto" w:fill="FFFFFF"/>
          <w:lang w:eastAsia="zh-CN"/>
        </w:rPr>
        <w:t>班</w:t>
      </w:r>
      <w:r>
        <w:rPr>
          <w:rFonts w:hint="eastAsia" w:ascii="仿宋" w:hAnsi="仿宋" w:eastAsia="仿宋" w:cs="仿宋"/>
          <w:spacing w:val="-6"/>
          <w:sz w:val="32"/>
          <w:szCs w:val="32"/>
          <w:shd w:val="clear" w:color="auto" w:fill="FFFFFF"/>
        </w:rPr>
        <w:t>10期，学制9.46个月，培训学员540人</w:t>
      </w:r>
      <w:r>
        <w:rPr>
          <w:rFonts w:hint="eastAsia" w:ascii="仿宋" w:hAnsi="仿宋" w:eastAsia="仿宋" w:cs="仿宋"/>
          <w:spacing w:val="-6"/>
          <w:sz w:val="32"/>
          <w:szCs w:val="32"/>
          <w:shd w:val="clear" w:color="auto" w:fill="FFFFFF"/>
          <w:lang w:eastAsia="zh-CN"/>
        </w:rPr>
        <w:t>次</w:t>
      </w:r>
      <w:r>
        <w:rPr>
          <w:rFonts w:hint="eastAsia" w:ascii="仿宋" w:hAnsi="仿宋" w:eastAsia="仿宋" w:cs="仿宋"/>
          <w:spacing w:val="-6"/>
          <w:sz w:val="32"/>
          <w:szCs w:val="32"/>
          <w:shd w:val="clear" w:color="auto" w:fill="FFFFFF"/>
        </w:rPr>
        <w:t>，完成1142课时，教学测评率达到96%以上。其中7个班进行了考试，考试平均分在93分以上。</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463" w:firstLineChars="150"/>
        <w:jc w:val="both"/>
        <w:textAlignment w:val="auto"/>
        <w:rPr>
          <w:rFonts w:ascii="仿宋_GB2312" w:hAnsi="仿宋_GB2312" w:eastAsia="仿宋_GB2312" w:cs="仿宋_GB2312"/>
          <w:b/>
          <w:bCs/>
          <w:spacing w:val="-6"/>
          <w:sz w:val="32"/>
          <w:szCs w:val="32"/>
          <w:shd w:val="clear" w:color="auto" w:fill="FFFFFF"/>
        </w:rPr>
      </w:pPr>
      <w:r>
        <w:rPr>
          <w:rFonts w:hint="eastAsia" w:ascii="仿宋_GB2312" w:hAnsi="仿宋_GB2312" w:eastAsia="仿宋_GB2312" w:cs="仿宋_GB2312"/>
          <w:b/>
          <w:bCs/>
          <w:spacing w:val="-6"/>
          <w:sz w:val="32"/>
          <w:szCs w:val="32"/>
          <w:shd w:val="clear" w:color="auto" w:fill="FFFFFF"/>
        </w:rPr>
        <w:t>（三）</w:t>
      </w:r>
      <w:r>
        <w:rPr>
          <w:rFonts w:ascii="仿宋_GB2312" w:hAnsi="仿宋_GB2312" w:eastAsia="仿宋_GB2312" w:cs="仿宋_GB2312"/>
          <w:b/>
          <w:bCs/>
          <w:spacing w:val="-6"/>
          <w:sz w:val="32"/>
          <w:szCs w:val="32"/>
          <w:shd w:val="clear" w:color="auto" w:fill="FFFFFF"/>
        </w:rPr>
        <w:t>项目资金使用管理情况</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1．</w:t>
      </w:r>
      <w:r>
        <w:rPr>
          <w:rFonts w:hint="eastAsia" w:ascii="方正楷体简体" w:hAnsi="方正楷体简体" w:eastAsia="方正楷体简体" w:cs="方正楷体简体"/>
          <w:spacing w:val="-6"/>
          <w:sz w:val="32"/>
          <w:szCs w:val="32"/>
          <w:shd w:val="clear" w:color="auto" w:fill="FFFFFF"/>
        </w:rPr>
        <w:t>项目资金到位情况。</w:t>
      </w:r>
      <w:r>
        <w:rPr>
          <w:rFonts w:hint="eastAsia" w:ascii="仿宋_GB2312" w:hAnsi="仿宋_GB2312" w:eastAsia="仿宋_GB2312" w:cs="仿宋_GB2312"/>
          <w:spacing w:val="-6"/>
          <w:sz w:val="32"/>
          <w:szCs w:val="32"/>
          <w:shd w:val="clear" w:color="auto" w:fill="FFFFFF"/>
        </w:rPr>
        <w:t>2021年，市本级年初预算安排项目资金163.08万元，实际项目调整后预算152.91万元，市财政已下达该预算指标，资金已到位。</w:t>
      </w:r>
    </w:p>
    <w:p>
      <w:pPr>
        <w:pStyle w:val="2"/>
        <w:keepNext w:val="0"/>
        <w:keepLines w:val="0"/>
        <w:pageBreakBefore w:val="0"/>
        <w:widowControl w:val="0"/>
        <w:kinsoku/>
        <w:wordWrap/>
        <w:overflowPunct/>
        <w:topLinePunct w:val="0"/>
        <w:autoSpaceDE/>
        <w:autoSpaceDN/>
        <w:bidi w:val="0"/>
        <w:adjustRightInd/>
        <w:spacing w:line="620" w:lineRule="exact"/>
        <w:ind w:firstLine="770" w:firstLineChars="250"/>
        <w:textAlignment w:val="auto"/>
        <w:rPr>
          <w:rFonts w:hint="eastAsia"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方正楷体简体" w:hAnsi="方正楷体简体" w:eastAsia="方正楷体简体" w:cs="方正楷体简体"/>
          <w:spacing w:val="-6"/>
          <w:kern w:val="0"/>
          <w:sz w:val="32"/>
          <w:szCs w:val="32"/>
          <w:shd w:val="clear" w:color="auto" w:fill="FFFFFF"/>
          <w:lang w:val="en-US" w:eastAsia="zh-CN" w:bidi="ar-SA"/>
        </w:rPr>
        <w:t>2．项目资金支付情况</w:t>
      </w:r>
      <w:r>
        <w:rPr>
          <w:rFonts w:hint="eastAsia" w:ascii="仿宋_GB2312" w:hAnsi="仿宋_GB2312" w:eastAsia="仿宋_GB2312" w:cs="仿宋_GB2312"/>
          <w:spacing w:val="-6"/>
          <w:sz w:val="32"/>
          <w:szCs w:val="32"/>
          <w:shd w:val="clear" w:color="auto" w:fill="FFFFFF"/>
        </w:rPr>
        <w:t>。该项目资金已全部使用完毕，</w:t>
      </w:r>
      <w:r>
        <w:rPr>
          <w:rFonts w:hint="eastAsia" w:ascii="仿宋" w:hAnsi="仿宋" w:eastAsia="仿宋" w:cs="仿宋"/>
          <w:color w:val="000000" w:themeColor="text1"/>
          <w:kern w:val="0"/>
          <w:sz w:val="32"/>
          <w:szCs w:val="32"/>
          <w:shd w:val="clear" w:color="auto" w:fill="FFFFFF"/>
          <w14:textFill>
            <w14:solidFill>
              <w14:schemeClr w14:val="tx1"/>
            </w14:solidFill>
          </w14:textFill>
        </w:rPr>
        <w:t>共计支出主体班培训项目经费152.91万元，其中印刷费3</w:t>
      </w:r>
      <w:r>
        <w:rPr>
          <w:rFonts w:hint="eastAsia" w:ascii="仿宋" w:hAnsi="仿宋" w:eastAsia="仿宋" w:cs="仿宋"/>
          <w:color w:val="000000" w:themeColor="text1"/>
          <w:kern w:val="0"/>
          <w:sz w:val="32"/>
          <w:szCs w:val="32"/>
          <w:shd w:val="clear" w:color="auto" w:fill="FFFFFF"/>
          <w:lang w:val="en-US" w:eastAsia="zh-CN"/>
          <w14:textFill>
            <w14:solidFill>
              <w14:schemeClr w14:val="tx1"/>
            </w14:solidFill>
          </w14:textFill>
        </w:rPr>
        <w:t>.00</w:t>
      </w:r>
      <w:r>
        <w:rPr>
          <w:rFonts w:hint="eastAsia" w:ascii="仿宋" w:hAnsi="仿宋" w:eastAsia="仿宋" w:cs="仿宋"/>
          <w:color w:val="000000" w:themeColor="text1"/>
          <w:kern w:val="0"/>
          <w:sz w:val="32"/>
          <w:szCs w:val="32"/>
          <w:shd w:val="clear" w:color="auto" w:fill="FFFFFF"/>
          <w14:textFill>
            <w14:solidFill>
              <w14:schemeClr w14:val="tx1"/>
            </w14:solidFill>
          </w14:textFill>
        </w:rPr>
        <w:t>万元、咨询费0.2</w:t>
      </w:r>
      <w:r>
        <w:rPr>
          <w:rFonts w:hint="eastAsia" w:ascii="仿宋" w:hAnsi="仿宋" w:eastAsia="仿宋" w:cs="仿宋"/>
          <w:color w:val="000000" w:themeColor="text1"/>
          <w:kern w:val="0"/>
          <w:sz w:val="32"/>
          <w:szCs w:val="32"/>
          <w:shd w:val="clear" w:color="auto" w:fill="FFFFFF"/>
          <w:lang w:val="en-US" w:eastAsia="zh-CN"/>
          <w14:textFill>
            <w14:solidFill>
              <w14:schemeClr w14:val="tx1"/>
            </w14:solidFill>
          </w14:textFill>
        </w:rPr>
        <w:t>0</w:t>
      </w:r>
      <w:r>
        <w:rPr>
          <w:rFonts w:hint="eastAsia" w:ascii="仿宋" w:hAnsi="仿宋" w:eastAsia="仿宋" w:cs="仿宋"/>
          <w:color w:val="000000" w:themeColor="text1"/>
          <w:kern w:val="0"/>
          <w:sz w:val="32"/>
          <w:szCs w:val="32"/>
          <w:shd w:val="clear" w:color="auto" w:fill="FFFFFF"/>
          <w14:textFill>
            <w14:solidFill>
              <w14:schemeClr w14:val="tx1"/>
            </w14:solidFill>
          </w14:textFill>
        </w:rPr>
        <w:t>万元、邮电费0.12万元、维修（护）费0.36万、培训费116.79万元、委托业务费0.4</w:t>
      </w:r>
      <w:r>
        <w:rPr>
          <w:rFonts w:hint="eastAsia" w:ascii="仿宋" w:hAnsi="仿宋" w:eastAsia="仿宋" w:cs="仿宋"/>
          <w:color w:val="000000" w:themeColor="text1"/>
          <w:kern w:val="0"/>
          <w:sz w:val="32"/>
          <w:szCs w:val="32"/>
          <w:shd w:val="clear" w:color="auto" w:fill="FFFFFF"/>
          <w:lang w:val="en-US" w:eastAsia="zh-CN"/>
          <w14:textFill>
            <w14:solidFill>
              <w14:schemeClr w14:val="tx1"/>
            </w14:solidFill>
          </w14:textFill>
        </w:rPr>
        <w:t>0</w:t>
      </w:r>
      <w:r>
        <w:rPr>
          <w:rFonts w:hint="eastAsia" w:ascii="仿宋" w:hAnsi="仿宋" w:eastAsia="仿宋" w:cs="仿宋"/>
          <w:color w:val="000000" w:themeColor="text1"/>
          <w:kern w:val="0"/>
          <w:sz w:val="32"/>
          <w:szCs w:val="32"/>
          <w:shd w:val="clear" w:color="auto" w:fill="FFFFFF"/>
          <w14:textFill>
            <w14:solidFill>
              <w14:schemeClr w14:val="tx1"/>
            </w14:solidFill>
          </w14:textFill>
        </w:rPr>
        <w:t>万元、奖励金32.05万元。</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hint="eastAsia" w:ascii="方正楷体简体" w:hAnsi="方正楷体简体" w:eastAsia="方正楷体简体" w:cs="方正楷体简体"/>
          <w:spacing w:val="-6"/>
          <w:sz w:val="32"/>
          <w:szCs w:val="32"/>
          <w:shd w:val="clear" w:color="auto" w:fill="FFFFFF"/>
        </w:rPr>
      </w:pPr>
      <w:r>
        <w:rPr>
          <w:rFonts w:hint="eastAsia" w:ascii="方正楷体简体" w:hAnsi="方正楷体简体" w:eastAsia="方正楷体简体" w:cs="方正楷体简体"/>
          <w:spacing w:val="-6"/>
          <w:sz w:val="32"/>
          <w:szCs w:val="32"/>
          <w:shd w:val="clear" w:color="auto" w:fill="FFFFFF"/>
        </w:rPr>
        <w:t>3．项目资金管理情况。</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该</w:t>
      </w:r>
      <w:r>
        <w:rPr>
          <w:rFonts w:hint="eastAsia" w:ascii="仿宋_GB2312" w:hAnsi="仿宋_GB2312" w:eastAsia="仿宋_GB2312" w:cs="仿宋_GB2312"/>
          <w:spacing w:val="-6"/>
          <w:sz w:val="32"/>
          <w:szCs w:val="32"/>
          <w:shd w:val="clear" w:color="auto" w:fill="FFFFFF"/>
          <w:lang w:eastAsia="zh-CN"/>
        </w:rPr>
        <w:t>培训项目资金的使用严格按照</w:t>
      </w:r>
      <w:r>
        <w:rPr>
          <w:rFonts w:hint="eastAsia" w:ascii="仿宋_GB2312" w:hAnsi="仿宋_GB2312" w:eastAsia="仿宋_GB2312" w:cs="仿宋_GB2312"/>
          <w:spacing w:val="-6"/>
          <w:sz w:val="32"/>
          <w:szCs w:val="32"/>
          <w:shd w:val="clear" w:color="auto" w:fill="FFFFFF"/>
        </w:rPr>
        <w:t>《中共益阳市委党校财务管理规定》</w:t>
      </w:r>
      <w:r>
        <w:rPr>
          <w:rFonts w:hint="eastAsia" w:ascii="仿宋_GB2312" w:hAnsi="仿宋_GB2312" w:eastAsia="仿宋_GB2312" w:cs="仿宋_GB2312"/>
          <w:spacing w:val="-6"/>
          <w:sz w:val="32"/>
          <w:szCs w:val="32"/>
          <w:shd w:val="clear" w:color="auto" w:fill="FFFFFF"/>
          <w:lang w:eastAsia="zh-CN"/>
        </w:rPr>
        <w:t>进行会计核算和审批报销</w:t>
      </w:r>
      <w:r>
        <w:rPr>
          <w:rFonts w:hint="eastAsia" w:ascii="仿宋_GB2312" w:hAnsi="仿宋_GB2312" w:eastAsia="仿宋_GB2312" w:cs="仿宋_GB2312"/>
          <w:spacing w:val="-6"/>
          <w:sz w:val="32"/>
          <w:szCs w:val="32"/>
          <w:shd w:val="clear" w:color="auto" w:fill="FFFFFF"/>
        </w:rPr>
        <w:t>，同时</w:t>
      </w:r>
      <w:r>
        <w:rPr>
          <w:rFonts w:hint="eastAsia" w:ascii="仿宋_GB2312" w:hAnsi="仿宋_GB2312" w:eastAsia="仿宋_GB2312" w:cs="仿宋_GB2312"/>
          <w:spacing w:val="-6"/>
          <w:sz w:val="32"/>
          <w:szCs w:val="32"/>
          <w:shd w:val="clear" w:color="auto" w:fill="FFFFFF"/>
          <w:lang w:eastAsia="zh-CN"/>
        </w:rPr>
        <w:t>按照</w:t>
      </w:r>
      <w:r>
        <w:rPr>
          <w:rFonts w:hint="eastAsia" w:ascii="仿宋_GB2312" w:hAnsi="仿宋_GB2312" w:eastAsia="仿宋_GB2312" w:cs="仿宋_GB2312"/>
          <w:spacing w:val="-6"/>
          <w:sz w:val="32"/>
          <w:szCs w:val="32"/>
          <w:shd w:val="clear" w:color="auto" w:fill="FFFFFF"/>
        </w:rPr>
        <w:t>《益阳市市直机关培训费管理办法》</w:t>
      </w:r>
      <w:r>
        <w:rPr>
          <w:rFonts w:hint="eastAsia" w:ascii="仿宋_GB2312" w:hAnsi="仿宋_GB2312" w:eastAsia="仿宋_GB2312" w:cs="仿宋_GB2312"/>
          <w:spacing w:val="-6"/>
          <w:sz w:val="32"/>
          <w:szCs w:val="32"/>
          <w:shd w:val="clear" w:color="auto" w:fill="FFFFFF"/>
          <w:lang w:eastAsia="zh-CN"/>
        </w:rPr>
        <w:t>中有关规定和标准执行</w:t>
      </w:r>
      <w:r>
        <w:rPr>
          <w:rFonts w:hint="eastAsia" w:ascii="仿宋_GB2312" w:hAnsi="仿宋_GB2312" w:eastAsia="仿宋_GB2312" w:cs="仿宋_GB2312"/>
          <w:spacing w:val="-6"/>
          <w:sz w:val="32"/>
          <w:szCs w:val="32"/>
          <w:shd w:val="clear" w:color="auto" w:fill="FFFFFF"/>
        </w:rPr>
        <w:t>。对专项资金单独设</w:t>
      </w:r>
      <w:r>
        <w:rPr>
          <w:rFonts w:hint="eastAsia" w:ascii="仿宋_GB2312" w:hAnsi="仿宋_GB2312" w:eastAsia="仿宋_GB2312" w:cs="仿宋_GB2312"/>
          <w:spacing w:val="-6"/>
          <w:sz w:val="32"/>
          <w:szCs w:val="32"/>
          <w:shd w:val="clear" w:color="auto" w:fill="FFFFFF"/>
          <w:lang w:eastAsia="zh-CN"/>
        </w:rPr>
        <w:t>立</w:t>
      </w:r>
      <w:r>
        <w:rPr>
          <w:rFonts w:hint="eastAsia" w:ascii="仿宋_GB2312" w:hAnsi="仿宋_GB2312" w:eastAsia="仿宋_GB2312" w:cs="仿宋_GB2312"/>
          <w:spacing w:val="-6"/>
          <w:sz w:val="32"/>
          <w:szCs w:val="32"/>
          <w:shd w:val="clear" w:color="auto" w:fill="FFFFFF"/>
        </w:rPr>
        <w:t>科目核算，专款专用</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资金经内部审批程序后支付</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对项目资金的使用开展了绩效自评。</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hint="eastAsia" w:ascii="方正楷体简体" w:hAnsi="方正楷体简体" w:eastAsia="方正楷体简体" w:cs="方正楷体简体"/>
          <w:spacing w:val="-6"/>
          <w:sz w:val="32"/>
          <w:szCs w:val="32"/>
          <w:shd w:val="clear" w:color="auto" w:fill="FFFFFF"/>
        </w:rPr>
      </w:pPr>
      <w:r>
        <w:rPr>
          <w:rFonts w:hint="eastAsia" w:ascii="方正楷体简体" w:hAnsi="方正楷体简体" w:eastAsia="方正楷体简体" w:cs="方正楷体简体"/>
          <w:spacing w:val="-6"/>
          <w:sz w:val="32"/>
          <w:szCs w:val="32"/>
          <w:shd w:val="clear" w:color="auto" w:fill="FFFFFF"/>
        </w:rPr>
        <w:t>4．项目组织和管理情况</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一是成立专门管理部门。各部门职责分工明确且管理规范。每期培训都根据培训对象和培训要求制定详细的教学计划和教学日程安排表。</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二是建立了管理制度。制定了《市委党校办学质量评估责任清单》、《益阳市委党校教学管理制度》和主体班学员管理条例等，对主体班培训质量进行控制。</w:t>
      </w:r>
    </w:p>
    <w:p>
      <w:pPr>
        <w:pStyle w:val="8"/>
        <w:keepNext w:val="0"/>
        <w:keepLines w:val="0"/>
        <w:pageBreakBefore w:val="0"/>
        <w:kinsoku/>
        <w:wordWrap/>
        <w:overflowPunct/>
        <w:topLinePunct w:val="0"/>
        <w:autoSpaceDE/>
        <w:autoSpaceDN/>
        <w:bidi w:val="0"/>
        <w:adjustRightInd/>
        <w:snapToGrid/>
        <w:spacing w:beforeAutospacing="0" w:afterAutospacing="0" w:line="620" w:lineRule="exact"/>
        <w:ind w:firstLine="640"/>
        <w:textAlignment w:val="auto"/>
        <w:rPr>
          <w:rFonts w:ascii="Calibri" w:hAnsi="Calibri" w:cs="Calibri"/>
          <w:spacing w:val="-6"/>
          <w:sz w:val="21"/>
          <w:szCs w:val="21"/>
        </w:rPr>
      </w:pPr>
      <w:r>
        <w:rPr>
          <w:rFonts w:hint="eastAsia" w:ascii="黑体" w:hAnsi="宋体" w:eastAsia="黑体" w:cs="黑体"/>
          <w:spacing w:val="-6"/>
          <w:sz w:val="32"/>
          <w:szCs w:val="32"/>
          <w:shd w:val="clear" w:color="auto" w:fill="FFFFFF"/>
        </w:rPr>
        <w:t>二、绩效评价工作情况</w:t>
      </w:r>
    </w:p>
    <w:p>
      <w:pPr>
        <w:pStyle w:val="8"/>
        <w:keepNext w:val="0"/>
        <w:keepLines w:val="0"/>
        <w:pageBreakBefore w:val="0"/>
        <w:kinsoku/>
        <w:wordWrap/>
        <w:overflowPunct/>
        <w:topLinePunct w:val="0"/>
        <w:autoSpaceDE/>
        <w:autoSpaceDN/>
        <w:bidi w:val="0"/>
        <w:adjustRightInd/>
        <w:snapToGrid/>
        <w:spacing w:beforeAutospacing="0" w:afterAutospacing="0" w:line="620" w:lineRule="exact"/>
        <w:ind w:firstLine="640"/>
        <w:textAlignment w:val="auto"/>
        <w:rPr>
          <w:rFonts w:ascii="仿宋_GB2312" w:hAnsi="仿宋_GB2312" w:eastAsia="仿宋_GB2312" w:cs="仿宋_GB2312"/>
          <w:b/>
          <w:bCs/>
          <w:spacing w:val="-6"/>
          <w:sz w:val="32"/>
          <w:szCs w:val="32"/>
          <w:shd w:val="clear" w:color="auto" w:fill="FFFFFF"/>
        </w:rPr>
      </w:pPr>
      <w:r>
        <w:rPr>
          <w:rFonts w:hint="eastAsia" w:ascii="仿宋_GB2312" w:hAnsi="仿宋_GB2312" w:eastAsia="仿宋_GB2312" w:cs="仿宋_GB2312"/>
          <w:b/>
          <w:bCs/>
          <w:spacing w:val="-6"/>
          <w:sz w:val="32"/>
          <w:szCs w:val="32"/>
          <w:shd w:val="clear" w:color="auto" w:fill="FFFFFF"/>
        </w:rPr>
        <w:t>（一）绩效评价目的。</w:t>
      </w:r>
    </w:p>
    <w:p>
      <w:pPr>
        <w:pStyle w:val="8"/>
        <w:keepNext w:val="0"/>
        <w:keepLines w:val="0"/>
        <w:pageBreakBefore w:val="0"/>
        <w:kinsoku/>
        <w:wordWrap/>
        <w:overflowPunct/>
        <w:topLinePunct w:val="0"/>
        <w:autoSpaceDE/>
        <w:autoSpaceDN/>
        <w:bidi w:val="0"/>
        <w:adjustRightInd/>
        <w:snapToGrid/>
        <w:spacing w:beforeAutospacing="0" w:afterAutospacing="0" w:line="620" w:lineRule="exact"/>
        <w:ind w:firstLine="640"/>
        <w:textAlignment w:val="auto"/>
        <w:rPr>
          <w:rFonts w:hint="eastAsia" w:ascii="仿宋" w:hAnsi="仿宋" w:eastAsia="仿宋" w:cs="仿宋"/>
          <w:spacing w:val="-6"/>
          <w:sz w:val="32"/>
          <w:szCs w:val="32"/>
          <w:shd w:val="clear" w:color="auto" w:fill="FFFFFF"/>
        </w:rPr>
      </w:pPr>
      <w:r>
        <w:rPr>
          <w:rFonts w:hint="eastAsia" w:ascii="仿宋" w:hAnsi="仿宋" w:eastAsia="仿宋" w:cs="仿宋"/>
          <w:spacing w:val="-6"/>
          <w:sz w:val="32"/>
          <w:szCs w:val="32"/>
          <w:shd w:val="clear" w:color="auto" w:fill="FFFFFF"/>
        </w:rPr>
        <w:t>通过开展2021年度益阳市委党校主体班培训项目绩效评价，全面了解、分析项目资金使用、管理和实施情况，督促项目单位进一步完善相关制度、严格项目申报、实施等程序。规范资金使用及管理，切实提高财政资金使用效益。</w:t>
      </w:r>
    </w:p>
    <w:p>
      <w:pPr>
        <w:pStyle w:val="8"/>
        <w:keepNext w:val="0"/>
        <w:keepLines w:val="0"/>
        <w:pageBreakBefore w:val="0"/>
        <w:kinsoku/>
        <w:wordWrap/>
        <w:overflowPunct/>
        <w:topLinePunct w:val="0"/>
        <w:autoSpaceDE/>
        <w:autoSpaceDN/>
        <w:bidi w:val="0"/>
        <w:adjustRightInd/>
        <w:snapToGrid/>
        <w:spacing w:beforeAutospacing="0" w:afterAutospacing="0" w:line="620" w:lineRule="exact"/>
        <w:ind w:firstLine="640"/>
        <w:jc w:val="both"/>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b/>
          <w:bCs/>
          <w:spacing w:val="-6"/>
          <w:sz w:val="32"/>
          <w:szCs w:val="32"/>
          <w:shd w:val="clear" w:color="auto" w:fill="FFFFFF"/>
        </w:rPr>
        <w:t>（二）绩效评价工作过程。</w:t>
      </w:r>
      <w:r>
        <w:rPr>
          <w:rFonts w:hint="eastAsia" w:ascii="仿宋_GB2312" w:hAnsi="仿宋_GB2312" w:eastAsia="仿宋_GB2312" w:cs="仿宋_GB2312"/>
          <w:spacing w:val="-6"/>
          <w:sz w:val="32"/>
          <w:szCs w:val="32"/>
          <w:shd w:val="clear" w:color="auto" w:fill="FFFFFF"/>
        </w:rPr>
        <w:t>按照绩效评价工作的相关要求</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我所按下列步骤开展了绩效评价工作。</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40"/>
        <w:jc w:val="both"/>
        <w:textAlignment w:val="auto"/>
        <w:rPr>
          <w:rFonts w:ascii="仿宋_GB2312" w:hAnsi="仿宋_GB2312" w:eastAsia="仿宋_GB2312" w:cs="仿宋_GB2312"/>
          <w:spacing w:val="-6"/>
          <w:sz w:val="32"/>
          <w:szCs w:val="32"/>
          <w:shd w:val="clear" w:color="auto" w:fill="FFFFFF"/>
        </w:rPr>
      </w:pPr>
      <w:r>
        <w:rPr>
          <w:rFonts w:hint="eastAsia" w:ascii="方正楷体简体" w:hAnsi="方正楷体简体" w:eastAsia="方正楷体简体" w:cs="方正楷体简体"/>
          <w:spacing w:val="-6"/>
          <w:sz w:val="32"/>
          <w:szCs w:val="32"/>
          <w:shd w:val="clear" w:color="auto" w:fill="FFFFFF"/>
        </w:rPr>
        <w:t>1．前期准备</w:t>
      </w:r>
      <w:r>
        <w:rPr>
          <w:rFonts w:hint="eastAsia" w:ascii="仿宋_GB2312" w:hAnsi="仿宋_GB2312" w:eastAsia="仿宋_GB2312" w:cs="仿宋_GB2312"/>
          <w:spacing w:val="-6"/>
          <w:sz w:val="32"/>
          <w:szCs w:val="32"/>
          <w:shd w:val="clear" w:color="auto" w:fill="FFFFFF"/>
        </w:rPr>
        <w:t>。我所抽调专人成立了绩效评价工作小组，明确了工作职责，制定了现场评价方案，设计了相关表格，联系了相关部门和单位，确定了实施时间。</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40"/>
        <w:jc w:val="both"/>
        <w:textAlignment w:val="auto"/>
        <w:rPr>
          <w:rFonts w:ascii="仿宋_GB2312" w:hAnsi="仿宋_GB2312" w:eastAsia="仿宋_GB2312" w:cs="仿宋_GB2312"/>
          <w:spacing w:val="-6"/>
          <w:sz w:val="32"/>
          <w:szCs w:val="32"/>
          <w:shd w:val="clear" w:color="auto" w:fill="FFFFFF"/>
        </w:rPr>
      </w:pPr>
      <w:r>
        <w:rPr>
          <w:rFonts w:hint="eastAsia" w:ascii="方正楷体简体" w:hAnsi="方正楷体简体" w:eastAsia="方正楷体简体" w:cs="方正楷体简体"/>
          <w:spacing w:val="-6"/>
          <w:sz w:val="32"/>
          <w:szCs w:val="32"/>
          <w:shd w:val="clear" w:color="auto" w:fill="FFFFFF"/>
        </w:rPr>
        <w:t>2．实施情况</w:t>
      </w:r>
      <w:r>
        <w:rPr>
          <w:rFonts w:hint="eastAsia" w:ascii="仿宋_GB2312" w:hAnsi="仿宋_GB2312" w:eastAsia="仿宋_GB2312" w:cs="仿宋_GB2312"/>
          <w:spacing w:val="-6"/>
          <w:sz w:val="32"/>
          <w:szCs w:val="32"/>
          <w:shd w:val="clear" w:color="auto" w:fill="FFFFFF"/>
        </w:rPr>
        <w:t>。项目绩效评价实施步骤：（1）召开座谈会。组织项目实施单位召开座谈会，听取项目有关情况介绍。（2）收集核查资料。收集项目相关政策文件、申报文件、制度及实施程序等资料；核查相关制度是否完善，项目立项等程序是否符合要求，项目支出是否符合规定，资金拨付手续是否齐全。（3）学员回访。制作调查问卷，对参训的学员培训情况进行电话回访，主要考核对培训的满意度情况；（4）根据市委党校报送的绩效评价自评报告及表格，沟通反馈、征求意见等材料进行分析，形成评价结论，出具绩效评价报告。</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616" w:firstLineChars="200"/>
        <w:textAlignment w:val="auto"/>
        <w:rPr>
          <w:rFonts w:ascii="黑体" w:hAnsi="宋体" w:eastAsia="黑体" w:cs="黑体"/>
          <w:spacing w:val="-6"/>
          <w:sz w:val="32"/>
          <w:szCs w:val="32"/>
          <w:shd w:val="clear" w:color="auto" w:fill="FFFFFF"/>
        </w:rPr>
      </w:pPr>
      <w:r>
        <w:rPr>
          <w:rFonts w:hint="eastAsia" w:ascii="黑体" w:hAnsi="宋体" w:eastAsia="黑体" w:cs="黑体"/>
          <w:spacing w:val="-6"/>
          <w:sz w:val="32"/>
          <w:szCs w:val="32"/>
          <w:shd w:val="clear" w:color="auto" w:fill="FFFFFF"/>
        </w:rPr>
        <w:t>三、项目支出评价结论及主要绩效</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根据该项目资金绩效评价指标体系和绩效检查情况，该项目整体绩效分值100分，实际得分86.7分，被评为“良好”等级（详见附件1）。主要绩效表现在：</w:t>
      </w:r>
    </w:p>
    <w:p>
      <w:pPr>
        <w:keepNext w:val="0"/>
        <w:keepLines w:val="0"/>
        <w:pageBreakBefore w:val="0"/>
        <w:widowControl w:val="0"/>
        <w:kinsoku/>
        <w:wordWrap/>
        <w:overflowPunct/>
        <w:topLinePunct w:val="0"/>
        <w:autoSpaceDE/>
        <w:autoSpaceDN/>
        <w:bidi w:val="0"/>
        <w:adjustRightInd/>
        <w:snapToGrid/>
        <w:spacing w:line="620" w:lineRule="exact"/>
        <w:ind w:firstLine="480" w:firstLineChars="150"/>
        <w:textAlignment w:val="auto"/>
        <w:rPr>
          <w:rFonts w:ascii="黑体" w:hAnsi="黑体" w:eastAsia="黑体" w:cs="黑体"/>
          <w:sz w:val="32"/>
          <w:szCs w:val="32"/>
        </w:rPr>
      </w:pPr>
      <w:r>
        <w:rPr>
          <w:rFonts w:hint="eastAsia" w:ascii="黑体" w:hAnsi="黑体" w:eastAsia="黑体" w:cs="黑体"/>
          <w:sz w:val="32"/>
          <w:szCs w:val="32"/>
        </w:rPr>
        <w:t>（一）完成主体班培训任务</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eastAsia="仿宋_GB2312" w:cs="Times New Roman"/>
          <w:color w:val="000000"/>
          <w:sz w:val="32"/>
          <w:szCs w:val="32"/>
        </w:rPr>
      </w:pPr>
      <w:r>
        <w:rPr>
          <w:rFonts w:ascii="仿宋_GB2312" w:eastAsia="仿宋_GB2312" w:cs="Times New Roman"/>
          <w:color w:val="000000"/>
          <w:sz w:val="32"/>
          <w:szCs w:val="32"/>
        </w:rPr>
        <w:t>上半年</w:t>
      </w:r>
      <w:r>
        <w:rPr>
          <w:rFonts w:hint="eastAsia" w:ascii="仿宋_GB2312" w:eastAsia="仿宋_GB2312" w:cs="Times New Roman"/>
          <w:color w:val="000000"/>
          <w:sz w:val="32"/>
          <w:szCs w:val="32"/>
        </w:rPr>
        <w:t>举办主体班</w:t>
      </w:r>
      <w:r>
        <w:rPr>
          <w:rFonts w:ascii="仿宋_GB2312" w:eastAsia="仿宋_GB2312" w:cs="Times New Roman"/>
          <w:color w:val="000000"/>
          <w:sz w:val="32"/>
          <w:szCs w:val="32"/>
        </w:rPr>
        <w:t>5</w:t>
      </w:r>
      <w:r>
        <w:rPr>
          <w:rFonts w:hint="eastAsia" w:ascii="仿宋_GB2312" w:eastAsia="仿宋_GB2312" w:cs="Times New Roman"/>
          <w:color w:val="000000"/>
          <w:sz w:val="32"/>
          <w:szCs w:val="32"/>
        </w:rPr>
        <w:t>期，包括处级干部学习习近平新时代中国特色社会主义思想专题进修班、处级干部提升政治能力专题进修班、年轻干部理想信念宗旨教育专题培训一班、科级干部进修班和新任乡镇(街道)党政正职提升政治能力专题培训班，共培训学员</w:t>
      </w:r>
      <w:r>
        <w:rPr>
          <w:rFonts w:ascii="仿宋_GB2312" w:eastAsia="仿宋_GB2312" w:cs="Times New Roman"/>
          <w:color w:val="000000"/>
          <w:sz w:val="32"/>
          <w:szCs w:val="32"/>
        </w:rPr>
        <w:t>230</w:t>
      </w:r>
      <w:r>
        <w:rPr>
          <w:rFonts w:hint="eastAsia" w:ascii="仿宋_GB2312" w:eastAsia="仿宋_GB2312" w:cs="Times New Roman"/>
          <w:color w:val="000000"/>
          <w:sz w:val="32"/>
          <w:szCs w:val="32"/>
        </w:rPr>
        <w:t>人。</w:t>
      </w:r>
      <w:r>
        <w:rPr>
          <w:rFonts w:ascii="仿宋_GB2312" w:eastAsia="仿宋_GB2312" w:cs="Times New Roman"/>
          <w:color w:val="000000"/>
          <w:sz w:val="32"/>
          <w:szCs w:val="32"/>
        </w:rPr>
        <w:t>下半年</w:t>
      </w:r>
      <w:r>
        <w:rPr>
          <w:rFonts w:hint="eastAsia" w:ascii="仿宋_GB2312" w:eastAsia="仿宋_GB2312" w:cs="Times New Roman"/>
          <w:color w:val="000000"/>
          <w:sz w:val="32"/>
          <w:szCs w:val="32"/>
        </w:rPr>
        <w:t>举办主体班</w:t>
      </w:r>
      <w:r>
        <w:rPr>
          <w:rFonts w:ascii="仿宋_GB2312" w:eastAsia="仿宋_GB2312" w:cs="Times New Roman"/>
          <w:color w:val="000000"/>
          <w:sz w:val="32"/>
          <w:szCs w:val="32"/>
        </w:rPr>
        <w:t>5</w:t>
      </w:r>
      <w:r>
        <w:rPr>
          <w:rFonts w:hint="eastAsia" w:ascii="仿宋_GB2312" w:eastAsia="仿宋_GB2312" w:cs="Times New Roman"/>
          <w:color w:val="000000"/>
          <w:sz w:val="32"/>
          <w:szCs w:val="32"/>
        </w:rPr>
        <w:t>期，包括处级干部学习习近平新时代中国特色社会主义思想专题进修班、新提拔处级干部培训班、科级干部进修班、四区中青年干部培训班和新录用公务员初任培训班，共培训学员</w:t>
      </w:r>
      <w:r>
        <w:rPr>
          <w:rFonts w:ascii="仿宋_GB2312" w:eastAsia="仿宋_GB2312" w:cs="Times New Roman"/>
          <w:color w:val="000000"/>
          <w:sz w:val="32"/>
          <w:szCs w:val="32"/>
        </w:rPr>
        <w:t>306</w:t>
      </w:r>
      <w:r>
        <w:rPr>
          <w:rFonts w:hint="eastAsia" w:ascii="仿宋_GB2312" w:eastAsia="仿宋_GB2312" w:cs="Times New Roman"/>
          <w:color w:val="000000"/>
          <w:sz w:val="32"/>
          <w:szCs w:val="32"/>
        </w:rPr>
        <w:t>人</w:t>
      </w:r>
      <w:r>
        <w:rPr>
          <w:rFonts w:hint="eastAsia" w:ascii="仿宋_GB2312" w:eastAsia="仿宋_GB2312" w:cs="Times New Roman"/>
          <w:color w:val="000000"/>
          <w:sz w:val="32"/>
          <w:szCs w:val="32"/>
          <w:lang w:eastAsia="zh-CN"/>
        </w:rPr>
        <w:t>，全年培训任务基本完成</w:t>
      </w:r>
      <w:r>
        <w:rPr>
          <w:rFonts w:hint="eastAsia" w:ascii="仿宋_GB2312" w:eastAsia="仿宋_GB2312"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left="0" w:firstLine="480" w:firstLineChars="150"/>
        <w:textAlignment w:val="auto"/>
        <w:rPr>
          <w:rFonts w:ascii="黑体" w:hAnsi="黑体" w:eastAsia="黑体" w:cs="黑体"/>
          <w:sz w:val="32"/>
          <w:szCs w:val="32"/>
        </w:rPr>
      </w:pPr>
      <w:r>
        <w:rPr>
          <w:rFonts w:hint="eastAsia" w:ascii="黑体" w:hAnsi="黑体" w:eastAsia="黑体" w:cs="黑体"/>
          <w:sz w:val="32"/>
          <w:szCs w:val="32"/>
        </w:rPr>
        <w:t>（二）</w:t>
      </w:r>
      <w:r>
        <w:rPr>
          <w:rFonts w:ascii="黑体" w:hAnsi="黑体" w:eastAsia="黑体" w:cs="黑体"/>
          <w:sz w:val="32"/>
          <w:szCs w:val="32"/>
        </w:rPr>
        <w:t>优化教学布局</w:t>
      </w:r>
      <w:r>
        <w:rPr>
          <w:rFonts w:hint="eastAsia" w:ascii="黑体" w:hAnsi="黑体" w:eastAsia="黑体" w:cs="黑体"/>
          <w:sz w:val="32"/>
          <w:szCs w:val="32"/>
        </w:rPr>
        <w:t>，突出主业主课</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_GB2312" w:eastAsia="仿宋_GB2312" w:cs="仿宋_GB2312"/>
          <w:spacing w:val="10"/>
          <w:sz w:val="32"/>
          <w:szCs w:val="32"/>
        </w:rPr>
      </w:pPr>
      <w:r>
        <w:rPr>
          <w:rFonts w:hint="eastAsia" w:ascii="仿宋_GB2312" w:eastAsia="仿宋_GB2312" w:cs="Times New Roman"/>
          <w:color w:val="000000"/>
          <w:sz w:val="32"/>
          <w:szCs w:val="32"/>
        </w:rPr>
        <w:t>一是</w:t>
      </w:r>
      <w:r>
        <w:rPr>
          <w:rFonts w:hint="eastAsia" w:ascii="仿宋_GB2312" w:hAnsi="Calibri" w:eastAsia="仿宋_GB2312" w:cs="Times New Roman"/>
          <w:color w:val="000000"/>
          <w:sz w:val="32"/>
          <w:szCs w:val="32"/>
        </w:rPr>
        <w:t>科学设置教学课程。学校为每一个主体班次安排不同的教学课程，制定了不同内容的教学计划，如中青年干部培训班主要安排理论教育、党性教育、能力培养和相关知识，其中党的理论教育和党性教育占总课时比超70%，进修班则侧重于引导学员运用所学理论研究重大问题、指导工作实践，确保做到培训内容丰富、形式活泼、结构紧凑</w:t>
      </w:r>
      <w:r>
        <w:rPr>
          <w:rFonts w:ascii="仿宋_GB2312" w:hAnsi="Calibri" w:eastAsia="仿宋_GB2312" w:cs="Times New Roman"/>
          <w:color w:val="000000"/>
          <w:sz w:val="32"/>
          <w:szCs w:val="32"/>
        </w:rPr>
        <w:t>。</w:t>
      </w:r>
      <w:r>
        <w:rPr>
          <w:rFonts w:hint="eastAsia" w:ascii="仿宋_GB2312" w:hAnsi="仿宋_GB2312" w:eastAsia="仿宋_GB2312" w:cs="仿宋_GB2312"/>
          <w:color w:val="000000"/>
          <w:sz w:val="32"/>
          <w:szCs w:val="32"/>
        </w:rPr>
        <w:t>通过教师申报与课题招标相结合的方式，建立适合全市党校系统主体班培训的课程体系。二是优化安排</w:t>
      </w:r>
      <w:r>
        <w:rPr>
          <w:rFonts w:ascii="仿宋_GB2312" w:hAnsi="仿宋_GB2312" w:eastAsia="仿宋_GB2312" w:cs="仿宋_GB2312"/>
          <w:color w:val="000000"/>
          <w:sz w:val="32"/>
          <w:szCs w:val="32"/>
        </w:rPr>
        <w:t>教学</w:t>
      </w:r>
      <w:r>
        <w:rPr>
          <w:rFonts w:hint="eastAsia" w:ascii="仿宋_GB2312" w:hAnsi="仿宋_GB2312" w:eastAsia="仿宋_GB2312" w:cs="仿宋_GB2312"/>
          <w:color w:val="000000"/>
          <w:sz w:val="32"/>
          <w:szCs w:val="32"/>
        </w:rPr>
        <w:t>内容。</w:t>
      </w:r>
      <w:r>
        <w:rPr>
          <w:rFonts w:hint="eastAsia" w:ascii="仿宋_GB2312" w:hAnsi="仿宋_GB2312" w:eastAsia="仿宋_GB2312" w:cs="仿宋_GB2312"/>
          <w:spacing w:val="10"/>
          <w:sz w:val="32"/>
          <w:szCs w:val="32"/>
        </w:rPr>
        <w:t>在学制一个月的处级干部学习“习近平新时代中国特色社会主义思想”专题研讨班，培训内容以习近平新时代中国特色社会主义思想理论教育为主，每周开展了半天的主题研讨，主题分别为“学好中共党史，树立历史自信”“十四五推动益阳县城经济发展的对策探讨”“推进益阳市域社会治理现代化”等。</w:t>
      </w:r>
      <w:r>
        <w:rPr>
          <w:rFonts w:ascii="仿宋_GB2312" w:eastAsia="仿宋_GB2312" w:cs="Times New Roman"/>
          <w:color w:val="000000"/>
          <w:sz w:val="32"/>
          <w:szCs w:val="32"/>
        </w:rPr>
        <w:t>在处级干部学习习近平新时代中国特色社会主义思想专题进修班</w:t>
      </w:r>
      <w:r>
        <w:rPr>
          <w:rFonts w:hint="eastAsia" w:ascii="仿宋_GB2312" w:eastAsia="仿宋_GB2312" w:cs="Times New Roman"/>
          <w:color w:val="000000"/>
          <w:sz w:val="32"/>
          <w:szCs w:val="32"/>
        </w:rPr>
        <w:t>增加</w:t>
      </w:r>
      <w:r>
        <w:rPr>
          <w:rFonts w:ascii="仿宋_GB2312" w:eastAsia="仿宋_GB2312" w:cs="Times New Roman"/>
          <w:color w:val="000000"/>
          <w:sz w:val="32"/>
          <w:szCs w:val="32"/>
        </w:rPr>
        <w:t>了学员上讲台</w:t>
      </w:r>
      <w:r>
        <w:rPr>
          <w:rFonts w:hint="eastAsia" w:ascii="仿宋_GB2312" w:eastAsia="仿宋_GB2312" w:cs="Times New Roman"/>
          <w:color w:val="000000"/>
          <w:sz w:val="32"/>
          <w:szCs w:val="32"/>
        </w:rPr>
        <w:t>这个环节</w:t>
      </w:r>
      <w:r>
        <w:rPr>
          <w:rFonts w:ascii="仿宋_GB2312" w:eastAsia="仿宋_GB2312" w:cs="Times New Roman"/>
          <w:color w:val="000000"/>
          <w:sz w:val="32"/>
          <w:szCs w:val="32"/>
        </w:rPr>
        <w:t>，</w:t>
      </w:r>
      <w:r>
        <w:rPr>
          <w:rFonts w:hint="eastAsia" w:ascii="仿宋_GB2312" w:eastAsia="仿宋_GB2312" w:cs="Times New Roman"/>
          <w:color w:val="000000"/>
          <w:sz w:val="32"/>
          <w:szCs w:val="32"/>
        </w:rPr>
        <w:t>如处干班学员进行了</w:t>
      </w:r>
      <w:r>
        <w:rPr>
          <w:rFonts w:ascii="仿宋_GB2312" w:eastAsia="仿宋_GB2312" w:cs="Times New Roman"/>
          <w:color w:val="000000"/>
          <w:sz w:val="32"/>
          <w:szCs w:val="32"/>
        </w:rPr>
        <w:t>《防汛常见险情与案例分析》</w:t>
      </w:r>
      <w:r>
        <w:rPr>
          <w:rFonts w:hint="eastAsia" w:ascii="仿宋_GB2312" w:eastAsia="仿宋_GB2312" w:cs="Times New Roman"/>
          <w:color w:val="000000"/>
          <w:sz w:val="32"/>
          <w:szCs w:val="32"/>
        </w:rPr>
        <w:t>讲座，达到学学相长的效果</w:t>
      </w:r>
      <w:r>
        <w:rPr>
          <w:rFonts w:ascii="仿宋_GB2312" w:eastAsia="仿宋_GB2312" w:cs="Times New Roman"/>
          <w:color w:val="000000"/>
          <w:sz w:val="32"/>
          <w:szCs w:val="32"/>
        </w:rPr>
        <w:t>；组织三个主体班学习中央党校开设的中共党史专题网络直播课程；在年轻干部理想信念宗旨教育专题培训一班增设了《读书会》、《红歌会》等全新的课程。</w:t>
      </w:r>
    </w:p>
    <w:p>
      <w:pPr>
        <w:keepNext w:val="0"/>
        <w:keepLines w:val="0"/>
        <w:pageBreakBefore w:val="0"/>
        <w:widowControl w:val="0"/>
        <w:kinsoku/>
        <w:wordWrap/>
        <w:overflowPunct/>
        <w:topLinePunct w:val="0"/>
        <w:autoSpaceDE/>
        <w:autoSpaceDN/>
        <w:bidi w:val="0"/>
        <w:adjustRightInd/>
        <w:snapToGrid/>
        <w:spacing w:line="620" w:lineRule="exact"/>
        <w:ind w:left="0" w:firstLine="480" w:firstLineChars="150"/>
        <w:textAlignment w:val="auto"/>
        <w:rPr>
          <w:rFonts w:ascii="黑体" w:hAnsi="黑体" w:eastAsia="黑体" w:cs="黑体"/>
          <w:sz w:val="32"/>
          <w:szCs w:val="32"/>
        </w:rPr>
      </w:pPr>
      <w:r>
        <w:rPr>
          <w:rFonts w:hint="eastAsia" w:ascii="黑体" w:hAnsi="黑体" w:eastAsia="黑体" w:cs="黑体"/>
          <w:sz w:val="32"/>
          <w:szCs w:val="32"/>
        </w:rPr>
        <w:t>（三）</w:t>
      </w:r>
      <w:r>
        <w:rPr>
          <w:rFonts w:ascii="黑体" w:hAnsi="黑体" w:eastAsia="黑体" w:cs="黑体"/>
          <w:sz w:val="32"/>
          <w:szCs w:val="32"/>
        </w:rPr>
        <w:t>创新教学方式</w:t>
      </w:r>
      <w:r>
        <w:rPr>
          <w:rFonts w:hint="eastAsia" w:ascii="黑体" w:hAnsi="黑体" w:eastAsia="黑体" w:cs="黑体"/>
          <w:sz w:val="32"/>
          <w:szCs w:val="32"/>
        </w:rPr>
        <w:t>，提升教学品质</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一是</w:t>
      </w:r>
      <w:r>
        <w:rPr>
          <w:rFonts w:ascii="仿宋_GB2312" w:hAnsi="仿宋_GB2312" w:eastAsia="仿宋_GB2312" w:cs="仿宋_GB2312"/>
          <w:sz w:val="32"/>
          <w:szCs w:val="32"/>
        </w:rPr>
        <w:t>创新</w:t>
      </w:r>
      <w:r>
        <w:rPr>
          <w:rFonts w:hint="eastAsia" w:ascii="仿宋_GB2312" w:hAnsi="仿宋_GB2312" w:eastAsia="仿宋_GB2312" w:cs="仿宋_GB2312"/>
          <w:sz w:val="32"/>
          <w:szCs w:val="32"/>
        </w:rPr>
        <w:t>“三周五日”、求是论坛</w:t>
      </w:r>
      <w:r>
        <w:rPr>
          <w:rFonts w:ascii="仿宋_GB2312" w:hAnsi="仿宋_GB2312" w:eastAsia="仿宋_GB2312" w:cs="仿宋_GB2312"/>
          <w:sz w:val="32"/>
          <w:szCs w:val="32"/>
        </w:rPr>
        <w:t>等党性教育、爱国主义教育形式</w:t>
      </w:r>
      <w:r>
        <w:rPr>
          <w:rFonts w:hint="eastAsia" w:ascii="仿宋_GB2312" w:hAnsi="仿宋_GB2312" w:eastAsia="仿宋_GB2312" w:cs="仿宋_GB2312"/>
          <w:sz w:val="32"/>
          <w:szCs w:val="32"/>
        </w:rPr>
        <w:t>，作为党校学员党性教育</w:t>
      </w:r>
      <w:r>
        <w:rPr>
          <w:rFonts w:ascii="仿宋_GB2312" w:hAnsi="仿宋_GB2312" w:eastAsia="仿宋_GB2312" w:cs="仿宋_GB2312"/>
          <w:sz w:val="32"/>
          <w:szCs w:val="32"/>
        </w:rPr>
        <w:t>、爱国主义教育</w:t>
      </w:r>
      <w:r>
        <w:rPr>
          <w:rFonts w:hint="eastAsia" w:ascii="仿宋_GB2312" w:hAnsi="仿宋_GB2312" w:eastAsia="仿宋_GB2312" w:cs="仿宋_GB2312"/>
          <w:sz w:val="32"/>
          <w:szCs w:val="32"/>
        </w:rPr>
        <w:t>的“第二课堂”,引导学员转换角色、重心下移，体察民意、吸收地气、锤炼党性、改进作风。</w:t>
      </w:r>
      <w:r>
        <w:rPr>
          <w:rFonts w:ascii="仿宋_GB2312" w:hAnsi="仿宋_GB2312" w:eastAsia="仿宋_GB2312" w:cs="仿宋_GB2312"/>
          <w:sz w:val="32"/>
          <w:szCs w:val="32"/>
        </w:rPr>
        <w:t>新增了</w:t>
      </w:r>
      <w:r>
        <w:rPr>
          <w:rFonts w:hint="eastAsia" w:ascii="仿宋_GB2312" w:hAnsi="仿宋_GB2312" w:eastAsia="仿宋_GB2312" w:cs="仿宋_GB2312"/>
          <w:sz w:val="32"/>
          <w:szCs w:val="32"/>
        </w:rPr>
        <w:t>中央苏区干部培训中心</w:t>
      </w:r>
      <w:r>
        <w:rPr>
          <w:rFonts w:ascii="仿宋_GB2312" w:hAnsi="仿宋_GB2312" w:eastAsia="仿宋_GB2312" w:cs="仿宋_GB2312"/>
          <w:sz w:val="32"/>
          <w:szCs w:val="32"/>
        </w:rPr>
        <w:t>异地教学基地，安排了中青班学员进行了为期一周的党史学习；新增了社会调研周调研主题“</w:t>
      </w:r>
      <w:r>
        <w:rPr>
          <w:rFonts w:hint="eastAsia" w:ascii="仿宋_GB2312" w:hAnsi="仿宋_GB2312" w:eastAsia="仿宋_GB2312" w:cs="仿宋_GB2312"/>
          <w:sz w:val="32"/>
          <w:szCs w:val="32"/>
        </w:rPr>
        <w:t>精准扶贫与乡村振兴的有效衔接</w:t>
      </w:r>
      <w:r>
        <w:rPr>
          <w:rFonts w:ascii="仿宋_GB2312" w:hAnsi="仿宋_GB2312" w:eastAsia="仿宋_GB2312" w:cs="仿宋_GB2312"/>
          <w:sz w:val="32"/>
          <w:szCs w:val="32"/>
        </w:rPr>
        <w:t>”和“益阳法治营商环境现状调研”；安排了主体班学员到桃江张子清故居、南县</w:t>
      </w:r>
      <w:r>
        <w:rPr>
          <w:rFonts w:hint="eastAsia" w:ascii="仿宋_GB2312" w:hAnsi="仿宋_GB2312" w:eastAsia="仿宋_GB2312" w:cs="仿宋_GB2312"/>
          <w:sz w:val="32"/>
          <w:szCs w:val="32"/>
        </w:rPr>
        <w:t>厂</w:t>
      </w:r>
      <w:r>
        <w:rPr>
          <w:rFonts w:ascii="仿宋_GB2312" w:hAnsi="仿宋_GB2312" w:eastAsia="仿宋_GB2312" w:cs="仿宋_GB2312"/>
          <w:sz w:val="32"/>
          <w:szCs w:val="32"/>
        </w:rPr>
        <w:t>窖爱国主义教育基地等</w:t>
      </w:r>
      <w:r>
        <w:rPr>
          <w:rFonts w:hint="eastAsia" w:ascii="仿宋_GB2312" w:hAnsi="仿宋_GB2312" w:eastAsia="仿宋_GB2312" w:cs="仿宋_GB2312"/>
          <w:sz w:val="32"/>
          <w:szCs w:val="32"/>
        </w:rPr>
        <w:t>七个</w:t>
      </w:r>
      <w:r>
        <w:rPr>
          <w:rFonts w:ascii="仿宋_GB2312" w:hAnsi="仿宋_GB2312" w:eastAsia="仿宋_GB2312" w:cs="仿宋_GB2312"/>
          <w:sz w:val="32"/>
          <w:szCs w:val="32"/>
        </w:rPr>
        <w:t>地</w:t>
      </w:r>
      <w:r>
        <w:rPr>
          <w:rFonts w:hint="eastAsia" w:ascii="仿宋_GB2312" w:hAnsi="仿宋_GB2312" w:eastAsia="仿宋_GB2312" w:cs="仿宋_GB2312"/>
          <w:sz w:val="32"/>
          <w:szCs w:val="32"/>
        </w:rPr>
        <w:t>方</w:t>
      </w:r>
      <w:r>
        <w:rPr>
          <w:rFonts w:ascii="仿宋_GB2312" w:hAnsi="仿宋_GB2312" w:eastAsia="仿宋_GB2312" w:cs="仿宋_GB2312"/>
          <w:sz w:val="32"/>
          <w:szCs w:val="32"/>
        </w:rPr>
        <w:t>进行了“五日”的现场教学；新增了三期“求是论坛”主</w:t>
      </w:r>
      <w:r>
        <w:rPr>
          <w:rFonts w:hint="eastAsia" w:ascii="仿宋_GB2312" w:hAnsi="仿宋_GB2312" w:eastAsia="仿宋_GB2312" w:cs="仿宋_GB2312"/>
          <w:sz w:val="32"/>
          <w:szCs w:val="32"/>
        </w:rPr>
        <w:t>题</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二是</w:t>
      </w:r>
      <w:r>
        <w:rPr>
          <w:rFonts w:ascii="仿宋_GB2312" w:hAnsi="仿宋_GB2312" w:eastAsia="仿宋_GB2312" w:cs="仿宋_GB2312"/>
          <w:sz w:val="32"/>
          <w:szCs w:val="32"/>
        </w:rPr>
        <w:t>首次安排本校教师案例教学进课堂</w:t>
      </w:r>
      <w:r>
        <w:rPr>
          <w:rFonts w:hint="eastAsia" w:ascii="仿宋_GB2312" w:hAnsi="仿宋_GB2312" w:eastAsia="仿宋_GB2312" w:cs="仿宋_GB2312"/>
          <w:sz w:val="32"/>
          <w:szCs w:val="32"/>
        </w:rPr>
        <w:t>。推出了</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南县虾稻 致富法宝——县域特色产业发展的实践与启示</w:t>
      </w:r>
      <w:r>
        <w:rPr>
          <w:rFonts w:ascii="仿宋_GB2312" w:hAnsi="仿宋_GB2312" w:eastAsia="仿宋_GB2312" w:cs="仿宋_GB2312"/>
          <w:sz w:val="32"/>
          <w:szCs w:val="32"/>
        </w:rPr>
        <w:t>》的</w:t>
      </w:r>
      <w:r>
        <w:rPr>
          <w:rFonts w:hint="eastAsia" w:ascii="仿宋_GB2312" w:hAnsi="仿宋_GB2312" w:eastAsia="仿宋_GB2312" w:cs="仿宋_GB2312"/>
          <w:sz w:val="32"/>
          <w:szCs w:val="32"/>
        </w:rPr>
        <w:t>案例式教学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按照提出问题、学员提出解决问题方案</w:t>
      </w:r>
      <w:r>
        <w:rPr>
          <w:rFonts w:ascii="仿宋_GB2312" w:hAnsi="仿宋_GB2312" w:eastAsia="仿宋_GB2312" w:cs="仿宋_GB2312"/>
          <w:sz w:val="32"/>
          <w:szCs w:val="32"/>
        </w:rPr>
        <w:t>，教师分析和总结</w:t>
      </w:r>
      <w:r>
        <w:rPr>
          <w:rFonts w:hint="eastAsia" w:ascii="仿宋_GB2312" w:hAnsi="仿宋_GB2312" w:eastAsia="仿宋_GB2312" w:cs="仿宋_GB2312"/>
          <w:sz w:val="32"/>
          <w:szCs w:val="32"/>
        </w:rPr>
        <w:t>的教学方式。进一步</w:t>
      </w:r>
      <w:r>
        <w:rPr>
          <w:rFonts w:ascii="仿宋_GB2312" w:hAnsi="Calibri" w:eastAsia="仿宋_GB2312" w:cs="Times New Roman"/>
          <w:color w:val="000000"/>
          <w:sz w:val="32"/>
          <w:szCs w:val="32"/>
        </w:rPr>
        <w:t>提高学生分析问题、解决问题的实际能力。</w:t>
      </w:r>
    </w:p>
    <w:p>
      <w:pPr>
        <w:keepNext w:val="0"/>
        <w:keepLines w:val="0"/>
        <w:pageBreakBefore w:val="0"/>
        <w:widowControl w:val="0"/>
        <w:kinsoku/>
        <w:wordWrap/>
        <w:overflowPunct/>
        <w:topLinePunct w:val="0"/>
        <w:autoSpaceDE/>
        <w:autoSpaceDN/>
        <w:bidi w:val="0"/>
        <w:adjustRightInd/>
        <w:snapToGrid/>
        <w:spacing w:line="620" w:lineRule="exact"/>
        <w:ind w:firstLine="616" w:firstLineChars="200"/>
        <w:textAlignment w:val="auto"/>
        <w:rPr>
          <w:rFonts w:ascii="仿宋_GB2312" w:hAnsi="仿宋" w:eastAsia="仿宋_GB2312" w:cs="仿宋"/>
          <w:sz w:val="32"/>
          <w:szCs w:val="32"/>
        </w:rPr>
      </w:pPr>
      <w:r>
        <w:rPr>
          <w:rFonts w:hint="eastAsia" w:ascii="黑体" w:hAnsi="宋体" w:eastAsia="黑体" w:cs="黑体"/>
          <w:spacing w:val="-6"/>
          <w:kern w:val="0"/>
          <w:sz w:val="32"/>
          <w:szCs w:val="32"/>
          <w:shd w:val="clear" w:color="auto" w:fill="FFFFFF"/>
        </w:rPr>
        <w:t>四、存在的主要问题</w:t>
      </w: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481" w:firstLineChars="150"/>
        <w:jc w:val="both"/>
        <w:textAlignment w:val="auto"/>
        <w:rPr>
          <w:rFonts w:ascii="仿宋_GB2312" w:hAnsi="仿宋" w:eastAsia="仿宋_GB2312" w:cs="仿宋"/>
          <w:b/>
          <w:bCs/>
          <w:kern w:val="2"/>
          <w:sz w:val="32"/>
          <w:szCs w:val="32"/>
        </w:rPr>
      </w:pPr>
      <w:r>
        <w:rPr>
          <w:rFonts w:hint="eastAsia" w:ascii="仿宋_GB2312" w:hAnsi="仿宋" w:eastAsia="仿宋_GB2312" w:cs="仿宋"/>
          <w:b/>
          <w:bCs/>
          <w:kern w:val="2"/>
          <w:sz w:val="32"/>
          <w:szCs w:val="32"/>
        </w:rPr>
        <w:t>（一）绩效目标编制不</w:t>
      </w:r>
      <w:r>
        <w:rPr>
          <w:rFonts w:hint="eastAsia" w:ascii="仿宋_GB2312" w:hAnsi="仿宋" w:eastAsia="仿宋_GB2312" w:cs="仿宋"/>
          <w:b/>
          <w:bCs/>
          <w:kern w:val="2"/>
          <w:sz w:val="32"/>
          <w:szCs w:val="32"/>
          <w:lang w:eastAsia="zh-CN"/>
        </w:rPr>
        <w:t>够</w:t>
      </w:r>
      <w:r>
        <w:rPr>
          <w:rFonts w:hint="eastAsia" w:ascii="仿宋_GB2312" w:hAnsi="仿宋" w:eastAsia="仿宋_GB2312" w:cs="仿宋"/>
          <w:b/>
          <w:bCs/>
          <w:kern w:val="2"/>
          <w:sz w:val="32"/>
          <w:szCs w:val="32"/>
        </w:rPr>
        <w:t>细化</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市委党校编制的绩效目标申报表，以完成主体班培训任务为主，缺少长期目标且年度绩效指标方面效益指标较为宏观，未结合本年度工作任务体现年度</w:t>
      </w:r>
      <w:r>
        <w:rPr>
          <w:rFonts w:hint="eastAsia" w:ascii="仿宋_GB2312" w:hAnsi="仿宋" w:eastAsia="仿宋_GB2312" w:cs="仿宋"/>
          <w:sz w:val="32"/>
          <w:szCs w:val="32"/>
          <w:lang w:val="en-US" w:eastAsia="zh-CN"/>
        </w:rPr>
        <w:t>应</w:t>
      </w:r>
      <w:r>
        <w:rPr>
          <w:rFonts w:hint="eastAsia" w:ascii="仿宋_GB2312" w:hAnsi="仿宋" w:eastAsia="仿宋_GB2312" w:cs="仿宋"/>
          <w:sz w:val="32"/>
          <w:szCs w:val="32"/>
        </w:rPr>
        <w:t>达到的</w:t>
      </w:r>
      <w:r>
        <w:rPr>
          <w:rFonts w:hint="eastAsia" w:ascii="仿宋_GB2312" w:hAnsi="仿宋" w:eastAsia="仿宋_GB2312" w:cs="仿宋"/>
          <w:sz w:val="32"/>
          <w:szCs w:val="32"/>
          <w:lang w:eastAsia="zh-CN"/>
        </w:rPr>
        <w:t>具体</w:t>
      </w:r>
      <w:r>
        <w:rPr>
          <w:rFonts w:hint="eastAsia" w:ascii="仿宋_GB2312" w:hAnsi="仿宋" w:eastAsia="仿宋_GB2312" w:cs="仿宋"/>
          <w:sz w:val="32"/>
          <w:szCs w:val="32"/>
        </w:rPr>
        <w:t>目标情况，未能反映出学员通过培训后所达到的具体效果或长期影响。</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ascii="仿宋_GB2312" w:hAnsi="仿宋" w:eastAsia="仿宋_GB2312" w:cs="仿宋"/>
          <w:b/>
          <w:bCs/>
          <w:sz w:val="32"/>
          <w:szCs w:val="32"/>
        </w:rPr>
      </w:pPr>
      <w:r>
        <w:rPr>
          <w:rFonts w:hint="eastAsia" w:ascii="仿宋_GB2312" w:hAnsi="仿宋" w:eastAsia="仿宋_GB2312" w:cs="仿宋"/>
          <w:b/>
          <w:bCs/>
          <w:sz w:val="32"/>
          <w:szCs w:val="32"/>
        </w:rPr>
        <w:t>（二）部分年初培训任务未完成</w:t>
      </w:r>
      <w:r>
        <w:rPr>
          <w:rFonts w:hint="eastAsia" w:ascii="仿宋_GB2312" w:hAnsi="仿宋" w:eastAsia="仿宋_GB2312" w:cs="仿宋"/>
          <w:b/>
          <w:bCs/>
          <w:sz w:val="32"/>
          <w:szCs w:val="32"/>
          <w:lang w:eastAsia="zh-CN"/>
        </w:rPr>
        <w:t>，</w:t>
      </w:r>
      <w:r>
        <w:rPr>
          <w:rFonts w:hint="eastAsia" w:ascii="仿宋_GB2312" w:hAnsi="仿宋" w:eastAsia="仿宋_GB2312" w:cs="仿宋"/>
          <w:b/>
          <w:bCs/>
          <w:sz w:val="32"/>
          <w:szCs w:val="32"/>
        </w:rPr>
        <w:t>未调整调训计划</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根据</w:t>
      </w:r>
      <w:r>
        <w:rPr>
          <w:rFonts w:ascii="仿宋_GB2312" w:hAnsi="仿宋" w:eastAsia="仿宋_GB2312" w:cs="仿宋"/>
          <w:sz w:val="32"/>
          <w:szCs w:val="32"/>
        </w:rPr>
        <w:t>《中共益阳市委组织部关于下达2021年上半年干部调训计划的通知》（益组通〔2021〕6号）和《中共益阳市委组织部关于下达2021年下半年干部调训计划的通知》（益组通〔2021〕60号）</w:t>
      </w:r>
      <w:r>
        <w:rPr>
          <w:rFonts w:hint="eastAsia" w:ascii="仿宋_GB2312" w:hAnsi="仿宋" w:eastAsia="仿宋_GB2312" w:cs="仿宋"/>
          <w:sz w:val="32"/>
          <w:szCs w:val="32"/>
        </w:rPr>
        <w:t>的计划安排</w:t>
      </w:r>
      <w:r>
        <w:rPr>
          <w:rFonts w:ascii="仿宋_GB2312" w:hAnsi="仿宋" w:eastAsia="仿宋_GB2312" w:cs="仿宋"/>
          <w:sz w:val="32"/>
          <w:szCs w:val="32"/>
        </w:rPr>
        <w:t>，</w:t>
      </w:r>
      <w:r>
        <w:rPr>
          <w:rFonts w:hint="eastAsia" w:ascii="仿宋_GB2312" w:hAnsi="仿宋" w:eastAsia="仿宋_GB2312" w:cs="仿宋"/>
          <w:sz w:val="32"/>
          <w:szCs w:val="32"/>
        </w:rPr>
        <w:t>市委党校部分调训任务未完成，包括</w:t>
      </w:r>
      <w:r>
        <w:rPr>
          <w:rFonts w:ascii="仿宋_GB2312" w:hAnsi="仿宋" w:eastAsia="仿宋_GB2312" w:cs="仿宋"/>
          <w:sz w:val="32"/>
          <w:szCs w:val="32"/>
        </w:rPr>
        <w:t>春季学期和秋季学期中，新任乡镇党政正职提升政治能力专题培训班、全市80后村党组织书记培训班（2期）、全市居民小区党支部书记培训班（3期）、全市发展村级体经济培训班、新提拔处级干部培训班（具体参训对象和开班时间另行通知）</w:t>
      </w:r>
      <w:r>
        <w:rPr>
          <w:rFonts w:hint="eastAsia" w:ascii="仿宋_GB2312" w:hAnsi="仿宋" w:eastAsia="仿宋_GB2312" w:cs="仿宋"/>
          <w:sz w:val="32"/>
          <w:szCs w:val="32"/>
        </w:rPr>
        <w:t>。另外，新</w:t>
      </w:r>
      <w:r>
        <w:rPr>
          <w:rFonts w:ascii="仿宋_GB2312" w:hAnsi="仿宋" w:eastAsia="仿宋_GB2312" w:cs="仿宋"/>
          <w:sz w:val="32"/>
          <w:szCs w:val="32"/>
        </w:rPr>
        <w:t>增加一期基层乡镇党委书记培训班</w:t>
      </w:r>
      <w:r>
        <w:rPr>
          <w:rFonts w:hint="eastAsia" w:ascii="仿宋_GB2312" w:hAnsi="仿宋" w:eastAsia="仿宋_GB2312" w:cs="仿宋"/>
          <w:sz w:val="32"/>
          <w:szCs w:val="32"/>
        </w:rPr>
        <w:t>。上述调训任务</w:t>
      </w:r>
      <w:r>
        <w:rPr>
          <w:rFonts w:hint="eastAsia" w:ascii="仿宋_GB2312" w:hAnsi="仿宋" w:eastAsia="仿宋_GB2312" w:cs="仿宋"/>
          <w:sz w:val="32"/>
          <w:szCs w:val="32"/>
          <w:lang w:eastAsia="zh-CN"/>
        </w:rPr>
        <w:t>发生</w:t>
      </w:r>
      <w:r>
        <w:rPr>
          <w:rFonts w:hint="eastAsia" w:ascii="仿宋_GB2312" w:hAnsi="仿宋" w:eastAsia="仿宋_GB2312" w:cs="仿宋"/>
          <w:sz w:val="32"/>
          <w:szCs w:val="32"/>
        </w:rPr>
        <w:t>变化</w:t>
      </w:r>
      <w:r>
        <w:rPr>
          <w:rFonts w:hint="eastAsia" w:ascii="仿宋_GB2312" w:hAnsi="仿宋" w:eastAsia="仿宋_GB2312" w:cs="仿宋"/>
          <w:sz w:val="32"/>
          <w:szCs w:val="32"/>
          <w:lang w:eastAsia="zh-CN"/>
        </w:rPr>
        <w:t>却</w:t>
      </w:r>
      <w:r>
        <w:rPr>
          <w:rFonts w:hint="eastAsia" w:ascii="仿宋_GB2312" w:hAnsi="仿宋" w:eastAsia="仿宋_GB2312" w:cs="仿宋"/>
          <w:sz w:val="32"/>
          <w:szCs w:val="32"/>
        </w:rPr>
        <w:t>未对原计划进行</w:t>
      </w:r>
      <w:r>
        <w:rPr>
          <w:rFonts w:ascii="仿宋_GB2312" w:hAnsi="仿宋" w:eastAsia="仿宋_GB2312" w:cs="仿宋"/>
          <w:sz w:val="32"/>
          <w:szCs w:val="32"/>
        </w:rPr>
        <w:t>调整</w:t>
      </w:r>
      <w:r>
        <w:rPr>
          <w:rFonts w:hint="eastAsia" w:ascii="仿宋_GB2312" w:hAnsi="仿宋" w:eastAsia="仿宋_GB2312" w:cs="仿宋"/>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(三)专项资金使用存在不合规现象</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1.培训伙食费支付原始凭证不合规</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30"/>
        <w:textAlignment w:val="auto"/>
        <w:rPr>
          <w:rFonts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2021年，该校列支食堂伙食费28.29万元，列支凭据为湖南省行政事业单位往来结算收据，并盖有中共益阳市委党校财务专用章，内部结算收据不能作为列支原始单据，应由食堂承包方提供正规的税务发票作为列支原始凭证。</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2.部分行政运行经费挤占培训专项资金</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2021年12月，校机关党委订购《中国纪检监察报》和《中国纪检监察》各十份，共计0.53万元；2021年3月，分别发放教师2020年教学比赛奖励费3.19万元，2020年科研绩效奖13.46万元；2021年9月发放教师“七一”两优一先表彰奖励款2.40万元，上述费用不属于培训支出却纳入培训专项资金中列支。</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hint="eastAsia" w:ascii="仿宋_GB2312" w:hAnsi="仿宋" w:eastAsia="仿宋_GB2312" w:cs="仿宋"/>
          <w:b/>
          <w:bCs/>
          <w:sz w:val="32"/>
          <w:szCs w:val="32"/>
          <w:lang w:val="en-US" w:eastAsia="zh-CN"/>
        </w:rPr>
      </w:pPr>
      <w:r>
        <w:rPr>
          <w:rFonts w:hint="eastAsia" w:ascii="仿宋_GB2312" w:hAnsi="仿宋" w:eastAsia="仿宋_GB2312" w:cs="仿宋"/>
          <w:b/>
          <w:bCs/>
          <w:sz w:val="32"/>
          <w:szCs w:val="32"/>
          <w:lang w:val="en-US" w:eastAsia="zh-CN"/>
        </w:rPr>
        <w:t>3.违规发放工作人员疫情防控补助</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2021年9月，培训费中列支15人53人次疫情防控期间参与值班人员工作补助，按每人每天100元的标准发放，共计0.53万元，无补助发放依据。</w:t>
      </w:r>
    </w:p>
    <w:p>
      <w:pPr>
        <w:pStyle w:val="8"/>
        <w:keepNext w:val="0"/>
        <w:keepLines w:val="0"/>
        <w:pageBreakBefore w:val="0"/>
        <w:widowControl w:val="0"/>
        <w:kinsoku/>
        <w:wordWrap/>
        <w:overflowPunct/>
        <w:topLinePunct w:val="0"/>
        <w:autoSpaceDE/>
        <w:autoSpaceDN/>
        <w:bidi w:val="0"/>
        <w:adjustRightInd/>
        <w:spacing w:beforeAutospacing="0" w:afterAutospacing="0" w:line="620" w:lineRule="exact"/>
        <w:ind w:firstLine="616" w:firstLineChars="200"/>
        <w:textAlignment w:val="auto"/>
        <w:rPr>
          <w:rFonts w:ascii="黑体" w:hAnsi="宋体" w:eastAsia="黑体" w:cs="黑体"/>
          <w:spacing w:val="-6"/>
          <w:sz w:val="32"/>
          <w:szCs w:val="32"/>
          <w:shd w:val="clear" w:color="auto" w:fill="FFFFFF"/>
        </w:rPr>
      </w:pPr>
      <w:r>
        <w:rPr>
          <w:rFonts w:hint="eastAsia" w:ascii="黑体" w:hAnsi="宋体" w:eastAsia="黑体" w:cs="黑体"/>
          <w:spacing w:val="-6"/>
          <w:sz w:val="32"/>
          <w:szCs w:val="32"/>
          <w:shd w:val="clear" w:color="auto" w:fill="FFFFFF"/>
        </w:rPr>
        <w:t>五、建议</w:t>
      </w:r>
    </w:p>
    <w:p>
      <w:pPr>
        <w:pStyle w:val="2"/>
        <w:keepNext w:val="0"/>
        <w:keepLines w:val="0"/>
        <w:pageBreakBefore w:val="0"/>
        <w:widowControl w:val="0"/>
        <w:kinsoku/>
        <w:wordWrap/>
        <w:overflowPunct/>
        <w:topLinePunct w:val="0"/>
        <w:autoSpaceDE/>
        <w:autoSpaceDN/>
        <w:bidi w:val="0"/>
        <w:adjustRightInd/>
        <w:spacing w:line="620" w:lineRule="exact"/>
        <w:ind w:firstLine="642" w:firstLineChars="200"/>
        <w:textAlignment w:val="auto"/>
        <w:rPr>
          <w:rFonts w:ascii="仿宋_GB2312" w:hAnsi="仿宋" w:eastAsia="仿宋_GB2312" w:cs="仿宋"/>
          <w:b/>
          <w:bCs/>
          <w:sz w:val="32"/>
          <w:szCs w:val="32"/>
        </w:rPr>
      </w:pPr>
      <w:r>
        <w:rPr>
          <w:rFonts w:hint="eastAsia" w:ascii="仿宋_GB2312" w:hAnsi="仿宋" w:eastAsia="仿宋_GB2312" w:cs="仿宋"/>
          <w:b/>
          <w:bCs/>
          <w:sz w:val="32"/>
          <w:szCs w:val="32"/>
        </w:rPr>
        <w:t>（一）科学编制绩效目标</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市委党校应按照预算绩效目标编制的要求，科学编制绩效目标。在明确培训长期目标和年度目标后，根据年度和长期既定目标计划预期完成情况、实现程度和影响情况设定绩效目标。在填报指标明细时对其进行细化分解，充分考虑主体班培训实际，设置能够合理准确衡量绩效目标完成程度和尺度的指标值，全面、清晰反映培训项目产出和绩效。</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481" w:firstLineChars="150"/>
        <w:textAlignment w:val="auto"/>
        <w:rPr>
          <w:rFonts w:ascii="仿宋_GB2312" w:hAnsi="仿宋" w:eastAsia="仿宋_GB2312" w:cs="仿宋"/>
          <w:b/>
          <w:bCs/>
          <w:sz w:val="32"/>
          <w:szCs w:val="32"/>
        </w:rPr>
      </w:pPr>
      <w:r>
        <w:rPr>
          <w:rFonts w:hint="eastAsia" w:ascii="仿宋_GB2312" w:hAnsi="仿宋" w:eastAsia="仿宋_GB2312" w:cs="仿宋"/>
          <w:b/>
          <w:bCs/>
          <w:sz w:val="32"/>
          <w:szCs w:val="32"/>
        </w:rPr>
        <w:t>（二）严格按程序审批年度培训计划</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市委党校应严格执行市委组织部下达的年度调训计划任务，在计划未能实施或变化时，应按程序报市委组织部审批，调整原计划任务。</w:t>
      </w:r>
    </w:p>
    <w:p>
      <w:pPr>
        <w:keepNext w:val="0"/>
        <w:keepLines w:val="0"/>
        <w:pageBreakBefore w:val="0"/>
        <w:widowControl w:val="0"/>
        <w:kinsoku/>
        <w:wordWrap/>
        <w:overflowPunct/>
        <w:topLinePunct w:val="0"/>
        <w:autoSpaceDE/>
        <w:autoSpaceDN/>
        <w:bidi w:val="0"/>
        <w:adjustRightInd/>
        <w:snapToGrid/>
        <w:spacing w:line="620" w:lineRule="exact"/>
        <w:ind w:firstLine="481" w:firstLineChars="150"/>
        <w:textAlignment w:val="auto"/>
        <w:rPr>
          <w:rFonts w:hint="eastAsia" w:ascii="仿宋_GB2312" w:hAnsi="仿宋" w:eastAsia="仿宋_GB2312" w:cs="仿宋"/>
          <w:b/>
          <w:bCs/>
          <w:sz w:val="32"/>
          <w:szCs w:val="32"/>
        </w:rPr>
      </w:pPr>
      <w:r>
        <w:rPr>
          <w:rFonts w:hint="eastAsia" w:ascii="仿宋_GB2312" w:hAnsi="仿宋" w:eastAsia="仿宋_GB2312" w:cs="仿宋"/>
          <w:b/>
          <w:bCs/>
          <w:sz w:val="32"/>
          <w:szCs w:val="32"/>
        </w:rPr>
        <w:t>（三）强化财务管理和核算，确保专项资金专款专用</w:t>
      </w:r>
    </w:p>
    <w:p>
      <w:pPr>
        <w:pStyle w:val="2"/>
        <w:keepNext w:val="0"/>
        <w:keepLines w:val="0"/>
        <w:pageBreakBefore w:val="0"/>
        <w:widowControl w:val="0"/>
        <w:kinsoku/>
        <w:wordWrap/>
        <w:overflowPunct/>
        <w:topLinePunct w:val="0"/>
        <w:autoSpaceDE/>
        <w:autoSpaceDN/>
        <w:bidi w:val="0"/>
        <w:adjustRightInd/>
        <w:snapToGrid w:val="0"/>
        <w:spacing w:line="62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主体班培训专项资金应严格按照《益阳市市直机关培训费管理办法》的范围列支，财务人员应按要求核算专项资金，加强财务管理，确保资金核算准确。</w:t>
      </w:r>
    </w:p>
    <w:p>
      <w:pPr>
        <w:pStyle w:val="2"/>
        <w:keepNext w:val="0"/>
        <w:keepLines w:val="0"/>
        <w:pageBreakBefore w:val="0"/>
        <w:widowControl w:val="0"/>
        <w:kinsoku/>
        <w:wordWrap/>
        <w:overflowPunct/>
        <w:topLinePunct w:val="0"/>
        <w:autoSpaceDE/>
        <w:autoSpaceDN/>
        <w:bidi w:val="0"/>
        <w:adjustRightInd/>
        <w:snapToGrid w:val="0"/>
        <w:spacing w:line="640" w:lineRule="exact"/>
        <w:ind w:firstLine="420" w:firstLineChars="200"/>
        <w:textAlignment w:val="auto"/>
      </w:pPr>
      <w:r>
        <w:rPr>
          <w:rFonts w:hint="eastAsia"/>
        </w:rPr>
        <w:t xml:space="preserve">      </w:t>
      </w:r>
    </w:p>
    <w:p>
      <w:pPr>
        <w:pStyle w:val="2"/>
      </w:pPr>
    </w:p>
    <w:p>
      <w:pPr>
        <w:pStyle w:val="2"/>
      </w:pPr>
    </w:p>
    <w:p>
      <w:pPr>
        <w:pStyle w:val="8"/>
        <w:keepNext w:val="0"/>
        <w:keepLines w:val="0"/>
        <w:pageBreakBefore w:val="0"/>
        <w:widowControl w:val="0"/>
        <w:kinsoku/>
        <w:wordWrap/>
        <w:overflowPunct/>
        <w:topLinePunct w:val="0"/>
        <w:autoSpaceDE/>
        <w:autoSpaceDN/>
        <w:bidi w:val="0"/>
        <w:adjustRightInd/>
        <w:snapToGrid/>
        <w:spacing w:beforeAutospacing="0" w:afterAutospacing="0" w:line="620" w:lineRule="exact"/>
        <w:ind w:firstLine="616" w:firstLineChars="200"/>
        <w:textAlignment w:val="auto"/>
        <w:rPr>
          <w:rFonts w:ascii="仿宋_GB2312" w:hAnsi="仿宋_GB2312" w:eastAsia="仿宋_GB2312" w:cs="仿宋_GB2312"/>
          <w:spacing w:val="-6"/>
          <w:sz w:val="32"/>
          <w:szCs w:val="32"/>
          <w:shd w:val="clear" w:color="auto" w:fill="FFFFFF"/>
        </w:rPr>
      </w:pPr>
      <w:r>
        <w:rPr>
          <w:rFonts w:hint="eastAsia" w:ascii="仿宋_GB2312" w:hAnsi="仿宋_GB2312" w:eastAsia="仿宋_GB2312" w:cs="仿宋_GB2312"/>
          <w:spacing w:val="-6"/>
          <w:sz w:val="32"/>
          <w:szCs w:val="32"/>
          <w:shd w:val="clear" w:color="auto" w:fill="FFFFFF"/>
        </w:rPr>
        <w:t>附件1：2021年度益阳市委党校主体班培训项目绩效评价指标评分表</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ascii="黑体" w:hAnsi="黑体" w:eastAsia="黑体" w:cs="宋体"/>
          <w:bCs/>
          <w:kern w:val="0"/>
          <w:sz w:val="32"/>
          <w:szCs w:val="32"/>
        </w:rPr>
      </w:pPr>
    </w:p>
    <w:p>
      <w:pPr>
        <w:widowControl/>
        <w:spacing w:line="560" w:lineRule="exact"/>
        <w:jc w:val="left"/>
        <w:rPr>
          <w:rFonts w:ascii="黑体" w:hAnsi="黑体" w:eastAsia="黑体" w:cs="宋体"/>
          <w:bCs/>
          <w:kern w:val="0"/>
          <w:sz w:val="32"/>
          <w:szCs w:val="32"/>
        </w:rPr>
      </w:pPr>
    </w:p>
    <w:p>
      <w:pPr>
        <w:widowControl/>
        <w:spacing w:line="560" w:lineRule="exact"/>
        <w:jc w:val="left"/>
        <w:rPr>
          <w:rFonts w:ascii="黑体" w:hAnsi="黑体" w:eastAsia="黑体" w:cs="宋体"/>
          <w:bCs/>
          <w:kern w:val="0"/>
          <w:sz w:val="32"/>
          <w:szCs w:val="32"/>
        </w:rPr>
      </w:pPr>
    </w:p>
    <w:p>
      <w:pPr>
        <w:rPr>
          <w:rFonts w:eastAsia="方正小标宋简体"/>
          <w:kern w:val="0"/>
          <w:sz w:val="44"/>
          <w:szCs w:val="44"/>
        </w:rPr>
      </w:pPr>
      <w:r>
        <w:rPr>
          <w:rFonts w:eastAsia="方正小标宋简体"/>
          <w:kern w:val="0"/>
          <w:sz w:val="44"/>
          <w:szCs w:val="44"/>
        </w:rPr>
        <w:br w:type="page"/>
      </w:r>
    </w:p>
    <w:p>
      <w:pPr>
        <w:spacing w:line="594" w:lineRule="exact"/>
        <w:jc w:val="left"/>
        <w:rPr>
          <w:rFonts w:hint="eastAsia" w:ascii="宋体" w:hAnsi="宋体" w:eastAsia="宋体" w:cs="宋体"/>
          <w:spacing w:val="-6"/>
          <w:sz w:val="24"/>
          <w:shd w:val="clear" w:color="auto" w:fill="FFFFFF"/>
        </w:rPr>
        <w:sectPr>
          <w:footerReference r:id="rId3" w:type="default"/>
          <w:footerReference r:id="rId4" w:type="even"/>
          <w:pgSz w:w="11906" w:h="16838"/>
          <w:pgMar w:top="1814" w:right="1474" w:bottom="1644" w:left="1474" w:header="851" w:footer="1304" w:gutter="0"/>
          <w:cols w:space="0" w:num="1"/>
          <w:docGrid w:type="lines" w:linePitch="312" w:charSpace="0"/>
        </w:sectPr>
      </w:pPr>
    </w:p>
    <w:p>
      <w:pPr>
        <w:jc w:val="left"/>
        <w:rPr>
          <w:rFonts w:hint="eastAsia" w:ascii="宋体" w:hAnsi="宋体" w:eastAsia="宋体" w:cs="宋体"/>
          <w:spacing w:val="-6"/>
          <w:sz w:val="24"/>
          <w:shd w:val="clear" w:color="auto" w:fill="FFFFFF"/>
          <w:lang w:val="en-US" w:eastAsia="zh-CN"/>
        </w:rPr>
      </w:pPr>
      <w:r>
        <w:rPr>
          <w:rFonts w:hint="eastAsia" w:ascii="宋体" w:hAnsi="宋体" w:eastAsia="宋体" w:cs="宋体"/>
          <w:spacing w:val="-6"/>
          <w:sz w:val="24"/>
          <w:shd w:val="clear" w:color="auto" w:fill="FFFFFF"/>
        </w:rPr>
        <w:t>附件</w:t>
      </w:r>
      <w:r>
        <w:rPr>
          <w:rFonts w:hint="eastAsia" w:ascii="宋体" w:hAnsi="宋体" w:eastAsia="宋体" w:cs="宋体"/>
          <w:spacing w:val="-6"/>
          <w:sz w:val="24"/>
          <w:shd w:val="clear" w:color="auto" w:fill="FFFFFF"/>
          <w:lang w:val="en-US" w:eastAsia="zh-CN"/>
        </w:rPr>
        <w:t>1</w:t>
      </w:r>
    </w:p>
    <w:p>
      <w:pPr>
        <w:widowControl/>
        <w:tabs>
          <w:tab w:val="left" w:pos="335"/>
        </w:tabs>
        <w:spacing w:line="560" w:lineRule="exact"/>
        <w:jc w:val="left"/>
        <w:rPr>
          <w:rFonts w:eastAsia="方正小标宋简体"/>
          <w:kern w:val="0"/>
          <w:sz w:val="44"/>
          <w:szCs w:val="44"/>
        </w:rPr>
      </w:pPr>
    </w:p>
    <w:p>
      <w:pPr>
        <w:widowControl/>
        <w:spacing w:line="560" w:lineRule="exact"/>
        <w:jc w:val="center"/>
        <w:rPr>
          <w:rFonts w:eastAsia="方正小标宋简体"/>
          <w:kern w:val="0"/>
          <w:sz w:val="36"/>
          <w:szCs w:val="36"/>
        </w:rPr>
      </w:pPr>
      <w:r>
        <w:rPr>
          <w:rFonts w:eastAsia="方正小标宋简体"/>
          <w:kern w:val="0"/>
          <w:sz w:val="36"/>
          <w:szCs w:val="36"/>
        </w:rPr>
        <w:t>项目支出绩效评价指标及评分表</w:t>
      </w:r>
    </w:p>
    <w:p>
      <w:pPr>
        <w:widowControl/>
        <w:spacing w:line="360" w:lineRule="exact"/>
        <w:jc w:val="left"/>
        <w:rPr>
          <w:rFonts w:eastAsia="宋体"/>
          <w:kern w:val="0"/>
          <w:sz w:val="24"/>
        </w:rPr>
      </w:pPr>
      <w:r>
        <w:rPr>
          <w:rFonts w:eastAsia="宋体"/>
          <w:kern w:val="0"/>
          <w:sz w:val="24"/>
        </w:rPr>
        <w:t xml:space="preserve">   项目实施单位：</w:t>
      </w:r>
      <w:r>
        <w:rPr>
          <w:rFonts w:hint="eastAsia" w:eastAsia="宋体"/>
          <w:kern w:val="0"/>
          <w:sz w:val="24"/>
        </w:rPr>
        <w:t>益阳市委党校</w:t>
      </w:r>
      <w:r>
        <w:rPr>
          <w:rFonts w:eastAsia="宋体"/>
          <w:kern w:val="0"/>
          <w:sz w:val="24"/>
        </w:rPr>
        <w:t xml:space="preserve"> </w:t>
      </w:r>
      <w:r>
        <w:rPr>
          <w:rFonts w:hint="eastAsia" w:eastAsia="宋体"/>
          <w:kern w:val="0"/>
          <w:sz w:val="24"/>
          <w:lang w:val="en-US" w:eastAsia="zh-CN"/>
        </w:rPr>
        <w:t xml:space="preserve">                                             </w:t>
      </w:r>
      <w:r>
        <w:rPr>
          <w:rFonts w:eastAsia="宋体"/>
          <w:kern w:val="0"/>
          <w:sz w:val="24"/>
        </w:rPr>
        <w:t>项目名称</w:t>
      </w:r>
      <w:r>
        <w:rPr>
          <w:rFonts w:hint="eastAsia" w:eastAsia="宋体"/>
          <w:kern w:val="0"/>
          <w:sz w:val="24"/>
        </w:rPr>
        <w:t xml:space="preserve"> 2021年度益阳市委党校主体班培训项目</w:t>
      </w:r>
    </w:p>
    <w:tbl>
      <w:tblPr>
        <w:tblStyle w:val="10"/>
        <w:tblW w:w="138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376"/>
        <w:gridCol w:w="1219"/>
        <w:gridCol w:w="2295"/>
        <w:gridCol w:w="3733"/>
        <w:gridCol w:w="861"/>
        <w:gridCol w:w="2282"/>
        <w:gridCol w:w="1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1119" w:type="dxa"/>
            <w:vAlign w:val="center"/>
          </w:tcPr>
          <w:p>
            <w:pPr>
              <w:widowControl/>
              <w:spacing w:line="280" w:lineRule="exact"/>
              <w:jc w:val="center"/>
              <w:rPr>
                <w:rFonts w:hint="eastAsia" w:eastAsia="黑体"/>
                <w:bCs/>
                <w:kern w:val="0"/>
                <w:sz w:val="24"/>
                <w:lang w:eastAsia="zh-CN"/>
              </w:rPr>
            </w:pPr>
            <w:r>
              <w:rPr>
                <w:rFonts w:eastAsia="黑体"/>
                <w:bCs/>
                <w:kern w:val="0"/>
                <w:sz w:val="24"/>
              </w:rPr>
              <w:t>一级</w:t>
            </w:r>
          </w:p>
          <w:p>
            <w:pPr>
              <w:widowControl/>
              <w:spacing w:line="280" w:lineRule="exact"/>
              <w:jc w:val="center"/>
              <w:rPr>
                <w:rFonts w:eastAsia="黑体"/>
                <w:bCs/>
                <w:kern w:val="0"/>
                <w:sz w:val="24"/>
              </w:rPr>
            </w:pPr>
            <w:r>
              <w:rPr>
                <w:rFonts w:eastAsia="黑体"/>
                <w:bCs/>
                <w:kern w:val="0"/>
                <w:sz w:val="24"/>
              </w:rPr>
              <w:t>指标</w:t>
            </w:r>
          </w:p>
        </w:tc>
        <w:tc>
          <w:tcPr>
            <w:tcW w:w="1376" w:type="dxa"/>
            <w:vAlign w:val="center"/>
          </w:tcPr>
          <w:p>
            <w:pPr>
              <w:widowControl/>
              <w:spacing w:line="280" w:lineRule="exact"/>
              <w:jc w:val="center"/>
              <w:rPr>
                <w:rFonts w:hint="eastAsia" w:eastAsia="黑体"/>
                <w:bCs/>
                <w:kern w:val="0"/>
                <w:sz w:val="24"/>
                <w:lang w:eastAsia="zh-CN"/>
              </w:rPr>
            </w:pPr>
            <w:r>
              <w:rPr>
                <w:rFonts w:eastAsia="黑体"/>
                <w:bCs/>
                <w:kern w:val="0"/>
                <w:sz w:val="24"/>
              </w:rPr>
              <w:t>二级</w:t>
            </w:r>
          </w:p>
          <w:p>
            <w:pPr>
              <w:widowControl/>
              <w:spacing w:line="280" w:lineRule="exact"/>
              <w:jc w:val="center"/>
              <w:rPr>
                <w:rFonts w:eastAsia="黑体"/>
                <w:bCs/>
                <w:kern w:val="0"/>
                <w:sz w:val="24"/>
              </w:rPr>
            </w:pPr>
            <w:r>
              <w:rPr>
                <w:rFonts w:eastAsia="黑体"/>
                <w:bCs/>
                <w:kern w:val="0"/>
                <w:sz w:val="24"/>
              </w:rPr>
              <w:t>指标</w:t>
            </w:r>
          </w:p>
        </w:tc>
        <w:tc>
          <w:tcPr>
            <w:tcW w:w="1219" w:type="dxa"/>
            <w:vAlign w:val="center"/>
          </w:tcPr>
          <w:p>
            <w:pPr>
              <w:widowControl/>
              <w:spacing w:line="280" w:lineRule="exact"/>
              <w:jc w:val="center"/>
              <w:rPr>
                <w:rFonts w:hint="eastAsia" w:eastAsia="黑体"/>
                <w:bCs/>
                <w:kern w:val="0"/>
                <w:sz w:val="24"/>
                <w:lang w:eastAsia="zh-CN"/>
              </w:rPr>
            </w:pPr>
            <w:r>
              <w:rPr>
                <w:rFonts w:eastAsia="黑体"/>
                <w:bCs/>
                <w:kern w:val="0"/>
                <w:sz w:val="24"/>
              </w:rPr>
              <w:t>三级</w:t>
            </w:r>
          </w:p>
          <w:p>
            <w:pPr>
              <w:widowControl/>
              <w:spacing w:line="280" w:lineRule="exact"/>
              <w:jc w:val="center"/>
              <w:rPr>
                <w:rFonts w:eastAsia="黑体"/>
                <w:bCs/>
                <w:kern w:val="0"/>
                <w:sz w:val="24"/>
              </w:rPr>
            </w:pPr>
            <w:r>
              <w:rPr>
                <w:rFonts w:eastAsia="黑体"/>
                <w:bCs/>
                <w:kern w:val="0"/>
                <w:sz w:val="24"/>
              </w:rPr>
              <w:t>指标</w:t>
            </w:r>
          </w:p>
        </w:tc>
        <w:tc>
          <w:tcPr>
            <w:tcW w:w="2295" w:type="dxa"/>
            <w:vAlign w:val="center"/>
          </w:tcPr>
          <w:p>
            <w:pPr>
              <w:widowControl/>
              <w:spacing w:line="280" w:lineRule="exact"/>
              <w:jc w:val="center"/>
              <w:rPr>
                <w:rFonts w:eastAsia="黑体"/>
                <w:bCs/>
                <w:kern w:val="0"/>
                <w:sz w:val="24"/>
              </w:rPr>
            </w:pPr>
            <w:r>
              <w:rPr>
                <w:rFonts w:eastAsia="黑体"/>
                <w:bCs/>
                <w:kern w:val="0"/>
                <w:sz w:val="24"/>
              </w:rPr>
              <w:t>指标内容</w:t>
            </w:r>
          </w:p>
        </w:tc>
        <w:tc>
          <w:tcPr>
            <w:tcW w:w="3733" w:type="dxa"/>
            <w:vAlign w:val="center"/>
          </w:tcPr>
          <w:p>
            <w:pPr>
              <w:widowControl/>
              <w:spacing w:line="280" w:lineRule="exact"/>
              <w:jc w:val="center"/>
              <w:rPr>
                <w:rFonts w:eastAsia="黑体"/>
                <w:bCs/>
                <w:kern w:val="0"/>
                <w:sz w:val="24"/>
              </w:rPr>
            </w:pPr>
            <w:r>
              <w:rPr>
                <w:rFonts w:eastAsia="黑体"/>
                <w:bCs/>
                <w:kern w:val="0"/>
                <w:sz w:val="24"/>
              </w:rPr>
              <w:t>指标说明</w:t>
            </w:r>
          </w:p>
        </w:tc>
        <w:tc>
          <w:tcPr>
            <w:tcW w:w="861" w:type="dxa"/>
            <w:vAlign w:val="center"/>
          </w:tcPr>
          <w:p>
            <w:pPr>
              <w:widowControl/>
              <w:spacing w:line="280" w:lineRule="exact"/>
              <w:jc w:val="center"/>
              <w:rPr>
                <w:rFonts w:eastAsia="黑体"/>
                <w:bCs/>
                <w:kern w:val="0"/>
                <w:sz w:val="24"/>
              </w:rPr>
            </w:pPr>
            <w:r>
              <w:rPr>
                <w:rFonts w:eastAsia="黑体"/>
                <w:bCs/>
                <w:kern w:val="0"/>
                <w:sz w:val="24"/>
              </w:rPr>
              <w:t>分值</w:t>
            </w:r>
          </w:p>
        </w:tc>
        <w:tc>
          <w:tcPr>
            <w:tcW w:w="2282" w:type="dxa"/>
            <w:vAlign w:val="center"/>
          </w:tcPr>
          <w:p>
            <w:pPr>
              <w:widowControl/>
              <w:spacing w:line="280" w:lineRule="exact"/>
              <w:jc w:val="center"/>
              <w:rPr>
                <w:rFonts w:eastAsia="黑体"/>
                <w:bCs/>
                <w:kern w:val="0"/>
                <w:sz w:val="24"/>
              </w:rPr>
            </w:pPr>
            <w:r>
              <w:rPr>
                <w:rFonts w:hint="eastAsia" w:eastAsia="黑体"/>
                <w:bCs/>
                <w:kern w:val="0"/>
                <w:sz w:val="24"/>
              </w:rPr>
              <w:t>扣分事由</w:t>
            </w:r>
          </w:p>
        </w:tc>
        <w:tc>
          <w:tcPr>
            <w:tcW w:w="1005" w:type="dxa"/>
          </w:tcPr>
          <w:p>
            <w:pPr>
              <w:widowControl/>
              <w:spacing w:line="280" w:lineRule="exact"/>
              <w:jc w:val="center"/>
              <w:rPr>
                <w:rFonts w:eastAsia="黑体"/>
                <w:bCs/>
                <w:kern w:val="0"/>
                <w:sz w:val="24"/>
              </w:rPr>
            </w:pPr>
            <w:r>
              <w:rPr>
                <w:rFonts w:eastAsia="黑体"/>
                <w:bCs/>
                <w:kern w:val="0"/>
                <w:sz w:val="24"/>
              </w:rPr>
              <w:t>绩效</w:t>
            </w:r>
          </w:p>
          <w:p>
            <w:pPr>
              <w:widowControl/>
              <w:spacing w:line="280" w:lineRule="exact"/>
              <w:jc w:val="center"/>
              <w:rPr>
                <w:rFonts w:eastAsia="黑体"/>
                <w:bCs/>
                <w:kern w:val="0"/>
                <w:sz w:val="24"/>
              </w:rPr>
            </w:pPr>
            <w:r>
              <w:rPr>
                <w:rFonts w:eastAsia="黑体"/>
                <w:bCs/>
                <w:kern w:val="0"/>
                <w:sz w:val="24"/>
              </w:rPr>
              <w:t>评分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restart"/>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投入</w:t>
            </w:r>
          </w:p>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（20分）</w:t>
            </w:r>
          </w:p>
        </w:tc>
        <w:tc>
          <w:tcPr>
            <w:tcW w:w="1376" w:type="dxa"/>
            <w:vMerge w:val="restart"/>
            <w:vAlign w:val="center"/>
          </w:tcPr>
          <w:p>
            <w:pPr>
              <w:widowControl/>
              <w:spacing w:line="390" w:lineRule="exact"/>
              <w:jc w:val="center"/>
              <w:rPr>
                <w:rFonts w:hint="eastAsia" w:ascii="宋体" w:hAnsi="宋体" w:eastAsia="宋体" w:cs="宋体"/>
                <w:kern w:val="0"/>
                <w:sz w:val="24"/>
                <w:lang w:eastAsia="zh-CN"/>
              </w:rPr>
            </w:pPr>
            <w:r>
              <w:rPr>
                <w:rFonts w:hint="eastAsia" w:ascii="宋体" w:hAnsi="宋体" w:eastAsia="宋体" w:cs="宋体"/>
                <w:kern w:val="0"/>
                <w:sz w:val="24"/>
              </w:rPr>
              <w:t>项目</w:t>
            </w:r>
          </w:p>
          <w:p>
            <w:pPr>
              <w:widowControl/>
              <w:spacing w:line="390" w:lineRule="exact"/>
              <w:jc w:val="center"/>
              <w:rPr>
                <w:rFonts w:hint="eastAsia" w:ascii="宋体" w:hAnsi="宋体" w:eastAsia="宋体" w:cs="宋体"/>
                <w:kern w:val="0"/>
                <w:sz w:val="24"/>
                <w:lang w:eastAsia="zh-CN"/>
              </w:rPr>
            </w:pPr>
            <w:r>
              <w:rPr>
                <w:rFonts w:hint="eastAsia" w:ascii="宋体" w:hAnsi="宋体" w:eastAsia="宋体" w:cs="宋体"/>
                <w:kern w:val="0"/>
                <w:sz w:val="24"/>
              </w:rPr>
              <w:t>立项</w:t>
            </w:r>
          </w:p>
          <w:p>
            <w:pPr>
              <w:widowControl/>
              <w:spacing w:line="390" w:lineRule="exact"/>
              <w:jc w:val="center"/>
              <w:rPr>
                <w:rFonts w:hint="eastAsia" w:ascii="宋体" w:hAnsi="宋体" w:eastAsia="宋体" w:cs="宋体"/>
                <w:kern w:val="0"/>
                <w:sz w:val="24"/>
              </w:rPr>
            </w:pPr>
            <w:r>
              <w:rPr>
                <w:rFonts w:hint="eastAsia" w:ascii="宋体" w:hAnsi="宋体" w:eastAsia="宋体" w:cs="宋体"/>
                <w:kern w:val="0"/>
                <w:sz w:val="24"/>
              </w:rPr>
              <w:t>（20分）</w:t>
            </w:r>
          </w:p>
          <w:p>
            <w:pPr>
              <w:widowControl/>
              <w:spacing w:line="390" w:lineRule="exact"/>
              <w:jc w:val="center"/>
              <w:rPr>
                <w:rFonts w:hint="eastAsia" w:ascii="宋体" w:hAnsi="宋体" w:eastAsia="宋体" w:cs="宋体"/>
                <w:kern w:val="0"/>
                <w:sz w:val="24"/>
              </w:rPr>
            </w:pPr>
          </w:p>
        </w:tc>
        <w:tc>
          <w:tcPr>
            <w:tcW w:w="1219" w:type="dxa"/>
            <w:vMerge w:val="restart"/>
            <w:vAlign w:val="center"/>
          </w:tcPr>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立  项</w:t>
            </w:r>
          </w:p>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规范性</w:t>
            </w:r>
          </w:p>
          <w:p>
            <w:pPr>
              <w:widowControl/>
              <w:spacing w:line="380" w:lineRule="exact"/>
              <w:jc w:val="center"/>
              <w:rPr>
                <w:rFonts w:hint="eastAsia" w:ascii="宋体" w:hAnsi="宋体" w:eastAsia="宋体" w:cs="宋体"/>
                <w:kern w:val="0"/>
                <w:sz w:val="24"/>
              </w:rPr>
            </w:pPr>
            <w:r>
              <w:rPr>
                <w:rFonts w:hint="eastAsia" w:ascii="宋体" w:hAnsi="宋体" w:eastAsia="宋体" w:cs="宋体"/>
                <w:kern w:val="0"/>
                <w:sz w:val="24"/>
              </w:rPr>
              <w:t>（2分）</w:t>
            </w:r>
          </w:p>
        </w:tc>
        <w:tc>
          <w:tcPr>
            <w:tcW w:w="2295" w:type="dxa"/>
            <w:vMerge w:val="restart"/>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项目的申请、设立过程是否符合相关要求。</w:t>
            </w:r>
          </w:p>
        </w:tc>
        <w:tc>
          <w:tcPr>
            <w:tcW w:w="3733" w:type="dxa"/>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1、项目是否按照规定的程序申请设立；</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rPr>
                <w:rFonts w:hint="eastAsia" w:ascii="宋体" w:hAnsi="宋体" w:eastAsia="宋体" w:cs="宋体"/>
                <w:kern w:val="0"/>
                <w:sz w:val="24"/>
              </w:rPr>
            </w:pPr>
            <w:r>
              <w:rPr>
                <w:rFonts w:hint="eastAsia" w:ascii="宋体" w:hAnsi="宋体" w:eastAsia="宋体" w:cs="宋体"/>
                <w:kern w:val="0"/>
                <w:sz w:val="24"/>
              </w:rPr>
              <w:t>2、所提交的文件、材料是否符合相关要求；</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rPr>
                <w:rFonts w:hint="eastAsia" w:ascii="宋体" w:hAnsi="宋体" w:eastAsia="宋体" w:cs="宋体"/>
                <w:kern w:val="0"/>
                <w:sz w:val="24"/>
              </w:rPr>
            </w:pPr>
            <w:r>
              <w:rPr>
                <w:rFonts w:hint="eastAsia" w:ascii="宋体" w:hAnsi="宋体" w:eastAsia="宋体" w:cs="宋体"/>
                <w:kern w:val="0"/>
                <w:sz w:val="24"/>
              </w:rPr>
              <w:t>3、项目事前是否经过必要的可行性研究、专家论证、风险评估、集体决策等。</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center"/>
              <w:rPr>
                <w:rFonts w:hint="eastAsia" w:ascii="宋体" w:hAnsi="宋体" w:eastAsia="宋体" w:cs="宋体"/>
                <w:kern w:val="0"/>
                <w:sz w:val="24"/>
              </w:rPr>
            </w:pPr>
          </w:p>
        </w:tc>
        <w:tc>
          <w:tcPr>
            <w:tcW w:w="1219" w:type="dxa"/>
            <w:vMerge w:val="restart"/>
            <w:vAlign w:val="center"/>
          </w:tcPr>
          <w:p>
            <w:pPr>
              <w:widowControl/>
              <w:spacing w:line="380" w:lineRule="exact"/>
              <w:jc w:val="center"/>
              <w:rPr>
                <w:rFonts w:hint="eastAsia" w:ascii="宋体" w:hAnsi="宋体" w:eastAsia="宋体" w:cs="宋体"/>
                <w:kern w:val="0"/>
                <w:sz w:val="24"/>
              </w:rPr>
            </w:pPr>
            <w:r>
              <w:rPr>
                <w:rFonts w:hint="eastAsia" w:ascii="宋体" w:hAnsi="宋体" w:eastAsia="宋体" w:cs="宋体"/>
                <w:kern w:val="0"/>
                <w:sz w:val="24"/>
              </w:rPr>
              <w:t>绩  效</w:t>
            </w:r>
          </w:p>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目  标</w:t>
            </w:r>
          </w:p>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合理性</w:t>
            </w:r>
          </w:p>
          <w:p>
            <w:pPr>
              <w:widowControl/>
              <w:spacing w:line="380" w:lineRule="exact"/>
              <w:jc w:val="center"/>
              <w:rPr>
                <w:rFonts w:hint="eastAsia" w:ascii="宋体" w:hAnsi="宋体" w:eastAsia="宋体" w:cs="宋体"/>
                <w:kern w:val="0"/>
                <w:sz w:val="24"/>
              </w:rPr>
            </w:pPr>
            <w:r>
              <w:rPr>
                <w:rFonts w:hint="eastAsia" w:ascii="宋体" w:hAnsi="宋体" w:eastAsia="宋体" w:cs="宋体"/>
                <w:kern w:val="0"/>
                <w:sz w:val="24"/>
              </w:rPr>
              <w:t>（8分）</w:t>
            </w:r>
          </w:p>
        </w:tc>
        <w:tc>
          <w:tcPr>
            <w:tcW w:w="2295" w:type="dxa"/>
            <w:vMerge w:val="restart"/>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项目所设定的绩效目标是否依据充分，是否符合绩效目标管理要求，是否符合客观实际。</w:t>
            </w:r>
          </w:p>
        </w:tc>
        <w:tc>
          <w:tcPr>
            <w:tcW w:w="3733" w:type="dxa"/>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1、是否按绩效管理要求申报项目绩效目标；</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sz w:val="24"/>
              </w:rPr>
              <w:t>是否符合国家相关法律法规、国民经济发展规划和党委政府决策；</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rPr>
                <w:rFonts w:hint="eastAsia" w:ascii="宋体" w:hAnsi="宋体" w:eastAsia="宋体" w:cs="宋体"/>
                <w:kern w:val="0"/>
                <w:sz w:val="24"/>
              </w:rPr>
            </w:pPr>
            <w:r>
              <w:rPr>
                <w:rFonts w:hint="eastAsia" w:ascii="宋体" w:hAnsi="宋体" w:eastAsia="宋体" w:cs="宋体"/>
                <w:kern w:val="0"/>
                <w:sz w:val="24"/>
              </w:rPr>
              <w:t>3、</w:t>
            </w:r>
            <w:r>
              <w:rPr>
                <w:rFonts w:hint="eastAsia" w:ascii="宋体" w:hAnsi="宋体" w:eastAsia="宋体" w:cs="宋体"/>
                <w:sz w:val="24"/>
              </w:rPr>
              <w:t>是否与项目单位或委托单位职责密切相关；</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rPr>
                <w:rFonts w:hint="eastAsia" w:ascii="宋体" w:hAnsi="宋体" w:eastAsia="宋体" w:cs="宋体"/>
                <w:kern w:val="0"/>
                <w:sz w:val="24"/>
              </w:rPr>
            </w:pPr>
            <w:r>
              <w:rPr>
                <w:rFonts w:hint="eastAsia" w:ascii="宋体" w:hAnsi="宋体" w:eastAsia="宋体" w:cs="宋体"/>
                <w:kern w:val="0"/>
                <w:sz w:val="24"/>
              </w:rPr>
              <w:t>4、</w:t>
            </w:r>
            <w:r>
              <w:rPr>
                <w:rFonts w:hint="eastAsia" w:ascii="宋体" w:hAnsi="宋体" w:eastAsia="宋体" w:cs="宋体"/>
                <w:sz w:val="24"/>
              </w:rPr>
              <w:t>项目是否为促进事业发展所必需；</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rPr>
            </w:pPr>
          </w:p>
        </w:tc>
        <w:tc>
          <w:tcPr>
            <w:tcW w:w="1376" w:type="dxa"/>
            <w:vMerge w:val="continue"/>
            <w:vAlign w:val="center"/>
          </w:tcPr>
          <w:p>
            <w:pPr>
              <w:widowControl/>
              <w:spacing w:line="390" w:lineRule="exact"/>
              <w:jc w:val="left"/>
              <w:rPr>
                <w:rFonts w:hint="eastAsia" w:ascii="宋体" w:hAnsi="宋体" w:eastAsia="宋体" w:cs="宋体"/>
                <w:kern w:val="0"/>
                <w:sz w:val="24"/>
              </w:rPr>
            </w:pPr>
          </w:p>
        </w:tc>
        <w:tc>
          <w:tcPr>
            <w:tcW w:w="1219" w:type="dxa"/>
            <w:vMerge w:val="continue"/>
            <w:vAlign w:val="center"/>
          </w:tcPr>
          <w:p>
            <w:pPr>
              <w:widowControl/>
              <w:spacing w:line="380" w:lineRule="exact"/>
              <w:jc w:val="left"/>
              <w:rPr>
                <w:rFonts w:hint="eastAsia" w:ascii="宋体" w:hAnsi="宋体" w:eastAsia="宋体" w:cs="宋体"/>
                <w:kern w:val="0"/>
                <w:sz w:val="24"/>
              </w:rPr>
            </w:pPr>
          </w:p>
        </w:tc>
        <w:tc>
          <w:tcPr>
            <w:tcW w:w="2295" w:type="dxa"/>
            <w:vMerge w:val="continue"/>
            <w:vAlign w:val="center"/>
          </w:tcPr>
          <w:p>
            <w:pPr>
              <w:widowControl/>
              <w:spacing w:line="380" w:lineRule="exact"/>
              <w:jc w:val="left"/>
              <w:rPr>
                <w:rFonts w:hint="eastAsia" w:ascii="宋体" w:hAnsi="宋体" w:eastAsia="宋体" w:cs="宋体"/>
                <w:kern w:val="0"/>
                <w:sz w:val="24"/>
              </w:rPr>
            </w:pPr>
          </w:p>
        </w:tc>
        <w:tc>
          <w:tcPr>
            <w:tcW w:w="3733" w:type="dxa"/>
            <w:vAlign w:val="center"/>
          </w:tcPr>
          <w:p>
            <w:pPr>
              <w:widowControl/>
              <w:spacing w:line="380" w:lineRule="exact"/>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eastAsia="宋体" w:cs="宋体"/>
                <w:sz w:val="24"/>
              </w:rPr>
              <w:t>项目预期产出效益和效果是否符合正常的业绩水平。</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pPr>
              <w:widowControl/>
              <w:spacing w:line="360" w:lineRule="exact"/>
              <w:jc w:val="center"/>
              <w:rPr>
                <w:rFonts w:eastAsia="宋体"/>
                <w:kern w:val="0"/>
                <w:sz w:val="24"/>
              </w:rPr>
            </w:pPr>
          </w:p>
        </w:tc>
        <w:tc>
          <w:tcPr>
            <w:tcW w:w="1376" w:type="dxa"/>
            <w:vMerge w:val="continue"/>
            <w:vAlign w:val="center"/>
          </w:tcPr>
          <w:p>
            <w:pPr>
              <w:widowControl/>
              <w:spacing w:line="360" w:lineRule="exact"/>
              <w:jc w:val="left"/>
              <w:rPr>
                <w:rFonts w:eastAsia="宋体"/>
                <w:kern w:val="0"/>
                <w:sz w:val="24"/>
              </w:rPr>
            </w:pPr>
          </w:p>
        </w:tc>
        <w:tc>
          <w:tcPr>
            <w:tcW w:w="1219" w:type="dxa"/>
            <w:vMerge w:val="restart"/>
            <w:vAlign w:val="center"/>
          </w:tcPr>
          <w:p>
            <w:pPr>
              <w:widowControl/>
              <w:spacing w:line="380" w:lineRule="exact"/>
              <w:jc w:val="center"/>
              <w:rPr>
                <w:rFonts w:hint="eastAsia" w:ascii="宋体" w:hAnsi="宋体" w:eastAsia="宋体" w:cs="宋体"/>
                <w:kern w:val="0"/>
                <w:sz w:val="24"/>
              </w:rPr>
            </w:pPr>
            <w:r>
              <w:rPr>
                <w:rFonts w:hint="eastAsia" w:ascii="宋体" w:hAnsi="宋体" w:eastAsia="宋体" w:cs="宋体"/>
                <w:kern w:val="0"/>
                <w:sz w:val="24"/>
              </w:rPr>
              <w:t>绩  效</w:t>
            </w:r>
          </w:p>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指  标</w:t>
            </w:r>
          </w:p>
          <w:p>
            <w:pPr>
              <w:widowControl/>
              <w:spacing w:line="380" w:lineRule="exact"/>
              <w:jc w:val="center"/>
              <w:rPr>
                <w:rFonts w:hint="eastAsia" w:ascii="宋体" w:hAnsi="宋体" w:eastAsia="宋体" w:cs="宋体"/>
                <w:kern w:val="0"/>
                <w:sz w:val="24"/>
                <w:lang w:eastAsia="zh-CN"/>
              </w:rPr>
            </w:pPr>
            <w:r>
              <w:rPr>
                <w:rFonts w:hint="eastAsia" w:ascii="宋体" w:hAnsi="宋体" w:eastAsia="宋体" w:cs="宋体"/>
                <w:kern w:val="0"/>
                <w:sz w:val="24"/>
              </w:rPr>
              <w:t>明确性</w:t>
            </w:r>
          </w:p>
          <w:p>
            <w:pPr>
              <w:widowControl/>
              <w:spacing w:line="380" w:lineRule="exact"/>
              <w:jc w:val="center"/>
              <w:rPr>
                <w:rFonts w:hint="eastAsia" w:ascii="宋体" w:hAnsi="宋体" w:eastAsia="宋体" w:cs="宋体"/>
                <w:kern w:val="0"/>
                <w:sz w:val="24"/>
              </w:rPr>
            </w:pPr>
            <w:r>
              <w:rPr>
                <w:rFonts w:hint="eastAsia" w:ascii="宋体" w:hAnsi="宋体" w:eastAsia="宋体" w:cs="宋体"/>
                <w:kern w:val="0"/>
                <w:sz w:val="24"/>
              </w:rPr>
              <w:t>（8分）</w:t>
            </w:r>
          </w:p>
        </w:tc>
        <w:tc>
          <w:tcPr>
            <w:tcW w:w="2295" w:type="dxa"/>
            <w:vMerge w:val="restart"/>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依据绩效目标设定的绩效指标是否清晰、细化、可衡量等，用以反映和考核项目绩效目标的明细化情况。</w:t>
            </w:r>
          </w:p>
        </w:tc>
        <w:tc>
          <w:tcPr>
            <w:tcW w:w="3733" w:type="dxa"/>
            <w:vAlign w:val="center"/>
          </w:tcPr>
          <w:p>
            <w:pPr>
              <w:widowControl/>
              <w:spacing w:line="380" w:lineRule="exact"/>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sz w:val="24"/>
              </w:rPr>
              <w:t>是否将项目绩效目标细化分解为具体的绩效指标；</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2</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项目绩效目标欠细化</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szCs w:val="24"/>
              </w:rPr>
            </w:pPr>
          </w:p>
        </w:tc>
        <w:tc>
          <w:tcPr>
            <w:tcW w:w="1376" w:type="dxa"/>
            <w:vMerge w:val="continue"/>
            <w:vAlign w:val="center"/>
          </w:tcPr>
          <w:p>
            <w:pPr>
              <w:widowControl/>
              <w:spacing w:line="360" w:lineRule="exact"/>
              <w:jc w:val="left"/>
              <w:rPr>
                <w:rFonts w:hint="eastAsia" w:ascii="宋体" w:hAnsi="宋体" w:eastAsia="宋体" w:cs="宋体"/>
                <w:kern w:val="0"/>
                <w:sz w:val="24"/>
                <w:szCs w:val="24"/>
              </w:rPr>
            </w:pPr>
          </w:p>
        </w:tc>
        <w:tc>
          <w:tcPr>
            <w:tcW w:w="1219" w:type="dxa"/>
            <w:vMerge w:val="continue"/>
            <w:vAlign w:val="center"/>
          </w:tcPr>
          <w:p>
            <w:pPr>
              <w:widowControl/>
              <w:spacing w:line="380" w:lineRule="exact"/>
              <w:jc w:val="left"/>
              <w:rPr>
                <w:rFonts w:hint="eastAsia" w:ascii="宋体" w:hAnsi="宋体" w:eastAsia="宋体" w:cs="宋体"/>
                <w:kern w:val="0"/>
                <w:sz w:val="24"/>
                <w:szCs w:val="24"/>
              </w:rPr>
            </w:pPr>
          </w:p>
        </w:tc>
        <w:tc>
          <w:tcPr>
            <w:tcW w:w="2295" w:type="dxa"/>
            <w:vMerge w:val="continue"/>
            <w:vAlign w:val="center"/>
          </w:tcPr>
          <w:p>
            <w:pPr>
              <w:widowControl/>
              <w:spacing w:line="380" w:lineRule="exact"/>
              <w:jc w:val="left"/>
              <w:rPr>
                <w:rFonts w:hint="eastAsia" w:ascii="宋体" w:hAnsi="宋体" w:eastAsia="宋体" w:cs="宋体"/>
                <w:kern w:val="0"/>
                <w:sz w:val="24"/>
                <w:szCs w:val="24"/>
              </w:rPr>
            </w:pPr>
          </w:p>
        </w:tc>
        <w:tc>
          <w:tcPr>
            <w:tcW w:w="3733" w:type="dxa"/>
            <w:vAlign w:val="center"/>
          </w:tcPr>
          <w:p>
            <w:pPr>
              <w:widowControl/>
              <w:spacing w:line="38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sz w:val="24"/>
                <w:szCs w:val="24"/>
              </w:rPr>
              <w:t>是否通过清晰、可衡量的指标值予以体现；</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项目绩效目标太宏观，不清晰和可衡量</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szCs w:val="24"/>
              </w:rPr>
            </w:pPr>
          </w:p>
        </w:tc>
        <w:tc>
          <w:tcPr>
            <w:tcW w:w="1376" w:type="dxa"/>
            <w:vMerge w:val="continue"/>
            <w:vAlign w:val="center"/>
          </w:tcPr>
          <w:p>
            <w:pPr>
              <w:widowControl/>
              <w:spacing w:line="360" w:lineRule="exact"/>
              <w:jc w:val="left"/>
              <w:rPr>
                <w:rFonts w:hint="eastAsia" w:ascii="宋体" w:hAnsi="宋体" w:eastAsia="宋体" w:cs="宋体"/>
                <w:kern w:val="0"/>
                <w:sz w:val="24"/>
                <w:szCs w:val="24"/>
              </w:rPr>
            </w:pPr>
          </w:p>
        </w:tc>
        <w:tc>
          <w:tcPr>
            <w:tcW w:w="1219" w:type="dxa"/>
            <w:vMerge w:val="continue"/>
            <w:vAlign w:val="center"/>
          </w:tcPr>
          <w:p>
            <w:pPr>
              <w:widowControl/>
              <w:spacing w:line="380" w:lineRule="exact"/>
              <w:jc w:val="left"/>
              <w:rPr>
                <w:rFonts w:hint="eastAsia" w:ascii="宋体" w:hAnsi="宋体" w:eastAsia="宋体" w:cs="宋体"/>
                <w:kern w:val="0"/>
                <w:sz w:val="24"/>
                <w:szCs w:val="24"/>
              </w:rPr>
            </w:pPr>
          </w:p>
        </w:tc>
        <w:tc>
          <w:tcPr>
            <w:tcW w:w="2295" w:type="dxa"/>
            <w:vMerge w:val="continue"/>
            <w:vAlign w:val="center"/>
          </w:tcPr>
          <w:p>
            <w:pPr>
              <w:widowControl/>
              <w:spacing w:line="380" w:lineRule="exact"/>
              <w:jc w:val="left"/>
              <w:rPr>
                <w:rFonts w:hint="eastAsia" w:ascii="宋体" w:hAnsi="宋体" w:eastAsia="宋体" w:cs="宋体"/>
                <w:kern w:val="0"/>
                <w:sz w:val="24"/>
                <w:szCs w:val="24"/>
              </w:rPr>
            </w:pPr>
          </w:p>
        </w:tc>
        <w:tc>
          <w:tcPr>
            <w:tcW w:w="3733" w:type="dxa"/>
            <w:vAlign w:val="center"/>
          </w:tcPr>
          <w:p>
            <w:pPr>
              <w:widowControl/>
              <w:spacing w:line="380" w:lineRule="exact"/>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sz w:val="24"/>
                <w:szCs w:val="24"/>
              </w:rPr>
              <w:t>指标值的设置是否符合政策要求和行业规定</w:t>
            </w:r>
            <w:r>
              <w:rPr>
                <w:rFonts w:hint="eastAsia" w:ascii="宋体" w:hAnsi="宋体" w:eastAsia="宋体" w:cs="宋体"/>
                <w:kern w:val="0"/>
                <w:sz w:val="24"/>
                <w:szCs w:val="24"/>
              </w:rPr>
              <w:t>；</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项目绩效目标欠细化</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szCs w:val="24"/>
              </w:rPr>
            </w:pPr>
          </w:p>
        </w:tc>
        <w:tc>
          <w:tcPr>
            <w:tcW w:w="1376" w:type="dxa"/>
            <w:vMerge w:val="continue"/>
            <w:vAlign w:val="center"/>
          </w:tcPr>
          <w:p>
            <w:pPr>
              <w:widowControl/>
              <w:spacing w:line="360" w:lineRule="exact"/>
              <w:jc w:val="left"/>
              <w:rPr>
                <w:rFonts w:hint="eastAsia" w:ascii="宋体" w:hAnsi="宋体" w:eastAsia="宋体" w:cs="宋体"/>
                <w:kern w:val="0"/>
                <w:sz w:val="24"/>
                <w:szCs w:val="24"/>
              </w:rPr>
            </w:pPr>
          </w:p>
        </w:tc>
        <w:tc>
          <w:tcPr>
            <w:tcW w:w="1219" w:type="dxa"/>
            <w:vMerge w:val="continue"/>
            <w:vAlign w:val="center"/>
          </w:tcPr>
          <w:p>
            <w:pPr>
              <w:widowControl/>
              <w:spacing w:line="380" w:lineRule="exact"/>
              <w:jc w:val="left"/>
              <w:rPr>
                <w:rFonts w:hint="eastAsia" w:ascii="宋体" w:hAnsi="宋体" w:eastAsia="宋体" w:cs="宋体"/>
                <w:kern w:val="0"/>
                <w:sz w:val="24"/>
                <w:szCs w:val="24"/>
              </w:rPr>
            </w:pPr>
          </w:p>
        </w:tc>
        <w:tc>
          <w:tcPr>
            <w:tcW w:w="2295" w:type="dxa"/>
            <w:vMerge w:val="continue"/>
            <w:vAlign w:val="center"/>
          </w:tcPr>
          <w:p>
            <w:pPr>
              <w:widowControl/>
              <w:spacing w:line="380" w:lineRule="exact"/>
              <w:jc w:val="left"/>
              <w:rPr>
                <w:rFonts w:hint="eastAsia" w:ascii="宋体" w:hAnsi="宋体" w:eastAsia="宋体" w:cs="宋体"/>
                <w:kern w:val="0"/>
                <w:sz w:val="24"/>
                <w:szCs w:val="24"/>
              </w:rPr>
            </w:pPr>
          </w:p>
        </w:tc>
        <w:tc>
          <w:tcPr>
            <w:tcW w:w="3733" w:type="dxa"/>
            <w:vAlign w:val="center"/>
          </w:tcPr>
          <w:p>
            <w:pPr>
              <w:widowControl/>
              <w:spacing w:line="380" w:lineRule="exact"/>
              <w:rPr>
                <w:rFonts w:hint="eastAsia" w:ascii="宋体" w:hAnsi="宋体" w:eastAsia="宋体" w:cs="宋体"/>
                <w:kern w:val="0"/>
                <w:sz w:val="24"/>
                <w:szCs w:val="24"/>
              </w:rPr>
            </w:pPr>
            <w:r>
              <w:rPr>
                <w:rFonts w:hint="eastAsia" w:ascii="宋体" w:hAnsi="宋体" w:eastAsia="宋体" w:cs="宋体"/>
                <w:kern w:val="0"/>
                <w:sz w:val="24"/>
                <w:szCs w:val="24"/>
              </w:rPr>
              <w:t>4、是否与项目年度任务数或计划数相对应；</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未与年度任务数相对应</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119" w:type="dxa"/>
            <w:vMerge w:val="continue"/>
            <w:vAlign w:val="center"/>
          </w:tcPr>
          <w:p>
            <w:pPr>
              <w:widowControl/>
              <w:spacing w:line="360" w:lineRule="exact"/>
              <w:jc w:val="left"/>
              <w:rPr>
                <w:rFonts w:hint="eastAsia" w:ascii="宋体" w:hAnsi="宋体" w:eastAsia="宋体" w:cs="宋体"/>
                <w:kern w:val="0"/>
                <w:sz w:val="24"/>
                <w:szCs w:val="24"/>
              </w:rPr>
            </w:pPr>
          </w:p>
        </w:tc>
        <w:tc>
          <w:tcPr>
            <w:tcW w:w="1376" w:type="dxa"/>
            <w:vMerge w:val="continue"/>
            <w:vAlign w:val="center"/>
          </w:tcPr>
          <w:p>
            <w:pPr>
              <w:widowControl/>
              <w:spacing w:line="360" w:lineRule="exact"/>
              <w:jc w:val="left"/>
              <w:rPr>
                <w:rFonts w:hint="eastAsia" w:ascii="宋体" w:hAnsi="宋体" w:eastAsia="宋体" w:cs="宋体"/>
                <w:kern w:val="0"/>
                <w:sz w:val="24"/>
                <w:szCs w:val="24"/>
              </w:rPr>
            </w:pPr>
          </w:p>
        </w:tc>
        <w:tc>
          <w:tcPr>
            <w:tcW w:w="1219" w:type="dxa"/>
            <w:vMerge w:val="continue"/>
            <w:vAlign w:val="center"/>
          </w:tcPr>
          <w:p>
            <w:pPr>
              <w:widowControl/>
              <w:spacing w:line="380" w:lineRule="exact"/>
              <w:jc w:val="left"/>
              <w:rPr>
                <w:rFonts w:hint="eastAsia" w:ascii="宋体" w:hAnsi="宋体" w:eastAsia="宋体" w:cs="宋体"/>
                <w:kern w:val="0"/>
                <w:sz w:val="24"/>
                <w:szCs w:val="24"/>
              </w:rPr>
            </w:pPr>
          </w:p>
        </w:tc>
        <w:tc>
          <w:tcPr>
            <w:tcW w:w="2295" w:type="dxa"/>
            <w:vMerge w:val="continue"/>
            <w:vAlign w:val="center"/>
          </w:tcPr>
          <w:p>
            <w:pPr>
              <w:widowControl/>
              <w:spacing w:line="380" w:lineRule="exact"/>
              <w:jc w:val="left"/>
              <w:rPr>
                <w:rFonts w:hint="eastAsia" w:ascii="宋体" w:hAnsi="宋体" w:eastAsia="宋体" w:cs="宋体"/>
                <w:kern w:val="0"/>
                <w:sz w:val="24"/>
                <w:szCs w:val="24"/>
              </w:rPr>
            </w:pPr>
          </w:p>
        </w:tc>
        <w:tc>
          <w:tcPr>
            <w:tcW w:w="3733" w:type="dxa"/>
            <w:vAlign w:val="center"/>
          </w:tcPr>
          <w:p>
            <w:pPr>
              <w:widowControl/>
              <w:spacing w:line="380" w:lineRule="exact"/>
              <w:rPr>
                <w:rFonts w:hint="eastAsia" w:ascii="宋体" w:hAnsi="宋体" w:eastAsia="宋体" w:cs="宋体"/>
                <w:kern w:val="0"/>
                <w:sz w:val="24"/>
                <w:szCs w:val="24"/>
              </w:rPr>
            </w:pPr>
            <w:r>
              <w:rPr>
                <w:rFonts w:hint="eastAsia" w:ascii="宋体" w:hAnsi="宋体" w:eastAsia="宋体" w:cs="宋体"/>
                <w:kern w:val="0"/>
                <w:sz w:val="24"/>
                <w:szCs w:val="24"/>
              </w:rPr>
              <w:t>5、是否与预算确定的项目投资额或资金量相匹配。</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1119" w:type="dxa"/>
            <w:vMerge w:val="restart"/>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投入</w:t>
            </w:r>
          </w:p>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（20分）</w:t>
            </w:r>
          </w:p>
        </w:tc>
        <w:tc>
          <w:tcPr>
            <w:tcW w:w="1376" w:type="dxa"/>
            <w:vMerge w:val="restart"/>
            <w:vAlign w:val="center"/>
          </w:tcPr>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资金</w:t>
            </w:r>
          </w:p>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落实</w:t>
            </w:r>
          </w:p>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（2分）</w:t>
            </w:r>
          </w:p>
        </w:tc>
        <w:tc>
          <w:tcPr>
            <w:tcW w:w="1219" w:type="dxa"/>
            <w:vAlign w:val="center"/>
          </w:tcPr>
          <w:p>
            <w:pPr>
              <w:widowControl/>
              <w:spacing w:line="3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资  金</w:t>
            </w:r>
          </w:p>
          <w:p>
            <w:pPr>
              <w:widowControl/>
              <w:spacing w:line="3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到位率</w:t>
            </w:r>
          </w:p>
          <w:p>
            <w:pPr>
              <w:widowControl/>
              <w:spacing w:line="3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（1分）</w:t>
            </w:r>
          </w:p>
        </w:tc>
        <w:tc>
          <w:tcPr>
            <w:tcW w:w="2295" w:type="dxa"/>
            <w:vAlign w:val="center"/>
          </w:tcPr>
          <w:p>
            <w:pPr>
              <w:widowControl/>
              <w:spacing w:line="34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实际到位资金与计划投入资金的比率，反映资金落实情况对项目实施的总体保障程度。</w:t>
            </w:r>
          </w:p>
        </w:tc>
        <w:tc>
          <w:tcPr>
            <w:tcW w:w="3733" w:type="dxa"/>
            <w:vAlign w:val="center"/>
          </w:tcPr>
          <w:p>
            <w:pPr>
              <w:widowControl/>
              <w:spacing w:line="300" w:lineRule="exact"/>
              <w:rPr>
                <w:rFonts w:hint="eastAsia" w:ascii="宋体" w:hAnsi="宋体" w:eastAsia="宋体" w:cs="宋体"/>
                <w:kern w:val="0"/>
                <w:sz w:val="24"/>
                <w:szCs w:val="24"/>
              </w:rPr>
            </w:pPr>
            <w:r>
              <w:rPr>
                <w:rFonts w:hint="eastAsia" w:ascii="宋体" w:hAnsi="宋体" w:eastAsia="宋体" w:cs="宋体"/>
                <w:kern w:val="0"/>
                <w:sz w:val="24"/>
                <w:szCs w:val="24"/>
              </w:rPr>
              <w:t>资金到位率=（本年度或项目期内实际到位资金</w:t>
            </w:r>
            <w:r>
              <w:rPr>
                <w:rFonts w:hint="eastAsia" w:ascii="宋体" w:hAnsi="宋体" w:eastAsia="宋体" w:cs="宋体"/>
                <w:b/>
                <w:bCs/>
                <w:kern w:val="0"/>
                <w:sz w:val="24"/>
                <w:szCs w:val="24"/>
              </w:rPr>
              <w:t>/</w:t>
            </w:r>
            <w:r>
              <w:rPr>
                <w:rFonts w:hint="eastAsia" w:ascii="宋体" w:hAnsi="宋体" w:eastAsia="宋体" w:cs="宋体"/>
                <w:kern w:val="0"/>
                <w:sz w:val="24"/>
                <w:szCs w:val="24"/>
              </w:rPr>
              <w:t>计划投入到具体项目的资金）×100%，全额到位或部分不到位但不影响项目进度的计满分，部分不到位并影响项目进度的按比例计分。</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60" w:lineRule="exact"/>
              <w:jc w:val="left"/>
              <w:rPr>
                <w:rFonts w:eastAsia="宋体"/>
                <w:kern w:val="0"/>
                <w:sz w:val="24"/>
              </w:rPr>
            </w:pPr>
          </w:p>
        </w:tc>
        <w:tc>
          <w:tcPr>
            <w:tcW w:w="1219" w:type="dxa"/>
            <w:vAlign w:val="center"/>
          </w:tcPr>
          <w:p>
            <w:pPr>
              <w:widowControl/>
              <w:spacing w:line="340" w:lineRule="exact"/>
              <w:jc w:val="center"/>
              <w:rPr>
                <w:rFonts w:hint="eastAsia" w:ascii="宋体" w:hAnsi="宋体" w:eastAsia="宋体" w:cs="宋体"/>
                <w:kern w:val="0"/>
                <w:sz w:val="24"/>
                <w:lang w:eastAsia="zh-CN"/>
              </w:rPr>
            </w:pPr>
            <w:r>
              <w:rPr>
                <w:rFonts w:hint="eastAsia" w:ascii="宋体" w:hAnsi="宋体" w:eastAsia="宋体" w:cs="宋体"/>
                <w:kern w:val="0"/>
                <w:sz w:val="24"/>
              </w:rPr>
              <w:t>到  位</w:t>
            </w:r>
          </w:p>
          <w:p>
            <w:pPr>
              <w:widowControl/>
              <w:spacing w:line="340" w:lineRule="exact"/>
              <w:jc w:val="center"/>
              <w:rPr>
                <w:rFonts w:hint="eastAsia" w:ascii="宋体" w:hAnsi="宋体" w:eastAsia="宋体" w:cs="宋体"/>
                <w:kern w:val="0"/>
                <w:sz w:val="24"/>
                <w:lang w:eastAsia="zh-CN"/>
              </w:rPr>
            </w:pPr>
            <w:r>
              <w:rPr>
                <w:rFonts w:hint="eastAsia" w:ascii="宋体" w:hAnsi="宋体" w:eastAsia="宋体" w:cs="宋体"/>
                <w:kern w:val="0"/>
                <w:sz w:val="24"/>
              </w:rPr>
              <w:t>及时率</w:t>
            </w:r>
          </w:p>
          <w:p>
            <w:pPr>
              <w:widowControl/>
              <w:spacing w:line="340" w:lineRule="exact"/>
              <w:jc w:val="center"/>
              <w:rPr>
                <w:rFonts w:hint="eastAsia" w:ascii="宋体" w:hAnsi="宋体" w:eastAsia="宋体" w:cs="宋体"/>
                <w:kern w:val="0"/>
                <w:sz w:val="24"/>
              </w:rPr>
            </w:pPr>
            <w:r>
              <w:rPr>
                <w:rFonts w:hint="eastAsia" w:ascii="宋体" w:hAnsi="宋体" w:eastAsia="宋体" w:cs="宋体"/>
                <w:kern w:val="0"/>
                <w:sz w:val="24"/>
              </w:rPr>
              <w:t>（1分）</w:t>
            </w:r>
          </w:p>
        </w:tc>
        <w:tc>
          <w:tcPr>
            <w:tcW w:w="2295" w:type="dxa"/>
            <w:vAlign w:val="center"/>
          </w:tcPr>
          <w:p>
            <w:pPr>
              <w:widowControl/>
              <w:spacing w:line="340" w:lineRule="exact"/>
              <w:jc w:val="left"/>
              <w:rPr>
                <w:rFonts w:hint="eastAsia" w:ascii="宋体" w:hAnsi="宋体" w:eastAsia="宋体" w:cs="宋体"/>
                <w:kern w:val="0"/>
                <w:sz w:val="24"/>
              </w:rPr>
            </w:pPr>
            <w:r>
              <w:rPr>
                <w:rFonts w:hint="eastAsia" w:ascii="宋体" w:hAnsi="宋体" w:eastAsia="宋体" w:cs="宋体"/>
                <w:kern w:val="0"/>
                <w:sz w:val="24"/>
              </w:rPr>
              <w:t>及时到位资金与应到位资金的比率，反映项目资金落实的及时性程度。</w:t>
            </w:r>
          </w:p>
        </w:tc>
        <w:tc>
          <w:tcPr>
            <w:tcW w:w="3733" w:type="dxa"/>
            <w:vAlign w:val="center"/>
          </w:tcPr>
          <w:p>
            <w:pPr>
              <w:widowControl/>
              <w:spacing w:line="300" w:lineRule="exact"/>
              <w:rPr>
                <w:rFonts w:hint="eastAsia" w:ascii="宋体" w:hAnsi="宋体" w:eastAsia="宋体" w:cs="宋体"/>
                <w:kern w:val="0"/>
                <w:sz w:val="24"/>
              </w:rPr>
            </w:pPr>
            <w:r>
              <w:rPr>
                <w:rFonts w:hint="eastAsia" w:ascii="宋体" w:hAnsi="宋体" w:eastAsia="宋体" w:cs="宋体"/>
                <w:kern w:val="0"/>
                <w:sz w:val="24"/>
              </w:rPr>
              <w:t>到位及时率=（及时到位资金/应到位资金）×100%，到位及时或部分到位不及时但不影响项目进度的计满分，部分到位不及时并影响项目进度的按比例计分。</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restart"/>
            <w:vAlign w:val="center"/>
          </w:tcPr>
          <w:p>
            <w:pPr>
              <w:widowControl/>
              <w:spacing w:line="360" w:lineRule="exact"/>
              <w:jc w:val="center"/>
              <w:rPr>
                <w:rFonts w:hint="eastAsia" w:eastAsia="宋体"/>
                <w:kern w:val="0"/>
                <w:sz w:val="24"/>
                <w:lang w:eastAsia="zh-CN"/>
              </w:rPr>
            </w:pPr>
            <w:r>
              <w:rPr>
                <w:rFonts w:eastAsia="宋体"/>
                <w:kern w:val="0"/>
                <w:sz w:val="24"/>
              </w:rPr>
              <w:t>过程</w:t>
            </w:r>
          </w:p>
          <w:p>
            <w:pPr>
              <w:widowControl/>
              <w:spacing w:line="360" w:lineRule="exact"/>
              <w:jc w:val="center"/>
              <w:rPr>
                <w:rFonts w:eastAsia="宋体"/>
                <w:kern w:val="0"/>
                <w:sz w:val="24"/>
              </w:rPr>
            </w:pPr>
            <w:r>
              <w:rPr>
                <w:rFonts w:eastAsia="宋体"/>
                <w:kern w:val="0"/>
                <w:sz w:val="24"/>
              </w:rPr>
              <w:t>（30分）</w:t>
            </w:r>
          </w:p>
        </w:tc>
        <w:tc>
          <w:tcPr>
            <w:tcW w:w="1376" w:type="dxa"/>
            <w:vMerge w:val="restart"/>
            <w:vAlign w:val="center"/>
          </w:tcPr>
          <w:p>
            <w:pPr>
              <w:widowControl/>
              <w:spacing w:line="370" w:lineRule="exact"/>
              <w:jc w:val="center"/>
              <w:rPr>
                <w:rFonts w:hint="eastAsia" w:eastAsia="宋体"/>
                <w:kern w:val="0"/>
                <w:sz w:val="24"/>
                <w:lang w:eastAsia="zh-CN"/>
              </w:rPr>
            </w:pPr>
            <w:r>
              <w:rPr>
                <w:rFonts w:eastAsia="宋体"/>
                <w:kern w:val="0"/>
                <w:sz w:val="24"/>
              </w:rPr>
              <w:t xml:space="preserve">项目 </w:t>
            </w:r>
          </w:p>
          <w:p>
            <w:pPr>
              <w:widowControl/>
              <w:spacing w:line="370" w:lineRule="exact"/>
              <w:jc w:val="center"/>
              <w:rPr>
                <w:rFonts w:hint="eastAsia" w:eastAsia="宋体"/>
                <w:kern w:val="0"/>
                <w:sz w:val="24"/>
                <w:lang w:eastAsia="zh-CN"/>
              </w:rPr>
            </w:pPr>
            <w:r>
              <w:rPr>
                <w:rFonts w:eastAsia="宋体"/>
                <w:kern w:val="0"/>
                <w:sz w:val="24"/>
              </w:rPr>
              <w:t>管理</w:t>
            </w:r>
          </w:p>
          <w:p>
            <w:pPr>
              <w:widowControl/>
              <w:spacing w:line="370" w:lineRule="exact"/>
              <w:jc w:val="center"/>
              <w:rPr>
                <w:rFonts w:eastAsia="宋体"/>
                <w:kern w:val="0"/>
                <w:sz w:val="24"/>
              </w:rPr>
            </w:pPr>
            <w:r>
              <w:rPr>
                <w:rFonts w:eastAsia="宋体"/>
                <w:kern w:val="0"/>
                <w:sz w:val="24"/>
              </w:rPr>
              <w:t>（15分）</w:t>
            </w:r>
          </w:p>
        </w:tc>
        <w:tc>
          <w:tcPr>
            <w:tcW w:w="1219" w:type="dxa"/>
            <w:vMerge w:val="restart"/>
            <w:vAlign w:val="center"/>
          </w:tcPr>
          <w:p>
            <w:pPr>
              <w:widowControl/>
              <w:spacing w:line="370" w:lineRule="exact"/>
              <w:jc w:val="center"/>
              <w:rPr>
                <w:rFonts w:hint="eastAsia" w:ascii="宋体" w:hAnsi="宋体" w:eastAsia="宋体" w:cs="宋体"/>
                <w:kern w:val="0"/>
                <w:sz w:val="24"/>
              </w:rPr>
            </w:pPr>
            <w:r>
              <w:rPr>
                <w:rFonts w:hint="eastAsia" w:ascii="宋体" w:hAnsi="宋体" w:eastAsia="宋体" w:cs="宋体"/>
                <w:kern w:val="0"/>
                <w:sz w:val="24"/>
              </w:rPr>
              <w:t>制  度</w:t>
            </w:r>
          </w:p>
          <w:p>
            <w:pPr>
              <w:widowControl/>
              <w:spacing w:line="370" w:lineRule="exact"/>
              <w:jc w:val="center"/>
              <w:rPr>
                <w:rFonts w:hint="eastAsia" w:ascii="宋体" w:hAnsi="宋体" w:eastAsia="宋体" w:cs="宋体"/>
                <w:kern w:val="0"/>
                <w:sz w:val="24"/>
                <w:lang w:eastAsia="zh-CN"/>
              </w:rPr>
            </w:pPr>
            <w:r>
              <w:rPr>
                <w:rFonts w:hint="eastAsia" w:ascii="宋体" w:hAnsi="宋体" w:eastAsia="宋体" w:cs="宋体"/>
                <w:kern w:val="0"/>
                <w:sz w:val="24"/>
              </w:rPr>
              <w:t>健全性</w:t>
            </w:r>
          </w:p>
          <w:p>
            <w:pPr>
              <w:widowControl/>
              <w:spacing w:line="370" w:lineRule="exact"/>
              <w:jc w:val="center"/>
              <w:rPr>
                <w:rFonts w:hint="eastAsia" w:ascii="宋体" w:hAnsi="宋体" w:eastAsia="宋体" w:cs="宋体"/>
                <w:kern w:val="0"/>
                <w:sz w:val="24"/>
              </w:rPr>
            </w:pPr>
            <w:r>
              <w:rPr>
                <w:rFonts w:hint="eastAsia" w:ascii="宋体" w:hAnsi="宋体" w:eastAsia="宋体" w:cs="宋体"/>
                <w:kern w:val="0"/>
                <w:sz w:val="24"/>
              </w:rPr>
              <w:t>（2分）</w:t>
            </w:r>
          </w:p>
        </w:tc>
        <w:tc>
          <w:tcPr>
            <w:tcW w:w="2295" w:type="dxa"/>
            <w:vMerge w:val="restart"/>
            <w:vAlign w:val="center"/>
          </w:tcPr>
          <w:p>
            <w:pPr>
              <w:spacing w:line="370" w:lineRule="exact"/>
              <w:rPr>
                <w:rFonts w:hint="eastAsia" w:ascii="宋体" w:hAnsi="宋体" w:eastAsia="宋体" w:cs="宋体"/>
                <w:kern w:val="0"/>
                <w:sz w:val="24"/>
              </w:rPr>
            </w:pPr>
            <w:r>
              <w:rPr>
                <w:rFonts w:hint="eastAsia" w:ascii="宋体" w:hAnsi="宋体" w:eastAsia="宋体" w:cs="宋体"/>
                <w:sz w:val="24"/>
              </w:rPr>
              <w:t>项目单位的项目管理制度是否健全，用以反映和考核项目管理制度对项目顺利实施的保障情况。</w:t>
            </w:r>
          </w:p>
        </w:tc>
        <w:tc>
          <w:tcPr>
            <w:tcW w:w="3733" w:type="dxa"/>
            <w:vAlign w:val="center"/>
          </w:tcPr>
          <w:p>
            <w:pPr>
              <w:widowControl/>
              <w:spacing w:line="320" w:lineRule="exact"/>
              <w:rPr>
                <w:rFonts w:hint="eastAsia" w:ascii="宋体" w:hAnsi="宋体" w:eastAsia="宋体" w:cs="宋体"/>
                <w:kern w:val="0"/>
                <w:sz w:val="24"/>
              </w:rPr>
            </w:pPr>
            <w:r>
              <w:rPr>
                <w:rFonts w:hint="eastAsia" w:ascii="宋体" w:hAnsi="宋体" w:eastAsia="宋体" w:cs="宋体"/>
                <w:sz w:val="24"/>
              </w:rPr>
              <w:t>1、 是否已制定或具有相应的项目管理制度；</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学校无专门的培训费管理制度</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continue"/>
            <w:vAlign w:val="center"/>
          </w:tcPr>
          <w:p>
            <w:pPr>
              <w:widowControl/>
              <w:spacing w:line="370" w:lineRule="exact"/>
              <w:jc w:val="left"/>
              <w:rPr>
                <w:rFonts w:hint="eastAsia" w:ascii="宋体" w:hAnsi="宋体" w:eastAsia="宋体" w:cs="宋体"/>
                <w:kern w:val="0"/>
                <w:sz w:val="24"/>
              </w:rPr>
            </w:pPr>
          </w:p>
        </w:tc>
        <w:tc>
          <w:tcPr>
            <w:tcW w:w="2295" w:type="dxa"/>
            <w:vMerge w:val="continue"/>
            <w:vAlign w:val="center"/>
          </w:tcPr>
          <w:p>
            <w:pPr>
              <w:widowControl/>
              <w:spacing w:line="370" w:lineRule="exact"/>
              <w:jc w:val="left"/>
              <w:rPr>
                <w:rFonts w:hint="eastAsia" w:ascii="宋体" w:hAnsi="宋体" w:eastAsia="宋体" w:cs="宋体"/>
                <w:kern w:val="0"/>
                <w:sz w:val="24"/>
              </w:rPr>
            </w:pPr>
          </w:p>
        </w:tc>
        <w:tc>
          <w:tcPr>
            <w:tcW w:w="3733" w:type="dxa"/>
            <w:vAlign w:val="center"/>
          </w:tcPr>
          <w:p>
            <w:pPr>
              <w:widowControl/>
              <w:spacing w:line="320" w:lineRule="exact"/>
              <w:rPr>
                <w:rFonts w:hint="eastAsia" w:ascii="宋体" w:hAnsi="宋体" w:eastAsia="宋体" w:cs="宋体"/>
                <w:kern w:val="0"/>
                <w:sz w:val="24"/>
              </w:rPr>
            </w:pPr>
            <w:r>
              <w:rPr>
                <w:rFonts w:hint="eastAsia" w:ascii="宋体" w:hAnsi="宋体" w:eastAsia="宋体" w:cs="宋体"/>
                <w:sz w:val="24"/>
              </w:rPr>
              <w:t>2、制度是否合法、合规、完整。</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restart"/>
            <w:vAlign w:val="center"/>
          </w:tcPr>
          <w:p>
            <w:pPr>
              <w:widowControl/>
              <w:spacing w:line="37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制度执行有效性</w:t>
            </w:r>
          </w:p>
          <w:p>
            <w:pPr>
              <w:widowControl/>
              <w:spacing w:line="37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（8分）</w:t>
            </w:r>
          </w:p>
        </w:tc>
        <w:tc>
          <w:tcPr>
            <w:tcW w:w="2295" w:type="dxa"/>
            <w:vMerge w:val="restart"/>
            <w:vAlign w:val="center"/>
          </w:tcPr>
          <w:p>
            <w:pPr>
              <w:widowControl/>
              <w:spacing w:line="370" w:lineRule="exact"/>
              <w:jc w:val="left"/>
              <w:rPr>
                <w:rFonts w:hint="eastAsia" w:ascii="宋体" w:hAnsi="宋体" w:eastAsia="宋体" w:cs="宋体"/>
                <w:kern w:val="0"/>
                <w:sz w:val="24"/>
                <w:szCs w:val="24"/>
              </w:rPr>
            </w:pPr>
            <w:r>
              <w:rPr>
                <w:rFonts w:hint="eastAsia" w:ascii="宋体" w:hAnsi="宋体" w:eastAsia="宋体" w:cs="宋体"/>
                <w:sz w:val="24"/>
                <w:szCs w:val="24"/>
              </w:rPr>
              <w:t>项目实施是否符合相关项目管理规定，有以反映和考核项目管理制度的有效执行情况。</w:t>
            </w:r>
          </w:p>
        </w:tc>
        <w:tc>
          <w:tcPr>
            <w:tcW w:w="3733" w:type="dxa"/>
            <w:vAlign w:val="center"/>
          </w:tcPr>
          <w:p>
            <w:pPr>
              <w:spacing w:line="320" w:lineRule="exact"/>
              <w:rPr>
                <w:rFonts w:hint="eastAsia" w:ascii="宋体" w:hAnsi="宋体" w:eastAsia="宋体" w:cs="宋体"/>
                <w:kern w:val="0"/>
                <w:sz w:val="24"/>
                <w:szCs w:val="24"/>
              </w:rPr>
            </w:pPr>
            <w:r>
              <w:rPr>
                <w:rFonts w:hint="eastAsia" w:ascii="宋体" w:hAnsi="宋体" w:eastAsia="宋体" w:cs="宋体"/>
                <w:sz w:val="24"/>
                <w:szCs w:val="24"/>
              </w:rPr>
              <w:t>1、是否遵守相关法律法规和项目管理规定；</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center"/>
            </w:pPr>
          </w:p>
        </w:tc>
        <w:tc>
          <w:tcPr>
            <w:tcW w:w="1376" w:type="dxa"/>
            <w:vMerge w:val="continue"/>
            <w:vAlign w:val="center"/>
          </w:tcPr>
          <w:p>
            <w:pPr>
              <w:widowControl/>
              <w:spacing w:line="360" w:lineRule="exact"/>
              <w:jc w:val="center"/>
            </w:pPr>
          </w:p>
        </w:tc>
        <w:tc>
          <w:tcPr>
            <w:tcW w:w="1219" w:type="dxa"/>
            <w:vMerge w:val="continue"/>
            <w:vAlign w:val="center"/>
          </w:tcPr>
          <w:p>
            <w:pPr>
              <w:widowControl/>
              <w:spacing w:line="360" w:lineRule="exact"/>
              <w:jc w:val="center"/>
              <w:rPr>
                <w:rFonts w:hint="eastAsia" w:ascii="宋体" w:hAnsi="宋体" w:eastAsia="宋体" w:cs="宋体"/>
                <w:sz w:val="24"/>
                <w:szCs w:val="24"/>
              </w:rPr>
            </w:pPr>
          </w:p>
        </w:tc>
        <w:tc>
          <w:tcPr>
            <w:tcW w:w="2295" w:type="dxa"/>
            <w:vMerge w:val="continue"/>
            <w:vAlign w:val="center"/>
          </w:tcPr>
          <w:p>
            <w:pPr>
              <w:widowControl/>
              <w:spacing w:line="360" w:lineRule="exact"/>
              <w:jc w:val="center"/>
              <w:rPr>
                <w:rFonts w:hint="eastAsia" w:ascii="宋体" w:hAnsi="宋体" w:eastAsia="宋体" w:cs="宋体"/>
                <w:sz w:val="24"/>
                <w:szCs w:val="24"/>
              </w:rPr>
            </w:pPr>
          </w:p>
        </w:tc>
        <w:tc>
          <w:tcPr>
            <w:tcW w:w="3733" w:type="dxa"/>
            <w:vAlign w:val="center"/>
          </w:tcPr>
          <w:p>
            <w:pPr>
              <w:widowControl/>
              <w:spacing w:line="320" w:lineRule="exact"/>
              <w:rPr>
                <w:rFonts w:hint="eastAsia" w:ascii="宋体" w:hAnsi="宋体" w:eastAsia="宋体" w:cs="宋体"/>
                <w:sz w:val="24"/>
                <w:szCs w:val="24"/>
              </w:rPr>
            </w:pPr>
            <w:r>
              <w:rPr>
                <w:rFonts w:hint="eastAsia" w:ascii="宋体" w:hAnsi="宋体" w:eastAsia="宋体" w:cs="宋体"/>
                <w:sz w:val="24"/>
                <w:szCs w:val="24"/>
              </w:rPr>
              <w:t>2、项目调整及支出调整手续是否完备；</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　</w:t>
            </w:r>
            <w:r>
              <w:rPr>
                <w:rFonts w:hint="eastAsia" w:ascii="宋体" w:hAnsi="宋体" w:eastAsia="宋体" w:cs="宋体"/>
                <w:kern w:val="0"/>
                <w:sz w:val="24"/>
                <w:szCs w:val="24"/>
              </w:rPr>
              <w:t>项目变更未按程序调整</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continue"/>
            <w:vAlign w:val="center"/>
          </w:tcPr>
          <w:p>
            <w:pPr>
              <w:widowControl/>
              <w:spacing w:line="370" w:lineRule="exact"/>
              <w:jc w:val="left"/>
              <w:rPr>
                <w:rFonts w:hint="eastAsia" w:ascii="宋体" w:hAnsi="宋体" w:eastAsia="宋体" w:cs="宋体"/>
                <w:kern w:val="0"/>
                <w:sz w:val="24"/>
                <w:szCs w:val="24"/>
              </w:rPr>
            </w:pPr>
          </w:p>
        </w:tc>
        <w:tc>
          <w:tcPr>
            <w:tcW w:w="2295" w:type="dxa"/>
            <w:vMerge w:val="continue"/>
            <w:vAlign w:val="center"/>
          </w:tcPr>
          <w:p>
            <w:pPr>
              <w:widowControl/>
              <w:spacing w:line="370" w:lineRule="exact"/>
              <w:jc w:val="left"/>
              <w:rPr>
                <w:rFonts w:hint="eastAsia" w:ascii="宋体" w:hAnsi="宋体" w:eastAsia="宋体" w:cs="宋体"/>
                <w:kern w:val="0"/>
                <w:sz w:val="24"/>
                <w:szCs w:val="24"/>
              </w:rPr>
            </w:pPr>
          </w:p>
        </w:tc>
        <w:tc>
          <w:tcPr>
            <w:tcW w:w="3733" w:type="dxa"/>
            <w:vAlign w:val="center"/>
          </w:tcPr>
          <w:p>
            <w:pPr>
              <w:widowControl/>
              <w:spacing w:line="320" w:lineRule="exact"/>
              <w:rPr>
                <w:rFonts w:hint="eastAsia" w:ascii="宋体" w:hAnsi="宋体" w:eastAsia="宋体" w:cs="宋体"/>
                <w:kern w:val="0"/>
                <w:sz w:val="24"/>
                <w:szCs w:val="24"/>
              </w:rPr>
            </w:pPr>
            <w:r>
              <w:rPr>
                <w:rFonts w:hint="eastAsia" w:ascii="宋体" w:hAnsi="宋体" w:eastAsia="宋体" w:cs="宋体"/>
                <w:sz w:val="24"/>
                <w:szCs w:val="24"/>
              </w:rPr>
              <w:t>3、项目合同书、验收报告、技术鉴定等资料是否齐全并及时归档；</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center"/>
            </w:pPr>
          </w:p>
        </w:tc>
        <w:tc>
          <w:tcPr>
            <w:tcW w:w="1376" w:type="dxa"/>
            <w:vMerge w:val="continue"/>
            <w:vAlign w:val="center"/>
          </w:tcPr>
          <w:p>
            <w:pPr>
              <w:widowControl/>
              <w:spacing w:line="360" w:lineRule="exact"/>
              <w:jc w:val="center"/>
            </w:pPr>
          </w:p>
        </w:tc>
        <w:tc>
          <w:tcPr>
            <w:tcW w:w="1219" w:type="dxa"/>
            <w:vMerge w:val="continue"/>
            <w:vAlign w:val="center"/>
          </w:tcPr>
          <w:p>
            <w:pPr>
              <w:widowControl/>
              <w:spacing w:line="360" w:lineRule="exact"/>
              <w:jc w:val="center"/>
              <w:rPr>
                <w:rFonts w:hint="eastAsia" w:ascii="宋体" w:hAnsi="宋体" w:eastAsia="宋体" w:cs="宋体"/>
                <w:sz w:val="24"/>
                <w:szCs w:val="24"/>
              </w:rPr>
            </w:pPr>
          </w:p>
        </w:tc>
        <w:tc>
          <w:tcPr>
            <w:tcW w:w="2295" w:type="dxa"/>
            <w:vMerge w:val="continue"/>
            <w:vAlign w:val="center"/>
          </w:tcPr>
          <w:p>
            <w:pPr>
              <w:widowControl/>
              <w:spacing w:line="360" w:lineRule="exact"/>
              <w:jc w:val="center"/>
              <w:rPr>
                <w:rFonts w:hint="eastAsia" w:ascii="宋体" w:hAnsi="宋体" w:eastAsia="宋体" w:cs="宋体"/>
                <w:sz w:val="24"/>
                <w:szCs w:val="24"/>
              </w:rPr>
            </w:pPr>
          </w:p>
        </w:tc>
        <w:tc>
          <w:tcPr>
            <w:tcW w:w="3733" w:type="dxa"/>
            <w:vAlign w:val="center"/>
          </w:tcPr>
          <w:p>
            <w:pPr>
              <w:spacing w:line="300" w:lineRule="exact"/>
              <w:rPr>
                <w:rFonts w:hint="eastAsia" w:ascii="宋体" w:hAnsi="宋体" w:eastAsia="宋体" w:cs="宋体"/>
                <w:sz w:val="24"/>
                <w:szCs w:val="24"/>
              </w:rPr>
            </w:pPr>
            <w:r>
              <w:rPr>
                <w:rFonts w:hint="eastAsia" w:ascii="宋体" w:hAnsi="宋体" w:eastAsia="宋体" w:cs="宋体"/>
                <w:sz w:val="24"/>
                <w:szCs w:val="24"/>
              </w:rPr>
              <w:t>4、项目实施的机构人员、场地设备、信息支撑等是否落实到位。，效益不明显</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2282" w:type="dxa"/>
            <w:vAlign w:val="center"/>
          </w:tcPr>
          <w:p>
            <w:pPr>
              <w:widowControl/>
              <w:spacing w:line="360" w:lineRule="exact"/>
              <w:jc w:val="center"/>
              <w:rPr>
                <w:rFonts w:hint="eastAsia" w:ascii="宋体" w:hAnsi="宋体" w:eastAsia="宋体" w:cs="宋体"/>
                <w:kern w:val="0"/>
                <w:sz w:val="24"/>
                <w:szCs w:val="24"/>
              </w:rPr>
            </w:pP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restart"/>
            <w:vAlign w:val="center"/>
          </w:tcPr>
          <w:p>
            <w:pPr>
              <w:widowControl/>
              <w:spacing w:line="37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项  目</w:t>
            </w:r>
          </w:p>
          <w:p>
            <w:pPr>
              <w:widowControl/>
              <w:spacing w:line="37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质  量</w:t>
            </w:r>
          </w:p>
          <w:p>
            <w:pPr>
              <w:widowControl/>
              <w:spacing w:line="37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（5分）</w:t>
            </w:r>
          </w:p>
        </w:tc>
        <w:tc>
          <w:tcPr>
            <w:tcW w:w="2295" w:type="dxa"/>
            <w:vMerge w:val="restart"/>
            <w:vAlign w:val="center"/>
          </w:tcPr>
          <w:p>
            <w:pPr>
              <w:widowControl/>
              <w:spacing w:line="37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项目单位是否为达到项目质量要求而采取了必需的措施。</w:t>
            </w:r>
          </w:p>
        </w:tc>
        <w:tc>
          <w:tcPr>
            <w:tcW w:w="3733" w:type="dxa"/>
            <w:vAlign w:val="center"/>
          </w:tcPr>
          <w:p>
            <w:pPr>
              <w:widowControl/>
              <w:spacing w:line="300" w:lineRule="exact"/>
              <w:rPr>
                <w:rFonts w:hint="eastAsia" w:ascii="宋体" w:hAnsi="宋体" w:eastAsia="宋体" w:cs="宋体"/>
                <w:kern w:val="0"/>
                <w:sz w:val="24"/>
                <w:szCs w:val="24"/>
              </w:rPr>
            </w:pPr>
            <w:r>
              <w:rPr>
                <w:rFonts w:hint="eastAsia" w:ascii="宋体" w:hAnsi="宋体" w:eastAsia="宋体" w:cs="宋体"/>
                <w:sz w:val="24"/>
                <w:szCs w:val="24"/>
              </w:rPr>
              <w:t>1. 是否已制定或具有相应的项目质量要求或标准；</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continue"/>
            <w:vAlign w:val="center"/>
          </w:tcPr>
          <w:p>
            <w:pPr>
              <w:widowControl/>
              <w:spacing w:line="370" w:lineRule="exact"/>
              <w:jc w:val="left"/>
              <w:rPr>
                <w:rFonts w:hint="eastAsia" w:ascii="宋体" w:hAnsi="宋体" w:eastAsia="宋体" w:cs="宋体"/>
                <w:kern w:val="0"/>
                <w:sz w:val="24"/>
                <w:szCs w:val="24"/>
              </w:rPr>
            </w:pPr>
          </w:p>
        </w:tc>
        <w:tc>
          <w:tcPr>
            <w:tcW w:w="2295" w:type="dxa"/>
            <w:vMerge w:val="continue"/>
            <w:vAlign w:val="center"/>
          </w:tcPr>
          <w:p>
            <w:pPr>
              <w:widowControl/>
              <w:spacing w:line="370" w:lineRule="exact"/>
              <w:jc w:val="left"/>
              <w:rPr>
                <w:rFonts w:hint="eastAsia" w:ascii="宋体" w:hAnsi="宋体" w:eastAsia="宋体" w:cs="宋体"/>
                <w:kern w:val="0"/>
                <w:sz w:val="24"/>
                <w:szCs w:val="24"/>
              </w:rPr>
            </w:pPr>
          </w:p>
        </w:tc>
        <w:tc>
          <w:tcPr>
            <w:tcW w:w="3733" w:type="dxa"/>
            <w:vAlign w:val="center"/>
          </w:tcPr>
          <w:p>
            <w:pPr>
              <w:widowControl/>
              <w:spacing w:line="300" w:lineRule="exact"/>
              <w:rPr>
                <w:rFonts w:hint="eastAsia" w:ascii="宋体" w:hAnsi="宋体" w:eastAsia="宋体" w:cs="宋体"/>
                <w:kern w:val="0"/>
                <w:sz w:val="24"/>
                <w:szCs w:val="24"/>
              </w:rPr>
            </w:pPr>
            <w:r>
              <w:rPr>
                <w:rFonts w:hint="eastAsia" w:ascii="宋体" w:hAnsi="宋体" w:eastAsia="宋体" w:cs="宋体"/>
                <w:sz w:val="24"/>
                <w:szCs w:val="24"/>
              </w:rPr>
              <w:t>2. 是否采取了相应的项目质量检查、验收等必需的控制措施或手段；</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70" w:lineRule="exact"/>
              <w:jc w:val="left"/>
              <w:rPr>
                <w:rFonts w:eastAsia="宋体"/>
                <w:kern w:val="0"/>
                <w:sz w:val="24"/>
              </w:rPr>
            </w:pPr>
          </w:p>
        </w:tc>
        <w:tc>
          <w:tcPr>
            <w:tcW w:w="1219" w:type="dxa"/>
            <w:vMerge w:val="continue"/>
            <w:vAlign w:val="center"/>
          </w:tcPr>
          <w:p>
            <w:pPr>
              <w:widowControl/>
              <w:spacing w:line="370" w:lineRule="exact"/>
              <w:jc w:val="left"/>
              <w:rPr>
                <w:rFonts w:hint="eastAsia" w:ascii="宋体" w:hAnsi="宋体" w:eastAsia="宋体" w:cs="宋体"/>
                <w:kern w:val="0"/>
                <w:sz w:val="24"/>
                <w:szCs w:val="24"/>
              </w:rPr>
            </w:pPr>
          </w:p>
        </w:tc>
        <w:tc>
          <w:tcPr>
            <w:tcW w:w="2295" w:type="dxa"/>
            <w:vMerge w:val="continue"/>
            <w:vAlign w:val="center"/>
          </w:tcPr>
          <w:p>
            <w:pPr>
              <w:widowControl/>
              <w:spacing w:line="370" w:lineRule="exact"/>
              <w:jc w:val="left"/>
              <w:rPr>
                <w:rFonts w:hint="eastAsia" w:ascii="宋体" w:hAnsi="宋体" w:eastAsia="宋体" w:cs="宋体"/>
                <w:kern w:val="0"/>
                <w:sz w:val="24"/>
                <w:szCs w:val="24"/>
              </w:rPr>
            </w:pPr>
          </w:p>
        </w:tc>
        <w:tc>
          <w:tcPr>
            <w:tcW w:w="3733" w:type="dxa"/>
            <w:vAlign w:val="center"/>
          </w:tcPr>
          <w:p>
            <w:pPr>
              <w:widowControl/>
              <w:spacing w:line="300" w:lineRule="exact"/>
              <w:rPr>
                <w:rFonts w:hint="eastAsia" w:ascii="宋体" w:hAnsi="宋体" w:eastAsia="宋体" w:cs="宋体"/>
                <w:kern w:val="0"/>
                <w:sz w:val="24"/>
                <w:szCs w:val="24"/>
              </w:rPr>
            </w:pPr>
            <w:r>
              <w:rPr>
                <w:rFonts w:hint="eastAsia" w:ascii="宋体" w:hAnsi="宋体" w:eastAsia="宋体" w:cs="宋体"/>
                <w:sz w:val="24"/>
                <w:szCs w:val="24"/>
              </w:rPr>
              <w:t>3项目质量是否符合要求。</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center"/>
              <w:rPr>
                <w:rFonts w:eastAsia="宋体"/>
                <w:kern w:val="0"/>
                <w:sz w:val="24"/>
              </w:rPr>
            </w:pPr>
          </w:p>
        </w:tc>
        <w:tc>
          <w:tcPr>
            <w:tcW w:w="1376" w:type="dxa"/>
            <w:vMerge w:val="restart"/>
            <w:vAlign w:val="center"/>
          </w:tcPr>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财务</w:t>
            </w:r>
          </w:p>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管理 </w:t>
            </w:r>
          </w:p>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（15分）</w:t>
            </w:r>
          </w:p>
        </w:tc>
        <w:tc>
          <w:tcPr>
            <w:tcW w:w="1219" w:type="dxa"/>
            <w:vMerge w:val="restart"/>
            <w:vAlign w:val="center"/>
          </w:tcPr>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财  务</w:t>
            </w:r>
          </w:p>
          <w:p>
            <w:pPr>
              <w:widowControl/>
              <w:spacing w:line="36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制  度</w:t>
            </w:r>
          </w:p>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（2分）</w:t>
            </w:r>
          </w:p>
        </w:tc>
        <w:tc>
          <w:tcPr>
            <w:tcW w:w="2295" w:type="dxa"/>
            <w:vMerge w:val="restart"/>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财务制度是否健全。</w:t>
            </w:r>
            <w:r>
              <w:rPr>
                <w:rFonts w:hint="eastAsia" w:ascii="宋体" w:hAnsi="宋体" w:eastAsia="宋体" w:cs="宋体"/>
                <w:sz w:val="24"/>
                <w:szCs w:val="24"/>
              </w:rPr>
              <w:t>反映项目财务管理制度对项目顺利实施的保障情况。</w:t>
            </w:r>
          </w:p>
        </w:tc>
        <w:tc>
          <w:tcPr>
            <w:tcW w:w="3733" w:type="dxa"/>
            <w:vAlign w:val="center"/>
          </w:tcPr>
          <w:p>
            <w:pPr>
              <w:widowControl/>
              <w:spacing w:line="300" w:lineRule="exact"/>
              <w:jc w:val="left"/>
              <w:rPr>
                <w:rFonts w:hint="eastAsia" w:ascii="宋体" w:hAnsi="宋体" w:eastAsia="宋体" w:cs="宋体"/>
                <w:kern w:val="0"/>
                <w:sz w:val="24"/>
                <w:szCs w:val="24"/>
              </w:rPr>
            </w:pPr>
            <w:r>
              <w:rPr>
                <w:rFonts w:hint="eastAsia" w:ascii="宋体" w:hAnsi="宋体" w:eastAsia="宋体" w:cs="宋体"/>
                <w:sz w:val="24"/>
                <w:szCs w:val="24"/>
              </w:rPr>
              <w:t>1、是否已制定或具有相应的项目资金管理办法和其他相关的财务管理制度；</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19" w:type="dxa"/>
            <w:vMerge w:val="continue"/>
            <w:vAlign w:val="center"/>
          </w:tcPr>
          <w:p>
            <w:pPr>
              <w:widowControl/>
              <w:spacing w:line="360" w:lineRule="exact"/>
              <w:jc w:val="left"/>
              <w:rPr>
                <w:rFonts w:eastAsia="宋体"/>
                <w:kern w:val="0"/>
                <w:sz w:val="24"/>
              </w:rPr>
            </w:pPr>
          </w:p>
        </w:tc>
        <w:tc>
          <w:tcPr>
            <w:tcW w:w="1376" w:type="dxa"/>
            <w:vMerge w:val="continue"/>
            <w:vAlign w:val="center"/>
          </w:tcPr>
          <w:p>
            <w:pPr>
              <w:widowControl/>
              <w:spacing w:line="360" w:lineRule="exact"/>
              <w:jc w:val="left"/>
              <w:rPr>
                <w:rFonts w:hint="eastAsia" w:ascii="宋体" w:hAnsi="宋体" w:eastAsia="宋体" w:cs="宋体"/>
                <w:kern w:val="0"/>
                <w:sz w:val="24"/>
                <w:szCs w:val="24"/>
              </w:rPr>
            </w:pPr>
          </w:p>
        </w:tc>
        <w:tc>
          <w:tcPr>
            <w:tcW w:w="1219" w:type="dxa"/>
            <w:vMerge w:val="continue"/>
            <w:vAlign w:val="center"/>
          </w:tcPr>
          <w:p>
            <w:pPr>
              <w:widowControl/>
              <w:spacing w:line="360" w:lineRule="exact"/>
              <w:jc w:val="left"/>
              <w:rPr>
                <w:rFonts w:hint="eastAsia" w:ascii="宋体" w:hAnsi="宋体" w:eastAsia="宋体" w:cs="宋体"/>
                <w:kern w:val="0"/>
                <w:sz w:val="24"/>
                <w:szCs w:val="24"/>
              </w:rPr>
            </w:pPr>
          </w:p>
        </w:tc>
        <w:tc>
          <w:tcPr>
            <w:tcW w:w="2295" w:type="dxa"/>
            <w:vMerge w:val="continue"/>
            <w:vAlign w:val="center"/>
          </w:tcPr>
          <w:p>
            <w:pPr>
              <w:widowControl/>
              <w:spacing w:line="360" w:lineRule="exact"/>
              <w:jc w:val="left"/>
              <w:rPr>
                <w:rFonts w:hint="eastAsia" w:ascii="宋体" w:hAnsi="宋体" w:eastAsia="宋体" w:cs="宋体"/>
                <w:kern w:val="0"/>
                <w:sz w:val="24"/>
                <w:szCs w:val="24"/>
              </w:rPr>
            </w:pPr>
          </w:p>
        </w:tc>
        <w:tc>
          <w:tcPr>
            <w:tcW w:w="3733"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sz w:val="24"/>
                <w:szCs w:val="24"/>
              </w:rPr>
              <w:t>2、制度是否符合国家财经法规和财务管理制度以及有关专项资金管理办法的规定。</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restart"/>
            <w:vAlign w:val="center"/>
          </w:tcPr>
          <w:p>
            <w:pPr>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过程</w:t>
            </w:r>
          </w:p>
          <w:p>
            <w:pPr>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t>（30分）</w:t>
            </w:r>
          </w:p>
        </w:tc>
        <w:tc>
          <w:tcPr>
            <w:tcW w:w="1376" w:type="dxa"/>
            <w:vMerge w:val="restart"/>
            <w:vAlign w:val="center"/>
          </w:tcPr>
          <w:p>
            <w:pPr>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财务</w:t>
            </w:r>
          </w:p>
          <w:p>
            <w:pPr>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管理 </w:t>
            </w:r>
          </w:p>
          <w:p>
            <w:pPr>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t>（15分）</w:t>
            </w:r>
          </w:p>
        </w:tc>
        <w:tc>
          <w:tcPr>
            <w:tcW w:w="1219" w:type="dxa"/>
            <w:vMerge w:val="restart"/>
            <w:vAlign w:val="center"/>
          </w:tcPr>
          <w:p>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资金</w:t>
            </w:r>
          </w:p>
          <w:p>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管理</w:t>
            </w:r>
          </w:p>
          <w:p>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（10分）</w:t>
            </w:r>
          </w:p>
        </w:tc>
        <w:tc>
          <w:tcPr>
            <w:tcW w:w="2295" w:type="dxa"/>
            <w:vMerge w:val="restart"/>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项目资金使用和管理是否符合相关的财务管理制度规定，用以反映和考核项目资金的规范运行情况。</w:t>
            </w: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1、是否按规定进行了财政投资评审；</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282" w:type="dxa"/>
            <w:vAlign w:val="center"/>
          </w:tcPr>
          <w:p>
            <w:pPr>
              <w:widowControl/>
              <w:spacing w:line="360" w:lineRule="exact"/>
              <w:rPr>
                <w:rFonts w:hint="eastAsia" w:ascii="宋体" w:hAnsi="宋体" w:eastAsia="宋体" w:cs="宋体"/>
                <w:sz w:val="24"/>
                <w:szCs w:val="24"/>
              </w:rPr>
            </w:pP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spacing w:line="400" w:lineRule="exact"/>
              <w:jc w:val="center"/>
              <w:rPr>
                <w:rFonts w:hint="eastAsia" w:ascii="宋体" w:hAnsi="宋体" w:eastAsia="宋体" w:cs="宋体"/>
                <w:sz w:val="24"/>
                <w:szCs w:val="24"/>
              </w:rPr>
            </w:pPr>
          </w:p>
        </w:tc>
        <w:tc>
          <w:tcPr>
            <w:tcW w:w="1376" w:type="dxa"/>
            <w:vMerge w:val="continue"/>
            <w:vAlign w:val="center"/>
          </w:tcPr>
          <w:p>
            <w:pPr>
              <w:spacing w:line="400" w:lineRule="exact"/>
              <w:jc w:val="center"/>
              <w:rPr>
                <w:rFonts w:hint="eastAsia" w:ascii="宋体" w:hAnsi="宋体" w:eastAsia="宋体" w:cs="宋体"/>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2、财务管理制度是否得到有效执行；</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282" w:type="dxa"/>
            <w:vAlign w:val="center"/>
          </w:tcPr>
          <w:p>
            <w:pPr>
              <w:widowControl/>
              <w:spacing w:line="360" w:lineRule="exact"/>
              <w:rPr>
                <w:rFonts w:hint="eastAsia" w:ascii="宋体" w:hAnsi="宋体" w:eastAsia="宋体" w:cs="宋体"/>
                <w:sz w:val="24"/>
                <w:szCs w:val="24"/>
              </w:rPr>
            </w:pPr>
            <w:r>
              <w:rPr>
                <w:rFonts w:hint="eastAsia" w:ascii="宋体" w:hAnsi="宋体" w:eastAsia="宋体" w:cs="宋体"/>
                <w:sz w:val="24"/>
                <w:szCs w:val="24"/>
                <w:lang w:eastAsia="zh-CN"/>
              </w:rPr>
              <w:t>　</w:t>
            </w:r>
            <w:r>
              <w:rPr>
                <w:rFonts w:hint="eastAsia" w:ascii="宋体" w:hAnsi="宋体" w:eastAsia="宋体" w:cs="宋体"/>
                <w:sz w:val="24"/>
                <w:szCs w:val="24"/>
              </w:rPr>
              <w:t>部分原始凭证不合规</w:t>
            </w: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jc w:val="center"/>
              <w:rPr>
                <w:rFonts w:hint="eastAsia" w:ascii="宋体" w:hAnsi="宋体" w:eastAsia="宋体" w:cs="宋体"/>
                <w:kern w:val="0"/>
                <w:sz w:val="24"/>
                <w:szCs w:val="24"/>
              </w:rPr>
            </w:pPr>
          </w:p>
        </w:tc>
        <w:tc>
          <w:tcPr>
            <w:tcW w:w="1376" w:type="dxa"/>
            <w:vMerge w:val="continue"/>
            <w:vAlign w:val="center"/>
          </w:tcPr>
          <w:p>
            <w:pPr>
              <w:widowControl/>
              <w:spacing w:line="400" w:lineRule="exact"/>
              <w:jc w:val="center"/>
              <w:rPr>
                <w:rFonts w:hint="eastAsia" w:ascii="宋体" w:hAnsi="宋体" w:eastAsia="宋体" w:cs="宋体"/>
                <w:kern w:val="0"/>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3、资金的拨付是否有完整的审批程序和手续；</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282" w:type="dxa"/>
            <w:vAlign w:val="center"/>
          </w:tcPr>
          <w:p>
            <w:pPr>
              <w:widowControl/>
              <w:spacing w:line="360" w:lineRule="exact"/>
              <w:rPr>
                <w:rFonts w:hint="eastAsia" w:ascii="宋体" w:hAnsi="宋体" w:eastAsia="宋体" w:cs="宋体"/>
                <w:sz w:val="24"/>
                <w:szCs w:val="24"/>
              </w:rPr>
            </w:pP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rPr>
                <w:rFonts w:hint="eastAsia" w:ascii="宋体" w:hAnsi="宋体" w:eastAsia="宋体" w:cs="宋体"/>
                <w:sz w:val="24"/>
                <w:szCs w:val="24"/>
              </w:rPr>
            </w:pPr>
          </w:p>
        </w:tc>
        <w:tc>
          <w:tcPr>
            <w:tcW w:w="1376" w:type="dxa"/>
            <w:vMerge w:val="continue"/>
            <w:vAlign w:val="center"/>
          </w:tcPr>
          <w:p>
            <w:pPr>
              <w:widowControl/>
              <w:spacing w:line="400" w:lineRule="exact"/>
              <w:rPr>
                <w:rFonts w:hint="eastAsia" w:ascii="宋体" w:hAnsi="宋体" w:eastAsia="宋体" w:cs="宋体"/>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4、资金的支付是否符合支付管理的流程和要求；</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282" w:type="dxa"/>
            <w:vAlign w:val="center"/>
          </w:tcPr>
          <w:p>
            <w:pPr>
              <w:widowControl/>
              <w:spacing w:line="360" w:lineRule="exact"/>
              <w:rPr>
                <w:rFonts w:hint="eastAsia" w:ascii="宋体" w:hAnsi="宋体" w:eastAsia="宋体" w:cs="宋体"/>
                <w:sz w:val="24"/>
                <w:szCs w:val="24"/>
              </w:rPr>
            </w:pP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rPr>
                <w:rFonts w:hint="eastAsia" w:ascii="宋体" w:hAnsi="宋体" w:eastAsia="宋体" w:cs="宋体"/>
                <w:sz w:val="24"/>
                <w:szCs w:val="24"/>
              </w:rPr>
            </w:pPr>
          </w:p>
        </w:tc>
        <w:tc>
          <w:tcPr>
            <w:tcW w:w="1376" w:type="dxa"/>
            <w:vMerge w:val="continue"/>
            <w:vAlign w:val="center"/>
          </w:tcPr>
          <w:p>
            <w:pPr>
              <w:widowControl/>
              <w:spacing w:line="400" w:lineRule="exact"/>
              <w:rPr>
                <w:rFonts w:hint="eastAsia" w:ascii="宋体" w:hAnsi="宋体" w:eastAsia="宋体" w:cs="宋体"/>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5、项目的重大开支是否经过评估认证；</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282" w:type="dxa"/>
            <w:vAlign w:val="center"/>
          </w:tcPr>
          <w:p>
            <w:pPr>
              <w:widowControl/>
              <w:spacing w:line="360" w:lineRule="exact"/>
              <w:rPr>
                <w:rFonts w:hint="eastAsia" w:ascii="宋体" w:hAnsi="宋体" w:eastAsia="宋体" w:cs="宋体"/>
                <w:sz w:val="24"/>
                <w:szCs w:val="24"/>
              </w:rPr>
            </w:pP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rPr>
                <w:rFonts w:hint="eastAsia" w:ascii="宋体" w:hAnsi="宋体" w:eastAsia="宋体" w:cs="宋体"/>
                <w:sz w:val="24"/>
                <w:szCs w:val="24"/>
              </w:rPr>
            </w:pPr>
          </w:p>
        </w:tc>
        <w:tc>
          <w:tcPr>
            <w:tcW w:w="1376" w:type="dxa"/>
            <w:vMerge w:val="continue"/>
            <w:vAlign w:val="center"/>
          </w:tcPr>
          <w:p>
            <w:pPr>
              <w:widowControl/>
              <w:spacing w:line="400" w:lineRule="exact"/>
              <w:rPr>
                <w:rFonts w:hint="eastAsia" w:ascii="宋体" w:hAnsi="宋体" w:eastAsia="宋体" w:cs="宋体"/>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6、是否符合项目预算批复或合同规定的用途；</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282" w:type="dxa"/>
            <w:vAlign w:val="center"/>
          </w:tcPr>
          <w:p>
            <w:pPr>
              <w:widowControl/>
              <w:spacing w:line="360" w:lineRule="exact"/>
              <w:rPr>
                <w:rFonts w:hint="eastAsia" w:ascii="宋体" w:hAnsi="宋体" w:eastAsia="宋体" w:cs="宋体"/>
                <w:sz w:val="24"/>
                <w:szCs w:val="24"/>
              </w:rPr>
            </w:pPr>
            <w:r>
              <w:rPr>
                <w:rFonts w:hint="eastAsia" w:ascii="宋体" w:hAnsi="宋体" w:eastAsia="宋体" w:cs="宋体"/>
                <w:sz w:val="24"/>
                <w:szCs w:val="24"/>
                <w:lang w:eastAsia="zh-CN"/>
              </w:rPr>
              <w:t>　</w:t>
            </w:r>
            <w:r>
              <w:rPr>
                <w:rFonts w:hint="eastAsia" w:ascii="宋体" w:hAnsi="宋体" w:eastAsia="宋体" w:cs="宋体"/>
                <w:sz w:val="24"/>
                <w:szCs w:val="24"/>
              </w:rPr>
              <w:t>违规列支疫情防控工作经费</w:t>
            </w: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rPr>
                <w:rFonts w:hint="eastAsia" w:ascii="宋体" w:hAnsi="宋体" w:eastAsia="宋体" w:cs="宋体"/>
                <w:sz w:val="24"/>
                <w:szCs w:val="24"/>
              </w:rPr>
            </w:pPr>
          </w:p>
        </w:tc>
        <w:tc>
          <w:tcPr>
            <w:tcW w:w="1376" w:type="dxa"/>
            <w:vMerge w:val="continue"/>
            <w:vAlign w:val="center"/>
          </w:tcPr>
          <w:p>
            <w:pPr>
              <w:widowControl/>
              <w:spacing w:line="400" w:lineRule="exact"/>
              <w:rPr>
                <w:rFonts w:hint="eastAsia" w:ascii="宋体" w:hAnsi="宋体" w:eastAsia="宋体" w:cs="宋体"/>
                <w:sz w:val="24"/>
                <w:szCs w:val="24"/>
              </w:rPr>
            </w:pPr>
          </w:p>
        </w:tc>
        <w:tc>
          <w:tcPr>
            <w:tcW w:w="1219" w:type="dxa"/>
            <w:vMerge w:val="continue"/>
            <w:vAlign w:val="center"/>
          </w:tcPr>
          <w:p>
            <w:pPr>
              <w:widowControl/>
              <w:spacing w:line="400" w:lineRule="exact"/>
              <w:rPr>
                <w:rFonts w:hint="eastAsia" w:ascii="宋体" w:hAnsi="宋体" w:eastAsia="宋体" w:cs="宋体"/>
                <w:sz w:val="24"/>
                <w:szCs w:val="24"/>
              </w:rPr>
            </w:pPr>
          </w:p>
        </w:tc>
        <w:tc>
          <w:tcPr>
            <w:tcW w:w="2295" w:type="dxa"/>
            <w:vMerge w:val="continue"/>
            <w:vAlign w:val="center"/>
          </w:tcPr>
          <w:p>
            <w:pPr>
              <w:widowControl/>
              <w:spacing w:line="400" w:lineRule="exact"/>
              <w:rPr>
                <w:rFonts w:hint="eastAsia" w:ascii="宋体" w:hAnsi="宋体" w:eastAsia="宋体" w:cs="宋体"/>
                <w:sz w:val="24"/>
                <w:szCs w:val="24"/>
              </w:rPr>
            </w:pPr>
          </w:p>
        </w:tc>
        <w:tc>
          <w:tcPr>
            <w:tcW w:w="3733" w:type="dxa"/>
            <w:vAlign w:val="center"/>
          </w:tcPr>
          <w:p>
            <w:pPr>
              <w:widowControl/>
              <w:spacing w:line="400" w:lineRule="exact"/>
              <w:rPr>
                <w:rFonts w:hint="eastAsia" w:ascii="宋体" w:hAnsi="宋体" w:eastAsia="宋体" w:cs="宋体"/>
                <w:sz w:val="24"/>
                <w:szCs w:val="24"/>
              </w:rPr>
            </w:pPr>
            <w:r>
              <w:rPr>
                <w:rFonts w:hint="eastAsia" w:ascii="宋体" w:hAnsi="宋体" w:eastAsia="宋体" w:cs="宋体"/>
                <w:sz w:val="24"/>
                <w:szCs w:val="24"/>
              </w:rPr>
              <w:t>7、是否存在截留、挤占、挪用、虚列支出等情况。</w:t>
            </w:r>
          </w:p>
        </w:tc>
        <w:tc>
          <w:tcPr>
            <w:tcW w:w="861"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282" w:type="dxa"/>
            <w:vAlign w:val="center"/>
          </w:tcPr>
          <w:p>
            <w:pPr>
              <w:widowControl/>
              <w:spacing w:line="360" w:lineRule="exact"/>
              <w:rPr>
                <w:rFonts w:hint="eastAsia" w:ascii="宋体" w:hAnsi="宋体" w:eastAsia="宋体" w:cs="宋体"/>
                <w:sz w:val="24"/>
                <w:szCs w:val="24"/>
              </w:rPr>
            </w:pPr>
            <w:r>
              <w:rPr>
                <w:rFonts w:hint="eastAsia" w:ascii="宋体" w:hAnsi="宋体" w:eastAsia="宋体" w:cs="宋体"/>
                <w:sz w:val="24"/>
                <w:szCs w:val="24"/>
                <w:lang w:eastAsia="zh-CN"/>
              </w:rPr>
              <w:t>　</w:t>
            </w:r>
            <w:r>
              <w:rPr>
                <w:rFonts w:hint="eastAsia" w:ascii="宋体" w:hAnsi="宋体" w:eastAsia="宋体" w:cs="宋体"/>
                <w:sz w:val="24"/>
                <w:szCs w:val="24"/>
              </w:rPr>
              <w:t>部分专项资金被行政运行经费挤占</w:t>
            </w:r>
          </w:p>
        </w:tc>
        <w:tc>
          <w:tcPr>
            <w:tcW w:w="1005" w:type="dxa"/>
            <w:vAlign w:val="center"/>
          </w:tcPr>
          <w:p>
            <w:pPr>
              <w:widowControl/>
              <w:spacing w:line="36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jc w:val="left"/>
              <w:rPr>
                <w:rFonts w:hint="eastAsia" w:ascii="宋体" w:hAnsi="宋体" w:eastAsia="宋体" w:cs="宋体"/>
                <w:kern w:val="0"/>
                <w:sz w:val="24"/>
                <w:szCs w:val="24"/>
              </w:rPr>
            </w:pPr>
          </w:p>
        </w:tc>
        <w:tc>
          <w:tcPr>
            <w:tcW w:w="1376" w:type="dxa"/>
            <w:vMerge w:val="continue"/>
            <w:vAlign w:val="center"/>
          </w:tcPr>
          <w:p>
            <w:pPr>
              <w:widowControl/>
              <w:spacing w:line="400" w:lineRule="exact"/>
              <w:jc w:val="left"/>
              <w:rPr>
                <w:rFonts w:hint="eastAsia" w:ascii="宋体" w:hAnsi="宋体" w:eastAsia="宋体" w:cs="宋体"/>
                <w:kern w:val="0"/>
                <w:sz w:val="24"/>
                <w:szCs w:val="24"/>
              </w:rPr>
            </w:pPr>
          </w:p>
        </w:tc>
        <w:tc>
          <w:tcPr>
            <w:tcW w:w="1219" w:type="dxa"/>
            <w:vMerge w:val="restart"/>
            <w:vAlign w:val="center"/>
          </w:tcPr>
          <w:p>
            <w:pPr>
              <w:widowControl/>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财务</w:t>
            </w:r>
          </w:p>
          <w:p>
            <w:pPr>
              <w:widowControl/>
              <w:spacing w:line="4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监控</w:t>
            </w:r>
          </w:p>
          <w:p>
            <w:pPr>
              <w:widowControl/>
              <w:spacing w:line="40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（3分）</w:t>
            </w:r>
          </w:p>
        </w:tc>
        <w:tc>
          <w:tcPr>
            <w:tcW w:w="2295" w:type="dxa"/>
            <w:vMerge w:val="restart"/>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是否为保障资金的安全、规范运行而采取了必要的监控措施。</w:t>
            </w:r>
          </w:p>
        </w:tc>
        <w:tc>
          <w:tcPr>
            <w:tcW w:w="3733" w:type="dxa"/>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1、是否已制定或具有相应的监控机制；</w:t>
            </w:r>
            <w:r>
              <w:rPr>
                <w:rFonts w:hint="eastAsia" w:ascii="宋体" w:hAnsi="宋体" w:eastAsia="宋体" w:cs="宋体"/>
                <w:sz w:val="24"/>
                <w:szCs w:val="24"/>
              </w:rPr>
              <w:t>相关岗位设置是否符合内控要求；</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jc w:val="left"/>
              <w:rPr>
                <w:rFonts w:hint="eastAsia" w:ascii="宋体" w:hAnsi="宋体" w:eastAsia="宋体" w:cs="宋体"/>
                <w:kern w:val="0"/>
                <w:sz w:val="24"/>
                <w:szCs w:val="24"/>
              </w:rPr>
            </w:pPr>
          </w:p>
        </w:tc>
        <w:tc>
          <w:tcPr>
            <w:tcW w:w="1376" w:type="dxa"/>
            <w:vMerge w:val="continue"/>
            <w:vAlign w:val="center"/>
          </w:tcPr>
          <w:p>
            <w:pPr>
              <w:widowControl/>
              <w:spacing w:line="400" w:lineRule="exact"/>
              <w:jc w:val="left"/>
              <w:rPr>
                <w:rFonts w:hint="eastAsia" w:ascii="宋体" w:hAnsi="宋体" w:eastAsia="宋体" w:cs="宋体"/>
                <w:kern w:val="0"/>
                <w:sz w:val="24"/>
                <w:szCs w:val="24"/>
              </w:rPr>
            </w:pPr>
          </w:p>
        </w:tc>
        <w:tc>
          <w:tcPr>
            <w:tcW w:w="1219" w:type="dxa"/>
            <w:vMerge w:val="continue"/>
            <w:vAlign w:val="center"/>
          </w:tcPr>
          <w:p>
            <w:pPr>
              <w:widowControl/>
              <w:spacing w:line="400" w:lineRule="exact"/>
              <w:jc w:val="left"/>
              <w:rPr>
                <w:rFonts w:hint="eastAsia" w:ascii="宋体" w:hAnsi="宋体" w:eastAsia="宋体" w:cs="宋体"/>
                <w:kern w:val="0"/>
                <w:sz w:val="24"/>
                <w:szCs w:val="24"/>
              </w:rPr>
            </w:pPr>
          </w:p>
        </w:tc>
        <w:tc>
          <w:tcPr>
            <w:tcW w:w="2295" w:type="dxa"/>
            <w:vMerge w:val="continue"/>
            <w:vAlign w:val="center"/>
          </w:tcPr>
          <w:p>
            <w:pPr>
              <w:widowControl/>
              <w:spacing w:line="400" w:lineRule="exact"/>
              <w:jc w:val="left"/>
              <w:rPr>
                <w:rFonts w:hint="eastAsia" w:ascii="宋体" w:hAnsi="宋体" w:eastAsia="宋体" w:cs="宋体"/>
                <w:kern w:val="0"/>
                <w:sz w:val="24"/>
                <w:szCs w:val="24"/>
              </w:rPr>
            </w:pPr>
          </w:p>
        </w:tc>
        <w:tc>
          <w:tcPr>
            <w:tcW w:w="3733" w:type="dxa"/>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2、是否采取了相应的财务检查等必要的监控措施或手段。</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　</w:t>
            </w:r>
            <w:r>
              <w:rPr>
                <w:rFonts w:hint="eastAsia" w:ascii="宋体" w:hAnsi="宋体" w:eastAsia="宋体" w:cs="宋体"/>
                <w:kern w:val="0"/>
                <w:sz w:val="24"/>
                <w:szCs w:val="24"/>
              </w:rPr>
              <w:t>未开展财务检查工作</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19" w:type="dxa"/>
            <w:vMerge w:val="continue"/>
            <w:vAlign w:val="center"/>
          </w:tcPr>
          <w:p>
            <w:pPr>
              <w:widowControl/>
              <w:spacing w:line="400" w:lineRule="exact"/>
              <w:jc w:val="left"/>
              <w:rPr>
                <w:rFonts w:hint="eastAsia" w:ascii="宋体" w:hAnsi="宋体" w:eastAsia="宋体" w:cs="宋体"/>
                <w:kern w:val="0"/>
                <w:sz w:val="24"/>
                <w:szCs w:val="24"/>
              </w:rPr>
            </w:pPr>
          </w:p>
        </w:tc>
        <w:tc>
          <w:tcPr>
            <w:tcW w:w="1376" w:type="dxa"/>
            <w:vMerge w:val="continue"/>
            <w:vAlign w:val="center"/>
          </w:tcPr>
          <w:p>
            <w:pPr>
              <w:widowControl/>
              <w:spacing w:line="400" w:lineRule="exact"/>
              <w:jc w:val="left"/>
              <w:rPr>
                <w:rFonts w:hint="eastAsia" w:ascii="宋体" w:hAnsi="宋体" w:eastAsia="宋体" w:cs="宋体"/>
                <w:kern w:val="0"/>
                <w:sz w:val="24"/>
                <w:szCs w:val="24"/>
              </w:rPr>
            </w:pPr>
          </w:p>
        </w:tc>
        <w:tc>
          <w:tcPr>
            <w:tcW w:w="1219" w:type="dxa"/>
            <w:vMerge w:val="continue"/>
            <w:vAlign w:val="center"/>
          </w:tcPr>
          <w:p>
            <w:pPr>
              <w:widowControl/>
              <w:spacing w:line="400" w:lineRule="exact"/>
              <w:jc w:val="left"/>
              <w:rPr>
                <w:rFonts w:hint="eastAsia" w:ascii="宋体" w:hAnsi="宋体" w:eastAsia="宋体" w:cs="宋体"/>
                <w:kern w:val="0"/>
                <w:sz w:val="24"/>
                <w:szCs w:val="24"/>
              </w:rPr>
            </w:pPr>
          </w:p>
        </w:tc>
        <w:tc>
          <w:tcPr>
            <w:tcW w:w="2295" w:type="dxa"/>
            <w:vMerge w:val="continue"/>
            <w:vAlign w:val="center"/>
          </w:tcPr>
          <w:p>
            <w:pPr>
              <w:widowControl/>
              <w:spacing w:line="400" w:lineRule="exact"/>
              <w:jc w:val="left"/>
              <w:rPr>
                <w:rFonts w:hint="eastAsia" w:ascii="宋体" w:hAnsi="宋体" w:eastAsia="宋体" w:cs="宋体"/>
                <w:kern w:val="0"/>
                <w:sz w:val="24"/>
                <w:szCs w:val="24"/>
              </w:rPr>
            </w:pPr>
          </w:p>
        </w:tc>
        <w:tc>
          <w:tcPr>
            <w:tcW w:w="3733" w:type="dxa"/>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3、成本是否得到有效的控制，是否发生不必要的支出。</w:t>
            </w:r>
          </w:p>
        </w:tc>
        <w:tc>
          <w:tcPr>
            <w:tcW w:w="861"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119" w:type="dxa"/>
            <w:vMerge w:val="restart"/>
            <w:vAlign w:val="center"/>
          </w:tcPr>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产出</w:t>
            </w:r>
          </w:p>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1376" w:type="dxa"/>
            <w:vMerge w:val="restart"/>
            <w:vAlign w:val="center"/>
          </w:tcPr>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项目</w:t>
            </w:r>
          </w:p>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 xml:space="preserve">产出 </w:t>
            </w:r>
          </w:p>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1219" w:type="dxa"/>
            <w:vAlign w:val="center"/>
          </w:tcPr>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计划</w:t>
            </w:r>
          </w:p>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完成率</w:t>
            </w:r>
          </w:p>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（3分）</w:t>
            </w:r>
          </w:p>
        </w:tc>
        <w:tc>
          <w:tcPr>
            <w:tcW w:w="2295" w:type="dxa"/>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项目实施的实际产出数与计划产出数的比率，反映项目产出数量目标的实现程度</w:t>
            </w:r>
          </w:p>
        </w:tc>
        <w:tc>
          <w:tcPr>
            <w:tcW w:w="3733" w:type="dxa"/>
            <w:vAlign w:val="center"/>
          </w:tcPr>
          <w:p>
            <w:pPr>
              <w:widowControl/>
              <w:spacing w:line="400" w:lineRule="exact"/>
              <w:rPr>
                <w:rFonts w:hint="eastAsia" w:ascii="宋体" w:hAnsi="宋体" w:eastAsia="宋体" w:cs="宋体"/>
                <w:kern w:val="0"/>
                <w:sz w:val="24"/>
                <w:szCs w:val="24"/>
              </w:rPr>
            </w:pPr>
            <w:r>
              <w:rPr>
                <w:rFonts w:hint="eastAsia" w:ascii="宋体" w:hAnsi="宋体" w:eastAsia="宋体" w:cs="宋体"/>
                <w:kern w:val="0"/>
                <w:sz w:val="24"/>
                <w:szCs w:val="24"/>
              </w:rPr>
              <w:t>调训计划完成率=（本年度或项目期内实际产出的产品或提供的服务数量/计划产出数量）×100%。按比例计分。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　</w:t>
            </w:r>
            <w:r>
              <w:rPr>
                <w:rFonts w:hint="eastAsia" w:ascii="宋体" w:hAnsi="宋体" w:eastAsia="宋体" w:cs="宋体"/>
                <w:kern w:val="0"/>
                <w:sz w:val="24"/>
                <w:szCs w:val="24"/>
              </w:rPr>
              <w:t>部分调训计划未完成，未按程序调整调训计划</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20" w:hRule="atLeast"/>
          <w:jc w:val="center"/>
        </w:trPr>
        <w:tc>
          <w:tcPr>
            <w:tcW w:w="1119" w:type="dxa"/>
            <w:vMerge w:val="continue"/>
            <w:vAlign w:val="center"/>
          </w:tcPr>
          <w:p>
            <w:pPr>
              <w:widowControl/>
              <w:spacing w:line="400" w:lineRule="exact"/>
              <w:jc w:val="center"/>
              <w:rPr>
                <w:rFonts w:hint="eastAsia" w:ascii="宋体" w:hAnsi="宋体" w:eastAsia="宋体" w:cs="宋体"/>
                <w:kern w:val="0"/>
                <w:sz w:val="24"/>
              </w:rPr>
            </w:pPr>
          </w:p>
        </w:tc>
        <w:tc>
          <w:tcPr>
            <w:tcW w:w="1376" w:type="dxa"/>
            <w:vMerge w:val="continue"/>
            <w:vAlign w:val="center"/>
          </w:tcPr>
          <w:p>
            <w:pPr>
              <w:widowControl/>
              <w:spacing w:line="400" w:lineRule="exact"/>
              <w:jc w:val="center"/>
              <w:rPr>
                <w:rFonts w:hint="eastAsia" w:ascii="宋体" w:hAnsi="宋体" w:eastAsia="宋体" w:cs="宋体"/>
                <w:kern w:val="0"/>
                <w:sz w:val="24"/>
              </w:rPr>
            </w:pPr>
          </w:p>
        </w:tc>
        <w:tc>
          <w:tcPr>
            <w:tcW w:w="1219" w:type="dxa"/>
            <w:vAlign w:val="center"/>
          </w:tcPr>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完成</w:t>
            </w:r>
          </w:p>
          <w:p>
            <w:pPr>
              <w:widowControl/>
              <w:spacing w:line="400" w:lineRule="exact"/>
              <w:jc w:val="center"/>
              <w:rPr>
                <w:rFonts w:hint="eastAsia" w:ascii="宋体" w:hAnsi="宋体" w:eastAsia="宋体" w:cs="宋体"/>
                <w:kern w:val="0"/>
                <w:sz w:val="24"/>
                <w:lang w:eastAsia="zh-CN"/>
              </w:rPr>
            </w:pPr>
            <w:r>
              <w:rPr>
                <w:rFonts w:hint="eastAsia" w:ascii="宋体" w:hAnsi="宋体" w:eastAsia="宋体" w:cs="宋体"/>
                <w:kern w:val="0"/>
                <w:sz w:val="24"/>
              </w:rPr>
              <w:t>及时率</w:t>
            </w:r>
          </w:p>
          <w:p>
            <w:pPr>
              <w:widowControl/>
              <w:spacing w:line="400" w:lineRule="exact"/>
              <w:jc w:val="center"/>
              <w:rPr>
                <w:rFonts w:hint="eastAsia" w:ascii="宋体" w:hAnsi="宋体" w:eastAsia="宋体" w:cs="宋体"/>
                <w:kern w:val="0"/>
                <w:sz w:val="24"/>
              </w:rPr>
            </w:pPr>
            <w:r>
              <w:rPr>
                <w:rFonts w:hint="eastAsia" w:ascii="宋体" w:hAnsi="宋体" w:eastAsia="宋体" w:cs="宋体"/>
                <w:kern w:val="0"/>
                <w:sz w:val="24"/>
              </w:rPr>
              <w:t>（2分）</w:t>
            </w:r>
          </w:p>
        </w:tc>
        <w:tc>
          <w:tcPr>
            <w:tcW w:w="2295" w:type="dxa"/>
            <w:vAlign w:val="center"/>
          </w:tcPr>
          <w:p>
            <w:pPr>
              <w:widowControl/>
              <w:spacing w:line="40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项目实际提前完成时间与计划完成时间的比率，反映项目产出时效目标的实现程度。</w:t>
            </w:r>
          </w:p>
        </w:tc>
        <w:tc>
          <w:tcPr>
            <w:tcW w:w="3733" w:type="dxa"/>
            <w:vAlign w:val="center"/>
          </w:tcPr>
          <w:p>
            <w:pPr>
              <w:widowControl/>
              <w:spacing w:line="400" w:lineRule="exact"/>
              <w:rPr>
                <w:rFonts w:hint="eastAsia" w:ascii="宋体" w:hAnsi="宋体" w:eastAsia="宋体" w:cs="宋体"/>
                <w:kern w:val="0"/>
                <w:sz w:val="24"/>
                <w:szCs w:val="24"/>
              </w:rPr>
            </w:pPr>
            <w:r>
              <w:rPr>
                <w:rFonts w:hint="eastAsia" w:ascii="宋体" w:hAnsi="宋体" w:eastAsia="宋体" w:cs="宋体"/>
                <w:kern w:val="0"/>
                <w:sz w:val="24"/>
                <w:szCs w:val="24"/>
              </w:rPr>
              <w:t>完成及时率=[（计划完成时间—实际完成时间）/计划完成时间]×100%。及时完成的或未及时完成但不影响项目总进度的计满分，影响总进度的按比例计分。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部分调训计划未完成，未按程序调整调训计划</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0" w:hRule="atLeast"/>
          <w:jc w:val="center"/>
        </w:trPr>
        <w:tc>
          <w:tcPr>
            <w:tcW w:w="1119" w:type="dxa"/>
            <w:vMerge w:val="restart"/>
            <w:vAlign w:val="center"/>
          </w:tcPr>
          <w:p>
            <w:pPr>
              <w:widowControl/>
              <w:spacing w:line="360" w:lineRule="exact"/>
              <w:jc w:val="center"/>
              <w:rPr>
                <w:rFonts w:hint="eastAsia" w:ascii="宋体" w:hAnsi="宋体" w:eastAsia="宋体" w:cs="宋体"/>
                <w:kern w:val="0"/>
                <w:sz w:val="24"/>
                <w:lang w:eastAsia="zh-CN"/>
              </w:rPr>
            </w:pPr>
            <w:r>
              <w:rPr>
                <w:rFonts w:hint="eastAsia" w:ascii="宋体" w:hAnsi="宋体" w:eastAsia="宋体" w:cs="宋体"/>
                <w:kern w:val="0"/>
                <w:sz w:val="24"/>
              </w:rPr>
              <w:t>产出</w:t>
            </w:r>
          </w:p>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1376" w:type="dxa"/>
            <w:vMerge w:val="restart"/>
            <w:vAlign w:val="center"/>
          </w:tcPr>
          <w:p>
            <w:pPr>
              <w:widowControl/>
              <w:spacing w:line="360" w:lineRule="exact"/>
              <w:jc w:val="center"/>
              <w:rPr>
                <w:rFonts w:hint="eastAsia" w:ascii="宋体" w:hAnsi="宋体" w:eastAsia="宋体" w:cs="宋体"/>
                <w:kern w:val="0"/>
                <w:sz w:val="24"/>
                <w:lang w:eastAsia="zh-CN"/>
              </w:rPr>
            </w:pPr>
            <w:r>
              <w:rPr>
                <w:rFonts w:hint="eastAsia" w:ascii="宋体" w:hAnsi="宋体" w:eastAsia="宋体" w:cs="宋体"/>
                <w:kern w:val="0"/>
                <w:sz w:val="24"/>
              </w:rPr>
              <w:t>项目</w:t>
            </w:r>
          </w:p>
          <w:p>
            <w:pPr>
              <w:widowControl/>
              <w:spacing w:line="360" w:lineRule="exact"/>
              <w:jc w:val="center"/>
              <w:rPr>
                <w:rFonts w:hint="eastAsia" w:ascii="宋体" w:hAnsi="宋体" w:eastAsia="宋体" w:cs="宋体"/>
                <w:kern w:val="0"/>
                <w:sz w:val="24"/>
                <w:lang w:eastAsia="zh-CN"/>
              </w:rPr>
            </w:pPr>
            <w:r>
              <w:rPr>
                <w:rFonts w:hint="eastAsia" w:ascii="宋体" w:hAnsi="宋体" w:eastAsia="宋体" w:cs="宋体"/>
                <w:kern w:val="0"/>
                <w:sz w:val="24"/>
              </w:rPr>
              <w:t xml:space="preserve">产出 </w:t>
            </w:r>
          </w:p>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质量</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达标率</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（3分）</w:t>
            </w:r>
          </w:p>
        </w:tc>
        <w:tc>
          <w:tcPr>
            <w:tcW w:w="2295"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项目完成的质量达标产出数与实际产出数的比率，反映项目产出质量目标的实现程度。</w:t>
            </w:r>
          </w:p>
        </w:tc>
        <w:tc>
          <w:tcPr>
            <w:tcW w:w="3733" w:type="dxa"/>
            <w:vAlign w:val="center"/>
          </w:tcPr>
          <w:p>
            <w:pPr>
              <w:widowControl/>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质量达标率=（本年度或项目期内实际达到既定质量标准的产品或服务数量</w:t>
            </w:r>
            <w:r>
              <w:rPr>
                <w:rFonts w:hint="eastAsia" w:ascii="宋体" w:hAnsi="宋体" w:eastAsia="宋体" w:cs="宋体"/>
                <w:b/>
                <w:bCs/>
                <w:kern w:val="0"/>
                <w:sz w:val="24"/>
                <w:szCs w:val="24"/>
              </w:rPr>
              <w:t>/</w:t>
            </w:r>
            <w:r>
              <w:rPr>
                <w:rFonts w:hint="eastAsia" w:ascii="宋体" w:hAnsi="宋体" w:eastAsia="宋体" w:cs="宋体"/>
                <w:kern w:val="0"/>
                <w:sz w:val="24"/>
                <w:szCs w:val="24"/>
              </w:rPr>
              <w:t>实际产出数）×100%。按比例计分。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1119" w:type="dxa"/>
            <w:vMerge w:val="continue"/>
            <w:vAlign w:val="center"/>
          </w:tcPr>
          <w:p>
            <w:pPr>
              <w:widowControl/>
              <w:spacing w:line="320" w:lineRule="exact"/>
              <w:jc w:val="center"/>
              <w:rPr>
                <w:rFonts w:hint="eastAsia" w:ascii="宋体" w:hAnsi="宋体" w:eastAsia="宋体" w:cs="宋体"/>
                <w:kern w:val="0"/>
                <w:sz w:val="24"/>
              </w:rPr>
            </w:pPr>
          </w:p>
        </w:tc>
        <w:tc>
          <w:tcPr>
            <w:tcW w:w="1376" w:type="dxa"/>
            <w:vMerge w:val="continue"/>
            <w:vAlign w:val="center"/>
          </w:tcPr>
          <w:p>
            <w:pPr>
              <w:widowControl/>
              <w:spacing w:line="320" w:lineRule="exact"/>
              <w:jc w:val="left"/>
              <w:rPr>
                <w:rFonts w:hint="eastAsia" w:ascii="宋体" w:hAnsi="宋体" w:eastAsia="宋体" w:cs="宋体"/>
                <w:kern w:val="0"/>
                <w:sz w:val="24"/>
              </w:rPr>
            </w:pP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成本</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节约率</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（2分）</w:t>
            </w:r>
          </w:p>
        </w:tc>
        <w:tc>
          <w:tcPr>
            <w:tcW w:w="2295"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完成项目计划工作目标的实际节约成本与计划成本的比率，反映项目的成本节约程度。</w:t>
            </w:r>
          </w:p>
        </w:tc>
        <w:tc>
          <w:tcPr>
            <w:tcW w:w="3733" w:type="dxa"/>
            <w:vAlign w:val="center"/>
          </w:tcPr>
          <w:p>
            <w:pPr>
              <w:widowControl/>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成本节约率=[（计划成本—实际成本）</w:t>
            </w:r>
            <w:r>
              <w:rPr>
                <w:rFonts w:hint="eastAsia" w:ascii="宋体" w:hAnsi="宋体" w:eastAsia="宋体" w:cs="宋体"/>
                <w:b/>
                <w:bCs/>
                <w:kern w:val="0"/>
                <w:sz w:val="24"/>
                <w:szCs w:val="24"/>
              </w:rPr>
              <w:t>/</w:t>
            </w:r>
            <w:r>
              <w:rPr>
                <w:rFonts w:hint="eastAsia" w:ascii="宋体" w:hAnsi="宋体" w:eastAsia="宋体" w:cs="宋体"/>
                <w:kern w:val="0"/>
                <w:sz w:val="24"/>
                <w:szCs w:val="24"/>
              </w:rPr>
              <w:t>计划成本]×100%。降低成本的计满分，超过成本的根据实际情况扣1—5分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9" w:type="dxa"/>
            <w:vMerge w:val="restart"/>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效果</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（40分）</w:t>
            </w:r>
          </w:p>
        </w:tc>
        <w:tc>
          <w:tcPr>
            <w:tcW w:w="1376" w:type="dxa"/>
            <w:vMerge w:val="restart"/>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项目</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效益</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（40分）</w:t>
            </w: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经济</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效益</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（5分）</w:t>
            </w:r>
          </w:p>
        </w:tc>
        <w:tc>
          <w:tcPr>
            <w:tcW w:w="2295"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项目实施对经济发展所带来的直接或间接影响情况。</w:t>
            </w:r>
          </w:p>
        </w:tc>
        <w:tc>
          <w:tcPr>
            <w:tcW w:w="3733"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项目产生了直接经济收入的计全分，给当地经济社会带来影响的计全分。没有收入或没有影响的酌情扣分。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　</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9" w:type="dxa"/>
            <w:vMerge w:val="continue"/>
            <w:vAlign w:val="center"/>
          </w:tcPr>
          <w:p>
            <w:pPr>
              <w:widowControl/>
              <w:spacing w:line="320" w:lineRule="exact"/>
              <w:jc w:val="left"/>
              <w:rPr>
                <w:rFonts w:eastAsia="宋体"/>
                <w:kern w:val="0"/>
                <w:sz w:val="24"/>
              </w:rPr>
            </w:pPr>
          </w:p>
        </w:tc>
        <w:tc>
          <w:tcPr>
            <w:tcW w:w="1376" w:type="dxa"/>
            <w:vMerge w:val="continue"/>
            <w:vAlign w:val="center"/>
          </w:tcPr>
          <w:p>
            <w:pPr>
              <w:widowControl/>
              <w:spacing w:line="320" w:lineRule="exact"/>
              <w:jc w:val="left"/>
              <w:rPr>
                <w:rFonts w:eastAsia="宋体"/>
                <w:kern w:val="0"/>
                <w:sz w:val="24"/>
              </w:rPr>
            </w:pP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社会</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效益</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2295" w:type="dxa"/>
            <w:vAlign w:val="center"/>
          </w:tcPr>
          <w:p>
            <w:pPr>
              <w:widowControl/>
              <w:spacing w:line="320" w:lineRule="exact"/>
              <w:jc w:val="left"/>
              <w:rPr>
                <w:rFonts w:hint="eastAsia" w:ascii="宋体" w:hAnsi="宋体" w:eastAsia="宋体" w:cs="宋体"/>
                <w:kern w:val="0"/>
                <w:sz w:val="24"/>
                <w:szCs w:val="24"/>
              </w:rPr>
            </w:pPr>
            <w:r>
              <w:rPr>
                <w:rFonts w:hint="eastAsia" w:ascii="宋体" w:hAnsi="宋体" w:eastAsia="宋体" w:cs="宋体"/>
                <w:kern w:val="0"/>
                <w:sz w:val="24"/>
                <w:szCs w:val="24"/>
              </w:rPr>
              <w:t>项目实施对社会发展所带来的直接或间接影响情况。</w:t>
            </w:r>
          </w:p>
        </w:tc>
        <w:tc>
          <w:tcPr>
            <w:tcW w:w="3733" w:type="dxa"/>
            <w:vAlign w:val="center"/>
          </w:tcPr>
          <w:p>
            <w:pPr>
              <w:widowControl/>
              <w:spacing w:line="320" w:lineRule="exact"/>
              <w:jc w:val="left"/>
              <w:rPr>
                <w:rFonts w:hint="eastAsia" w:ascii="宋体" w:hAnsi="宋体" w:eastAsia="宋体" w:cs="宋体"/>
                <w:sz w:val="24"/>
                <w:szCs w:val="24"/>
              </w:rPr>
            </w:pPr>
            <w:r>
              <w:rPr>
                <w:rFonts w:hint="eastAsia" w:ascii="宋体" w:hAnsi="宋体" w:eastAsia="宋体" w:cs="宋体"/>
                <w:sz w:val="24"/>
                <w:szCs w:val="24"/>
              </w:rPr>
              <w:t>培训人员考核合规率达到绩效目标数100%的计满分，90%-100%的扣1分，80%-90%的扣2分，60%-80%的扣3分，60%以下扣4分。</w:t>
            </w:r>
          </w:p>
          <w:p>
            <w:pPr>
              <w:pStyle w:val="2"/>
              <w:rPr>
                <w:rFonts w:hint="eastAsia" w:ascii="宋体" w:hAnsi="宋体" w:eastAsia="宋体" w:cs="宋体"/>
                <w:sz w:val="24"/>
                <w:szCs w:val="24"/>
              </w:rPr>
            </w:pPr>
            <w:r>
              <w:rPr>
                <w:rFonts w:hint="eastAsia" w:ascii="宋体" w:hAnsi="宋体" w:eastAsia="宋体" w:cs="宋体"/>
                <w:kern w:val="0"/>
                <w:sz w:val="24"/>
                <w:szCs w:val="24"/>
              </w:rPr>
              <w:t>教学测评率</w:t>
            </w:r>
            <w:r>
              <w:rPr>
                <w:rFonts w:hint="eastAsia" w:ascii="宋体" w:hAnsi="宋体" w:eastAsia="宋体" w:cs="宋体"/>
                <w:sz w:val="24"/>
                <w:szCs w:val="24"/>
              </w:rPr>
              <w:t>达到绩效目标数100%的计满分，90%-100%的扣1分，80%-90%的扣2分，60%-80%的扣3分，60%以下扣4分。</w:t>
            </w:r>
          </w:p>
        </w:tc>
        <w:tc>
          <w:tcPr>
            <w:tcW w:w="861" w:type="dxa"/>
            <w:vAlign w:val="center"/>
          </w:tcPr>
          <w:p>
            <w:pPr>
              <w:widowControl/>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2282" w:type="dxa"/>
            <w:vAlign w:val="center"/>
          </w:tcPr>
          <w:p>
            <w:pPr>
              <w:widowControl/>
              <w:spacing w:line="360" w:lineRule="exact"/>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　</w:t>
            </w:r>
            <w:r>
              <w:rPr>
                <w:rFonts w:hint="eastAsia" w:ascii="宋体" w:hAnsi="宋体" w:eastAsia="宋体" w:cs="宋体"/>
                <w:kern w:val="0"/>
                <w:sz w:val="24"/>
                <w:szCs w:val="24"/>
              </w:rPr>
              <w:t>教学测评率96%，扣1分</w:t>
            </w:r>
          </w:p>
        </w:tc>
        <w:tc>
          <w:tcPr>
            <w:tcW w:w="1005" w:type="dxa"/>
            <w:vAlign w:val="center"/>
          </w:tcPr>
          <w:p>
            <w:pPr>
              <w:widowControl/>
              <w:spacing w:line="36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119" w:type="dxa"/>
            <w:vMerge w:val="continue"/>
            <w:vAlign w:val="center"/>
          </w:tcPr>
          <w:p>
            <w:pPr>
              <w:widowControl/>
              <w:spacing w:line="320" w:lineRule="exact"/>
              <w:jc w:val="left"/>
              <w:rPr>
                <w:rFonts w:eastAsia="宋体"/>
                <w:kern w:val="0"/>
                <w:sz w:val="24"/>
              </w:rPr>
            </w:pPr>
          </w:p>
        </w:tc>
        <w:tc>
          <w:tcPr>
            <w:tcW w:w="1376" w:type="dxa"/>
            <w:vMerge w:val="continue"/>
            <w:vAlign w:val="center"/>
          </w:tcPr>
          <w:p>
            <w:pPr>
              <w:widowControl/>
              <w:spacing w:line="320" w:lineRule="exact"/>
              <w:jc w:val="left"/>
              <w:rPr>
                <w:rFonts w:eastAsia="宋体"/>
                <w:kern w:val="0"/>
                <w:sz w:val="24"/>
              </w:rPr>
            </w:pP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生态</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效益</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（5分）</w:t>
            </w:r>
          </w:p>
        </w:tc>
        <w:tc>
          <w:tcPr>
            <w:tcW w:w="2295" w:type="dxa"/>
            <w:vAlign w:val="center"/>
          </w:tcPr>
          <w:p>
            <w:pPr>
              <w:widowControl/>
              <w:spacing w:line="320" w:lineRule="exact"/>
              <w:jc w:val="left"/>
              <w:rPr>
                <w:rFonts w:hint="eastAsia" w:ascii="宋体" w:hAnsi="宋体" w:eastAsia="宋体" w:cs="宋体"/>
                <w:kern w:val="0"/>
                <w:sz w:val="24"/>
              </w:rPr>
            </w:pPr>
            <w:r>
              <w:rPr>
                <w:rFonts w:hint="eastAsia" w:ascii="宋体" w:hAnsi="宋体" w:eastAsia="宋体" w:cs="宋体"/>
                <w:kern w:val="0"/>
                <w:sz w:val="24"/>
              </w:rPr>
              <w:t>项目实施对生态环境所带来的直接或间接影响情况。</w:t>
            </w:r>
          </w:p>
        </w:tc>
        <w:tc>
          <w:tcPr>
            <w:tcW w:w="3733" w:type="dxa"/>
            <w:vAlign w:val="center"/>
          </w:tcPr>
          <w:p>
            <w:pPr>
              <w:widowControl/>
              <w:spacing w:line="320" w:lineRule="exact"/>
              <w:jc w:val="left"/>
              <w:rPr>
                <w:rFonts w:hint="eastAsia" w:ascii="宋体" w:hAnsi="宋体" w:eastAsia="宋体" w:cs="宋体"/>
                <w:kern w:val="0"/>
                <w:sz w:val="24"/>
              </w:rPr>
            </w:pPr>
            <w:r>
              <w:rPr>
                <w:rFonts w:hint="eastAsia" w:ascii="宋体" w:hAnsi="宋体" w:eastAsia="宋体" w:cs="宋体"/>
                <w:kern w:val="0"/>
                <w:sz w:val="24"/>
              </w:rPr>
              <w:t>有关于教学质量、教学环境等投诉的扣1-5分</w:t>
            </w:r>
          </w:p>
        </w:tc>
        <w:tc>
          <w:tcPr>
            <w:tcW w:w="861" w:type="dxa"/>
            <w:vAlign w:val="center"/>
          </w:tcPr>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5</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9" w:type="dxa"/>
            <w:vMerge w:val="continue"/>
            <w:vAlign w:val="center"/>
          </w:tcPr>
          <w:p>
            <w:pPr>
              <w:widowControl/>
              <w:spacing w:line="320" w:lineRule="exact"/>
              <w:jc w:val="left"/>
              <w:rPr>
                <w:rFonts w:eastAsia="宋体"/>
                <w:kern w:val="0"/>
                <w:sz w:val="24"/>
              </w:rPr>
            </w:pPr>
          </w:p>
        </w:tc>
        <w:tc>
          <w:tcPr>
            <w:tcW w:w="1376" w:type="dxa"/>
            <w:vMerge w:val="continue"/>
            <w:vAlign w:val="center"/>
          </w:tcPr>
          <w:p>
            <w:pPr>
              <w:widowControl/>
              <w:spacing w:line="320" w:lineRule="exact"/>
              <w:jc w:val="left"/>
              <w:rPr>
                <w:rFonts w:eastAsia="宋体"/>
                <w:kern w:val="0"/>
                <w:sz w:val="24"/>
              </w:rPr>
            </w:pPr>
          </w:p>
        </w:tc>
        <w:tc>
          <w:tcPr>
            <w:tcW w:w="1219" w:type="dxa"/>
            <w:vAlign w:val="center"/>
          </w:tcPr>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可持续</w:t>
            </w:r>
          </w:p>
          <w:p>
            <w:pPr>
              <w:widowControl/>
              <w:spacing w:line="320" w:lineRule="exact"/>
              <w:jc w:val="center"/>
              <w:rPr>
                <w:rFonts w:hint="eastAsia" w:ascii="宋体" w:hAnsi="宋体" w:eastAsia="宋体" w:cs="宋体"/>
                <w:kern w:val="0"/>
                <w:sz w:val="24"/>
                <w:lang w:eastAsia="zh-CN"/>
              </w:rPr>
            </w:pPr>
            <w:r>
              <w:rPr>
                <w:rFonts w:hint="eastAsia" w:ascii="宋体" w:hAnsi="宋体" w:eastAsia="宋体" w:cs="宋体"/>
                <w:kern w:val="0"/>
                <w:sz w:val="24"/>
              </w:rPr>
              <w:t>影响</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2295" w:type="dxa"/>
            <w:vAlign w:val="center"/>
          </w:tcPr>
          <w:p>
            <w:pPr>
              <w:widowControl/>
              <w:spacing w:line="320" w:lineRule="exact"/>
              <w:jc w:val="left"/>
              <w:rPr>
                <w:rFonts w:hint="eastAsia" w:ascii="宋体" w:hAnsi="宋体" w:eastAsia="宋体" w:cs="宋体"/>
                <w:kern w:val="0"/>
                <w:sz w:val="24"/>
              </w:rPr>
            </w:pPr>
            <w:r>
              <w:rPr>
                <w:rFonts w:hint="eastAsia" w:ascii="宋体" w:hAnsi="宋体" w:eastAsia="宋体" w:cs="宋体"/>
                <w:kern w:val="0"/>
                <w:sz w:val="24"/>
              </w:rPr>
              <w:t>项目后续运行及成效发挥的可持续影响情况。</w:t>
            </w:r>
          </w:p>
        </w:tc>
        <w:tc>
          <w:tcPr>
            <w:tcW w:w="3733" w:type="dxa"/>
            <w:vAlign w:val="center"/>
          </w:tcPr>
          <w:p>
            <w:pPr>
              <w:widowControl/>
              <w:spacing w:line="320" w:lineRule="exact"/>
              <w:jc w:val="left"/>
              <w:rPr>
                <w:rFonts w:hint="eastAsia" w:ascii="宋体" w:hAnsi="宋体" w:eastAsia="宋体" w:cs="宋体"/>
                <w:kern w:val="0"/>
                <w:sz w:val="24"/>
              </w:rPr>
            </w:pPr>
            <w:r>
              <w:rPr>
                <w:rFonts w:hint="eastAsia" w:ascii="宋体" w:hAnsi="宋体" w:eastAsia="宋体" w:cs="宋体"/>
                <w:kern w:val="0"/>
                <w:sz w:val="24"/>
              </w:rPr>
              <w:t>学员培训后所学内容发挥作用不明显的扣1-10分。</w:t>
            </w:r>
          </w:p>
        </w:tc>
        <w:tc>
          <w:tcPr>
            <w:tcW w:w="861" w:type="dxa"/>
            <w:vAlign w:val="center"/>
          </w:tcPr>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10</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9" w:type="dxa"/>
            <w:vMerge w:val="continue"/>
            <w:vAlign w:val="center"/>
          </w:tcPr>
          <w:p>
            <w:pPr>
              <w:widowControl/>
              <w:spacing w:line="320" w:lineRule="exact"/>
              <w:jc w:val="left"/>
              <w:rPr>
                <w:rFonts w:eastAsia="宋体"/>
                <w:kern w:val="0"/>
                <w:sz w:val="24"/>
              </w:rPr>
            </w:pPr>
          </w:p>
        </w:tc>
        <w:tc>
          <w:tcPr>
            <w:tcW w:w="1376" w:type="dxa"/>
            <w:vMerge w:val="continue"/>
            <w:vAlign w:val="center"/>
          </w:tcPr>
          <w:p>
            <w:pPr>
              <w:widowControl/>
              <w:spacing w:line="320" w:lineRule="exact"/>
              <w:jc w:val="left"/>
              <w:rPr>
                <w:rFonts w:eastAsia="宋体"/>
                <w:kern w:val="0"/>
                <w:sz w:val="24"/>
              </w:rPr>
            </w:pPr>
          </w:p>
        </w:tc>
        <w:tc>
          <w:tcPr>
            <w:tcW w:w="1219" w:type="dxa"/>
            <w:vAlign w:val="center"/>
          </w:tcPr>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社会公众或服务对象意度</w:t>
            </w:r>
          </w:p>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（10分）</w:t>
            </w:r>
          </w:p>
        </w:tc>
        <w:tc>
          <w:tcPr>
            <w:tcW w:w="2295" w:type="dxa"/>
            <w:vAlign w:val="center"/>
          </w:tcPr>
          <w:p>
            <w:pPr>
              <w:widowControl/>
              <w:spacing w:line="320" w:lineRule="exact"/>
              <w:jc w:val="left"/>
              <w:rPr>
                <w:rFonts w:hint="eastAsia" w:ascii="宋体" w:hAnsi="宋体" w:eastAsia="宋体" w:cs="宋体"/>
                <w:kern w:val="0"/>
                <w:sz w:val="24"/>
              </w:rPr>
            </w:pPr>
            <w:r>
              <w:rPr>
                <w:rFonts w:hint="eastAsia" w:ascii="宋体" w:hAnsi="宋体" w:eastAsia="宋体" w:cs="宋体"/>
                <w:kern w:val="0"/>
                <w:sz w:val="24"/>
              </w:rPr>
              <w:t>社会公众或服务对象对项目实施效果的满意程度。</w:t>
            </w:r>
          </w:p>
        </w:tc>
        <w:tc>
          <w:tcPr>
            <w:tcW w:w="3733" w:type="dxa"/>
            <w:vAlign w:val="center"/>
          </w:tcPr>
          <w:p>
            <w:pPr>
              <w:widowControl/>
              <w:spacing w:line="320" w:lineRule="exact"/>
              <w:rPr>
                <w:rFonts w:hint="eastAsia" w:ascii="宋体" w:hAnsi="宋体" w:eastAsia="宋体" w:cs="宋体"/>
                <w:kern w:val="0"/>
                <w:sz w:val="24"/>
              </w:rPr>
            </w:pPr>
            <w:r>
              <w:rPr>
                <w:rFonts w:hint="eastAsia" w:ascii="宋体" w:hAnsi="宋体" w:eastAsia="宋体" w:cs="宋体"/>
                <w:kern w:val="0"/>
                <w:sz w:val="24"/>
              </w:rPr>
              <w:t>该项目实施而受到影响的部门、群体或个人对项目的实施过程、结果是否满意。95%以上计满分，85%以上计3分，70%以上计2分，60%以上计1分，60%以下不计分。</w:t>
            </w:r>
          </w:p>
        </w:tc>
        <w:tc>
          <w:tcPr>
            <w:tcW w:w="861" w:type="dxa"/>
            <w:vAlign w:val="center"/>
          </w:tcPr>
          <w:p>
            <w:pPr>
              <w:widowControl/>
              <w:spacing w:line="320" w:lineRule="exact"/>
              <w:jc w:val="center"/>
              <w:rPr>
                <w:rFonts w:hint="eastAsia" w:ascii="宋体" w:hAnsi="宋体" w:eastAsia="宋体" w:cs="宋体"/>
                <w:kern w:val="0"/>
                <w:sz w:val="24"/>
              </w:rPr>
            </w:pPr>
            <w:r>
              <w:rPr>
                <w:rFonts w:hint="eastAsia" w:ascii="宋体" w:hAnsi="宋体" w:eastAsia="宋体" w:cs="宋体"/>
                <w:kern w:val="0"/>
                <w:sz w:val="24"/>
              </w:rPr>
              <w:t>10</w:t>
            </w:r>
          </w:p>
        </w:tc>
        <w:tc>
          <w:tcPr>
            <w:tcW w:w="2282" w:type="dxa"/>
            <w:vAlign w:val="center"/>
          </w:tcPr>
          <w:p>
            <w:pPr>
              <w:widowControl/>
              <w:spacing w:line="360" w:lineRule="exact"/>
              <w:jc w:val="left"/>
              <w:rPr>
                <w:rFonts w:hint="eastAsia" w:ascii="宋体" w:hAnsi="宋体" w:eastAsia="宋体" w:cs="宋体"/>
                <w:kern w:val="0"/>
                <w:sz w:val="24"/>
              </w:rPr>
            </w:pPr>
            <w:r>
              <w:rPr>
                <w:rFonts w:hint="eastAsia" w:ascii="宋体" w:hAnsi="宋体" w:eastAsia="宋体" w:cs="宋体"/>
                <w:kern w:val="0"/>
                <w:sz w:val="24"/>
              </w:rPr>
              <w:t>　</w:t>
            </w: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42" w:type="dxa"/>
            <w:gridSpan w:val="5"/>
            <w:vAlign w:val="center"/>
          </w:tcPr>
          <w:p>
            <w:pPr>
              <w:widowControl/>
              <w:spacing w:line="320" w:lineRule="exact"/>
              <w:jc w:val="center"/>
              <w:rPr>
                <w:rFonts w:eastAsia="宋体"/>
                <w:b/>
                <w:bCs/>
                <w:kern w:val="0"/>
                <w:sz w:val="24"/>
              </w:rPr>
            </w:pPr>
            <w:r>
              <w:rPr>
                <w:rFonts w:eastAsia="宋体"/>
                <w:b/>
                <w:bCs/>
                <w:kern w:val="0"/>
                <w:sz w:val="24"/>
              </w:rPr>
              <w:t>总   分</w:t>
            </w:r>
          </w:p>
        </w:tc>
        <w:tc>
          <w:tcPr>
            <w:tcW w:w="861"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100</w:t>
            </w:r>
          </w:p>
        </w:tc>
        <w:tc>
          <w:tcPr>
            <w:tcW w:w="2282" w:type="dxa"/>
            <w:vAlign w:val="center"/>
          </w:tcPr>
          <w:p>
            <w:pPr>
              <w:widowControl/>
              <w:spacing w:line="360" w:lineRule="exact"/>
              <w:jc w:val="center"/>
              <w:rPr>
                <w:rFonts w:hint="eastAsia" w:ascii="宋体" w:hAnsi="宋体" w:eastAsia="宋体" w:cs="宋体"/>
                <w:kern w:val="0"/>
                <w:sz w:val="24"/>
              </w:rPr>
            </w:pPr>
          </w:p>
        </w:tc>
        <w:tc>
          <w:tcPr>
            <w:tcW w:w="1005" w:type="dxa"/>
            <w:vAlign w:val="center"/>
          </w:tcPr>
          <w:p>
            <w:pPr>
              <w:widowControl/>
              <w:spacing w:line="360" w:lineRule="exact"/>
              <w:jc w:val="center"/>
              <w:rPr>
                <w:rFonts w:hint="eastAsia" w:ascii="宋体" w:hAnsi="宋体" w:eastAsia="宋体" w:cs="宋体"/>
                <w:kern w:val="0"/>
                <w:sz w:val="24"/>
              </w:rPr>
            </w:pPr>
            <w:r>
              <w:rPr>
                <w:rFonts w:hint="eastAsia" w:ascii="宋体" w:hAnsi="宋体" w:eastAsia="宋体" w:cs="宋体"/>
                <w:kern w:val="0"/>
                <w:sz w:val="24"/>
              </w:rPr>
              <w:t>86.7</w:t>
            </w:r>
          </w:p>
        </w:tc>
      </w:tr>
    </w:tbl>
    <w:p>
      <w:pPr>
        <w:widowControl/>
        <w:spacing w:beforeLines="50"/>
        <w:jc w:val="left"/>
        <w:rPr>
          <w:rFonts w:eastAsia="宋体"/>
          <w:kern w:val="0"/>
          <w:sz w:val="24"/>
        </w:rPr>
        <w:sectPr>
          <w:pgSz w:w="16838" w:h="11906" w:orient="landscape"/>
          <w:pgMar w:top="1474" w:right="1814" w:bottom="1474" w:left="1644" w:header="851" w:footer="1304" w:gutter="0"/>
          <w:cols w:space="0" w:num="1"/>
          <w:rtlGutter w:val="0"/>
          <w:docGrid w:type="lines" w:linePitch="319" w:charSpace="0"/>
        </w:sectPr>
      </w:pPr>
      <w:r>
        <w:rPr>
          <w:rFonts w:eastAsia="宋体"/>
          <w:kern w:val="0"/>
          <w:sz w:val="24"/>
        </w:rPr>
        <w:t>评价单位（盖章）：                         评价单位负责人（签字）：                     填报日期：      年    月    日</w:t>
      </w:r>
    </w:p>
    <w:p>
      <w:pPr>
        <w:pStyle w:val="8"/>
        <w:spacing w:beforeAutospacing="0" w:afterAutospacing="0" w:line="240" w:lineRule="atLeast"/>
        <w:jc w:val="both"/>
        <w:rPr>
          <w:rFonts w:ascii="仿宋_GB2312" w:hAnsi="仿宋_GB2312" w:eastAsia="仿宋_GB2312" w:cs="仿宋_GB2312"/>
          <w:spacing w:val="-6"/>
          <w:sz w:val="32"/>
          <w:szCs w:val="32"/>
          <w:shd w:val="clear" w:color="auto" w:fill="FFFFFF"/>
        </w:rPr>
      </w:pPr>
    </w:p>
    <w:sectPr>
      <w:footerReference r:id="rId5" w:type="default"/>
      <w:pgSz w:w="16838" w:h="11906" w:orient="landscape"/>
      <w:pgMar w:top="1474" w:right="1814" w:bottom="1474" w:left="1644" w:header="851" w:footer="1304"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简体">
    <w:altName w:val="方正楷体_GBK"/>
    <w:panose1 w:val="03000509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57" w:rightChars="170" w:firstLine="360"/>
      <w:jc w:val="right"/>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6"/>
                            <w:jc w:val="center"/>
                            <w:rPr>
                              <w:rStyle w:val="13"/>
                              <w:rFonts w:ascii="宋体" w:hAnsi="宋体" w:eastAsia="宋体" w:cs="宋体"/>
                              <w:sz w:val="28"/>
                              <w:szCs w:val="28"/>
                            </w:rPr>
                          </w:pPr>
                          <w:r>
                            <w:rPr>
                              <w:rStyle w:val="13"/>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13"/>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3"/>
                              <w:rFonts w:ascii="宋体" w:hAnsi="宋体" w:eastAsia="宋体" w:cs="宋体"/>
                              <w:sz w:val="28"/>
                              <w:szCs w:val="28"/>
                            </w:rPr>
                            <w:t>5</w:t>
                          </w:r>
                          <w:r>
                            <w:rPr>
                              <w:rFonts w:hint="eastAsia" w:ascii="宋体" w:hAnsi="宋体" w:eastAsia="宋体" w:cs="宋体"/>
                              <w:sz w:val="28"/>
                              <w:szCs w:val="28"/>
                            </w:rPr>
                            <w:fldChar w:fldCharType="end"/>
                          </w:r>
                          <w:r>
                            <w:rPr>
                              <w:rStyle w:val="13"/>
                              <w:rFonts w:hint="eastAsia" w:ascii="宋体" w:hAnsi="宋体" w:eastAsia="宋体" w:cs="宋体"/>
                              <w:sz w:val="28"/>
                              <w:szCs w:val="28"/>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M6pebnPAAAABQEAAA8AAAAAAAAAAQAgAAAAOAAAAGRycy9kb3du&#10;cmV2LnhtbFBLAQIUABQAAAAIAIdO4kDNZvYQuQEAAGADAAAOAAAAAAAAAAEAIAAAADQBAABkcnMv&#10;ZTJvRG9jLnhtbFBLBQYAAAAABgAGAFkBAABfBQAAAAA=&#10;">
              <v:fill on="f" focussize="0,0"/>
              <v:stroke on="f"/>
              <v:imagedata o:title=""/>
              <o:lock v:ext="edit" aspectratio="f"/>
              <v:textbox inset="0mm,0mm,0mm,0mm" style="mso-fit-shape-to-text:t;">
                <w:txbxContent>
                  <w:p>
                    <w:pPr>
                      <w:pStyle w:val="6"/>
                      <w:jc w:val="center"/>
                      <w:rPr>
                        <w:rStyle w:val="13"/>
                        <w:rFonts w:ascii="宋体" w:hAnsi="宋体" w:eastAsia="宋体" w:cs="宋体"/>
                        <w:sz w:val="28"/>
                        <w:szCs w:val="28"/>
                      </w:rPr>
                    </w:pPr>
                    <w:r>
                      <w:rPr>
                        <w:rStyle w:val="13"/>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Style w:val="13"/>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13"/>
                        <w:rFonts w:ascii="宋体" w:hAnsi="宋体" w:eastAsia="宋体" w:cs="宋体"/>
                        <w:sz w:val="28"/>
                        <w:szCs w:val="28"/>
                      </w:rPr>
                      <w:t>5</w:t>
                    </w:r>
                    <w:r>
                      <w:rPr>
                        <w:rFonts w:hint="eastAsia" w:ascii="宋体" w:hAnsi="宋体" w:eastAsia="宋体" w:cs="宋体"/>
                        <w:sz w:val="28"/>
                        <w:szCs w:val="28"/>
                      </w:rPr>
                      <w:fldChar w:fldCharType="end"/>
                    </w:r>
                    <w:r>
                      <w:rPr>
                        <w:rStyle w:val="13"/>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Pr>
    </w:pPr>
    <w:r>
      <w:fldChar w:fldCharType="begin"/>
    </w:r>
    <w:r>
      <w:rPr>
        <w:rStyle w:val="13"/>
      </w:rPr>
      <w:instrText xml:space="preserve">PAGE  </w:instrText>
    </w:r>
    <w:r>
      <w:fldChar w:fldCharType="end"/>
    </w:r>
  </w:p>
  <w:p>
    <w:pPr>
      <w:pStyle w:val="6"/>
      <w:ind w:right="360" w:firstLine="392" w:firstLineChars="140"/>
      <w:rPr>
        <w:sz w:val="28"/>
        <w:szCs w:val="28"/>
      </w:rPr>
    </w:pPr>
    <w:r>
      <w:rPr>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- 18 -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6"/>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- 18 -</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3F3436"/>
    <w:multiLevelType w:val="singleLevel"/>
    <w:tmpl w:val="2B3F3436"/>
    <w:lvl w:ilvl="0" w:tentative="0">
      <w:start w:val="1"/>
      <w:numFmt w:val="chineseCounting"/>
      <w:suff w:val="nothing"/>
      <w:lvlText w:val="（%1）"/>
      <w:lvlJc w:val="left"/>
      <w:pPr>
        <w:ind w:left="444"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9"/>
  <w:displayVerticalDrawingGridEvery w:val="2"/>
  <w:noPunctuationKerning w:val="true"/>
  <w:characterSpacingControl w:val="compressPunctuation"/>
  <w:hdrShapeDefaults>
    <o:shapelayout v:ext="edit">
      <o:idmap v:ext="edit" data="1,3"/>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kNGFiZDc0NWUzNDgyOTZiMGJmZGYxY2FjZWUxMTcifQ=="/>
  </w:docVars>
  <w:rsids>
    <w:rsidRoot w:val="55762EB1"/>
    <w:rsid w:val="00001856"/>
    <w:rsid w:val="00055CED"/>
    <w:rsid w:val="00071115"/>
    <w:rsid w:val="00072933"/>
    <w:rsid w:val="000D37CC"/>
    <w:rsid w:val="000F2787"/>
    <w:rsid w:val="00100D6E"/>
    <w:rsid w:val="0010443F"/>
    <w:rsid w:val="00137703"/>
    <w:rsid w:val="0014725B"/>
    <w:rsid w:val="001827A4"/>
    <w:rsid w:val="001858BE"/>
    <w:rsid w:val="001A3D0D"/>
    <w:rsid w:val="001C2F34"/>
    <w:rsid w:val="001E5E34"/>
    <w:rsid w:val="001F3D10"/>
    <w:rsid w:val="0020157D"/>
    <w:rsid w:val="002143AC"/>
    <w:rsid w:val="00224B5D"/>
    <w:rsid w:val="00235675"/>
    <w:rsid w:val="00286687"/>
    <w:rsid w:val="002A282C"/>
    <w:rsid w:val="002A64EB"/>
    <w:rsid w:val="002E0002"/>
    <w:rsid w:val="002E1EA7"/>
    <w:rsid w:val="002E2CD1"/>
    <w:rsid w:val="002E5275"/>
    <w:rsid w:val="002E72B2"/>
    <w:rsid w:val="002F7A23"/>
    <w:rsid w:val="00302FD4"/>
    <w:rsid w:val="003239A7"/>
    <w:rsid w:val="00331054"/>
    <w:rsid w:val="00365DF3"/>
    <w:rsid w:val="003A38C8"/>
    <w:rsid w:val="00405A8A"/>
    <w:rsid w:val="004256DB"/>
    <w:rsid w:val="004266BE"/>
    <w:rsid w:val="004479E5"/>
    <w:rsid w:val="004625F6"/>
    <w:rsid w:val="00494774"/>
    <w:rsid w:val="00515368"/>
    <w:rsid w:val="00532ABF"/>
    <w:rsid w:val="00583982"/>
    <w:rsid w:val="005C6F44"/>
    <w:rsid w:val="00665EBF"/>
    <w:rsid w:val="00683B96"/>
    <w:rsid w:val="006A1E4C"/>
    <w:rsid w:val="006B32B7"/>
    <w:rsid w:val="006C6335"/>
    <w:rsid w:val="006C753B"/>
    <w:rsid w:val="006D022B"/>
    <w:rsid w:val="006D46D3"/>
    <w:rsid w:val="006F0A71"/>
    <w:rsid w:val="006F3CD2"/>
    <w:rsid w:val="006F4640"/>
    <w:rsid w:val="00757907"/>
    <w:rsid w:val="00784DCB"/>
    <w:rsid w:val="00792E0E"/>
    <w:rsid w:val="007D1C60"/>
    <w:rsid w:val="007E6344"/>
    <w:rsid w:val="0081408C"/>
    <w:rsid w:val="00840202"/>
    <w:rsid w:val="00841DDA"/>
    <w:rsid w:val="00843AEC"/>
    <w:rsid w:val="008519E3"/>
    <w:rsid w:val="00852836"/>
    <w:rsid w:val="008539E5"/>
    <w:rsid w:val="00870639"/>
    <w:rsid w:val="008719A9"/>
    <w:rsid w:val="008964EB"/>
    <w:rsid w:val="008A7127"/>
    <w:rsid w:val="008B1495"/>
    <w:rsid w:val="008C36CD"/>
    <w:rsid w:val="008E06C7"/>
    <w:rsid w:val="008E3CBE"/>
    <w:rsid w:val="008F2895"/>
    <w:rsid w:val="00951266"/>
    <w:rsid w:val="00961514"/>
    <w:rsid w:val="009623F8"/>
    <w:rsid w:val="00967BB8"/>
    <w:rsid w:val="009854D8"/>
    <w:rsid w:val="009A6953"/>
    <w:rsid w:val="009B1734"/>
    <w:rsid w:val="009C1651"/>
    <w:rsid w:val="009C422E"/>
    <w:rsid w:val="00A05807"/>
    <w:rsid w:val="00A15070"/>
    <w:rsid w:val="00A21AD3"/>
    <w:rsid w:val="00A26677"/>
    <w:rsid w:val="00A36D58"/>
    <w:rsid w:val="00A46A66"/>
    <w:rsid w:val="00A632B4"/>
    <w:rsid w:val="00A91FE4"/>
    <w:rsid w:val="00A940C2"/>
    <w:rsid w:val="00AE1D19"/>
    <w:rsid w:val="00AE4259"/>
    <w:rsid w:val="00AE5BFB"/>
    <w:rsid w:val="00AE6D35"/>
    <w:rsid w:val="00AF07BD"/>
    <w:rsid w:val="00AF31EE"/>
    <w:rsid w:val="00B1475C"/>
    <w:rsid w:val="00B35B05"/>
    <w:rsid w:val="00B37170"/>
    <w:rsid w:val="00B6175E"/>
    <w:rsid w:val="00B96818"/>
    <w:rsid w:val="00BA5D8E"/>
    <w:rsid w:val="00BC12B6"/>
    <w:rsid w:val="00BC1F73"/>
    <w:rsid w:val="00BC75D1"/>
    <w:rsid w:val="00BD142B"/>
    <w:rsid w:val="00BD6F04"/>
    <w:rsid w:val="00BE29B4"/>
    <w:rsid w:val="00BF2995"/>
    <w:rsid w:val="00C0567C"/>
    <w:rsid w:val="00C26EAC"/>
    <w:rsid w:val="00C84A15"/>
    <w:rsid w:val="00C967E6"/>
    <w:rsid w:val="00CB6FD2"/>
    <w:rsid w:val="00CF68D0"/>
    <w:rsid w:val="00D3039B"/>
    <w:rsid w:val="00D43666"/>
    <w:rsid w:val="00D44D15"/>
    <w:rsid w:val="00D47F2D"/>
    <w:rsid w:val="00D63530"/>
    <w:rsid w:val="00D66DDB"/>
    <w:rsid w:val="00D9045E"/>
    <w:rsid w:val="00DA049B"/>
    <w:rsid w:val="00DA4C58"/>
    <w:rsid w:val="00DC5E42"/>
    <w:rsid w:val="00DD5088"/>
    <w:rsid w:val="00DD7542"/>
    <w:rsid w:val="00DF03F6"/>
    <w:rsid w:val="00E31E38"/>
    <w:rsid w:val="00E60406"/>
    <w:rsid w:val="00E7053F"/>
    <w:rsid w:val="00E73D92"/>
    <w:rsid w:val="00E94731"/>
    <w:rsid w:val="00E965F5"/>
    <w:rsid w:val="00EB3540"/>
    <w:rsid w:val="00ED27A1"/>
    <w:rsid w:val="00EE1FBC"/>
    <w:rsid w:val="00F2368A"/>
    <w:rsid w:val="00F4606C"/>
    <w:rsid w:val="00F60E13"/>
    <w:rsid w:val="00FE1959"/>
    <w:rsid w:val="010D5887"/>
    <w:rsid w:val="0158357E"/>
    <w:rsid w:val="015B3238"/>
    <w:rsid w:val="0192008C"/>
    <w:rsid w:val="01E66FA5"/>
    <w:rsid w:val="023344CD"/>
    <w:rsid w:val="03263B6C"/>
    <w:rsid w:val="035614CF"/>
    <w:rsid w:val="036700DD"/>
    <w:rsid w:val="03B553BA"/>
    <w:rsid w:val="03C3395E"/>
    <w:rsid w:val="03D71F70"/>
    <w:rsid w:val="045421FE"/>
    <w:rsid w:val="046E12CF"/>
    <w:rsid w:val="047C1D10"/>
    <w:rsid w:val="052B5AA2"/>
    <w:rsid w:val="05AA23F0"/>
    <w:rsid w:val="075873C7"/>
    <w:rsid w:val="07B403FD"/>
    <w:rsid w:val="08795564"/>
    <w:rsid w:val="08BC3D12"/>
    <w:rsid w:val="08E92F70"/>
    <w:rsid w:val="09735EE0"/>
    <w:rsid w:val="09B00E5E"/>
    <w:rsid w:val="0A79449A"/>
    <w:rsid w:val="0A812E71"/>
    <w:rsid w:val="0AEB7D4F"/>
    <w:rsid w:val="0B8D5C4E"/>
    <w:rsid w:val="0BDE464A"/>
    <w:rsid w:val="0BFF6B00"/>
    <w:rsid w:val="0C0F3321"/>
    <w:rsid w:val="0C732646"/>
    <w:rsid w:val="0CD47D6F"/>
    <w:rsid w:val="0D7605FE"/>
    <w:rsid w:val="0D7D6095"/>
    <w:rsid w:val="0DFF155F"/>
    <w:rsid w:val="0E3E5676"/>
    <w:rsid w:val="0EFE188A"/>
    <w:rsid w:val="0F5D316C"/>
    <w:rsid w:val="0F744EC0"/>
    <w:rsid w:val="0F9B6D84"/>
    <w:rsid w:val="0FC2784E"/>
    <w:rsid w:val="0FCE1704"/>
    <w:rsid w:val="10052FEB"/>
    <w:rsid w:val="10D26495"/>
    <w:rsid w:val="1135679B"/>
    <w:rsid w:val="11B14851"/>
    <w:rsid w:val="120B26AA"/>
    <w:rsid w:val="134F7362"/>
    <w:rsid w:val="14007246"/>
    <w:rsid w:val="14296426"/>
    <w:rsid w:val="14BD77EC"/>
    <w:rsid w:val="14EB429D"/>
    <w:rsid w:val="152C0397"/>
    <w:rsid w:val="15E21ABD"/>
    <w:rsid w:val="15FF0129"/>
    <w:rsid w:val="16191BC1"/>
    <w:rsid w:val="168F4407"/>
    <w:rsid w:val="16FE3082"/>
    <w:rsid w:val="17615365"/>
    <w:rsid w:val="177B7727"/>
    <w:rsid w:val="178175DC"/>
    <w:rsid w:val="17DF1918"/>
    <w:rsid w:val="187E72C1"/>
    <w:rsid w:val="18CA3705"/>
    <w:rsid w:val="18E935B4"/>
    <w:rsid w:val="195459B1"/>
    <w:rsid w:val="1A452958"/>
    <w:rsid w:val="1A6A7744"/>
    <w:rsid w:val="1AE32530"/>
    <w:rsid w:val="1AF0FC25"/>
    <w:rsid w:val="1B0F6916"/>
    <w:rsid w:val="1B1261BC"/>
    <w:rsid w:val="1B924318"/>
    <w:rsid w:val="1BB9096C"/>
    <w:rsid w:val="1BD1497D"/>
    <w:rsid w:val="1C431B20"/>
    <w:rsid w:val="1CED2BD9"/>
    <w:rsid w:val="1D231759"/>
    <w:rsid w:val="1D3E7FA8"/>
    <w:rsid w:val="1D462BE9"/>
    <w:rsid w:val="1D463D62"/>
    <w:rsid w:val="1DBE4479"/>
    <w:rsid w:val="1DFB2109"/>
    <w:rsid w:val="1DFD0509"/>
    <w:rsid w:val="1DFF2F9B"/>
    <w:rsid w:val="1E3C9831"/>
    <w:rsid w:val="1E3E7CD0"/>
    <w:rsid w:val="1E7BDEF4"/>
    <w:rsid w:val="1EC05EB1"/>
    <w:rsid w:val="1F0E1F3A"/>
    <w:rsid w:val="1FDDF7AC"/>
    <w:rsid w:val="20C97C0D"/>
    <w:rsid w:val="218F3468"/>
    <w:rsid w:val="225F5AE7"/>
    <w:rsid w:val="22641BE8"/>
    <w:rsid w:val="22821FFA"/>
    <w:rsid w:val="22CB65A2"/>
    <w:rsid w:val="24226784"/>
    <w:rsid w:val="24404C26"/>
    <w:rsid w:val="247C487A"/>
    <w:rsid w:val="248401E3"/>
    <w:rsid w:val="252872E7"/>
    <w:rsid w:val="25392B62"/>
    <w:rsid w:val="253941FC"/>
    <w:rsid w:val="25824FAD"/>
    <w:rsid w:val="25B61F3B"/>
    <w:rsid w:val="269A76D7"/>
    <w:rsid w:val="27427F55"/>
    <w:rsid w:val="27977C5F"/>
    <w:rsid w:val="27A60C7B"/>
    <w:rsid w:val="27EF7F76"/>
    <w:rsid w:val="280B39E4"/>
    <w:rsid w:val="2835689D"/>
    <w:rsid w:val="288E1220"/>
    <w:rsid w:val="28D37F58"/>
    <w:rsid w:val="293233F3"/>
    <w:rsid w:val="298A3E0B"/>
    <w:rsid w:val="29C91E61"/>
    <w:rsid w:val="29D31FF9"/>
    <w:rsid w:val="2A29583F"/>
    <w:rsid w:val="2B28275C"/>
    <w:rsid w:val="2B6F089D"/>
    <w:rsid w:val="2BD74871"/>
    <w:rsid w:val="2CA25652"/>
    <w:rsid w:val="2D3B553E"/>
    <w:rsid w:val="2D4422E2"/>
    <w:rsid w:val="2DDE7C17"/>
    <w:rsid w:val="2DE73FDC"/>
    <w:rsid w:val="2E220AB6"/>
    <w:rsid w:val="2E38701D"/>
    <w:rsid w:val="2EB50B77"/>
    <w:rsid w:val="2EB8166C"/>
    <w:rsid w:val="2EDA5C2A"/>
    <w:rsid w:val="2F371AA9"/>
    <w:rsid w:val="2F62278F"/>
    <w:rsid w:val="2FE64857"/>
    <w:rsid w:val="2FF787D1"/>
    <w:rsid w:val="30035E9D"/>
    <w:rsid w:val="30F3189D"/>
    <w:rsid w:val="31C07DA2"/>
    <w:rsid w:val="31C2273D"/>
    <w:rsid w:val="31FEF51B"/>
    <w:rsid w:val="321932FB"/>
    <w:rsid w:val="323F21F5"/>
    <w:rsid w:val="32B63897"/>
    <w:rsid w:val="32BE3E44"/>
    <w:rsid w:val="32D836FE"/>
    <w:rsid w:val="33627EB7"/>
    <w:rsid w:val="340C7A1E"/>
    <w:rsid w:val="352466A4"/>
    <w:rsid w:val="35584B7B"/>
    <w:rsid w:val="35BEC570"/>
    <w:rsid w:val="35E95F20"/>
    <w:rsid w:val="35F93E0E"/>
    <w:rsid w:val="360E7496"/>
    <w:rsid w:val="36137612"/>
    <w:rsid w:val="36930558"/>
    <w:rsid w:val="36A1697C"/>
    <w:rsid w:val="36AB6948"/>
    <w:rsid w:val="36BF789D"/>
    <w:rsid w:val="36FBB4C8"/>
    <w:rsid w:val="373E6F38"/>
    <w:rsid w:val="37BB86BA"/>
    <w:rsid w:val="381A568C"/>
    <w:rsid w:val="385927CC"/>
    <w:rsid w:val="389F2279"/>
    <w:rsid w:val="38C70EA8"/>
    <w:rsid w:val="391A3E45"/>
    <w:rsid w:val="394C659B"/>
    <w:rsid w:val="39A459B6"/>
    <w:rsid w:val="39EF21E2"/>
    <w:rsid w:val="3A1C7BAB"/>
    <w:rsid w:val="3A5F5756"/>
    <w:rsid w:val="3B30382A"/>
    <w:rsid w:val="3BDFD2E4"/>
    <w:rsid w:val="3BF25258"/>
    <w:rsid w:val="3BFE6DCF"/>
    <w:rsid w:val="3C03792B"/>
    <w:rsid w:val="3C3E57FB"/>
    <w:rsid w:val="3C676742"/>
    <w:rsid w:val="3C874571"/>
    <w:rsid w:val="3DBF50D6"/>
    <w:rsid w:val="3DF84875"/>
    <w:rsid w:val="3DF959BF"/>
    <w:rsid w:val="3E1A72F6"/>
    <w:rsid w:val="3E2460BF"/>
    <w:rsid w:val="3E5DC4EE"/>
    <w:rsid w:val="3E6F1445"/>
    <w:rsid w:val="3EA276F7"/>
    <w:rsid w:val="3F08128E"/>
    <w:rsid w:val="3F791CD3"/>
    <w:rsid w:val="3FB1545C"/>
    <w:rsid w:val="3FF120C7"/>
    <w:rsid w:val="3FFD5697"/>
    <w:rsid w:val="40680803"/>
    <w:rsid w:val="40935CAA"/>
    <w:rsid w:val="410F4156"/>
    <w:rsid w:val="41C97F41"/>
    <w:rsid w:val="42675DF1"/>
    <w:rsid w:val="42A135D1"/>
    <w:rsid w:val="42F30280"/>
    <w:rsid w:val="44134CD1"/>
    <w:rsid w:val="44222588"/>
    <w:rsid w:val="44B032C2"/>
    <w:rsid w:val="45024E5E"/>
    <w:rsid w:val="4546678F"/>
    <w:rsid w:val="456D0DBB"/>
    <w:rsid w:val="46EB4C06"/>
    <w:rsid w:val="4731132E"/>
    <w:rsid w:val="478275FC"/>
    <w:rsid w:val="48B802DC"/>
    <w:rsid w:val="48C72B62"/>
    <w:rsid w:val="48D43E62"/>
    <w:rsid w:val="4914249F"/>
    <w:rsid w:val="493E5973"/>
    <w:rsid w:val="4A332DDD"/>
    <w:rsid w:val="4A941841"/>
    <w:rsid w:val="4AAD23DF"/>
    <w:rsid w:val="4AAF1F3B"/>
    <w:rsid w:val="4B3A2799"/>
    <w:rsid w:val="4B8C1BDC"/>
    <w:rsid w:val="4C1050F8"/>
    <w:rsid w:val="4CF06A2A"/>
    <w:rsid w:val="4D8E1E9F"/>
    <w:rsid w:val="4E2C10B9"/>
    <w:rsid w:val="4EB13C6E"/>
    <w:rsid w:val="4ED82144"/>
    <w:rsid w:val="4F017C2A"/>
    <w:rsid w:val="4F654FA6"/>
    <w:rsid w:val="4FB3CCD0"/>
    <w:rsid w:val="4FC053EF"/>
    <w:rsid w:val="4FF3179F"/>
    <w:rsid w:val="4FF3D7E0"/>
    <w:rsid w:val="4FF9875E"/>
    <w:rsid w:val="52112841"/>
    <w:rsid w:val="52121816"/>
    <w:rsid w:val="53032109"/>
    <w:rsid w:val="533F07C4"/>
    <w:rsid w:val="53756352"/>
    <w:rsid w:val="53853123"/>
    <w:rsid w:val="53B14969"/>
    <w:rsid w:val="53C81D89"/>
    <w:rsid w:val="53F64155"/>
    <w:rsid w:val="53FB7845"/>
    <w:rsid w:val="54272660"/>
    <w:rsid w:val="54F4678C"/>
    <w:rsid w:val="55027756"/>
    <w:rsid w:val="55762EB1"/>
    <w:rsid w:val="55A3450A"/>
    <w:rsid w:val="55C96D5F"/>
    <w:rsid w:val="562E5C44"/>
    <w:rsid w:val="567A02BF"/>
    <w:rsid w:val="56D730FF"/>
    <w:rsid w:val="56F8523A"/>
    <w:rsid w:val="57296836"/>
    <w:rsid w:val="575856A7"/>
    <w:rsid w:val="575FAB7F"/>
    <w:rsid w:val="57D3CF30"/>
    <w:rsid w:val="58372DFA"/>
    <w:rsid w:val="58524AAF"/>
    <w:rsid w:val="58C5249F"/>
    <w:rsid w:val="58CB5A97"/>
    <w:rsid w:val="58D32F7C"/>
    <w:rsid w:val="59544C87"/>
    <w:rsid w:val="595E2649"/>
    <w:rsid w:val="5A552FDA"/>
    <w:rsid w:val="5AAC0ECB"/>
    <w:rsid w:val="5AE7341F"/>
    <w:rsid w:val="5BC4232B"/>
    <w:rsid w:val="5BDC1C27"/>
    <w:rsid w:val="5BF4A1DE"/>
    <w:rsid w:val="5C713E0F"/>
    <w:rsid w:val="5CAD5D6A"/>
    <w:rsid w:val="5D0457DF"/>
    <w:rsid w:val="5D7A3130"/>
    <w:rsid w:val="5D9F7317"/>
    <w:rsid w:val="5E296EC6"/>
    <w:rsid w:val="5E5A4044"/>
    <w:rsid w:val="5E625FE6"/>
    <w:rsid w:val="5ED36796"/>
    <w:rsid w:val="5ED94888"/>
    <w:rsid w:val="5EF7CBA5"/>
    <w:rsid w:val="5EFBF191"/>
    <w:rsid w:val="5F5F31D7"/>
    <w:rsid w:val="5F7D27BB"/>
    <w:rsid w:val="5F7DEE83"/>
    <w:rsid w:val="5F865FD3"/>
    <w:rsid w:val="5F8D7B66"/>
    <w:rsid w:val="5FDDCCB6"/>
    <w:rsid w:val="5FE77F79"/>
    <w:rsid w:val="5FEE2DF9"/>
    <w:rsid w:val="600D6286"/>
    <w:rsid w:val="60B86577"/>
    <w:rsid w:val="61C373F7"/>
    <w:rsid w:val="63512595"/>
    <w:rsid w:val="63584245"/>
    <w:rsid w:val="635C0089"/>
    <w:rsid w:val="63EE3A7F"/>
    <w:rsid w:val="651B645B"/>
    <w:rsid w:val="658A429C"/>
    <w:rsid w:val="65E858A5"/>
    <w:rsid w:val="66365934"/>
    <w:rsid w:val="667FA88D"/>
    <w:rsid w:val="66DA680A"/>
    <w:rsid w:val="66ED290C"/>
    <w:rsid w:val="672D78F5"/>
    <w:rsid w:val="672F7A91"/>
    <w:rsid w:val="67364659"/>
    <w:rsid w:val="677D3EE0"/>
    <w:rsid w:val="678EBF2D"/>
    <w:rsid w:val="67BED6C4"/>
    <w:rsid w:val="67D78753"/>
    <w:rsid w:val="67D9AD40"/>
    <w:rsid w:val="67F8C2EB"/>
    <w:rsid w:val="684922FB"/>
    <w:rsid w:val="68AD62D0"/>
    <w:rsid w:val="69BF0381"/>
    <w:rsid w:val="69FF7A1F"/>
    <w:rsid w:val="6A0157D5"/>
    <w:rsid w:val="6A114D6C"/>
    <w:rsid w:val="6A7CF937"/>
    <w:rsid w:val="6AFB66E6"/>
    <w:rsid w:val="6B346B49"/>
    <w:rsid w:val="6B645D5D"/>
    <w:rsid w:val="6B7BEDE3"/>
    <w:rsid w:val="6BF63574"/>
    <w:rsid w:val="6C3A5F06"/>
    <w:rsid w:val="6C5FAA7B"/>
    <w:rsid w:val="6C7F6B47"/>
    <w:rsid w:val="6D1C0A5C"/>
    <w:rsid w:val="6D266F73"/>
    <w:rsid w:val="6D4B59AD"/>
    <w:rsid w:val="6D9F7FFB"/>
    <w:rsid w:val="6DAF3319"/>
    <w:rsid w:val="6DB76730"/>
    <w:rsid w:val="6DD7396B"/>
    <w:rsid w:val="6DDB03D7"/>
    <w:rsid w:val="6DEDB8FF"/>
    <w:rsid w:val="6DFDE1DF"/>
    <w:rsid w:val="6E0E49B3"/>
    <w:rsid w:val="6EA715F4"/>
    <w:rsid w:val="6EB10EE9"/>
    <w:rsid w:val="6F2F7A78"/>
    <w:rsid w:val="6F736D6F"/>
    <w:rsid w:val="6F7F3F74"/>
    <w:rsid w:val="6F8BD572"/>
    <w:rsid w:val="6FADF433"/>
    <w:rsid w:val="6FB8A5B3"/>
    <w:rsid w:val="6FBBE4F9"/>
    <w:rsid w:val="6FD0493E"/>
    <w:rsid w:val="6FDF1471"/>
    <w:rsid w:val="6FEFA920"/>
    <w:rsid w:val="70583154"/>
    <w:rsid w:val="70AC74E1"/>
    <w:rsid w:val="70C02F8F"/>
    <w:rsid w:val="70C66B53"/>
    <w:rsid w:val="70CC2171"/>
    <w:rsid w:val="70D4087D"/>
    <w:rsid w:val="71B510E2"/>
    <w:rsid w:val="71D84D6C"/>
    <w:rsid w:val="71E76EA6"/>
    <w:rsid w:val="72EE1CDF"/>
    <w:rsid w:val="73411A7D"/>
    <w:rsid w:val="73771478"/>
    <w:rsid w:val="73CC549D"/>
    <w:rsid w:val="73FF1E89"/>
    <w:rsid w:val="741A00AE"/>
    <w:rsid w:val="749C54DC"/>
    <w:rsid w:val="74DD580C"/>
    <w:rsid w:val="74F31BB8"/>
    <w:rsid w:val="75FB4291"/>
    <w:rsid w:val="768235E4"/>
    <w:rsid w:val="76FF4367"/>
    <w:rsid w:val="770FE192"/>
    <w:rsid w:val="772B4E6E"/>
    <w:rsid w:val="773E5EC9"/>
    <w:rsid w:val="77505B4F"/>
    <w:rsid w:val="777BF63B"/>
    <w:rsid w:val="777F0C29"/>
    <w:rsid w:val="7785035B"/>
    <w:rsid w:val="77B3660C"/>
    <w:rsid w:val="77BA2D31"/>
    <w:rsid w:val="77DDEE0E"/>
    <w:rsid w:val="77F15016"/>
    <w:rsid w:val="77FF469F"/>
    <w:rsid w:val="78AC657F"/>
    <w:rsid w:val="78EE5546"/>
    <w:rsid w:val="797FE299"/>
    <w:rsid w:val="79AC11A3"/>
    <w:rsid w:val="7A267A57"/>
    <w:rsid w:val="7A4B28A8"/>
    <w:rsid w:val="7A56210A"/>
    <w:rsid w:val="7A771087"/>
    <w:rsid w:val="7BC62ED8"/>
    <w:rsid w:val="7BD22F13"/>
    <w:rsid w:val="7BE8281B"/>
    <w:rsid w:val="7BFBE434"/>
    <w:rsid w:val="7BFDA47E"/>
    <w:rsid w:val="7BFF1709"/>
    <w:rsid w:val="7BFF7A88"/>
    <w:rsid w:val="7BFFF3AE"/>
    <w:rsid w:val="7C6F2E44"/>
    <w:rsid w:val="7C9F3E8C"/>
    <w:rsid w:val="7CAB1C46"/>
    <w:rsid w:val="7CEF8C95"/>
    <w:rsid w:val="7D072E61"/>
    <w:rsid w:val="7D6271C2"/>
    <w:rsid w:val="7D6E3A91"/>
    <w:rsid w:val="7D75086F"/>
    <w:rsid w:val="7D7F729C"/>
    <w:rsid w:val="7DA70E1F"/>
    <w:rsid w:val="7DAC73B1"/>
    <w:rsid w:val="7DBF1403"/>
    <w:rsid w:val="7DDDE3D2"/>
    <w:rsid w:val="7DDE034F"/>
    <w:rsid w:val="7DDE19D7"/>
    <w:rsid w:val="7DE8365B"/>
    <w:rsid w:val="7DF3E864"/>
    <w:rsid w:val="7DFBB9C9"/>
    <w:rsid w:val="7E0223B7"/>
    <w:rsid w:val="7E3C6FB6"/>
    <w:rsid w:val="7E5F63B5"/>
    <w:rsid w:val="7EA63CCF"/>
    <w:rsid w:val="7EB720F5"/>
    <w:rsid w:val="7EBD963D"/>
    <w:rsid w:val="7ED70ADD"/>
    <w:rsid w:val="7EDB59F0"/>
    <w:rsid w:val="7EDB8FDB"/>
    <w:rsid w:val="7EFBCEA2"/>
    <w:rsid w:val="7F0E4C2F"/>
    <w:rsid w:val="7F32EF12"/>
    <w:rsid w:val="7F6EA75E"/>
    <w:rsid w:val="7F7514AB"/>
    <w:rsid w:val="7F759374"/>
    <w:rsid w:val="7F777F6E"/>
    <w:rsid w:val="7F7DFB27"/>
    <w:rsid w:val="7F8DD879"/>
    <w:rsid w:val="7F9F42E8"/>
    <w:rsid w:val="7FB63C4E"/>
    <w:rsid w:val="7FC6D0E4"/>
    <w:rsid w:val="7FC91A48"/>
    <w:rsid w:val="7FDBD14A"/>
    <w:rsid w:val="7FDE7BB9"/>
    <w:rsid w:val="7FF7777A"/>
    <w:rsid w:val="7FFF6C4C"/>
    <w:rsid w:val="7FFFCB50"/>
    <w:rsid w:val="7FFFEBA5"/>
    <w:rsid w:val="7FFFF35E"/>
    <w:rsid w:val="877F429B"/>
    <w:rsid w:val="8D2DFABC"/>
    <w:rsid w:val="8EFBA6C6"/>
    <w:rsid w:val="8FDE0AF6"/>
    <w:rsid w:val="915D87D7"/>
    <w:rsid w:val="96FF835A"/>
    <w:rsid w:val="975743A4"/>
    <w:rsid w:val="97FFD1E8"/>
    <w:rsid w:val="99FF2EAF"/>
    <w:rsid w:val="9DD6F15A"/>
    <w:rsid w:val="9EE7A9CA"/>
    <w:rsid w:val="9FFD3B10"/>
    <w:rsid w:val="A6FF0381"/>
    <w:rsid w:val="A7C7126A"/>
    <w:rsid w:val="AEBE2BE8"/>
    <w:rsid w:val="AF7D57F4"/>
    <w:rsid w:val="B15F20B3"/>
    <w:rsid w:val="B3EE87E1"/>
    <w:rsid w:val="B3FF42E7"/>
    <w:rsid w:val="B555DE19"/>
    <w:rsid w:val="B5BF350F"/>
    <w:rsid w:val="B975FB18"/>
    <w:rsid w:val="BAFF6C90"/>
    <w:rsid w:val="BB799A5B"/>
    <w:rsid w:val="BCFFEA50"/>
    <w:rsid w:val="BD9FFBD4"/>
    <w:rsid w:val="BEB7314E"/>
    <w:rsid w:val="BEDF04F9"/>
    <w:rsid w:val="BFBF580B"/>
    <w:rsid w:val="BFBF5832"/>
    <w:rsid w:val="BFEDD136"/>
    <w:rsid w:val="BFF3556F"/>
    <w:rsid w:val="BFFFF576"/>
    <w:rsid w:val="C5FFB357"/>
    <w:rsid w:val="C7F939D9"/>
    <w:rsid w:val="CF3B9644"/>
    <w:rsid w:val="CF959B36"/>
    <w:rsid w:val="D65C6F95"/>
    <w:rsid w:val="D7FF4A26"/>
    <w:rsid w:val="DAFE4708"/>
    <w:rsid w:val="DB7F05E2"/>
    <w:rsid w:val="DB8F95E0"/>
    <w:rsid w:val="DCDF83DB"/>
    <w:rsid w:val="DCF7FBF1"/>
    <w:rsid w:val="DE3E99C8"/>
    <w:rsid w:val="DF3DAFDC"/>
    <w:rsid w:val="DF6DFACD"/>
    <w:rsid w:val="DFCB2B4F"/>
    <w:rsid w:val="DFEDE3A4"/>
    <w:rsid w:val="DFF8E188"/>
    <w:rsid w:val="E0FECF8B"/>
    <w:rsid w:val="E1E13103"/>
    <w:rsid w:val="E7D9D776"/>
    <w:rsid w:val="E7DFD29B"/>
    <w:rsid w:val="E7FD22A8"/>
    <w:rsid w:val="E7FD698C"/>
    <w:rsid w:val="E7FFD02F"/>
    <w:rsid w:val="EAFDBA2C"/>
    <w:rsid w:val="ECC7DA6E"/>
    <w:rsid w:val="EDCFF975"/>
    <w:rsid w:val="EDF956E6"/>
    <w:rsid w:val="EEBF2E6F"/>
    <w:rsid w:val="EF556BF3"/>
    <w:rsid w:val="EFD89C81"/>
    <w:rsid w:val="F1AD3DDC"/>
    <w:rsid w:val="F27F1725"/>
    <w:rsid w:val="F29782F7"/>
    <w:rsid w:val="F37B339A"/>
    <w:rsid w:val="F37FF575"/>
    <w:rsid w:val="F3AF289C"/>
    <w:rsid w:val="F3B4A66E"/>
    <w:rsid w:val="F3EFEF31"/>
    <w:rsid w:val="F4E66CB6"/>
    <w:rsid w:val="F5D7C2D5"/>
    <w:rsid w:val="F65A5870"/>
    <w:rsid w:val="F77FD6F0"/>
    <w:rsid w:val="F7A738A5"/>
    <w:rsid w:val="F7E78DBA"/>
    <w:rsid w:val="F7FE3F40"/>
    <w:rsid w:val="F97EC289"/>
    <w:rsid w:val="FB755147"/>
    <w:rsid w:val="FB75BF01"/>
    <w:rsid w:val="FBBB7629"/>
    <w:rsid w:val="FBF78968"/>
    <w:rsid w:val="FBF98674"/>
    <w:rsid w:val="FDEAF67D"/>
    <w:rsid w:val="FE3F2377"/>
    <w:rsid w:val="FEBF33F2"/>
    <w:rsid w:val="FECF9E6B"/>
    <w:rsid w:val="FF0F3D61"/>
    <w:rsid w:val="FF5BB798"/>
    <w:rsid w:val="FF5F3993"/>
    <w:rsid w:val="FF7EFE19"/>
    <w:rsid w:val="FF7FE7F7"/>
    <w:rsid w:val="FFB59807"/>
    <w:rsid w:val="FFB9A389"/>
    <w:rsid w:val="FFDECFF6"/>
    <w:rsid w:val="FFEA78DA"/>
    <w:rsid w:val="FFED496E"/>
    <w:rsid w:val="FFFB2509"/>
    <w:rsid w:val="FFFBA032"/>
    <w:rsid w:val="FFFD3F76"/>
    <w:rsid w:val="FFFE09A6"/>
    <w:rsid w:val="FFFF5BD8"/>
    <w:rsid w:val="FFFF63DC"/>
    <w:rsid w:val="FFFF9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5">
    <w:name w:val="Body Text Indent"/>
    <w:basedOn w:val="1"/>
    <w:qFormat/>
    <w:uiPriority w:val="0"/>
    <w:pPr>
      <w:ind w:firstLine="315"/>
    </w:pPr>
    <w:rPr>
      <w:sz w:val="24"/>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5"/>
    <w:unhideWhenUsed/>
    <w:qFormat/>
    <w:uiPriority w:val="99"/>
    <w:pPr>
      <w:ind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customStyle="1" w:styleId="14">
    <w:name w:val="font21"/>
    <w:basedOn w:val="12"/>
    <w:qFormat/>
    <w:uiPriority w:val="0"/>
    <w:rPr>
      <w:rFonts w:hint="eastAsia" w:ascii="宋体" w:hAnsi="宋体" w:eastAsia="宋体" w:cs="宋体"/>
      <w:color w:val="000000"/>
      <w:sz w:val="32"/>
      <w:szCs w:val="32"/>
      <w:u w:val="none"/>
      <w:vertAlign w:val="subscript"/>
    </w:rPr>
  </w:style>
  <w:style w:type="character" w:customStyle="1" w:styleId="15">
    <w:name w:val="font01"/>
    <w:basedOn w:val="12"/>
    <w:qFormat/>
    <w:uiPriority w:val="0"/>
    <w:rPr>
      <w:rFonts w:hint="eastAsia" w:ascii="宋体" w:hAnsi="宋体" w:eastAsia="宋体" w:cs="宋体"/>
      <w:color w:val="000000"/>
      <w:sz w:val="32"/>
      <w:szCs w:val="32"/>
      <w:u w:val="none"/>
      <w:vertAlign w:val="superscript"/>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6761</Words>
  <Characters>7103</Characters>
  <Lines>63</Lines>
  <Paragraphs>17</Paragraphs>
  <TotalTime>33</TotalTime>
  <ScaleCrop>false</ScaleCrop>
  <LinksUpToDate>false</LinksUpToDate>
  <CharactersWithSpaces>7294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2020-07-31T01:00:00Z</dcterms:created>
  <dc:creator>家和万事兴</dc:creator>
  <cp:lastModifiedBy>kylin</cp:lastModifiedBy>
  <cp:lastPrinted>2022-09-20T19:06:00Z</cp:lastPrinted>
  <dcterms:modified xsi:type="dcterms:W3CDTF">2023-03-31T13:08:53Z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9F27F38DA83846DE96DE18A5DD953122</vt:lpwstr>
  </property>
</Properties>
</file>