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6"/>
          <w:szCs w:val="36"/>
        </w:rPr>
        <w:t>年政府预算转移支付情况说明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全市20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年中央和省返还性收入及转移支付收入预算合计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410363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万元，其中：返还性收入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85103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万元，一般性转移支付收入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568958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万元，专项转移支付收入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756302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市本级20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年中央和省返还性收入及转移支付收入预算合计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42373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万元，其中：返还性收入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16371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万元，一般性转移支付收入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万元，专项转移支付收入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21881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根据《中共益阳市委 益阳市人民政府关于调整优化市与资阳区、赫山区、高新区财政体制的通知》（益发[2020]7号）文件，从2021年开始，实行新的市与区财政体制，建立了规范的分税制财政体制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，2023年，市对区体制补助预算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71925万元，市对区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一般性转移支付预算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市对区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专项转移支付预算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市对区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转移支付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283568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市本级20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6"/>
          <w:szCs w:val="36"/>
        </w:rPr>
        <w:t>年政府预算举借债务情况说明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年，省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转贷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市本级新增债券额度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36.95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其中，一般债券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3.45亿元，专项债券33.5亿元，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按上级要求，新增债券资金要与年初预算打通盘活，统筹安排。市本级预算调整安排新增债券资金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36.95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，其中：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一般债券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3.45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；专项债券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市本级留用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2.06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亿元，转贷高新区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30.26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，转贷大通湖区1.18亿元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年末，市本级地方政府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一般债券限额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46.74亿元，专项债券限额72.86亿元；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一般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46.35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，专项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72.86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（限额和余额为初步预计数，暂未经省财政厅最终审核认定）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。据快报数，全年债务还本付息支出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10.93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，其中：一般债券还本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6.42亿元，利息支出1.88亿元；专项债券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利息支出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2.63亿元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年市本级预算中，提前安排20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年预计新增地方政府新增债券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亿元，主要用于市本级重大公益性资本支出。20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年一般公共预算安排新增政府债券还本付息支出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20587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。纳入政府性基金预算的还本付息支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783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市本级20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6"/>
          <w:szCs w:val="36"/>
        </w:rPr>
        <w:t>年“三公”经费预算说明</w:t>
      </w: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经市财政局汇总，益阳市本级部门，包括市级行政单位、事业单位和其他单位安排的20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4136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25万元</w:t>
      </w:r>
      <w:r>
        <w:rPr>
          <w:rFonts w:hint="default" w:ascii="Times New Roman" w:hAnsi="Times New Roman" w:eastAsia="仿宋" w:cs="Times New Roman"/>
          <w:sz w:val="32"/>
          <w:szCs w:val="32"/>
        </w:rPr>
        <w:t>。其中：公务接待费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1441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较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2022年下降11万元，</w:t>
      </w:r>
      <w:r>
        <w:rPr>
          <w:rFonts w:hint="default" w:ascii="Times New Roman" w:hAnsi="Times New Roman" w:eastAsia="仿宋" w:cs="Times New Roman"/>
          <w:sz w:val="32"/>
          <w:szCs w:val="32"/>
        </w:rPr>
        <w:t>因公出国(境)费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（其中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万元纳入重点项目预算管理，未在基本支出中反映），较20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年下降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8万元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，公务用车运行维护费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万元，公务用车购置费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万元（纳入重点项目预算管理，未在基本支出中反映）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，较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2022年下降6万元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年，我市市本级“三公”经费支出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有所</w:t>
      </w:r>
      <w:r>
        <w:rPr>
          <w:rFonts w:hint="default" w:ascii="Times New Roman" w:hAnsi="Times New Roman" w:eastAsia="仿宋" w:cs="Times New Roman"/>
          <w:sz w:val="32"/>
          <w:szCs w:val="32"/>
        </w:rPr>
        <w:t>下降，主要原因有以下三个方面：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一是严把预算关，实行源头控制，严格执行中央八项规定，按照精打细算、勤俭节约的原则，坚持过“紧日子”思想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对“三公经费”进行压缩，按照能压就压，能减就减的原则控制一般性支出。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二是严把支出关，实现动态管理，充分发挥国库集中支付平台，规范三公经费的支出核算。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三是注重宣传，提高贯彻落实自觉性，在日常财政监督监管中注重对预算单位的业务辅导和政策宣传，将“三公经费”管理作为各单位的重要工作来抓，明确职责完善制度。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80"/>
    <w:rsid w:val="000C098E"/>
    <w:rsid w:val="000D3624"/>
    <w:rsid w:val="000E1CBC"/>
    <w:rsid w:val="00122205"/>
    <w:rsid w:val="0019175A"/>
    <w:rsid w:val="001D5E35"/>
    <w:rsid w:val="001E3AA1"/>
    <w:rsid w:val="00302B6D"/>
    <w:rsid w:val="00322038"/>
    <w:rsid w:val="00331D80"/>
    <w:rsid w:val="00347778"/>
    <w:rsid w:val="00397185"/>
    <w:rsid w:val="003D606F"/>
    <w:rsid w:val="003F5280"/>
    <w:rsid w:val="00423CDB"/>
    <w:rsid w:val="00442F15"/>
    <w:rsid w:val="00515D3A"/>
    <w:rsid w:val="005461AD"/>
    <w:rsid w:val="0057568B"/>
    <w:rsid w:val="005C2463"/>
    <w:rsid w:val="00624BAB"/>
    <w:rsid w:val="006618C7"/>
    <w:rsid w:val="006F656E"/>
    <w:rsid w:val="00882C79"/>
    <w:rsid w:val="008A35E5"/>
    <w:rsid w:val="00947B4A"/>
    <w:rsid w:val="009856FB"/>
    <w:rsid w:val="009D6C52"/>
    <w:rsid w:val="009F20F6"/>
    <w:rsid w:val="00A64D09"/>
    <w:rsid w:val="00A82C07"/>
    <w:rsid w:val="00AD4028"/>
    <w:rsid w:val="00B1332E"/>
    <w:rsid w:val="00B61DDF"/>
    <w:rsid w:val="00BC3478"/>
    <w:rsid w:val="00BD216B"/>
    <w:rsid w:val="00C20100"/>
    <w:rsid w:val="00CB0615"/>
    <w:rsid w:val="00CC6864"/>
    <w:rsid w:val="00CF7B70"/>
    <w:rsid w:val="00D50DDD"/>
    <w:rsid w:val="00D54FF3"/>
    <w:rsid w:val="00DA5754"/>
    <w:rsid w:val="00E33125"/>
    <w:rsid w:val="00E53C9B"/>
    <w:rsid w:val="00E57814"/>
    <w:rsid w:val="00E616A8"/>
    <w:rsid w:val="00EC3904"/>
    <w:rsid w:val="00ED05A2"/>
    <w:rsid w:val="00EF69AA"/>
    <w:rsid w:val="00F212DE"/>
    <w:rsid w:val="00F43071"/>
    <w:rsid w:val="00F512C1"/>
    <w:rsid w:val="00FC6D1D"/>
    <w:rsid w:val="017F5000"/>
    <w:rsid w:val="026D3E05"/>
    <w:rsid w:val="046C41BA"/>
    <w:rsid w:val="04E8539D"/>
    <w:rsid w:val="05B4076A"/>
    <w:rsid w:val="05FF7A1B"/>
    <w:rsid w:val="078A59E7"/>
    <w:rsid w:val="09AD7794"/>
    <w:rsid w:val="0AD909D9"/>
    <w:rsid w:val="0BD02CDA"/>
    <w:rsid w:val="0EB23E02"/>
    <w:rsid w:val="0F463776"/>
    <w:rsid w:val="0FA95523"/>
    <w:rsid w:val="105F0A91"/>
    <w:rsid w:val="14EB7761"/>
    <w:rsid w:val="1621475C"/>
    <w:rsid w:val="16D26D27"/>
    <w:rsid w:val="177E62B3"/>
    <w:rsid w:val="19881641"/>
    <w:rsid w:val="1C59487B"/>
    <w:rsid w:val="1E237E7E"/>
    <w:rsid w:val="20477FF0"/>
    <w:rsid w:val="22AD43D0"/>
    <w:rsid w:val="258C0F0B"/>
    <w:rsid w:val="27AA430B"/>
    <w:rsid w:val="288747C6"/>
    <w:rsid w:val="28DC3FEE"/>
    <w:rsid w:val="2BC557B5"/>
    <w:rsid w:val="2EE872E8"/>
    <w:rsid w:val="2FA742B5"/>
    <w:rsid w:val="2FE0031A"/>
    <w:rsid w:val="31192CA1"/>
    <w:rsid w:val="318B2D51"/>
    <w:rsid w:val="319C0AED"/>
    <w:rsid w:val="354E76A2"/>
    <w:rsid w:val="39463B7A"/>
    <w:rsid w:val="3FDC1ED0"/>
    <w:rsid w:val="40494422"/>
    <w:rsid w:val="41E7638D"/>
    <w:rsid w:val="43D019CF"/>
    <w:rsid w:val="44BF5728"/>
    <w:rsid w:val="44D5127D"/>
    <w:rsid w:val="45D7349F"/>
    <w:rsid w:val="462875A5"/>
    <w:rsid w:val="467F5155"/>
    <w:rsid w:val="4C391759"/>
    <w:rsid w:val="4C825A74"/>
    <w:rsid w:val="4CC82987"/>
    <w:rsid w:val="4D855EA3"/>
    <w:rsid w:val="4E532DD9"/>
    <w:rsid w:val="4E913EA7"/>
    <w:rsid w:val="5074340D"/>
    <w:rsid w:val="52F060CB"/>
    <w:rsid w:val="55EA369D"/>
    <w:rsid w:val="571E454F"/>
    <w:rsid w:val="582467B0"/>
    <w:rsid w:val="583B1B4B"/>
    <w:rsid w:val="597651EE"/>
    <w:rsid w:val="5A114FB2"/>
    <w:rsid w:val="5F906972"/>
    <w:rsid w:val="659B7079"/>
    <w:rsid w:val="677F90F0"/>
    <w:rsid w:val="68EB12FB"/>
    <w:rsid w:val="6C45630C"/>
    <w:rsid w:val="6EA924B7"/>
    <w:rsid w:val="71271BC2"/>
    <w:rsid w:val="73E1527D"/>
    <w:rsid w:val="74AE1104"/>
    <w:rsid w:val="78351FE9"/>
    <w:rsid w:val="78D863D1"/>
    <w:rsid w:val="78E95F11"/>
    <w:rsid w:val="79D81D75"/>
    <w:rsid w:val="7A445E67"/>
    <w:rsid w:val="7B13027A"/>
    <w:rsid w:val="7DA32559"/>
    <w:rsid w:val="7DB62281"/>
    <w:rsid w:val="FEDFB62B"/>
    <w:rsid w:val="FFED8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201</Words>
  <Characters>1151</Characters>
  <Lines>9</Lines>
  <Paragraphs>2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2019-01-23T03:27:00Z</dcterms:created>
  <dc:creator>郑周</dc:creator>
  <cp:lastModifiedBy>Administrator</cp:lastModifiedBy>
  <cp:lastPrinted>2023-01-16T06:39:00Z</cp:lastPrinted>
  <dcterms:modified xsi:type="dcterms:W3CDTF">2023-01-18T02:58:33Z</dcterms:modified>
  <dc:title>2018年预算草案中转移支付情况说明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151C1CECCBA74C9A9679BA5DBBCF50CA</vt:lpwstr>
  </property>
</Properties>
</file>